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3.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drawings/drawing4.xml" ContentType="application/vnd.openxmlformats-officedocument.drawingml.chartshapes+xml"/>
  <Override PartName="/word/charts/chart17.xml" ContentType="application/vnd.openxmlformats-officedocument.drawingml.chart+xml"/>
  <Override PartName="/word/drawings/drawing5.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drawings/drawing6.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4.xml" ContentType="application/vnd.openxmlformats-officedocument.drawingml.chart+xml"/>
  <Override PartName="/word/drawings/drawing7.xml" ContentType="application/vnd.openxmlformats-officedocument.drawingml.chartshapes+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drawings/drawing8.xml" ContentType="application/vnd.openxmlformats-officedocument.drawingml.chartshapes+xml"/>
  <Override PartName="/word/charts/chart44.xml" ContentType="application/vnd.openxmlformats-officedocument.drawingml.chart+xml"/>
  <Override PartName="/word/drawings/drawing9.xml" ContentType="application/vnd.openxmlformats-officedocument.drawingml.chartshapes+xml"/>
  <Override PartName="/word/charts/chart45.xml" ContentType="application/vnd.openxmlformats-officedocument.drawingml.chart+xml"/>
  <Override PartName="/word/drawings/drawing10.xml" ContentType="application/vnd.openxmlformats-officedocument.drawingml.chartshapes+xml"/>
  <Override PartName="/word/charts/chart4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7.xml" ContentType="application/vnd.openxmlformats-officedocument.drawingml.chart+xml"/>
  <Override PartName="/word/drawings/drawing11.xml" ContentType="application/vnd.openxmlformats-officedocument.drawingml.chartshapes+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drawings/drawing12.xml" ContentType="application/vnd.openxmlformats-officedocument.drawingml.chartshapes+xml"/>
  <Override PartName="/word/charts/chart57.xml" ContentType="application/vnd.openxmlformats-officedocument.drawingml.chart+xml"/>
  <Override PartName="/word/drawings/drawing13.xml" ContentType="application/vnd.openxmlformats-officedocument.drawingml.chartshapes+xml"/>
  <Override PartName="/word/charts/chart58.xml" ContentType="application/vnd.openxmlformats-officedocument.drawingml.chart+xml"/>
  <Override PartName="/word/drawings/drawing1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851A" w14:textId="04A905C3" w:rsidR="00C86924" w:rsidRPr="00456552" w:rsidRDefault="00C86924" w:rsidP="00C86924">
      <w:pPr>
        <w:spacing w:after="120" w:line="288" w:lineRule="auto"/>
        <w:jc w:val="both"/>
        <w:rPr>
          <w:rFonts w:ascii="Arial" w:hAnsi="Arial" w:cs="Arial"/>
          <w:b/>
          <w:color w:val="009BB4"/>
          <w:sz w:val="32"/>
          <w:szCs w:val="32"/>
        </w:rPr>
      </w:pPr>
      <w:r w:rsidRPr="00456552">
        <w:rPr>
          <w:rFonts w:ascii="Arial" w:hAnsi="Arial" w:cs="Arial"/>
          <w:b/>
          <w:color w:val="009BB4"/>
          <w:sz w:val="32"/>
          <w:szCs w:val="32"/>
        </w:rPr>
        <w:t>Shrnutí základních údaj</w:t>
      </w:r>
      <w:r w:rsidR="00912F37">
        <w:rPr>
          <w:rFonts w:ascii="Arial" w:hAnsi="Arial" w:cs="Arial"/>
          <w:b/>
          <w:color w:val="009BB4"/>
          <w:sz w:val="32"/>
          <w:szCs w:val="32"/>
        </w:rPr>
        <w:t>ů o výzkumu a vývoji za rok 2022</w:t>
      </w:r>
    </w:p>
    <w:p w14:paraId="1D4C8390" w14:textId="78AF92BD" w:rsidR="00FA4998" w:rsidRDefault="006C2F33" w:rsidP="001A67C4">
      <w:pPr>
        <w:spacing w:after="120" w:line="288" w:lineRule="auto"/>
        <w:jc w:val="both"/>
        <w:rPr>
          <w:rFonts w:ascii="Arial" w:hAnsi="Arial" w:cs="Arial"/>
          <w:sz w:val="20"/>
          <w:szCs w:val="20"/>
        </w:rPr>
      </w:pPr>
      <w:r>
        <w:rPr>
          <w:rFonts w:ascii="Arial" w:hAnsi="Arial" w:cs="Arial"/>
          <w:sz w:val="20"/>
          <w:szCs w:val="20"/>
        </w:rPr>
        <w:t xml:space="preserve">Za desetileté období 2013 až 2022 se </w:t>
      </w:r>
      <w:r w:rsidRPr="006C2F33">
        <w:rPr>
          <w:rFonts w:ascii="Arial" w:hAnsi="Arial" w:cs="Arial"/>
          <w:sz w:val="20"/>
          <w:szCs w:val="20"/>
        </w:rPr>
        <w:t>na území</w:t>
      </w:r>
      <w:r>
        <w:rPr>
          <w:rFonts w:ascii="Arial" w:hAnsi="Arial" w:cs="Arial"/>
          <w:sz w:val="20"/>
          <w:szCs w:val="20"/>
        </w:rPr>
        <w:t xml:space="preserve"> České republiky vynaložil</w:t>
      </w:r>
      <w:r w:rsidRPr="006C2F33">
        <w:rPr>
          <w:rFonts w:ascii="Arial" w:hAnsi="Arial" w:cs="Arial"/>
          <w:sz w:val="20"/>
          <w:szCs w:val="20"/>
        </w:rPr>
        <w:t xml:space="preserve"> na výzkum a vývoj (</w:t>
      </w:r>
      <w:proofErr w:type="spellStart"/>
      <w:r w:rsidRPr="006C2F33">
        <w:rPr>
          <w:rFonts w:ascii="Arial" w:hAnsi="Arial" w:cs="Arial"/>
          <w:sz w:val="20"/>
          <w:szCs w:val="20"/>
        </w:rPr>
        <w:t>VaV</w:t>
      </w:r>
      <w:proofErr w:type="spellEnd"/>
      <w:r w:rsidRPr="006C2F33">
        <w:rPr>
          <w:rFonts w:ascii="Arial" w:hAnsi="Arial" w:cs="Arial"/>
          <w:sz w:val="20"/>
          <w:szCs w:val="20"/>
        </w:rPr>
        <w:t>)</w:t>
      </w:r>
      <w:r>
        <w:rPr>
          <w:rFonts w:ascii="Arial" w:hAnsi="Arial" w:cs="Arial"/>
          <w:sz w:val="20"/>
          <w:szCs w:val="20"/>
        </w:rPr>
        <w:t xml:space="preserve"> jeden bilion korun. V roce 2022 to bylo</w:t>
      </w:r>
      <w:r w:rsidR="00A85564">
        <w:rPr>
          <w:rFonts w:ascii="Arial" w:hAnsi="Arial" w:cs="Arial"/>
          <w:sz w:val="20"/>
          <w:szCs w:val="20"/>
        </w:rPr>
        <w:t xml:space="preserve"> </w:t>
      </w:r>
      <w:r>
        <w:rPr>
          <w:rFonts w:ascii="Arial" w:hAnsi="Arial" w:cs="Arial"/>
          <w:sz w:val="20"/>
          <w:szCs w:val="20"/>
        </w:rPr>
        <w:t>133,3 mld. Kč</w:t>
      </w:r>
      <w:r w:rsidR="002E7D50">
        <w:rPr>
          <w:rFonts w:ascii="Arial" w:hAnsi="Arial" w:cs="Arial"/>
          <w:sz w:val="20"/>
          <w:szCs w:val="20"/>
        </w:rPr>
        <w:t xml:space="preserve"> a m</w:t>
      </w:r>
      <w:r>
        <w:rPr>
          <w:rFonts w:ascii="Arial" w:hAnsi="Arial" w:cs="Arial"/>
          <w:sz w:val="20"/>
          <w:szCs w:val="20"/>
        </w:rPr>
        <w:t>eziročně došlo k devítiprocentnímu nárůstu. Ve vztahu k HDP však došlo k drobnému poklesu, což značí, že HDP</w:t>
      </w:r>
      <w:r w:rsidR="006176C0">
        <w:rPr>
          <w:rFonts w:ascii="Arial" w:hAnsi="Arial" w:cs="Arial"/>
          <w:sz w:val="20"/>
          <w:szCs w:val="20"/>
        </w:rPr>
        <w:t xml:space="preserve"> </w:t>
      </w:r>
      <w:r>
        <w:rPr>
          <w:rFonts w:ascii="Arial" w:hAnsi="Arial" w:cs="Arial"/>
          <w:sz w:val="20"/>
          <w:szCs w:val="20"/>
        </w:rPr>
        <w:t xml:space="preserve">rostl v roce 2022 o něco rychlejším tempem než výdaje na </w:t>
      </w:r>
      <w:proofErr w:type="spellStart"/>
      <w:r>
        <w:rPr>
          <w:rFonts w:ascii="Arial" w:hAnsi="Arial" w:cs="Arial"/>
          <w:sz w:val="20"/>
          <w:szCs w:val="20"/>
        </w:rPr>
        <w:t>VaV</w:t>
      </w:r>
      <w:proofErr w:type="spellEnd"/>
      <w:r>
        <w:rPr>
          <w:rFonts w:ascii="Arial" w:hAnsi="Arial" w:cs="Arial"/>
          <w:sz w:val="20"/>
          <w:szCs w:val="20"/>
        </w:rPr>
        <w:t>. V</w:t>
      </w:r>
      <w:r w:rsidR="006176C0">
        <w:rPr>
          <w:rFonts w:ascii="Arial" w:hAnsi="Arial" w:cs="Arial"/>
          <w:sz w:val="20"/>
          <w:szCs w:val="20"/>
        </w:rPr>
        <w:t> roce 2021 bylo poprvé dosaženo hranice 2 %</w:t>
      </w:r>
      <w:r>
        <w:rPr>
          <w:rFonts w:ascii="Arial" w:hAnsi="Arial" w:cs="Arial"/>
          <w:sz w:val="20"/>
          <w:szCs w:val="20"/>
        </w:rPr>
        <w:t xml:space="preserve"> HDP na výzkum vývoj, v roce 2022 </w:t>
      </w:r>
      <w:r w:rsidR="0046440D">
        <w:rPr>
          <w:rFonts w:ascii="Arial" w:hAnsi="Arial" w:cs="Arial"/>
          <w:sz w:val="20"/>
          <w:szCs w:val="20"/>
        </w:rPr>
        <w:t xml:space="preserve">se podíl výdajů na </w:t>
      </w:r>
      <w:proofErr w:type="spellStart"/>
      <w:r w:rsidR="0046440D">
        <w:rPr>
          <w:rFonts w:ascii="Arial" w:hAnsi="Arial" w:cs="Arial"/>
          <w:sz w:val="20"/>
          <w:szCs w:val="20"/>
        </w:rPr>
        <w:t>VaV</w:t>
      </w:r>
      <w:proofErr w:type="spellEnd"/>
      <w:r w:rsidR="0046440D">
        <w:rPr>
          <w:rFonts w:ascii="Arial" w:hAnsi="Arial" w:cs="Arial"/>
          <w:sz w:val="20"/>
          <w:szCs w:val="20"/>
        </w:rPr>
        <w:t xml:space="preserve"> na HDP dostal opět pod tuto hranici a </w:t>
      </w:r>
      <w:r>
        <w:rPr>
          <w:rFonts w:ascii="Arial" w:hAnsi="Arial" w:cs="Arial"/>
          <w:sz w:val="20"/>
          <w:szCs w:val="20"/>
        </w:rPr>
        <w:t>činil</w:t>
      </w:r>
      <w:r w:rsidR="0046440D">
        <w:rPr>
          <w:rFonts w:ascii="Arial" w:hAnsi="Arial" w:cs="Arial"/>
          <w:sz w:val="20"/>
          <w:szCs w:val="20"/>
        </w:rPr>
        <w:t xml:space="preserve"> </w:t>
      </w:r>
      <w:r>
        <w:rPr>
          <w:rFonts w:ascii="Arial" w:hAnsi="Arial" w:cs="Arial"/>
          <w:sz w:val="20"/>
          <w:szCs w:val="20"/>
        </w:rPr>
        <w:t>1,96 %.</w:t>
      </w:r>
    </w:p>
    <w:p w14:paraId="2AD266B2" w14:textId="24B491B9" w:rsidR="00691B0E" w:rsidRPr="00691B0E" w:rsidRDefault="00691B0E" w:rsidP="00691B0E">
      <w:pPr>
        <w:spacing w:after="0" w:line="288" w:lineRule="auto"/>
        <w:jc w:val="both"/>
        <w:rPr>
          <w:rFonts w:ascii="Arial" w:hAnsi="Arial" w:cs="Arial"/>
          <w:b/>
          <w:sz w:val="20"/>
          <w:szCs w:val="20"/>
        </w:rPr>
      </w:pPr>
      <w:r w:rsidRPr="00253397">
        <w:rPr>
          <w:rFonts w:ascii="Arial" w:hAnsi="Arial" w:cs="Arial"/>
          <w:b/>
          <w:sz w:val="20"/>
          <w:szCs w:val="20"/>
        </w:rPr>
        <w:t xml:space="preserve">Graf </w:t>
      </w:r>
      <w:r>
        <w:rPr>
          <w:rFonts w:ascii="Arial" w:hAnsi="Arial" w:cs="Arial"/>
          <w:b/>
          <w:sz w:val="20"/>
          <w:szCs w:val="20"/>
        </w:rPr>
        <w:t>1</w:t>
      </w:r>
      <w:r w:rsidRPr="00253397">
        <w:rPr>
          <w:rFonts w:ascii="Arial" w:hAnsi="Arial" w:cs="Arial"/>
          <w:b/>
          <w:sz w:val="20"/>
          <w:szCs w:val="20"/>
        </w:rPr>
        <w:t xml:space="preserve">. </w:t>
      </w:r>
      <w:r>
        <w:rPr>
          <w:rFonts w:ascii="Arial" w:hAnsi="Arial" w:cs="Arial"/>
          <w:b/>
          <w:sz w:val="20"/>
          <w:szCs w:val="20"/>
        </w:rPr>
        <w:t>Výzkum a vývoj v Česku – základní ukazatele</w:t>
      </w:r>
    </w:p>
    <w:p w14:paraId="3EC225AF" w14:textId="2AAFB494" w:rsidR="00691B0E" w:rsidRDefault="004E4B23" w:rsidP="001A67C4">
      <w:pPr>
        <w:spacing w:after="120" w:line="288" w:lineRule="auto"/>
        <w:jc w:val="both"/>
        <w:rPr>
          <w:rFonts w:ascii="Arial" w:hAnsi="Arial" w:cs="Arial"/>
          <w:sz w:val="20"/>
          <w:szCs w:val="20"/>
        </w:rPr>
      </w:pPr>
      <w:r>
        <w:rPr>
          <w:noProof/>
          <w:lang w:eastAsia="cs-CZ"/>
        </w:rPr>
        <w:drawing>
          <wp:inline distT="0" distB="0" distL="0" distR="0" wp14:anchorId="31AF6144" wp14:editId="5F4ACF7F">
            <wp:extent cx="6094800" cy="3240000"/>
            <wp:effectExtent l="0" t="0" r="127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D3C4ABB" w14:textId="77777777" w:rsidR="00691B0E" w:rsidRPr="0019141D" w:rsidRDefault="00691B0E" w:rsidP="00691B0E">
      <w:pPr>
        <w:spacing w:after="120" w:line="288" w:lineRule="auto"/>
        <w:jc w:val="right"/>
        <w:rPr>
          <w:rFonts w:ascii="Arial" w:hAnsi="Arial" w:cs="Arial"/>
          <w:i/>
          <w:sz w:val="18"/>
          <w:szCs w:val="20"/>
        </w:rPr>
      </w:pPr>
      <w:r w:rsidRPr="00C67BA8">
        <w:rPr>
          <w:noProof/>
          <w:lang w:eastAsia="cs-CZ"/>
        </w:rPr>
        <w:t xml:space="preserve"> </w:t>
      </w:r>
      <w:r w:rsidRPr="00253397">
        <w:rPr>
          <w:noProof/>
          <w:lang w:eastAsia="cs-CZ"/>
        </w:rPr>
        <w:t xml:space="preserve">  </w:t>
      </w:r>
      <w:r w:rsidRPr="00C67BA8">
        <w:rPr>
          <w:noProof/>
          <w:lang w:eastAsia="cs-CZ"/>
        </w:rPr>
        <w:t xml:space="preserve"> </w:t>
      </w:r>
      <w:r w:rsidRPr="0019141D">
        <w:rPr>
          <w:rFonts w:ascii="Arial" w:hAnsi="Arial" w:cs="Arial"/>
          <w:i/>
          <w:sz w:val="18"/>
          <w:szCs w:val="20"/>
        </w:rPr>
        <w:t>Zdroj: ČSÚ; Roční zjišťování o výzkumu a vývoji VTR 5-01</w:t>
      </w:r>
    </w:p>
    <w:p w14:paraId="38382D59" w14:textId="7DB2B139" w:rsidR="00691B0E" w:rsidRDefault="00A85564" w:rsidP="001A67C4">
      <w:pPr>
        <w:spacing w:after="120" w:line="288" w:lineRule="auto"/>
        <w:jc w:val="both"/>
        <w:rPr>
          <w:rFonts w:ascii="Arial" w:hAnsi="Arial" w:cs="Arial"/>
          <w:sz w:val="20"/>
          <w:szCs w:val="20"/>
        </w:rPr>
      </w:pPr>
      <w:r>
        <w:rPr>
          <w:rFonts w:ascii="Arial" w:hAnsi="Arial" w:cs="Arial"/>
          <w:sz w:val="20"/>
          <w:szCs w:val="20"/>
        </w:rPr>
        <w:t>Výzkumnou nebo vývojovou</w:t>
      </w:r>
      <w:r w:rsidR="00831178">
        <w:rPr>
          <w:rFonts w:ascii="Arial" w:hAnsi="Arial" w:cs="Arial"/>
          <w:sz w:val="20"/>
          <w:szCs w:val="20"/>
        </w:rPr>
        <w:t xml:space="preserve"> činnost provádělo v roce 202</w:t>
      </w:r>
      <w:r w:rsidR="00E731E7">
        <w:rPr>
          <w:rFonts w:ascii="Arial" w:hAnsi="Arial" w:cs="Arial"/>
          <w:sz w:val="20"/>
          <w:szCs w:val="20"/>
        </w:rPr>
        <w:t>2</w:t>
      </w:r>
      <w:r w:rsidR="00831178">
        <w:rPr>
          <w:rFonts w:ascii="Arial" w:hAnsi="Arial" w:cs="Arial"/>
          <w:sz w:val="20"/>
          <w:szCs w:val="20"/>
        </w:rPr>
        <w:t xml:space="preserve"> v Česku více než 3 </w:t>
      </w:r>
      <w:r w:rsidR="00911866">
        <w:rPr>
          <w:rFonts w:ascii="Arial" w:hAnsi="Arial" w:cs="Arial"/>
          <w:sz w:val="20"/>
          <w:szCs w:val="20"/>
        </w:rPr>
        <w:t>2</w:t>
      </w:r>
      <w:r w:rsidR="00831178">
        <w:rPr>
          <w:rFonts w:ascii="Arial" w:hAnsi="Arial" w:cs="Arial"/>
          <w:sz w:val="20"/>
          <w:szCs w:val="20"/>
        </w:rPr>
        <w:t xml:space="preserve">00 subjektů. Téměř 90 % z těchto subjektů </w:t>
      </w:r>
      <w:r w:rsidR="008B5309">
        <w:rPr>
          <w:rFonts w:ascii="Arial" w:hAnsi="Arial" w:cs="Arial"/>
          <w:sz w:val="20"/>
          <w:szCs w:val="20"/>
        </w:rPr>
        <w:t xml:space="preserve">tvoří </w:t>
      </w:r>
      <w:r w:rsidR="00911866">
        <w:rPr>
          <w:rFonts w:ascii="Arial" w:hAnsi="Arial" w:cs="Arial"/>
          <w:sz w:val="20"/>
          <w:szCs w:val="20"/>
        </w:rPr>
        <w:t>podniky, v roce 2022 jich bylo 2 886</w:t>
      </w:r>
      <w:r w:rsidR="00831178">
        <w:rPr>
          <w:rFonts w:ascii="Arial" w:hAnsi="Arial" w:cs="Arial"/>
          <w:sz w:val="20"/>
          <w:szCs w:val="20"/>
        </w:rPr>
        <w:t>. Dlouhodobě nacházíme ve vládním sektoru</w:t>
      </w:r>
      <w:r w:rsidR="009D3B0A">
        <w:rPr>
          <w:rFonts w:ascii="Arial" w:hAnsi="Arial" w:cs="Arial"/>
          <w:sz w:val="20"/>
          <w:szCs w:val="20"/>
        </w:rPr>
        <w:t xml:space="preserve"> okolo 170 subjektů</w:t>
      </w:r>
      <w:r w:rsidR="00831178">
        <w:rPr>
          <w:rFonts w:ascii="Arial" w:hAnsi="Arial" w:cs="Arial"/>
          <w:sz w:val="20"/>
          <w:szCs w:val="20"/>
        </w:rPr>
        <w:t xml:space="preserve">, 75 subjektů </w:t>
      </w:r>
      <w:r w:rsidR="009D3B0A">
        <w:rPr>
          <w:rFonts w:ascii="Arial" w:hAnsi="Arial" w:cs="Arial"/>
          <w:sz w:val="20"/>
          <w:szCs w:val="20"/>
        </w:rPr>
        <w:t xml:space="preserve">z toho </w:t>
      </w:r>
      <w:r w:rsidR="008B5309">
        <w:rPr>
          <w:rFonts w:ascii="Arial" w:hAnsi="Arial" w:cs="Arial"/>
          <w:sz w:val="20"/>
          <w:szCs w:val="20"/>
        </w:rPr>
        <w:t xml:space="preserve">byly </w:t>
      </w:r>
      <w:r w:rsidR="00831178">
        <w:rPr>
          <w:rFonts w:ascii="Arial" w:hAnsi="Arial" w:cs="Arial"/>
          <w:sz w:val="20"/>
          <w:szCs w:val="20"/>
        </w:rPr>
        <w:t>v roce 202</w:t>
      </w:r>
      <w:r w:rsidR="00911866">
        <w:rPr>
          <w:rFonts w:ascii="Arial" w:hAnsi="Arial" w:cs="Arial"/>
          <w:sz w:val="20"/>
          <w:szCs w:val="20"/>
        </w:rPr>
        <w:t>2</w:t>
      </w:r>
      <w:r w:rsidR="00831178">
        <w:rPr>
          <w:rFonts w:ascii="Arial" w:hAnsi="Arial" w:cs="Arial"/>
          <w:sz w:val="20"/>
          <w:szCs w:val="20"/>
        </w:rPr>
        <w:t xml:space="preserve"> veřejné výzkumné instituce. Ve vysokoškolském sektoru evidujeme přes 60 subjektů, především se jedná o 28 veřejných a státních vysokých škol s téměř dvěma sty výzkumnými pracovišti.</w:t>
      </w:r>
      <w:r w:rsidR="00911866">
        <w:rPr>
          <w:rFonts w:ascii="Arial" w:hAnsi="Arial" w:cs="Arial"/>
          <w:sz w:val="20"/>
          <w:szCs w:val="20"/>
        </w:rPr>
        <w:t xml:space="preserve"> Výzkumnými pracovišti na vysokých školách jsou především</w:t>
      </w:r>
      <w:r w:rsidR="0063690D">
        <w:rPr>
          <w:rFonts w:ascii="Arial" w:hAnsi="Arial" w:cs="Arial"/>
          <w:sz w:val="20"/>
          <w:szCs w:val="20"/>
        </w:rPr>
        <w:t xml:space="preserve"> </w:t>
      </w:r>
      <w:r w:rsidR="00911866">
        <w:rPr>
          <w:rFonts w:ascii="Arial" w:hAnsi="Arial" w:cs="Arial"/>
          <w:sz w:val="20"/>
          <w:szCs w:val="20"/>
        </w:rPr>
        <w:t>fakulty.</w:t>
      </w:r>
      <w:r w:rsidR="00831178">
        <w:rPr>
          <w:rFonts w:ascii="Arial" w:hAnsi="Arial" w:cs="Arial"/>
          <w:sz w:val="20"/>
          <w:szCs w:val="20"/>
        </w:rPr>
        <w:t xml:space="preserve"> </w:t>
      </w:r>
      <w:r w:rsidR="0013773B">
        <w:rPr>
          <w:rFonts w:ascii="Arial" w:hAnsi="Arial" w:cs="Arial"/>
          <w:sz w:val="20"/>
          <w:szCs w:val="20"/>
        </w:rPr>
        <w:t>V p</w:t>
      </w:r>
      <w:r>
        <w:rPr>
          <w:rFonts w:ascii="Arial" w:hAnsi="Arial" w:cs="Arial"/>
          <w:sz w:val="20"/>
          <w:szCs w:val="20"/>
        </w:rPr>
        <w:t>řípadě soukromých vysokých škol</w:t>
      </w:r>
      <w:r w:rsidR="00911866">
        <w:rPr>
          <w:rFonts w:ascii="Arial" w:hAnsi="Arial" w:cs="Arial"/>
          <w:sz w:val="20"/>
          <w:szCs w:val="20"/>
        </w:rPr>
        <w:t xml:space="preserve"> jsme v roce 2022</w:t>
      </w:r>
      <w:r w:rsidR="0013773B">
        <w:rPr>
          <w:rFonts w:ascii="Arial" w:hAnsi="Arial" w:cs="Arial"/>
          <w:sz w:val="20"/>
          <w:szCs w:val="20"/>
        </w:rPr>
        <w:t xml:space="preserve"> zazname</w:t>
      </w:r>
      <w:r w:rsidR="00911866">
        <w:rPr>
          <w:rFonts w:ascii="Arial" w:hAnsi="Arial" w:cs="Arial"/>
          <w:sz w:val="20"/>
          <w:szCs w:val="20"/>
        </w:rPr>
        <w:t xml:space="preserve">nali provádění </w:t>
      </w:r>
      <w:proofErr w:type="spellStart"/>
      <w:r w:rsidR="00911866">
        <w:rPr>
          <w:rFonts w:ascii="Arial" w:hAnsi="Arial" w:cs="Arial"/>
          <w:sz w:val="20"/>
          <w:szCs w:val="20"/>
        </w:rPr>
        <w:t>VaV</w:t>
      </w:r>
      <w:proofErr w:type="spellEnd"/>
      <w:r w:rsidR="00911866">
        <w:rPr>
          <w:rFonts w:ascii="Arial" w:hAnsi="Arial" w:cs="Arial"/>
          <w:sz w:val="20"/>
          <w:szCs w:val="20"/>
        </w:rPr>
        <w:t xml:space="preserve"> činnosti u 22</w:t>
      </w:r>
      <w:r w:rsidR="0013773B">
        <w:rPr>
          <w:rFonts w:ascii="Arial" w:hAnsi="Arial" w:cs="Arial"/>
          <w:sz w:val="20"/>
          <w:szCs w:val="20"/>
        </w:rPr>
        <w:t xml:space="preserve"> z</w:t>
      </w:r>
      <w:r w:rsidR="0063690D">
        <w:rPr>
          <w:rFonts w:ascii="Arial" w:hAnsi="Arial" w:cs="Arial"/>
          <w:sz w:val="20"/>
          <w:szCs w:val="20"/>
        </w:rPr>
        <w:t> </w:t>
      </w:r>
      <w:r w:rsidR="0013773B">
        <w:rPr>
          <w:rFonts w:ascii="Arial" w:hAnsi="Arial" w:cs="Arial"/>
          <w:sz w:val="20"/>
          <w:szCs w:val="20"/>
        </w:rPr>
        <w:t>nich</w:t>
      </w:r>
      <w:r w:rsidR="0063690D">
        <w:rPr>
          <w:rFonts w:ascii="Arial" w:hAnsi="Arial" w:cs="Arial"/>
          <w:sz w:val="20"/>
          <w:szCs w:val="20"/>
        </w:rPr>
        <w:t>. Dále do VŠ sektoru řadíme ještě fakultní nemocnice</w:t>
      </w:r>
      <w:r w:rsidR="0013773B">
        <w:rPr>
          <w:rFonts w:ascii="Arial" w:hAnsi="Arial" w:cs="Arial"/>
          <w:sz w:val="20"/>
          <w:szCs w:val="20"/>
        </w:rPr>
        <w:t xml:space="preserve">. </w:t>
      </w:r>
      <w:r w:rsidR="007E48AC">
        <w:rPr>
          <w:rFonts w:ascii="Arial" w:hAnsi="Arial" w:cs="Arial"/>
          <w:sz w:val="20"/>
          <w:szCs w:val="20"/>
        </w:rPr>
        <w:t xml:space="preserve">V souladu s mezinárodními standardy statistiky </w:t>
      </w:r>
      <w:proofErr w:type="spellStart"/>
      <w:r w:rsidR="007E48AC">
        <w:rPr>
          <w:rFonts w:ascii="Arial" w:hAnsi="Arial" w:cs="Arial"/>
          <w:sz w:val="20"/>
          <w:szCs w:val="20"/>
        </w:rPr>
        <w:t>VaV</w:t>
      </w:r>
      <w:proofErr w:type="spellEnd"/>
      <w:r w:rsidR="007E48AC">
        <w:rPr>
          <w:rFonts w:ascii="Arial" w:hAnsi="Arial" w:cs="Arial"/>
          <w:sz w:val="20"/>
          <w:szCs w:val="20"/>
        </w:rPr>
        <w:t xml:space="preserve"> vyčleňujeme</w:t>
      </w:r>
      <w:r w:rsidR="00911866">
        <w:rPr>
          <w:rFonts w:ascii="Arial" w:hAnsi="Arial" w:cs="Arial"/>
          <w:sz w:val="20"/>
          <w:szCs w:val="20"/>
        </w:rPr>
        <w:t xml:space="preserve"> neziskové instituce jako</w:t>
      </w:r>
      <w:r w:rsidR="007E48AC">
        <w:rPr>
          <w:rFonts w:ascii="Arial" w:hAnsi="Arial" w:cs="Arial"/>
          <w:sz w:val="20"/>
          <w:szCs w:val="20"/>
        </w:rPr>
        <w:t xml:space="preserve"> </w:t>
      </w:r>
      <w:r>
        <w:rPr>
          <w:rFonts w:ascii="Arial" w:hAnsi="Arial" w:cs="Arial"/>
          <w:sz w:val="20"/>
          <w:szCs w:val="20"/>
        </w:rPr>
        <w:t>čtvrtý sektor</w:t>
      </w:r>
      <w:r w:rsidR="00911866">
        <w:rPr>
          <w:rFonts w:ascii="Arial" w:hAnsi="Arial" w:cs="Arial"/>
          <w:sz w:val="20"/>
          <w:szCs w:val="20"/>
        </w:rPr>
        <w:t>.</w:t>
      </w:r>
      <w:r w:rsidR="007E48AC">
        <w:rPr>
          <w:rFonts w:ascii="Arial" w:hAnsi="Arial" w:cs="Arial"/>
          <w:sz w:val="20"/>
          <w:szCs w:val="20"/>
        </w:rPr>
        <w:t xml:space="preserve"> </w:t>
      </w:r>
      <w:r w:rsidR="00911866">
        <w:rPr>
          <w:rFonts w:ascii="Arial" w:hAnsi="Arial" w:cs="Arial"/>
          <w:sz w:val="20"/>
          <w:szCs w:val="20"/>
        </w:rPr>
        <w:t>V</w:t>
      </w:r>
      <w:r w:rsidR="00CF03D3">
        <w:rPr>
          <w:rFonts w:ascii="Arial" w:hAnsi="Arial" w:cs="Arial"/>
          <w:sz w:val="20"/>
          <w:szCs w:val="20"/>
        </w:rPr>
        <w:t xml:space="preserve"> posledním sledovaném roce</w:t>
      </w:r>
      <w:r w:rsidR="00911866">
        <w:rPr>
          <w:rFonts w:ascii="Arial" w:hAnsi="Arial" w:cs="Arial"/>
          <w:sz w:val="20"/>
          <w:szCs w:val="20"/>
        </w:rPr>
        <w:t xml:space="preserve"> provádělo </w:t>
      </w:r>
      <w:proofErr w:type="spellStart"/>
      <w:r w:rsidR="00911866">
        <w:rPr>
          <w:rFonts w:ascii="Arial" w:hAnsi="Arial" w:cs="Arial"/>
          <w:sz w:val="20"/>
          <w:szCs w:val="20"/>
        </w:rPr>
        <w:t>VaV</w:t>
      </w:r>
      <w:proofErr w:type="spellEnd"/>
      <w:r w:rsidR="00911866">
        <w:rPr>
          <w:rFonts w:ascii="Arial" w:hAnsi="Arial" w:cs="Arial"/>
          <w:sz w:val="20"/>
          <w:szCs w:val="20"/>
        </w:rPr>
        <w:t xml:space="preserve"> činnost 10</w:t>
      </w:r>
      <w:r w:rsidR="007E48AC">
        <w:rPr>
          <w:rFonts w:ascii="Arial" w:hAnsi="Arial" w:cs="Arial"/>
          <w:sz w:val="20"/>
          <w:szCs w:val="20"/>
        </w:rPr>
        <w:t>9</w:t>
      </w:r>
      <w:r w:rsidR="00911866">
        <w:rPr>
          <w:rFonts w:ascii="Arial" w:hAnsi="Arial" w:cs="Arial"/>
          <w:sz w:val="20"/>
          <w:szCs w:val="20"/>
        </w:rPr>
        <w:t xml:space="preserve"> neziskovek</w:t>
      </w:r>
      <w:r w:rsidR="007E48AC">
        <w:rPr>
          <w:rFonts w:ascii="Arial" w:hAnsi="Arial" w:cs="Arial"/>
          <w:sz w:val="20"/>
          <w:szCs w:val="20"/>
        </w:rPr>
        <w:t>.</w:t>
      </w:r>
    </w:p>
    <w:p w14:paraId="48B33708" w14:textId="2A570E4F" w:rsidR="00166242" w:rsidRPr="00253397" w:rsidRDefault="00166242" w:rsidP="00166242">
      <w:pPr>
        <w:spacing w:after="60" w:line="288" w:lineRule="auto"/>
        <w:jc w:val="both"/>
        <w:rPr>
          <w:rFonts w:ascii="Arial" w:hAnsi="Arial" w:cs="Arial"/>
          <w:b/>
          <w:sz w:val="20"/>
          <w:szCs w:val="20"/>
        </w:rPr>
      </w:pPr>
      <w:r w:rsidRPr="00253397">
        <w:rPr>
          <w:rFonts w:ascii="Arial" w:hAnsi="Arial" w:cs="Arial"/>
          <w:b/>
          <w:sz w:val="20"/>
          <w:szCs w:val="20"/>
        </w:rPr>
        <w:t xml:space="preserve">Graf </w:t>
      </w:r>
      <w:r>
        <w:rPr>
          <w:rFonts w:ascii="Arial" w:hAnsi="Arial" w:cs="Arial"/>
          <w:b/>
          <w:sz w:val="20"/>
          <w:szCs w:val="20"/>
        </w:rPr>
        <w:t>2</w:t>
      </w:r>
      <w:r w:rsidRPr="00253397">
        <w:rPr>
          <w:rFonts w:ascii="Arial" w:hAnsi="Arial" w:cs="Arial"/>
          <w:b/>
          <w:sz w:val="20"/>
          <w:szCs w:val="20"/>
        </w:rPr>
        <w:t>. P</w:t>
      </w:r>
      <w:r>
        <w:rPr>
          <w:rFonts w:ascii="Arial" w:hAnsi="Arial" w:cs="Arial"/>
          <w:b/>
          <w:sz w:val="20"/>
          <w:szCs w:val="20"/>
        </w:rPr>
        <w:t xml:space="preserve">očet pracovišť, ve kterých se </w:t>
      </w:r>
      <w:r w:rsidRPr="00253397">
        <w:rPr>
          <w:rFonts w:ascii="Arial" w:hAnsi="Arial" w:cs="Arial"/>
          <w:b/>
          <w:sz w:val="20"/>
          <w:szCs w:val="20"/>
        </w:rPr>
        <w:t xml:space="preserve">v Česku </w:t>
      </w:r>
      <w:r>
        <w:rPr>
          <w:rFonts w:ascii="Arial" w:hAnsi="Arial" w:cs="Arial"/>
          <w:b/>
          <w:sz w:val="20"/>
          <w:szCs w:val="20"/>
        </w:rPr>
        <w:t>prováděl v</w:t>
      </w:r>
      <w:r w:rsidRPr="00253397">
        <w:rPr>
          <w:rFonts w:ascii="Arial" w:hAnsi="Arial" w:cs="Arial"/>
          <w:b/>
          <w:sz w:val="20"/>
          <w:szCs w:val="20"/>
        </w:rPr>
        <w:t xml:space="preserve"> roce </w:t>
      </w:r>
      <w:r w:rsidR="0063690D" w:rsidRPr="00253397">
        <w:rPr>
          <w:rFonts w:ascii="Arial" w:hAnsi="Arial" w:cs="Arial"/>
          <w:b/>
          <w:sz w:val="20"/>
          <w:szCs w:val="20"/>
        </w:rPr>
        <w:t>202</w:t>
      </w:r>
      <w:r w:rsidR="0063690D">
        <w:rPr>
          <w:rFonts w:ascii="Arial" w:hAnsi="Arial" w:cs="Arial"/>
          <w:b/>
          <w:sz w:val="20"/>
          <w:szCs w:val="20"/>
        </w:rPr>
        <w:t xml:space="preserve">2 </w:t>
      </w:r>
      <w:r>
        <w:rPr>
          <w:rFonts w:ascii="Arial" w:hAnsi="Arial" w:cs="Arial"/>
          <w:b/>
          <w:sz w:val="20"/>
          <w:szCs w:val="20"/>
        </w:rPr>
        <w:t>výzkum a vývoj</w:t>
      </w:r>
    </w:p>
    <w:p w14:paraId="1E52FD42" w14:textId="77777777" w:rsidR="00166242" w:rsidRPr="004D4D98" w:rsidRDefault="00166242" w:rsidP="00166242">
      <w:pPr>
        <w:tabs>
          <w:tab w:val="left" w:pos="0"/>
          <w:tab w:val="left" w:pos="3686"/>
          <w:tab w:val="left" w:pos="6804"/>
        </w:tabs>
        <w:spacing w:after="0" w:line="288" w:lineRule="auto"/>
        <w:jc w:val="both"/>
        <w:rPr>
          <w:rFonts w:ascii="Arial" w:hAnsi="Arial" w:cs="Arial"/>
          <w:b/>
          <w:i/>
          <w:sz w:val="18"/>
          <w:szCs w:val="20"/>
        </w:rPr>
      </w:pPr>
      <w:r>
        <w:rPr>
          <w:rFonts w:ascii="Arial" w:hAnsi="Arial" w:cs="Arial"/>
          <w:b/>
          <w:i/>
          <w:sz w:val="18"/>
          <w:szCs w:val="20"/>
        </w:rPr>
        <w:t xml:space="preserve"> </w:t>
      </w:r>
      <w:r w:rsidRPr="004D4D98">
        <w:rPr>
          <w:rFonts w:ascii="Arial" w:hAnsi="Arial" w:cs="Arial"/>
          <w:b/>
          <w:i/>
          <w:sz w:val="18"/>
          <w:szCs w:val="20"/>
        </w:rPr>
        <w:t xml:space="preserve">a) podle počtu pracovníků </w:t>
      </w:r>
      <w:r>
        <w:rPr>
          <w:rFonts w:ascii="Arial" w:hAnsi="Arial" w:cs="Arial"/>
          <w:b/>
          <w:i/>
          <w:sz w:val="18"/>
          <w:szCs w:val="20"/>
        </w:rPr>
        <w:t xml:space="preserve">ve </w:t>
      </w:r>
      <w:proofErr w:type="spellStart"/>
      <w:r w:rsidRPr="004D4D98">
        <w:rPr>
          <w:rFonts w:ascii="Arial" w:hAnsi="Arial" w:cs="Arial"/>
          <w:b/>
          <w:i/>
          <w:sz w:val="18"/>
          <w:szCs w:val="20"/>
        </w:rPr>
        <w:t>VaV</w:t>
      </w:r>
      <w:proofErr w:type="spellEnd"/>
      <w:r w:rsidRPr="004D4D98">
        <w:rPr>
          <w:rFonts w:ascii="Arial" w:hAnsi="Arial" w:cs="Arial"/>
          <w:b/>
          <w:i/>
          <w:sz w:val="18"/>
          <w:szCs w:val="20"/>
        </w:rPr>
        <w:t xml:space="preserve"> (FTE) </w:t>
      </w:r>
      <w:r w:rsidRPr="004D4D98">
        <w:rPr>
          <w:rFonts w:ascii="Arial" w:hAnsi="Arial" w:cs="Arial"/>
          <w:b/>
          <w:i/>
          <w:sz w:val="18"/>
          <w:szCs w:val="20"/>
        </w:rPr>
        <w:tab/>
        <w:t xml:space="preserve">b) podle výdajů na </w:t>
      </w:r>
      <w:proofErr w:type="spellStart"/>
      <w:r w:rsidRPr="004D4D98">
        <w:rPr>
          <w:rFonts w:ascii="Arial" w:hAnsi="Arial" w:cs="Arial"/>
          <w:b/>
          <w:i/>
          <w:sz w:val="18"/>
          <w:szCs w:val="20"/>
        </w:rPr>
        <w:t>VaV</w:t>
      </w:r>
      <w:proofErr w:type="spellEnd"/>
      <w:r w:rsidRPr="004D4D98">
        <w:rPr>
          <w:rFonts w:ascii="Arial" w:hAnsi="Arial" w:cs="Arial"/>
          <w:b/>
          <w:i/>
          <w:sz w:val="18"/>
          <w:szCs w:val="20"/>
        </w:rPr>
        <w:t xml:space="preserve"> (mil. Kč) </w:t>
      </w:r>
      <w:r w:rsidRPr="004D4D98">
        <w:rPr>
          <w:rFonts w:ascii="Arial" w:hAnsi="Arial" w:cs="Arial"/>
          <w:b/>
          <w:i/>
          <w:sz w:val="18"/>
          <w:szCs w:val="20"/>
        </w:rPr>
        <w:tab/>
        <w:t>c) podle sektorů provádění</w:t>
      </w:r>
    </w:p>
    <w:p w14:paraId="25BCBC26" w14:textId="183C01D5" w:rsidR="00166242" w:rsidRDefault="004E4B23" w:rsidP="00166242">
      <w:pPr>
        <w:spacing w:after="120" w:line="288" w:lineRule="auto"/>
        <w:jc w:val="right"/>
        <w:rPr>
          <w:rFonts w:ascii="Arial" w:hAnsi="Arial" w:cs="Arial"/>
          <w:sz w:val="20"/>
          <w:szCs w:val="20"/>
        </w:rPr>
      </w:pPr>
      <w:r>
        <w:rPr>
          <w:noProof/>
          <w:lang w:eastAsia="cs-CZ"/>
        </w:rPr>
        <w:drawing>
          <wp:inline distT="0" distB="0" distL="0" distR="0" wp14:anchorId="4D4104D5" wp14:editId="206C1FE0">
            <wp:extent cx="1980000" cy="1980000"/>
            <wp:effectExtent l="0" t="0" r="1270" b="127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B07D57">
        <w:rPr>
          <w:noProof/>
          <w:lang w:eastAsia="cs-CZ"/>
        </w:rPr>
        <w:drawing>
          <wp:inline distT="0" distB="0" distL="0" distR="0" wp14:anchorId="28E6ED3B" wp14:editId="5CA75FC2">
            <wp:extent cx="1980000" cy="1980000"/>
            <wp:effectExtent l="0" t="0" r="1270" b="127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66242" w:rsidRPr="00166242">
        <w:rPr>
          <w:noProof/>
          <w:lang w:eastAsia="cs-CZ"/>
        </w:rPr>
        <w:t xml:space="preserve"> </w:t>
      </w:r>
      <w:r w:rsidR="00B07D57">
        <w:rPr>
          <w:noProof/>
          <w:lang w:eastAsia="cs-CZ"/>
        </w:rPr>
        <w:drawing>
          <wp:inline distT="0" distB="0" distL="0" distR="0" wp14:anchorId="511F09DE" wp14:editId="65628E1A">
            <wp:extent cx="1980000" cy="1980000"/>
            <wp:effectExtent l="0" t="0" r="127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66242" w:rsidRPr="00166242">
        <w:rPr>
          <w:noProof/>
          <w:lang w:eastAsia="cs-CZ"/>
        </w:rPr>
        <w:t xml:space="preserve"> </w:t>
      </w:r>
      <w:r w:rsidR="00166242" w:rsidRPr="00166242">
        <w:rPr>
          <w:rFonts w:ascii="Arial" w:hAnsi="Arial" w:cs="Arial"/>
          <w:i/>
          <w:sz w:val="18"/>
          <w:szCs w:val="20"/>
        </w:rPr>
        <w:t xml:space="preserve"> </w:t>
      </w:r>
      <w:r w:rsidR="00166242" w:rsidRPr="0019141D">
        <w:rPr>
          <w:rFonts w:ascii="Arial" w:hAnsi="Arial" w:cs="Arial"/>
          <w:i/>
          <w:sz w:val="18"/>
          <w:szCs w:val="20"/>
        </w:rPr>
        <w:t>Zdroj: ČSÚ; Roční zjišťování o výzkumu a vývoji VTR 5-01</w:t>
      </w:r>
    </w:p>
    <w:p w14:paraId="5FDA4392" w14:textId="270016FC" w:rsidR="00AD6394" w:rsidRDefault="00AD6394" w:rsidP="00AD6394">
      <w:pPr>
        <w:spacing w:after="120" w:line="288" w:lineRule="auto"/>
        <w:jc w:val="both"/>
        <w:rPr>
          <w:rFonts w:ascii="Arial" w:hAnsi="Arial" w:cs="Arial"/>
          <w:sz w:val="20"/>
          <w:szCs w:val="20"/>
        </w:rPr>
      </w:pPr>
      <w:r>
        <w:rPr>
          <w:rFonts w:ascii="Arial" w:hAnsi="Arial" w:cs="Arial"/>
          <w:sz w:val="20"/>
          <w:szCs w:val="20"/>
        </w:rPr>
        <w:lastRenderedPageBreak/>
        <w:t xml:space="preserve">Nejvíce prostředků na </w:t>
      </w:r>
      <w:proofErr w:type="spellStart"/>
      <w:r>
        <w:rPr>
          <w:rFonts w:ascii="Arial" w:hAnsi="Arial" w:cs="Arial"/>
          <w:sz w:val="20"/>
          <w:szCs w:val="20"/>
        </w:rPr>
        <w:t>VaV</w:t>
      </w:r>
      <w:proofErr w:type="spellEnd"/>
      <w:r>
        <w:rPr>
          <w:rFonts w:ascii="Arial" w:hAnsi="Arial" w:cs="Arial"/>
          <w:sz w:val="20"/>
          <w:szCs w:val="20"/>
        </w:rPr>
        <w:t xml:space="preserve"> vynakládají podniky. Do roku 2015 tvořily podnikové zdroje přibližně polovinu celkových výdajů na </w:t>
      </w:r>
      <w:proofErr w:type="spellStart"/>
      <w:r>
        <w:rPr>
          <w:rFonts w:ascii="Arial" w:hAnsi="Arial" w:cs="Arial"/>
          <w:sz w:val="20"/>
          <w:szCs w:val="20"/>
        </w:rPr>
        <w:t>VaV</w:t>
      </w:r>
      <w:proofErr w:type="spellEnd"/>
      <w:r>
        <w:rPr>
          <w:rFonts w:ascii="Arial" w:hAnsi="Arial" w:cs="Arial"/>
          <w:sz w:val="20"/>
          <w:szCs w:val="20"/>
        </w:rPr>
        <w:t xml:space="preserve"> v Česku. V posledních letech však zaujímají </w:t>
      </w:r>
      <w:r w:rsidR="000B1936">
        <w:rPr>
          <w:rFonts w:ascii="Arial" w:hAnsi="Arial" w:cs="Arial"/>
          <w:sz w:val="20"/>
          <w:szCs w:val="20"/>
        </w:rPr>
        <w:t xml:space="preserve">dokonce </w:t>
      </w:r>
      <w:r>
        <w:rPr>
          <w:rFonts w:ascii="Arial" w:hAnsi="Arial" w:cs="Arial"/>
          <w:sz w:val="20"/>
          <w:szCs w:val="20"/>
        </w:rPr>
        <w:t xml:space="preserve">okolo 60 % celkových výdajů na </w:t>
      </w:r>
      <w:proofErr w:type="spellStart"/>
      <w:r>
        <w:rPr>
          <w:rFonts w:ascii="Arial" w:hAnsi="Arial" w:cs="Arial"/>
          <w:sz w:val="20"/>
          <w:szCs w:val="20"/>
        </w:rPr>
        <w:t>VaV</w:t>
      </w:r>
      <w:proofErr w:type="spellEnd"/>
      <w:r>
        <w:rPr>
          <w:rFonts w:ascii="Arial" w:hAnsi="Arial" w:cs="Arial"/>
          <w:sz w:val="20"/>
          <w:szCs w:val="20"/>
        </w:rPr>
        <w:t xml:space="preserve"> (61 % v roce 2022), čímž jsme se přiblížili k podílu obvyklému ve většině států západní Evropy. Průměr EU</w:t>
      </w:r>
      <w:r w:rsidR="000B1936">
        <w:rPr>
          <w:rFonts w:ascii="Arial" w:hAnsi="Arial" w:cs="Arial"/>
          <w:sz w:val="20"/>
          <w:szCs w:val="20"/>
        </w:rPr>
        <w:t>27</w:t>
      </w:r>
      <w:r>
        <w:rPr>
          <w:rFonts w:ascii="Arial" w:hAnsi="Arial" w:cs="Arial"/>
          <w:sz w:val="20"/>
          <w:szCs w:val="20"/>
        </w:rPr>
        <w:t xml:space="preserve"> se pohybuje okolo 65% a ve třech státech (Irsko, Belgie, Švédsko) </w:t>
      </w:r>
      <w:r w:rsidR="000B1936">
        <w:rPr>
          <w:rFonts w:ascii="Arial" w:hAnsi="Arial" w:cs="Arial"/>
          <w:sz w:val="20"/>
          <w:szCs w:val="20"/>
        </w:rPr>
        <w:t xml:space="preserve">překračoval </w:t>
      </w:r>
      <w:r>
        <w:rPr>
          <w:rFonts w:ascii="Arial" w:hAnsi="Arial" w:cs="Arial"/>
          <w:sz w:val="20"/>
          <w:szCs w:val="20"/>
        </w:rPr>
        <w:t xml:space="preserve">v roce 2022 podíl tohoto ukazatele 70 %. Podnikové zdroje jsou tvořeny především podnikovými investicemi do vlastní </w:t>
      </w:r>
      <w:proofErr w:type="spellStart"/>
      <w:r>
        <w:rPr>
          <w:rFonts w:ascii="Arial" w:hAnsi="Arial" w:cs="Arial"/>
          <w:sz w:val="20"/>
          <w:szCs w:val="20"/>
        </w:rPr>
        <w:t>VaV</w:t>
      </w:r>
      <w:proofErr w:type="spellEnd"/>
      <w:r>
        <w:rPr>
          <w:rFonts w:ascii="Arial" w:hAnsi="Arial" w:cs="Arial"/>
          <w:sz w:val="20"/>
          <w:szCs w:val="20"/>
        </w:rPr>
        <w:t xml:space="preserve"> činnosti. Z 81,7 mld. Kč celkových podnikových zdrojů </w:t>
      </w:r>
      <w:r w:rsidR="001B2223">
        <w:rPr>
          <w:rFonts w:ascii="Arial" w:hAnsi="Arial" w:cs="Arial"/>
          <w:sz w:val="20"/>
          <w:szCs w:val="20"/>
        </w:rPr>
        <w:t xml:space="preserve">směřujících v Česku do </w:t>
      </w:r>
      <w:proofErr w:type="spellStart"/>
      <w:r>
        <w:rPr>
          <w:rFonts w:ascii="Arial" w:hAnsi="Arial" w:cs="Arial"/>
          <w:sz w:val="20"/>
          <w:szCs w:val="20"/>
        </w:rPr>
        <w:t>VaV</w:t>
      </w:r>
      <w:proofErr w:type="spellEnd"/>
      <w:r>
        <w:rPr>
          <w:rFonts w:ascii="Arial" w:hAnsi="Arial" w:cs="Arial"/>
          <w:sz w:val="20"/>
          <w:szCs w:val="20"/>
        </w:rPr>
        <w:t xml:space="preserve"> se jich 96 % spotřebovalo v podnikatelském sektoru. </w:t>
      </w:r>
    </w:p>
    <w:p w14:paraId="535F2B0E" w14:textId="068B1A71" w:rsidR="00AD6394" w:rsidRDefault="00AD6394" w:rsidP="00AD6394">
      <w:pPr>
        <w:spacing w:after="120" w:line="288" w:lineRule="auto"/>
        <w:jc w:val="both"/>
        <w:rPr>
          <w:rFonts w:ascii="Arial" w:hAnsi="Arial" w:cs="Arial"/>
          <w:sz w:val="20"/>
          <w:szCs w:val="20"/>
        </w:rPr>
      </w:pPr>
      <w:r>
        <w:rPr>
          <w:rFonts w:ascii="Arial" w:hAnsi="Arial" w:cs="Arial"/>
          <w:sz w:val="20"/>
          <w:szCs w:val="20"/>
        </w:rPr>
        <w:t>I přes nárůst vynaložených prostředků</w:t>
      </w:r>
      <w:r w:rsidR="00C07C86">
        <w:rPr>
          <w:rFonts w:ascii="Arial" w:hAnsi="Arial" w:cs="Arial"/>
          <w:sz w:val="20"/>
          <w:szCs w:val="20"/>
        </w:rPr>
        <w:t>,</w:t>
      </w:r>
      <w:r>
        <w:rPr>
          <w:rFonts w:ascii="Arial" w:hAnsi="Arial" w:cs="Arial"/>
          <w:sz w:val="20"/>
          <w:szCs w:val="20"/>
        </w:rPr>
        <w:t xml:space="preserve"> meziročně klesl podíl financování </w:t>
      </w:r>
      <w:proofErr w:type="spellStart"/>
      <w:r>
        <w:rPr>
          <w:rFonts w:ascii="Arial" w:hAnsi="Arial" w:cs="Arial"/>
          <w:sz w:val="20"/>
          <w:szCs w:val="20"/>
        </w:rPr>
        <w:t>VaV</w:t>
      </w:r>
      <w:proofErr w:type="spellEnd"/>
      <w:r>
        <w:rPr>
          <w:rFonts w:ascii="Arial" w:hAnsi="Arial" w:cs="Arial"/>
          <w:sz w:val="20"/>
          <w:szCs w:val="20"/>
        </w:rPr>
        <w:t xml:space="preserve"> z veřejných zdrojů, a to na 37</w:t>
      </w:r>
      <w:r w:rsidR="00C07C86">
        <w:rPr>
          <w:rFonts w:ascii="Arial" w:hAnsi="Arial" w:cs="Arial"/>
          <w:sz w:val="20"/>
          <w:szCs w:val="20"/>
        </w:rPr>
        <w:t> </w:t>
      </w:r>
      <w:r>
        <w:rPr>
          <w:rFonts w:ascii="Arial" w:hAnsi="Arial" w:cs="Arial"/>
          <w:sz w:val="20"/>
          <w:szCs w:val="20"/>
        </w:rPr>
        <w:t xml:space="preserve">%. V roce 2022 tyto prostředky činily celkem 49,9 mld. Kč. Většinu z této částky tvořily veřejné domácí zdroje, které poprvé přesáhly hranici 40 mld. Kč. Český stát tak v roce 2022 vynaložil na </w:t>
      </w:r>
      <w:proofErr w:type="spellStart"/>
      <w:r>
        <w:rPr>
          <w:rFonts w:ascii="Arial" w:hAnsi="Arial" w:cs="Arial"/>
          <w:sz w:val="20"/>
          <w:szCs w:val="20"/>
        </w:rPr>
        <w:t>VaV</w:t>
      </w:r>
      <w:proofErr w:type="spellEnd"/>
      <w:r>
        <w:rPr>
          <w:rFonts w:ascii="Arial" w:hAnsi="Arial" w:cs="Arial"/>
          <w:sz w:val="20"/>
          <w:szCs w:val="20"/>
        </w:rPr>
        <w:t xml:space="preserve"> celkem 40,4 mld. Kč, o 2,5 % (1 mld. Kč) více než v předchozím roce. Veřejné domácí zdroje </w:t>
      </w:r>
      <w:r w:rsidR="00C07C86">
        <w:rPr>
          <w:rFonts w:ascii="Arial" w:hAnsi="Arial" w:cs="Arial"/>
          <w:sz w:val="20"/>
          <w:szCs w:val="20"/>
        </w:rPr>
        <w:t>směřují</w:t>
      </w:r>
      <w:r>
        <w:rPr>
          <w:rFonts w:ascii="Arial" w:hAnsi="Arial" w:cs="Arial"/>
          <w:sz w:val="20"/>
          <w:szCs w:val="20"/>
        </w:rPr>
        <w:t xml:space="preserve"> </w:t>
      </w:r>
      <w:r w:rsidR="00C07C86">
        <w:rPr>
          <w:rFonts w:ascii="Arial" w:hAnsi="Arial" w:cs="Arial"/>
          <w:sz w:val="20"/>
          <w:szCs w:val="20"/>
        </w:rPr>
        <w:t xml:space="preserve">převážně </w:t>
      </w:r>
      <w:r>
        <w:rPr>
          <w:rFonts w:ascii="Arial" w:hAnsi="Arial" w:cs="Arial"/>
          <w:sz w:val="20"/>
          <w:szCs w:val="20"/>
        </w:rPr>
        <w:t xml:space="preserve">na podporu výzkumu ve veřejném sektoru. Účelová podpora výzkumu prováděného podniky v roce 2022 mírně poklesla na 4,2 mld. Kč </w:t>
      </w:r>
      <w:r w:rsidR="009B757E">
        <w:rPr>
          <w:rFonts w:ascii="Arial" w:hAnsi="Arial" w:cs="Arial"/>
          <w:sz w:val="20"/>
          <w:szCs w:val="20"/>
        </w:rPr>
        <w:t xml:space="preserve">a tvořila tak </w:t>
      </w:r>
      <w:r>
        <w:rPr>
          <w:rFonts w:ascii="Arial" w:hAnsi="Arial" w:cs="Arial"/>
          <w:sz w:val="20"/>
          <w:szCs w:val="20"/>
        </w:rPr>
        <w:t xml:space="preserve">10 % prostředků, které český stát vynaložil na </w:t>
      </w:r>
      <w:proofErr w:type="spellStart"/>
      <w:r>
        <w:rPr>
          <w:rFonts w:ascii="Arial" w:hAnsi="Arial" w:cs="Arial"/>
          <w:sz w:val="20"/>
          <w:szCs w:val="20"/>
        </w:rPr>
        <w:t>VaV</w:t>
      </w:r>
      <w:proofErr w:type="spellEnd"/>
      <w:r>
        <w:rPr>
          <w:rFonts w:ascii="Arial" w:hAnsi="Arial" w:cs="Arial"/>
          <w:sz w:val="20"/>
          <w:szCs w:val="20"/>
        </w:rPr>
        <w:t xml:space="preserve">. Tento </w:t>
      </w:r>
      <w:r w:rsidR="00285C21">
        <w:rPr>
          <w:rFonts w:ascii="Arial" w:hAnsi="Arial" w:cs="Arial"/>
          <w:sz w:val="20"/>
          <w:szCs w:val="20"/>
        </w:rPr>
        <w:t xml:space="preserve">podíl </w:t>
      </w:r>
      <w:r>
        <w:rPr>
          <w:rFonts w:ascii="Arial" w:hAnsi="Arial" w:cs="Arial"/>
          <w:sz w:val="20"/>
          <w:szCs w:val="20"/>
        </w:rPr>
        <w:t>odpovídá průměru EU</w:t>
      </w:r>
      <w:r w:rsidR="00A1322D">
        <w:rPr>
          <w:rFonts w:ascii="Arial" w:hAnsi="Arial" w:cs="Arial"/>
          <w:sz w:val="20"/>
          <w:szCs w:val="20"/>
        </w:rPr>
        <w:t>27</w:t>
      </w:r>
      <w:r>
        <w:rPr>
          <w:rFonts w:ascii="Arial" w:hAnsi="Arial" w:cs="Arial"/>
          <w:sz w:val="20"/>
          <w:szCs w:val="20"/>
        </w:rPr>
        <w:t>. Pro srovnání 8 % veřejných domácích zdrojů putovalo v roce 2021 na podporu podniků v Německu, v Rakousku to bylo 11 %. Vyšší podíl vykazuje např. Nizozemsko (13 %), Francie (19 %) nebo Polsko (21 %). V tomto ukazateli se mezi státy EU vyskytují velké rozdíly. Výše veřejné podpory podnikového výzkumu se liší stát od státu bez ohledu na jejich geografické rozmístění a nelze tak jednoduše paušalizovat, že státy z určitého regionu podporují podnikový výzkum více než jiné evropské státy.</w:t>
      </w:r>
      <w:r w:rsidR="00285C21">
        <w:rPr>
          <w:rFonts w:ascii="Arial" w:hAnsi="Arial" w:cs="Arial"/>
          <w:sz w:val="20"/>
          <w:szCs w:val="20"/>
        </w:rPr>
        <w:t xml:space="preserve"> Pokud jde o údaje za mezinárodní srovnání, tak mnoho ukazatelů má nejaktuálnější dostupná data za rok 2021. V textu se proto prolínají údaje za rok 2022 se staršími údaji. Vždy </w:t>
      </w:r>
      <w:r w:rsidR="004C1C36">
        <w:rPr>
          <w:rFonts w:ascii="Arial" w:hAnsi="Arial" w:cs="Arial"/>
          <w:sz w:val="20"/>
          <w:szCs w:val="20"/>
        </w:rPr>
        <w:t>uvádíme</w:t>
      </w:r>
      <w:r w:rsidR="00285C21">
        <w:rPr>
          <w:rFonts w:ascii="Arial" w:hAnsi="Arial" w:cs="Arial"/>
          <w:sz w:val="20"/>
          <w:szCs w:val="20"/>
        </w:rPr>
        <w:t xml:space="preserve"> nejaktuálnější dostupné údaje a refe</w:t>
      </w:r>
      <w:r w:rsidR="004C1C36">
        <w:rPr>
          <w:rFonts w:ascii="Arial" w:hAnsi="Arial" w:cs="Arial"/>
          <w:sz w:val="20"/>
          <w:szCs w:val="20"/>
        </w:rPr>
        <w:t>renční rok v textu zmiňujeme.</w:t>
      </w:r>
    </w:p>
    <w:p w14:paraId="447217D5" w14:textId="77777777" w:rsidR="00563EAB" w:rsidRPr="00C67BA8" w:rsidRDefault="00563EAB" w:rsidP="00563EAB">
      <w:pPr>
        <w:spacing w:after="0" w:line="288" w:lineRule="auto"/>
        <w:jc w:val="both"/>
        <w:rPr>
          <w:rFonts w:ascii="Arial" w:hAnsi="Arial" w:cs="Arial"/>
          <w:b/>
          <w:sz w:val="20"/>
          <w:szCs w:val="20"/>
        </w:rPr>
      </w:pPr>
      <w:r w:rsidRPr="00C67BA8">
        <w:rPr>
          <w:rFonts w:ascii="Arial" w:hAnsi="Arial" w:cs="Arial"/>
          <w:b/>
          <w:sz w:val="20"/>
          <w:szCs w:val="20"/>
        </w:rPr>
        <w:t xml:space="preserve">Graf </w:t>
      </w:r>
      <w:r>
        <w:rPr>
          <w:rFonts w:ascii="Arial" w:hAnsi="Arial" w:cs="Arial"/>
          <w:b/>
          <w:sz w:val="20"/>
          <w:szCs w:val="20"/>
        </w:rPr>
        <w:t>3</w:t>
      </w:r>
      <w:r w:rsidRPr="00C67BA8">
        <w:rPr>
          <w:rFonts w:ascii="Arial" w:hAnsi="Arial" w:cs="Arial"/>
          <w:b/>
          <w:sz w:val="20"/>
          <w:szCs w:val="20"/>
        </w:rPr>
        <w:t xml:space="preserve">. Výdaje na výzkum a vývoj v Česku podle hlavních zdrojů financování </w:t>
      </w:r>
    </w:p>
    <w:p w14:paraId="0B19CAA0" w14:textId="216F88BF" w:rsidR="00563EAB" w:rsidRDefault="00B07D57" w:rsidP="00563EAB">
      <w:pPr>
        <w:spacing w:after="120" w:line="288" w:lineRule="auto"/>
        <w:jc w:val="right"/>
        <w:rPr>
          <w:rFonts w:ascii="Arial" w:hAnsi="Arial" w:cs="Arial"/>
          <w:i/>
          <w:sz w:val="18"/>
          <w:szCs w:val="20"/>
        </w:rPr>
      </w:pPr>
      <w:r>
        <w:rPr>
          <w:noProof/>
          <w:lang w:eastAsia="cs-CZ"/>
        </w:rPr>
        <w:drawing>
          <wp:inline distT="0" distB="0" distL="0" distR="0" wp14:anchorId="4EDDCB32" wp14:editId="35CB701B">
            <wp:extent cx="6120000" cy="2520000"/>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63EAB" w:rsidRPr="00563EAB">
        <w:rPr>
          <w:rFonts w:ascii="Arial" w:hAnsi="Arial" w:cs="Arial"/>
          <w:i/>
          <w:sz w:val="18"/>
          <w:szCs w:val="20"/>
        </w:rPr>
        <w:t xml:space="preserve"> </w:t>
      </w:r>
      <w:r w:rsidR="00563EAB" w:rsidRPr="0019141D">
        <w:rPr>
          <w:rFonts w:ascii="Arial" w:hAnsi="Arial" w:cs="Arial"/>
          <w:i/>
          <w:sz w:val="18"/>
          <w:szCs w:val="20"/>
        </w:rPr>
        <w:t>Zdroj: ČSÚ; Roční zjišťování o výzkumu a vývoji VTR 5-01</w:t>
      </w:r>
    </w:p>
    <w:p w14:paraId="20AEC67A" w14:textId="33800207" w:rsidR="00AD6394" w:rsidRDefault="00AD6394" w:rsidP="00AD6394">
      <w:pPr>
        <w:spacing w:after="120" w:line="288" w:lineRule="auto"/>
        <w:jc w:val="both"/>
        <w:rPr>
          <w:rFonts w:ascii="Arial" w:hAnsi="Arial" w:cs="Arial"/>
          <w:sz w:val="20"/>
          <w:szCs w:val="20"/>
        </w:rPr>
      </w:pPr>
      <w:r>
        <w:rPr>
          <w:rFonts w:ascii="Arial" w:hAnsi="Arial" w:cs="Arial"/>
          <w:sz w:val="20"/>
          <w:szCs w:val="20"/>
        </w:rPr>
        <w:t>Menší část z veřejné podpory připadá na veřejné zahraniční zdroje, které v Česku v roce 2022 činily 9,5</w:t>
      </w:r>
      <w:r w:rsidR="005F3AD9">
        <w:rPr>
          <w:rFonts w:ascii="Arial" w:hAnsi="Arial" w:cs="Arial"/>
          <w:sz w:val="20"/>
          <w:szCs w:val="20"/>
        </w:rPr>
        <w:t> </w:t>
      </w:r>
      <w:r>
        <w:rPr>
          <w:rFonts w:ascii="Arial" w:hAnsi="Arial" w:cs="Arial"/>
          <w:sz w:val="20"/>
          <w:szCs w:val="20"/>
        </w:rPr>
        <w:t>mld.</w:t>
      </w:r>
      <w:r w:rsidR="005F3AD9">
        <w:rPr>
          <w:rFonts w:ascii="Arial" w:hAnsi="Arial" w:cs="Arial"/>
          <w:sz w:val="20"/>
          <w:szCs w:val="20"/>
        </w:rPr>
        <w:t> </w:t>
      </w:r>
      <w:r>
        <w:rPr>
          <w:rFonts w:ascii="Arial" w:hAnsi="Arial" w:cs="Arial"/>
          <w:sz w:val="20"/>
          <w:szCs w:val="20"/>
        </w:rPr>
        <w:t>Kč (19 % celkových veřejných zdrojů). Veřejné zahraniční zdroje tvoří především prostředky EU (strukturální fondy, rámcové programy). V Česku se nejvíce prostředků EU čerpalo mezi lety 2012-2015 (celkem 51,3 mld. Kč), v letech 2014 a 2015 dokonce více než 13 mld. Kč ročně. V aktuálním programovém období se evropské dotace čerpají v nižší míře než v období předchozím, po pozvolném nástupu v letech 2016 a 2017 došlo na několik let k ustálení na přibližném ročním čerpání okolo 8 mld.</w:t>
      </w:r>
      <w:r w:rsidR="00B77BF0">
        <w:rPr>
          <w:rFonts w:ascii="Arial" w:hAnsi="Arial" w:cs="Arial"/>
          <w:sz w:val="20"/>
          <w:szCs w:val="20"/>
        </w:rPr>
        <w:t> </w:t>
      </w:r>
      <w:r>
        <w:rPr>
          <w:rFonts w:ascii="Arial" w:hAnsi="Arial" w:cs="Arial"/>
          <w:sz w:val="20"/>
          <w:szCs w:val="20"/>
        </w:rPr>
        <w:t xml:space="preserve">Kč. Zmíněných 9,5 mld. Kč v roce 2022 je nejvyšším čerpáním zdrojů EU na </w:t>
      </w:r>
      <w:proofErr w:type="spellStart"/>
      <w:r>
        <w:rPr>
          <w:rFonts w:ascii="Arial" w:hAnsi="Arial" w:cs="Arial"/>
          <w:sz w:val="20"/>
          <w:szCs w:val="20"/>
        </w:rPr>
        <w:t>VaV</w:t>
      </w:r>
      <w:proofErr w:type="spellEnd"/>
      <w:r>
        <w:rPr>
          <w:rFonts w:ascii="Arial" w:hAnsi="Arial" w:cs="Arial"/>
          <w:sz w:val="20"/>
          <w:szCs w:val="20"/>
        </w:rPr>
        <w:t xml:space="preserve"> v celém programovém období, které ovšem tímto rokem skončilo a v nejbližších letech proto můžeme očekávat pokles, než se rozběhne čerpání prostředků v rámci nových programů. </w:t>
      </w:r>
      <w:r w:rsidR="004C1C36">
        <w:rPr>
          <w:rFonts w:ascii="Arial" w:hAnsi="Arial" w:cs="Arial"/>
          <w:sz w:val="20"/>
          <w:szCs w:val="20"/>
        </w:rPr>
        <w:t>Z v</w:t>
      </w:r>
      <w:r>
        <w:rPr>
          <w:rFonts w:ascii="Arial" w:hAnsi="Arial" w:cs="Arial"/>
          <w:sz w:val="20"/>
          <w:szCs w:val="20"/>
        </w:rPr>
        <w:t>eřejn</w:t>
      </w:r>
      <w:r w:rsidR="004C1C36">
        <w:rPr>
          <w:rFonts w:ascii="Arial" w:hAnsi="Arial" w:cs="Arial"/>
          <w:sz w:val="20"/>
          <w:szCs w:val="20"/>
        </w:rPr>
        <w:t>ých</w:t>
      </w:r>
      <w:r>
        <w:rPr>
          <w:rFonts w:ascii="Arial" w:hAnsi="Arial" w:cs="Arial"/>
          <w:sz w:val="20"/>
          <w:szCs w:val="20"/>
        </w:rPr>
        <w:t xml:space="preserve"> zahraniční</w:t>
      </w:r>
      <w:r w:rsidR="004C1C36">
        <w:rPr>
          <w:rFonts w:ascii="Arial" w:hAnsi="Arial" w:cs="Arial"/>
          <w:sz w:val="20"/>
          <w:szCs w:val="20"/>
        </w:rPr>
        <w:t>ch</w:t>
      </w:r>
      <w:r>
        <w:rPr>
          <w:rFonts w:ascii="Arial" w:hAnsi="Arial" w:cs="Arial"/>
          <w:sz w:val="20"/>
          <w:szCs w:val="20"/>
        </w:rPr>
        <w:t xml:space="preserve"> zdroj</w:t>
      </w:r>
      <w:r w:rsidR="004C1C36">
        <w:rPr>
          <w:rFonts w:ascii="Arial" w:hAnsi="Arial" w:cs="Arial"/>
          <w:sz w:val="20"/>
          <w:szCs w:val="20"/>
        </w:rPr>
        <w:t>ů</w:t>
      </w:r>
      <w:r>
        <w:rPr>
          <w:rFonts w:ascii="Arial" w:hAnsi="Arial" w:cs="Arial"/>
          <w:sz w:val="20"/>
          <w:szCs w:val="20"/>
        </w:rPr>
        <w:t xml:space="preserve"> </w:t>
      </w:r>
      <w:r w:rsidR="00651B88">
        <w:rPr>
          <w:rFonts w:ascii="Arial" w:hAnsi="Arial" w:cs="Arial"/>
          <w:sz w:val="20"/>
          <w:szCs w:val="20"/>
        </w:rPr>
        <w:t xml:space="preserve">čerpaných </w:t>
      </w:r>
      <w:r>
        <w:rPr>
          <w:rFonts w:ascii="Arial" w:hAnsi="Arial" w:cs="Arial"/>
          <w:sz w:val="20"/>
          <w:szCs w:val="20"/>
        </w:rPr>
        <w:t xml:space="preserve">v Česku v roce 2022 </w:t>
      </w:r>
      <w:r w:rsidR="00651B88">
        <w:rPr>
          <w:rFonts w:ascii="Arial" w:hAnsi="Arial" w:cs="Arial"/>
          <w:sz w:val="20"/>
          <w:szCs w:val="20"/>
        </w:rPr>
        <w:t xml:space="preserve">bylo utraceno </w:t>
      </w:r>
      <w:r w:rsidR="004C1C36">
        <w:rPr>
          <w:rFonts w:ascii="Arial" w:hAnsi="Arial" w:cs="Arial"/>
          <w:sz w:val="20"/>
          <w:szCs w:val="20"/>
        </w:rPr>
        <w:t xml:space="preserve">41 % </w:t>
      </w:r>
      <w:r w:rsidR="00651B88">
        <w:rPr>
          <w:rFonts w:ascii="Arial" w:hAnsi="Arial" w:cs="Arial"/>
          <w:sz w:val="20"/>
          <w:szCs w:val="20"/>
        </w:rPr>
        <w:t>ve</w:t>
      </w:r>
      <w:r w:rsidR="004C1C36">
        <w:rPr>
          <w:rFonts w:ascii="Arial" w:hAnsi="Arial" w:cs="Arial"/>
          <w:sz w:val="20"/>
          <w:szCs w:val="20"/>
        </w:rPr>
        <w:t xml:space="preserve"> </w:t>
      </w:r>
      <w:r>
        <w:rPr>
          <w:rFonts w:ascii="Arial" w:hAnsi="Arial" w:cs="Arial"/>
          <w:sz w:val="20"/>
          <w:szCs w:val="20"/>
        </w:rPr>
        <w:t>vysokoškolsk</w:t>
      </w:r>
      <w:r w:rsidR="00651B88">
        <w:rPr>
          <w:rFonts w:ascii="Arial" w:hAnsi="Arial" w:cs="Arial"/>
          <w:sz w:val="20"/>
          <w:szCs w:val="20"/>
        </w:rPr>
        <w:t>ém</w:t>
      </w:r>
      <w:r w:rsidR="004C1C36">
        <w:rPr>
          <w:rFonts w:ascii="Arial" w:hAnsi="Arial" w:cs="Arial"/>
          <w:sz w:val="20"/>
          <w:szCs w:val="20"/>
        </w:rPr>
        <w:t xml:space="preserve"> sekto</w:t>
      </w:r>
      <w:r w:rsidR="00651B88">
        <w:rPr>
          <w:rFonts w:ascii="Arial" w:hAnsi="Arial" w:cs="Arial"/>
          <w:sz w:val="20"/>
          <w:szCs w:val="20"/>
        </w:rPr>
        <w:t xml:space="preserve">ru, </w:t>
      </w:r>
      <w:r>
        <w:rPr>
          <w:rFonts w:ascii="Arial" w:hAnsi="Arial" w:cs="Arial"/>
          <w:sz w:val="20"/>
          <w:szCs w:val="20"/>
        </w:rPr>
        <w:t>34</w:t>
      </w:r>
      <w:r w:rsidR="00B77BF0">
        <w:rPr>
          <w:rFonts w:ascii="Arial" w:hAnsi="Arial" w:cs="Arial"/>
          <w:sz w:val="20"/>
          <w:szCs w:val="20"/>
        </w:rPr>
        <w:t> </w:t>
      </w:r>
      <w:r>
        <w:rPr>
          <w:rFonts w:ascii="Arial" w:hAnsi="Arial" w:cs="Arial"/>
          <w:sz w:val="20"/>
          <w:szCs w:val="20"/>
        </w:rPr>
        <w:t>%</w:t>
      </w:r>
      <w:r w:rsidR="004C1C36">
        <w:rPr>
          <w:rFonts w:ascii="Arial" w:hAnsi="Arial" w:cs="Arial"/>
          <w:sz w:val="20"/>
          <w:szCs w:val="20"/>
        </w:rPr>
        <w:t xml:space="preserve"> </w:t>
      </w:r>
      <w:r w:rsidR="00651B88">
        <w:rPr>
          <w:rFonts w:ascii="Arial" w:hAnsi="Arial" w:cs="Arial"/>
          <w:sz w:val="20"/>
          <w:szCs w:val="20"/>
        </w:rPr>
        <w:t xml:space="preserve">v </w:t>
      </w:r>
      <w:r w:rsidR="004C1C36">
        <w:rPr>
          <w:rFonts w:ascii="Arial" w:hAnsi="Arial" w:cs="Arial"/>
          <w:sz w:val="20"/>
          <w:szCs w:val="20"/>
        </w:rPr>
        <w:t>podnikatelsk</w:t>
      </w:r>
      <w:r w:rsidR="00651B88">
        <w:rPr>
          <w:rFonts w:ascii="Arial" w:hAnsi="Arial" w:cs="Arial"/>
          <w:sz w:val="20"/>
          <w:szCs w:val="20"/>
        </w:rPr>
        <w:t>ém</w:t>
      </w:r>
      <w:r>
        <w:rPr>
          <w:rFonts w:ascii="Arial" w:hAnsi="Arial" w:cs="Arial"/>
          <w:sz w:val="20"/>
          <w:szCs w:val="20"/>
        </w:rPr>
        <w:t xml:space="preserve"> a 24</w:t>
      </w:r>
      <w:r w:rsidR="00B77BF0">
        <w:rPr>
          <w:rFonts w:ascii="Arial" w:hAnsi="Arial" w:cs="Arial"/>
          <w:sz w:val="20"/>
          <w:szCs w:val="20"/>
        </w:rPr>
        <w:t> </w:t>
      </w:r>
      <w:r>
        <w:rPr>
          <w:rFonts w:ascii="Arial" w:hAnsi="Arial" w:cs="Arial"/>
          <w:sz w:val="20"/>
          <w:szCs w:val="20"/>
        </w:rPr>
        <w:t xml:space="preserve">% </w:t>
      </w:r>
      <w:r w:rsidR="00651B88">
        <w:rPr>
          <w:rFonts w:ascii="Arial" w:hAnsi="Arial" w:cs="Arial"/>
          <w:sz w:val="20"/>
          <w:szCs w:val="20"/>
        </w:rPr>
        <w:t xml:space="preserve">ve </w:t>
      </w:r>
      <w:r w:rsidR="004C1C36">
        <w:rPr>
          <w:rFonts w:ascii="Arial" w:hAnsi="Arial" w:cs="Arial"/>
          <w:sz w:val="20"/>
          <w:szCs w:val="20"/>
        </w:rPr>
        <w:t>vládní</w:t>
      </w:r>
      <w:r w:rsidR="00651B88">
        <w:rPr>
          <w:rFonts w:ascii="Arial" w:hAnsi="Arial" w:cs="Arial"/>
          <w:sz w:val="20"/>
          <w:szCs w:val="20"/>
        </w:rPr>
        <w:t>m</w:t>
      </w:r>
      <w:r w:rsidR="004C1C36">
        <w:rPr>
          <w:rFonts w:ascii="Arial" w:hAnsi="Arial" w:cs="Arial"/>
          <w:sz w:val="20"/>
          <w:szCs w:val="20"/>
        </w:rPr>
        <w:t xml:space="preserve"> sektor</w:t>
      </w:r>
      <w:r w:rsidR="00651B88">
        <w:rPr>
          <w:rFonts w:ascii="Arial" w:hAnsi="Arial" w:cs="Arial"/>
          <w:sz w:val="20"/>
          <w:szCs w:val="20"/>
        </w:rPr>
        <w:t>u</w:t>
      </w:r>
      <w:r>
        <w:rPr>
          <w:rFonts w:ascii="Arial" w:hAnsi="Arial" w:cs="Arial"/>
          <w:sz w:val="20"/>
          <w:szCs w:val="20"/>
        </w:rPr>
        <w:t xml:space="preserve">. V Česku tvoří zdroje z EU v posledních letech okolo 7 % celkových výdajů na </w:t>
      </w:r>
      <w:proofErr w:type="spellStart"/>
      <w:r>
        <w:rPr>
          <w:rFonts w:ascii="Arial" w:hAnsi="Arial" w:cs="Arial"/>
          <w:sz w:val="20"/>
          <w:szCs w:val="20"/>
        </w:rPr>
        <w:t>VaV</w:t>
      </w:r>
      <w:proofErr w:type="spellEnd"/>
      <w:r>
        <w:rPr>
          <w:rFonts w:ascii="Arial" w:hAnsi="Arial" w:cs="Arial"/>
          <w:sz w:val="20"/>
          <w:szCs w:val="20"/>
        </w:rPr>
        <w:t>, což je vysoko nad evropským průměrem, který byl v </w:t>
      </w:r>
      <w:r w:rsidRPr="009B37F7">
        <w:rPr>
          <w:rFonts w:ascii="Arial" w:hAnsi="Arial" w:cs="Arial"/>
          <w:sz w:val="20"/>
          <w:szCs w:val="20"/>
        </w:rPr>
        <w:t>roce 2019 2,5 %. Dlouhodobě nejvyšší</w:t>
      </w:r>
      <w:r>
        <w:rPr>
          <w:rFonts w:ascii="Arial" w:hAnsi="Arial" w:cs="Arial"/>
          <w:sz w:val="20"/>
          <w:szCs w:val="20"/>
        </w:rPr>
        <w:t xml:space="preserve"> podíl v tomto ukazateli vykazují pobaltské státy Litva a Lotyšsko, kde více než 20 % výdajů vynaložených na </w:t>
      </w:r>
      <w:proofErr w:type="spellStart"/>
      <w:r>
        <w:rPr>
          <w:rFonts w:ascii="Arial" w:hAnsi="Arial" w:cs="Arial"/>
          <w:sz w:val="20"/>
          <w:szCs w:val="20"/>
        </w:rPr>
        <w:t>VaV</w:t>
      </w:r>
      <w:proofErr w:type="spellEnd"/>
      <w:r>
        <w:rPr>
          <w:rFonts w:ascii="Arial" w:hAnsi="Arial" w:cs="Arial"/>
          <w:sz w:val="20"/>
          <w:szCs w:val="20"/>
        </w:rPr>
        <w:t xml:space="preserve"> připadá na zdroje z EU. Pro srovnání v Německu je to méně než 2 %. V absolutním vyjádření ale nejvíce evropských dotací na </w:t>
      </w:r>
      <w:proofErr w:type="spellStart"/>
      <w:r>
        <w:rPr>
          <w:rFonts w:ascii="Arial" w:hAnsi="Arial" w:cs="Arial"/>
          <w:sz w:val="20"/>
          <w:szCs w:val="20"/>
        </w:rPr>
        <w:t>VaV</w:t>
      </w:r>
      <w:proofErr w:type="spellEnd"/>
      <w:r>
        <w:rPr>
          <w:rFonts w:ascii="Arial" w:hAnsi="Arial" w:cs="Arial"/>
          <w:sz w:val="20"/>
          <w:szCs w:val="20"/>
        </w:rPr>
        <w:t xml:space="preserve"> čerpá Německo, v roce 2019 to bylo 1,7 </w:t>
      </w:r>
      <w:r>
        <w:rPr>
          <w:rFonts w:ascii="Arial" w:hAnsi="Arial" w:cs="Arial"/>
          <w:sz w:val="20"/>
          <w:szCs w:val="20"/>
        </w:rPr>
        <w:lastRenderedPageBreak/>
        <w:t>mld. Eur, za nímž s velkým odstupem následují Francie a Španělsko (0,8 mld. Eur v roce 2021). V Litvě to bylo v roce 2021 celkem 173 mil. Eur, v Lotyšsku 60</w:t>
      </w:r>
      <w:r w:rsidR="009D681C">
        <w:rPr>
          <w:rFonts w:ascii="Arial" w:hAnsi="Arial" w:cs="Arial"/>
          <w:sz w:val="20"/>
          <w:szCs w:val="20"/>
        </w:rPr>
        <w:t> </w:t>
      </w:r>
      <w:r>
        <w:rPr>
          <w:rFonts w:ascii="Arial" w:hAnsi="Arial" w:cs="Arial"/>
          <w:sz w:val="20"/>
          <w:szCs w:val="20"/>
        </w:rPr>
        <w:t>mil.</w:t>
      </w:r>
      <w:r w:rsidR="009D681C">
        <w:rPr>
          <w:rFonts w:ascii="Arial" w:hAnsi="Arial" w:cs="Arial"/>
          <w:sz w:val="20"/>
          <w:szCs w:val="20"/>
        </w:rPr>
        <w:t> </w:t>
      </w:r>
      <w:r>
        <w:rPr>
          <w:rFonts w:ascii="Arial" w:hAnsi="Arial" w:cs="Arial"/>
          <w:sz w:val="20"/>
          <w:szCs w:val="20"/>
        </w:rPr>
        <w:t>Eur a v Česku přibližně 300 mil. Eur.</w:t>
      </w:r>
    </w:p>
    <w:p w14:paraId="51D1E9F2" w14:textId="77777777" w:rsidR="00563EAB" w:rsidRPr="00C67BA8" w:rsidRDefault="00563EAB" w:rsidP="00563EAB">
      <w:pPr>
        <w:spacing w:after="0" w:line="288" w:lineRule="auto"/>
        <w:jc w:val="both"/>
        <w:rPr>
          <w:rFonts w:ascii="Arial" w:hAnsi="Arial" w:cs="Arial"/>
          <w:b/>
          <w:sz w:val="20"/>
          <w:szCs w:val="20"/>
        </w:rPr>
      </w:pPr>
      <w:r w:rsidRPr="00C67BA8">
        <w:rPr>
          <w:rFonts w:ascii="Arial" w:hAnsi="Arial" w:cs="Arial"/>
          <w:b/>
          <w:sz w:val="20"/>
          <w:szCs w:val="20"/>
        </w:rPr>
        <w:t xml:space="preserve">Graf </w:t>
      </w:r>
      <w:r>
        <w:rPr>
          <w:rFonts w:ascii="Arial" w:hAnsi="Arial" w:cs="Arial"/>
          <w:b/>
          <w:sz w:val="20"/>
          <w:szCs w:val="20"/>
        </w:rPr>
        <w:t>4</w:t>
      </w:r>
      <w:r w:rsidRPr="00C67BA8">
        <w:rPr>
          <w:rFonts w:ascii="Arial" w:hAnsi="Arial" w:cs="Arial"/>
          <w:b/>
          <w:sz w:val="20"/>
          <w:szCs w:val="20"/>
        </w:rPr>
        <w:t xml:space="preserve">. </w:t>
      </w:r>
      <w:r>
        <w:rPr>
          <w:rFonts w:ascii="Arial" w:hAnsi="Arial" w:cs="Arial"/>
          <w:b/>
          <w:sz w:val="20"/>
          <w:szCs w:val="20"/>
        </w:rPr>
        <w:t>V</w:t>
      </w:r>
      <w:r w:rsidRPr="00C67BA8">
        <w:rPr>
          <w:rFonts w:ascii="Arial" w:hAnsi="Arial" w:cs="Arial"/>
          <w:b/>
          <w:sz w:val="20"/>
          <w:szCs w:val="20"/>
        </w:rPr>
        <w:t xml:space="preserve">ýzkum a vývoj v Česku </w:t>
      </w:r>
      <w:r>
        <w:rPr>
          <w:rFonts w:ascii="Arial" w:hAnsi="Arial" w:cs="Arial"/>
          <w:b/>
          <w:sz w:val="20"/>
          <w:szCs w:val="20"/>
        </w:rPr>
        <w:t xml:space="preserve">financovaný z veřejných domácích zdrojů </w:t>
      </w:r>
      <w:r w:rsidRPr="00C67BA8">
        <w:rPr>
          <w:rFonts w:ascii="Arial" w:hAnsi="Arial" w:cs="Arial"/>
          <w:b/>
          <w:sz w:val="20"/>
          <w:szCs w:val="20"/>
        </w:rPr>
        <w:t xml:space="preserve">podle </w:t>
      </w:r>
      <w:r>
        <w:rPr>
          <w:rFonts w:ascii="Arial" w:hAnsi="Arial" w:cs="Arial"/>
          <w:b/>
          <w:sz w:val="20"/>
          <w:szCs w:val="20"/>
        </w:rPr>
        <w:t>sektorů (</w:t>
      </w:r>
      <w:r w:rsidRPr="00C67BA8">
        <w:rPr>
          <w:rFonts w:ascii="Arial" w:hAnsi="Arial" w:cs="Arial"/>
          <w:b/>
          <w:sz w:val="20"/>
          <w:szCs w:val="20"/>
        </w:rPr>
        <w:t>mld. Kč</w:t>
      </w:r>
      <w:r>
        <w:rPr>
          <w:rFonts w:ascii="Arial" w:hAnsi="Arial" w:cs="Arial"/>
          <w:b/>
          <w:sz w:val="20"/>
          <w:szCs w:val="20"/>
        </w:rPr>
        <w:t>; %)</w:t>
      </w:r>
    </w:p>
    <w:p w14:paraId="740EC893" w14:textId="197BD70B" w:rsidR="00563EAB" w:rsidRDefault="00B07D57" w:rsidP="001A67C4">
      <w:pPr>
        <w:spacing w:after="120" w:line="288" w:lineRule="auto"/>
        <w:jc w:val="both"/>
        <w:rPr>
          <w:rFonts w:ascii="Arial" w:hAnsi="Arial" w:cs="Arial"/>
          <w:sz w:val="20"/>
          <w:szCs w:val="20"/>
        </w:rPr>
      </w:pPr>
      <w:r>
        <w:rPr>
          <w:noProof/>
          <w:lang w:eastAsia="cs-CZ"/>
        </w:rPr>
        <w:drawing>
          <wp:inline distT="0" distB="0" distL="0" distR="0" wp14:anchorId="7E64C8F4" wp14:editId="1EF1CB95">
            <wp:extent cx="4248000" cy="2340000"/>
            <wp:effectExtent l="0" t="0" r="635" b="317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63EAB" w:rsidRPr="00563EAB">
        <w:rPr>
          <w:noProof/>
          <w:lang w:eastAsia="cs-CZ"/>
        </w:rPr>
        <w:t xml:space="preserve"> </w:t>
      </w:r>
      <w:r w:rsidR="00CD4EA2">
        <w:rPr>
          <w:noProof/>
          <w:lang w:eastAsia="cs-CZ"/>
        </w:rPr>
        <w:drawing>
          <wp:inline distT="0" distB="0" distL="0" distR="0" wp14:anchorId="3EF58A93" wp14:editId="6F4586F8">
            <wp:extent cx="1771650" cy="2340000"/>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B8E10F" w14:textId="7688D0D4" w:rsidR="00563EAB" w:rsidRDefault="00563EAB" w:rsidP="00563EAB">
      <w:pPr>
        <w:spacing w:after="120" w:line="288" w:lineRule="auto"/>
        <w:jc w:val="right"/>
        <w:rPr>
          <w:rFonts w:ascii="Arial" w:hAnsi="Arial" w:cs="Arial"/>
          <w:sz w:val="20"/>
          <w:szCs w:val="20"/>
        </w:rPr>
      </w:pPr>
      <w:r w:rsidRPr="0019141D">
        <w:rPr>
          <w:rFonts w:ascii="Arial" w:hAnsi="Arial" w:cs="Arial"/>
          <w:i/>
          <w:sz w:val="18"/>
          <w:szCs w:val="20"/>
        </w:rPr>
        <w:t>Zdroj: ČSÚ; Roční zjišťování o výzkumu a vývoji VTR 5-01</w:t>
      </w:r>
    </w:p>
    <w:p w14:paraId="1D8576D7" w14:textId="4F926E74" w:rsidR="00AD6394" w:rsidRDefault="00AD6394" w:rsidP="00AD6394">
      <w:pPr>
        <w:spacing w:after="120" w:line="288" w:lineRule="auto"/>
        <w:jc w:val="both"/>
        <w:rPr>
          <w:rFonts w:ascii="Arial" w:hAnsi="Arial" w:cs="Arial"/>
          <w:sz w:val="20"/>
          <w:szCs w:val="20"/>
        </w:rPr>
      </w:pPr>
      <w:r>
        <w:rPr>
          <w:rFonts w:ascii="Arial" w:hAnsi="Arial" w:cs="Arial"/>
          <w:sz w:val="20"/>
          <w:szCs w:val="20"/>
        </w:rPr>
        <w:t xml:space="preserve">Z výdajových položek na </w:t>
      </w:r>
      <w:proofErr w:type="spellStart"/>
      <w:r>
        <w:rPr>
          <w:rFonts w:ascii="Arial" w:hAnsi="Arial" w:cs="Arial"/>
          <w:sz w:val="20"/>
          <w:szCs w:val="20"/>
        </w:rPr>
        <w:t>VaV</w:t>
      </w:r>
      <w:proofErr w:type="spellEnd"/>
      <w:r>
        <w:rPr>
          <w:rFonts w:ascii="Arial" w:hAnsi="Arial" w:cs="Arial"/>
          <w:sz w:val="20"/>
          <w:szCs w:val="20"/>
        </w:rPr>
        <w:t xml:space="preserve"> zaujímají největší podíl mzdy. V roce 2016 v Česku poprvé přesáhly polovinu výdajů na </w:t>
      </w:r>
      <w:proofErr w:type="spellStart"/>
      <w:r>
        <w:rPr>
          <w:rFonts w:ascii="Arial" w:hAnsi="Arial" w:cs="Arial"/>
          <w:sz w:val="20"/>
          <w:szCs w:val="20"/>
        </w:rPr>
        <w:t>VaV</w:t>
      </w:r>
      <w:proofErr w:type="spellEnd"/>
      <w:r>
        <w:rPr>
          <w:rFonts w:ascii="Arial" w:hAnsi="Arial" w:cs="Arial"/>
          <w:sz w:val="20"/>
          <w:szCs w:val="20"/>
        </w:rPr>
        <w:t xml:space="preserve"> a jejich podíl rostl i nadále. V roce 2022 se na mzdy ve </w:t>
      </w:r>
      <w:proofErr w:type="spellStart"/>
      <w:r>
        <w:rPr>
          <w:rFonts w:ascii="Arial" w:hAnsi="Arial" w:cs="Arial"/>
          <w:sz w:val="20"/>
          <w:szCs w:val="20"/>
        </w:rPr>
        <w:t>VaV</w:t>
      </w:r>
      <w:proofErr w:type="spellEnd"/>
      <w:r>
        <w:rPr>
          <w:rFonts w:ascii="Arial" w:hAnsi="Arial" w:cs="Arial"/>
          <w:sz w:val="20"/>
          <w:szCs w:val="20"/>
        </w:rPr>
        <w:t xml:space="preserve"> vynaložilo 76 mld. Kč, což tvořilo 57 % celkových výdajů na </w:t>
      </w:r>
      <w:proofErr w:type="spellStart"/>
      <w:r>
        <w:rPr>
          <w:rFonts w:ascii="Arial" w:hAnsi="Arial" w:cs="Arial"/>
          <w:sz w:val="20"/>
          <w:szCs w:val="20"/>
        </w:rPr>
        <w:t>VaV</w:t>
      </w:r>
      <w:proofErr w:type="spellEnd"/>
      <w:r>
        <w:rPr>
          <w:rFonts w:ascii="Arial" w:hAnsi="Arial" w:cs="Arial"/>
          <w:sz w:val="20"/>
          <w:szCs w:val="20"/>
        </w:rPr>
        <w:t xml:space="preserve">. Oproti tomu investiční výdaje na </w:t>
      </w:r>
      <w:proofErr w:type="spellStart"/>
      <w:r>
        <w:rPr>
          <w:rFonts w:ascii="Arial" w:hAnsi="Arial" w:cs="Arial"/>
          <w:sz w:val="20"/>
          <w:szCs w:val="20"/>
        </w:rPr>
        <w:t>VaV</w:t>
      </w:r>
      <w:proofErr w:type="spellEnd"/>
      <w:r>
        <w:rPr>
          <w:rFonts w:ascii="Arial" w:hAnsi="Arial" w:cs="Arial"/>
          <w:sz w:val="20"/>
          <w:szCs w:val="20"/>
        </w:rPr>
        <w:t xml:space="preserve"> u nás dlouhodobě stagnují, poslední čtyři roky netvoří ani 10 % celkových výdajů na </w:t>
      </w:r>
      <w:proofErr w:type="spellStart"/>
      <w:r>
        <w:rPr>
          <w:rFonts w:ascii="Arial" w:hAnsi="Arial" w:cs="Arial"/>
          <w:sz w:val="20"/>
          <w:szCs w:val="20"/>
        </w:rPr>
        <w:t>VaV</w:t>
      </w:r>
      <w:proofErr w:type="spellEnd"/>
      <w:r>
        <w:rPr>
          <w:rFonts w:ascii="Arial" w:hAnsi="Arial" w:cs="Arial"/>
          <w:sz w:val="20"/>
          <w:szCs w:val="20"/>
        </w:rPr>
        <w:t xml:space="preserve"> (11,9 mld. Kč v roce 2022). Rekordních investic do </w:t>
      </w:r>
      <w:proofErr w:type="spellStart"/>
      <w:r>
        <w:rPr>
          <w:rFonts w:ascii="Arial" w:hAnsi="Arial" w:cs="Arial"/>
          <w:sz w:val="20"/>
          <w:szCs w:val="20"/>
        </w:rPr>
        <w:t>VaV</w:t>
      </w:r>
      <w:proofErr w:type="spellEnd"/>
      <w:r>
        <w:rPr>
          <w:rFonts w:ascii="Arial" w:hAnsi="Arial" w:cs="Arial"/>
          <w:sz w:val="20"/>
          <w:szCs w:val="20"/>
        </w:rPr>
        <w:t xml:space="preserve"> bylo dosaženo v letech 2012–2015 v souvislosti s výstavbou nových výzkumných center financovaných ze strukturálních fondů EU. Ve zmíněných letech tvořily investiční výdaje na </w:t>
      </w:r>
      <w:proofErr w:type="spellStart"/>
      <w:r>
        <w:rPr>
          <w:rFonts w:ascii="Arial" w:hAnsi="Arial" w:cs="Arial"/>
          <w:sz w:val="20"/>
          <w:szCs w:val="20"/>
        </w:rPr>
        <w:t>VaV</w:t>
      </w:r>
      <w:proofErr w:type="spellEnd"/>
      <w:r>
        <w:rPr>
          <w:rFonts w:ascii="Arial" w:hAnsi="Arial" w:cs="Arial"/>
          <w:sz w:val="20"/>
          <w:szCs w:val="20"/>
        </w:rPr>
        <w:t xml:space="preserve"> 20 % celkových výdajů na </w:t>
      </w:r>
      <w:proofErr w:type="spellStart"/>
      <w:r>
        <w:rPr>
          <w:rFonts w:ascii="Arial" w:hAnsi="Arial" w:cs="Arial"/>
          <w:sz w:val="20"/>
          <w:szCs w:val="20"/>
        </w:rPr>
        <w:t>VaV</w:t>
      </w:r>
      <w:proofErr w:type="spellEnd"/>
      <w:r>
        <w:rPr>
          <w:rFonts w:ascii="Arial" w:hAnsi="Arial" w:cs="Arial"/>
          <w:sz w:val="20"/>
          <w:szCs w:val="20"/>
        </w:rPr>
        <w:t>. Průměr EU</w:t>
      </w:r>
      <w:r w:rsidR="00F5350C">
        <w:rPr>
          <w:rFonts w:ascii="Arial" w:hAnsi="Arial" w:cs="Arial"/>
          <w:sz w:val="20"/>
          <w:szCs w:val="20"/>
        </w:rPr>
        <w:t>27</w:t>
      </w:r>
      <w:r>
        <w:rPr>
          <w:rFonts w:ascii="Arial" w:hAnsi="Arial" w:cs="Arial"/>
          <w:sz w:val="20"/>
          <w:szCs w:val="20"/>
        </w:rPr>
        <w:t xml:space="preserve"> v podílu invest</w:t>
      </w:r>
      <w:r w:rsidR="0049210C">
        <w:rPr>
          <w:rFonts w:ascii="Arial" w:hAnsi="Arial" w:cs="Arial"/>
          <w:sz w:val="20"/>
          <w:szCs w:val="20"/>
        </w:rPr>
        <w:t xml:space="preserve">ičních výdajů na </w:t>
      </w:r>
      <w:proofErr w:type="spellStart"/>
      <w:r w:rsidR="0049210C">
        <w:rPr>
          <w:rFonts w:ascii="Arial" w:hAnsi="Arial" w:cs="Arial"/>
          <w:sz w:val="20"/>
          <w:szCs w:val="20"/>
        </w:rPr>
        <w:t>VaV</w:t>
      </w:r>
      <w:proofErr w:type="spellEnd"/>
      <w:r w:rsidR="0049210C">
        <w:rPr>
          <w:rFonts w:ascii="Arial" w:hAnsi="Arial" w:cs="Arial"/>
          <w:sz w:val="20"/>
          <w:szCs w:val="20"/>
        </w:rPr>
        <w:t xml:space="preserve"> v roce 2021</w:t>
      </w:r>
      <w:r>
        <w:rPr>
          <w:rFonts w:ascii="Arial" w:hAnsi="Arial" w:cs="Arial"/>
          <w:sz w:val="20"/>
          <w:szCs w:val="20"/>
        </w:rPr>
        <w:t xml:space="preserve"> byl 9 %. Podíl v Německu je lehce pod průměrem</w:t>
      </w:r>
      <w:r w:rsidR="0049210C">
        <w:rPr>
          <w:rFonts w:ascii="Arial" w:hAnsi="Arial" w:cs="Arial"/>
          <w:sz w:val="20"/>
          <w:szCs w:val="20"/>
        </w:rPr>
        <w:t xml:space="preserve"> EU</w:t>
      </w:r>
      <w:r>
        <w:rPr>
          <w:rFonts w:ascii="Arial" w:hAnsi="Arial" w:cs="Arial"/>
          <w:sz w:val="20"/>
          <w:szCs w:val="20"/>
        </w:rPr>
        <w:t xml:space="preserve">, v roce 2021 byl 8 %. V Maďarsku jako v jediném státě EU překročil v roce 2021 podíl investičních výdajů na </w:t>
      </w:r>
      <w:proofErr w:type="spellStart"/>
      <w:r>
        <w:rPr>
          <w:rFonts w:ascii="Arial" w:hAnsi="Arial" w:cs="Arial"/>
          <w:sz w:val="20"/>
          <w:szCs w:val="20"/>
        </w:rPr>
        <w:t>VaV</w:t>
      </w:r>
      <w:proofErr w:type="spellEnd"/>
      <w:r>
        <w:rPr>
          <w:rFonts w:ascii="Arial" w:hAnsi="Arial" w:cs="Arial"/>
          <w:sz w:val="20"/>
          <w:szCs w:val="20"/>
        </w:rPr>
        <w:t xml:space="preserve"> 20 %.</w:t>
      </w:r>
    </w:p>
    <w:p w14:paraId="5450B52C" w14:textId="77777777" w:rsidR="00563EAB" w:rsidRPr="00E66D3A" w:rsidRDefault="00563EAB" w:rsidP="00563EAB">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5</w:t>
      </w:r>
      <w:r w:rsidRPr="00E66D3A">
        <w:rPr>
          <w:rFonts w:ascii="Arial" w:hAnsi="Arial" w:cs="Arial"/>
          <w:b/>
          <w:sz w:val="20"/>
          <w:szCs w:val="20"/>
        </w:rPr>
        <w:t xml:space="preserve">. Výdaje na </w:t>
      </w:r>
      <w:proofErr w:type="spellStart"/>
      <w:r>
        <w:rPr>
          <w:rFonts w:ascii="Arial" w:hAnsi="Arial" w:cs="Arial"/>
          <w:b/>
          <w:sz w:val="20"/>
          <w:szCs w:val="20"/>
        </w:rPr>
        <w:t>VaV</w:t>
      </w:r>
      <w:proofErr w:type="spellEnd"/>
      <w:r w:rsidRPr="00E66D3A">
        <w:rPr>
          <w:rFonts w:ascii="Arial" w:hAnsi="Arial" w:cs="Arial"/>
          <w:b/>
          <w:sz w:val="20"/>
          <w:szCs w:val="20"/>
        </w:rPr>
        <w:t xml:space="preserve"> v Česku podle </w:t>
      </w:r>
      <w:r>
        <w:rPr>
          <w:rFonts w:ascii="Arial" w:hAnsi="Arial" w:cs="Arial"/>
          <w:b/>
          <w:sz w:val="20"/>
          <w:szCs w:val="20"/>
        </w:rPr>
        <w:t>druhu výdajů, zdrojů financování a sektorů provádění</w:t>
      </w:r>
      <w:r w:rsidRPr="00E66D3A">
        <w:rPr>
          <w:rFonts w:ascii="Arial" w:hAnsi="Arial" w:cs="Arial"/>
          <w:b/>
          <w:sz w:val="20"/>
          <w:szCs w:val="20"/>
        </w:rPr>
        <w:t xml:space="preserve"> (</w:t>
      </w:r>
      <w:r>
        <w:rPr>
          <w:rFonts w:ascii="Arial" w:hAnsi="Arial" w:cs="Arial"/>
          <w:b/>
          <w:sz w:val="20"/>
          <w:szCs w:val="20"/>
        </w:rPr>
        <w:t>%</w:t>
      </w:r>
      <w:r w:rsidRPr="00E66D3A">
        <w:rPr>
          <w:rFonts w:ascii="Arial" w:hAnsi="Arial" w:cs="Arial"/>
          <w:b/>
          <w:sz w:val="20"/>
          <w:szCs w:val="20"/>
        </w:rPr>
        <w:t>)</w:t>
      </w:r>
    </w:p>
    <w:p w14:paraId="3743390B" w14:textId="77777777" w:rsidR="00563EAB" w:rsidRPr="00C67BA8" w:rsidRDefault="00563EAB" w:rsidP="00563EAB">
      <w:pPr>
        <w:tabs>
          <w:tab w:val="left" w:pos="284"/>
          <w:tab w:val="left" w:pos="3402"/>
          <w:tab w:val="left" w:pos="6521"/>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výdajů </w:t>
      </w:r>
      <w:r w:rsidRPr="00C67BA8">
        <w:rPr>
          <w:rFonts w:ascii="Arial" w:hAnsi="Arial" w:cs="Arial"/>
          <w:b/>
          <w:i/>
          <w:sz w:val="18"/>
          <w:szCs w:val="20"/>
        </w:rPr>
        <w:tab/>
        <w:t xml:space="preserve">b) podle zdrojů financování </w:t>
      </w:r>
      <w:r w:rsidRPr="00C67BA8">
        <w:rPr>
          <w:rFonts w:ascii="Arial" w:hAnsi="Arial" w:cs="Arial"/>
          <w:b/>
          <w:i/>
          <w:sz w:val="18"/>
          <w:szCs w:val="20"/>
        </w:rPr>
        <w:tab/>
        <w:t>c) podle sektorů provádění</w:t>
      </w:r>
    </w:p>
    <w:p w14:paraId="15092219" w14:textId="70978CE5" w:rsidR="00563EAB" w:rsidRDefault="00CD4EA2" w:rsidP="001A67C4">
      <w:pPr>
        <w:spacing w:after="120" w:line="288" w:lineRule="auto"/>
        <w:jc w:val="both"/>
        <w:rPr>
          <w:rFonts w:ascii="Arial" w:hAnsi="Arial" w:cs="Arial"/>
          <w:sz w:val="20"/>
          <w:szCs w:val="20"/>
        </w:rPr>
      </w:pPr>
      <w:r>
        <w:rPr>
          <w:noProof/>
          <w:lang w:eastAsia="cs-CZ"/>
        </w:rPr>
        <w:drawing>
          <wp:inline distT="0" distB="0" distL="0" distR="0" wp14:anchorId="4EE43A7F" wp14:editId="15744270">
            <wp:extent cx="1980000" cy="1980000"/>
            <wp:effectExtent l="0" t="0" r="1270" b="0"/>
            <wp:docPr id="6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44836" w:rsidRPr="00444836">
        <w:rPr>
          <w:noProof/>
          <w:lang w:eastAsia="cs-CZ"/>
        </w:rPr>
        <w:t xml:space="preserve"> </w:t>
      </w:r>
      <w:r>
        <w:rPr>
          <w:noProof/>
          <w:lang w:eastAsia="cs-CZ"/>
        </w:rPr>
        <w:drawing>
          <wp:inline distT="0" distB="0" distL="0" distR="0" wp14:anchorId="04A62B3C" wp14:editId="40FF11BF">
            <wp:extent cx="1980000" cy="1980000"/>
            <wp:effectExtent l="0" t="0" r="1270" b="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44836" w:rsidRPr="00444836">
        <w:rPr>
          <w:noProof/>
          <w:lang w:eastAsia="cs-CZ"/>
        </w:rPr>
        <w:t xml:space="preserve"> </w:t>
      </w:r>
      <w:r>
        <w:rPr>
          <w:noProof/>
          <w:lang w:eastAsia="cs-CZ"/>
        </w:rPr>
        <w:drawing>
          <wp:inline distT="0" distB="0" distL="0" distR="0" wp14:anchorId="010523BB" wp14:editId="1A506830">
            <wp:extent cx="1980000" cy="1980000"/>
            <wp:effectExtent l="0" t="0" r="1270" b="1270"/>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76EF67" w14:textId="77777777" w:rsidR="00444836" w:rsidRDefault="00444836" w:rsidP="00444836">
      <w:pPr>
        <w:spacing w:after="120" w:line="288" w:lineRule="auto"/>
        <w:jc w:val="right"/>
        <w:rPr>
          <w:rFonts w:ascii="Arial" w:hAnsi="Arial" w:cs="Arial"/>
          <w:sz w:val="20"/>
          <w:szCs w:val="20"/>
        </w:rPr>
      </w:pPr>
      <w:r w:rsidRPr="0019141D">
        <w:rPr>
          <w:rFonts w:ascii="Arial" w:hAnsi="Arial" w:cs="Arial"/>
          <w:i/>
          <w:sz w:val="18"/>
          <w:szCs w:val="20"/>
        </w:rPr>
        <w:t>Zdroj: ČSÚ; Roční zjišťování o výzkumu a vývoji VTR 5-01</w:t>
      </w:r>
    </w:p>
    <w:p w14:paraId="45B8291B" w14:textId="0FA7B24E" w:rsidR="00AD6394" w:rsidRDefault="00AD6394" w:rsidP="00AD6394">
      <w:pPr>
        <w:spacing w:after="120" w:line="288" w:lineRule="auto"/>
        <w:jc w:val="both"/>
        <w:rPr>
          <w:rFonts w:ascii="Arial" w:hAnsi="Arial" w:cs="Arial"/>
          <w:sz w:val="20"/>
          <w:szCs w:val="20"/>
        </w:rPr>
      </w:pPr>
      <w:r>
        <w:rPr>
          <w:rFonts w:ascii="Arial" w:hAnsi="Arial" w:cs="Arial"/>
          <w:sz w:val="20"/>
          <w:szCs w:val="20"/>
        </w:rPr>
        <w:t xml:space="preserve">V roce 2022 činily celkové výdaje na </w:t>
      </w:r>
      <w:proofErr w:type="spellStart"/>
      <w:r>
        <w:rPr>
          <w:rFonts w:ascii="Arial" w:hAnsi="Arial" w:cs="Arial"/>
          <w:sz w:val="20"/>
          <w:szCs w:val="20"/>
        </w:rPr>
        <w:t>VaV</w:t>
      </w:r>
      <w:proofErr w:type="spellEnd"/>
      <w:r>
        <w:rPr>
          <w:rFonts w:ascii="Arial" w:hAnsi="Arial" w:cs="Arial"/>
          <w:sz w:val="20"/>
          <w:szCs w:val="20"/>
        </w:rPr>
        <w:t xml:space="preserve"> v Evropské Unii 350 mld. Eur. V roce 2020 se v tomto ukazateli na EU</w:t>
      </w:r>
      <w:r w:rsidR="003031E6">
        <w:rPr>
          <w:rFonts w:ascii="Arial" w:hAnsi="Arial" w:cs="Arial"/>
          <w:sz w:val="20"/>
          <w:szCs w:val="20"/>
        </w:rPr>
        <w:t>27</w:t>
      </w:r>
      <w:r>
        <w:rPr>
          <w:rFonts w:ascii="Arial" w:hAnsi="Arial" w:cs="Arial"/>
          <w:sz w:val="20"/>
          <w:szCs w:val="20"/>
        </w:rPr>
        <w:t xml:space="preserve"> dotáhla Čína a hned v roce následujícím již </w:t>
      </w:r>
      <w:r w:rsidR="003031E6">
        <w:rPr>
          <w:rFonts w:ascii="Arial" w:hAnsi="Arial" w:cs="Arial"/>
          <w:sz w:val="20"/>
          <w:szCs w:val="20"/>
        </w:rPr>
        <w:t xml:space="preserve">Čína </w:t>
      </w:r>
      <w:r>
        <w:rPr>
          <w:rFonts w:ascii="Arial" w:hAnsi="Arial" w:cs="Arial"/>
          <w:sz w:val="20"/>
          <w:szCs w:val="20"/>
        </w:rPr>
        <w:t>EU</w:t>
      </w:r>
      <w:r w:rsidR="003031E6">
        <w:rPr>
          <w:rFonts w:ascii="Arial" w:hAnsi="Arial" w:cs="Arial"/>
          <w:sz w:val="20"/>
          <w:szCs w:val="20"/>
        </w:rPr>
        <w:t>27</w:t>
      </w:r>
      <w:r>
        <w:rPr>
          <w:rFonts w:ascii="Arial" w:hAnsi="Arial" w:cs="Arial"/>
          <w:sz w:val="20"/>
          <w:szCs w:val="20"/>
        </w:rPr>
        <w:t xml:space="preserve"> předběhla. V roce 2021 se v Číně vynaložilo na </w:t>
      </w:r>
      <w:proofErr w:type="spellStart"/>
      <w:r>
        <w:rPr>
          <w:rFonts w:ascii="Arial" w:hAnsi="Arial" w:cs="Arial"/>
          <w:sz w:val="20"/>
          <w:szCs w:val="20"/>
        </w:rPr>
        <w:t>VaV</w:t>
      </w:r>
      <w:proofErr w:type="spellEnd"/>
      <w:r>
        <w:rPr>
          <w:rFonts w:ascii="Arial" w:hAnsi="Arial" w:cs="Arial"/>
          <w:sz w:val="20"/>
          <w:szCs w:val="20"/>
        </w:rPr>
        <w:t xml:space="preserve"> celkem 366 mld. Eur. I přes dramatický nárůst výdajů na </w:t>
      </w:r>
      <w:proofErr w:type="spellStart"/>
      <w:r>
        <w:rPr>
          <w:rFonts w:ascii="Arial" w:hAnsi="Arial" w:cs="Arial"/>
          <w:sz w:val="20"/>
          <w:szCs w:val="20"/>
        </w:rPr>
        <w:t>VaV</w:t>
      </w:r>
      <w:proofErr w:type="spellEnd"/>
      <w:r>
        <w:rPr>
          <w:rFonts w:ascii="Arial" w:hAnsi="Arial" w:cs="Arial"/>
          <w:sz w:val="20"/>
          <w:szCs w:val="20"/>
        </w:rPr>
        <w:t xml:space="preserve"> v Číně</w:t>
      </w:r>
      <w:r w:rsidR="0049210C">
        <w:rPr>
          <w:rFonts w:ascii="Arial" w:hAnsi="Arial" w:cs="Arial"/>
          <w:sz w:val="20"/>
          <w:szCs w:val="20"/>
        </w:rPr>
        <w:t xml:space="preserve"> v posledních dvaceti letech</w:t>
      </w:r>
      <w:r w:rsidR="003031E6">
        <w:rPr>
          <w:rFonts w:ascii="Arial" w:hAnsi="Arial" w:cs="Arial"/>
          <w:sz w:val="20"/>
          <w:szCs w:val="20"/>
        </w:rPr>
        <w:t>,</w:t>
      </w:r>
      <w:r>
        <w:rPr>
          <w:rFonts w:ascii="Arial" w:hAnsi="Arial" w:cs="Arial"/>
          <w:sz w:val="20"/>
          <w:szCs w:val="20"/>
        </w:rPr>
        <w:t xml:space="preserve"> stále nejvíce prostředků vynakládají</w:t>
      </w:r>
      <w:r w:rsidR="0049210C">
        <w:rPr>
          <w:rFonts w:ascii="Arial" w:hAnsi="Arial" w:cs="Arial"/>
          <w:sz w:val="20"/>
          <w:szCs w:val="20"/>
        </w:rPr>
        <w:t xml:space="preserve"> na </w:t>
      </w:r>
      <w:proofErr w:type="spellStart"/>
      <w:r w:rsidR="0049210C">
        <w:rPr>
          <w:rFonts w:ascii="Arial" w:hAnsi="Arial" w:cs="Arial"/>
          <w:sz w:val="20"/>
          <w:szCs w:val="20"/>
        </w:rPr>
        <w:t>VaV</w:t>
      </w:r>
      <w:proofErr w:type="spellEnd"/>
      <w:r>
        <w:rPr>
          <w:rFonts w:ascii="Arial" w:hAnsi="Arial" w:cs="Arial"/>
          <w:sz w:val="20"/>
          <w:szCs w:val="20"/>
        </w:rPr>
        <w:t xml:space="preserve"> Spojené státy. V roce 2021 to bylo </w:t>
      </w:r>
      <w:r w:rsidR="003031E6">
        <w:rPr>
          <w:rFonts w:ascii="Arial" w:hAnsi="Arial" w:cs="Arial"/>
          <w:sz w:val="20"/>
          <w:szCs w:val="20"/>
        </w:rPr>
        <w:t> 680 </w:t>
      </w:r>
      <w:r>
        <w:rPr>
          <w:rFonts w:ascii="Arial" w:hAnsi="Arial" w:cs="Arial"/>
          <w:sz w:val="20"/>
          <w:szCs w:val="20"/>
        </w:rPr>
        <w:t>mld.</w:t>
      </w:r>
      <w:r w:rsidR="003031E6">
        <w:rPr>
          <w:rFonts w:ascii="Arial" w:hAnsi="Arial" w:cs="Arial"/>
          <w:sz w:val="20"/>
          <w:szCs w:val="20"/>
        </w:rPr>
        <w:t> </w:t>
      </w:r>
      <w:r>
        <w:rPr>
          <w:rFonts w:ascii="Arial" w:hAnsi="Arial" w:cs="Arial"/>
          <w:sz w:val="20"/>
          <w:szCs w:val="20"/>
        </w:rPr>
        <w:t>Eur, více než dvojnásobek celé EU</w:t>
      </w:r>
      <w:r w:rsidR="003031E6">
        <w:rPr>
          <w:rFonts w:ascii="Arial" w:hAnsi="Arial" w:cs="Arial"/>
          <w:sz w:val="20"/>
          <w:szCs w:val="20"/>
        </w:rPr>
        <w:t>27</w:t>
      </w:r>
      <w:r>
        <w:rPr>
          <w:rFonts w:ascii="Arial" w:hAnsi="Arial" w:cs="Arial"/>
          <w:sz w:val="20"/>
          <w:szCs w:val="20"/>
        </w:rPr>
        <w:t>. Třetina výdajů</w:t>
      </w:r>
      <w:r w:rsidR="005944F0">
        <w:rPr>
          <w:rFonts w:ascii="Arial" w:hAnsi="Arial" w:cs="Arial"/>
          <w:sz w:val="20"/>
          <w:szCs w:val="20"/>
        </w:rPr>
        <w:t>,</w:t>
      </w:r>
      <w:r w:rsidR="008A1B90">
        <w:rPr>
          <w:rFonts w:ascii="Arial" w:hAnsi="Arial" w:cs="Arial"/>
          <w:sz w:val="20"/>
          <w:szCs w:val="20"/>
        </w:rPr>
        <w:t xml:space="preserve"> které do</w:t>
      </w:r>
      <w:r>
        <w:rPr>
          <w:rFonts w:ascii="Arial" w:hAnsi="Arial" w:cs="Arial"/>
          <w:sz w:val="20"/>
          <w:szCs w:val="20"/>
        </w:rPr>
        <w:t xml:space="preserve"> </w:t>
      </w:r>
      <w:proofErr w:type="spellStart"/>
      <w:r>
        <w:rPr>
          <w:rFonts w:ascii="Arial" w:hAnsi="Arial" w:cs="Arial"/>
          <w:sz w:val="20"/>
          <w:szCs w:val="20"/>
        </w:rPr>
        <w:t>VaV</w:t>
      </w:r>
      <w:proofErr w:type="spellEnd"/>
      <w:r>
        <w:rPr>
          <w:rFonts w:ascii="Arial" w:hAnsi="Arial" w:cs="Arial"/>
          <w:sz w:val="20"/>
          <w:szCs w:val="20"/>
        </w:rPr>
        <w:t xml:space="preserve"> </w:t>
      </w:r>
      <w:r w:rsidR="008A1B90">
        <w:rPr>
          <w:rFonts w:ascii="Arial" w:hAnsi="Arial" w:cs="Arial"/>
          <w:sz w:val="20"/>
          <w:szCs w:val="20"/>
        </w:rPr>
        <w:t xml:space="preserve">směřují </w:t>
      </w:r>
      <w:r>
        <w:rPr>
          <w:rFonts w:ascii="Arial" w:hAnsi="Arial" w:cs="Arial"/>
          <w:sz w:val="20"/>
          <w:szCs w:val="20"/>
        </w:rPr>
        <w:t>v</w:t>
      </w:r>
      <w:r w:rsidR="008A1B90">
        <w:rPr>
          <w:rFonts w:ascii="Arial" w:hAnsi="Arial" w:cs="Arial"/>
          <w:sz w:val="20"/>
          <w:szCs w:val="20"/>
        </w:rPr>
        <w:t> </w:t>
      </w:r>
      <w:r>
        <w:rPr>
          <w:rFonts w:ascii="Arial" w:hAnsi="Arial" w:cs="Arial"/>
          <w:sz w:val="20"/>
          <w:szCs w:val="20"/>
        </w:rPr>
        <w:t>EU</w:t>
      </w:r>
      <w:r w:rsidR="008A1B90">
        <w:rPr>
          <w:rFonts w:ascii="Arial" w:hAnsi="Arial" w:cs="Arial"/>
          <w:sz w:val="20"/>
          <w:szCs w:val="20"/>
        </w:rPr>
        <w:t>27</w:t>
      </w:r>
      <w:r>
        <w:rPr>
          <w:rFonts w:ascii="Arial" w:hAnsi="Arial" w:cs="Arial"/>
          <w:sz w:val="20"/>
          <w:szCs w:val="20"/>
        </w:rPr>
        <w:t xml:space="preserve"> připadá na Německo, v roce 2022 to bylo 121 mld. Eur. Méně než poloviční částka (57 mld. Eur) byla vynaložena ve druhé </w:t>
      </w:r>
      <w:r w:rsidR="008A1B90">
        <w:rPr>
          <w:rFonts w:ascii="Arial" w:hAnsi="Arial" w:cs="Arial"/>
          <w:sz w:val="20"/>
          <w:szCs w:val="20"/>
        </w:rPr>
        <w:t>Francii</w:t>
      </w:r>
      <w:r>
        <w:rPr>
          <w:rFonts w:ascii="Arial" w:hAnsi="Arial" w:cs="Arial"/>
          <w:sz w:val="20"/>
          <w:szCs w:val="20"/>
        </w:rPr>
        <w:t>. S velkým odstupem je na třetím místě Itálie (26 mld. Eur). V Česku se v pře</w:t>
      </w:r>
      <w:r w:rsidR="0049210C">
        <w:rPr>
          <w:rFonts w:ascii="Arial" w:hAnsi="Arial" w:cs="Arial"/>
          <w:sz w:val="20"/>
          <w:szCs w:val="20"/>
        </w:rPr>
        <w:t>vodu</w:t>
      </w:r>
      <w:r>
        <w:rPr>
          <w:rFonts w:ascii="Arial" w:hAnsi="Arial" w:cs="Arial"/>
          <w:sz w:val="20"/>
          <w:szCs w:val="20"/>
        </w:rPr>
        <w:t xml:space="preserve"> na Eura vynaložilo na </w:t>
      </w:r>
      <w:proofErr w:type="spellStart"/>
      <w:r>
        <w:rPr>
          <w:rFonts w:ascii="Arial" w:hAnsi="Arial" w:cs="Arial"/>
          <w:sz w:val="20"/>
          <w:szCs w:val="20"/>
        </w:rPr>
        <w:t>VaV</w:t>
      </w:r>
      <w:proofErr w:type="spellEnd"/>
      <w:r>
        <w:rPr>
          <w:rFonts w:ascii="Arial" w:hAnsi="Arial" w:cs="Arial"/>
          <w:sz w:val="20"/>
          <w:szCs w:val="20"/>
        </w:rPr>
        <w:t xml:space="preserve"> 5,4 mld. Eur (1,5 % EU). U </w:t>
      </w:r>
      <w:r>
        <w:rPr>
          <w:rFonts w:ascii="Arial" w:hAnsi="Arial" w:cs="Arial"/>
          <w:sz w:val="20"/>
          <w:szCs w:val="20"/>
        </w:rPr>
        <w:lastRenderedPageBreak/>
        <w:t>našich sousedů byly výdaje následovné: Rakousko 14,3 mld. Eur, Polsko 9,</w:t>
      </w:r>
      <w:r w:rsidR="00FF3AC1">
        <w:rPr>
          <w:rFonts w:ascii="Arial" w:hAnsi="Arial" w:cs="Arial"/>
          <w:sz w:val="20"/>
          <w:szCs w:val="20"/>
        </w:rPr>
        <w:t>5 </w:t>
      </w:r>
      <w:r>
        <w:rPr>
          <w:rFonts w:ascii="Arial" w:hAnsi="Arial" w:cs="Arial"/>
          <w:sz w:val="20"/>
          <w:szCs w:val="20"/>
        </w:rPr>
        <w:t>mld</w:t>
      </w:r>
      <w:r w:rsidR="00FF3AC1">
        <w:rPr>
          <w:rFonts w:ascii="Arial" w:hAnsi="Arial" w:cs="Arial"/>
          <w:sz w:val="20"/>
          <w:szCs w:val="20"/>
        </w:rPr>
        <w:t>. </w:t>
      </w:r>
      <w:r>
        <w:rPr>
          <w:rFonts w:ascii="Arial" w:hAnsi="Arial" w:cs="Arial"/>
          <w:sz w:val="20"/>
          <w:szCs w:val="20"/>
        </w:rPr>
        <w:t>Eur a Slovensko 1,</w:t>
      </w:r>
      <w:r w:rsidR="005944F0">
        <w:rPr>
          <w:rFonts w:ascii="Arial" w:hAnsi="Arial" w:cs="Arial"/>
          <w:sz w:val="20"/>
          <w:szCs w:val="20"/>
        </w:rPr>
        <w:t>1 </w:t>
      </w:r>
      <w:r>
        <w:rPr>
          <w:rFonts w:ascii="Arial" w:hAnsi="Arial" w:cs="Arial"/>
          <w:sz w:val="20"/>
          <w:szCs w:val="20"/>
        </w:rPr>
        <w:t>mld</w:t>
      </w:r>
      <w:r w:rsidR="005944F0">
        <w:rPr>
          <w:rFonts w:ascii="Arial" w:hAnsi="Arial" w:cs="Arial"/>
          <w:sz w:val="20"/>
          <w:szCs w:val="20"/>
        </w:rPr>
        <w:t>. </w:t>
      </w:r>
      <w:r>
        <w:rPr>
          <w:rFonts w:ascii="Arial" w:hAnsi="Arial" w:cs="Arial"/>
          <w:sz w:val="20"/>
          <w:szCs w:val="20"/>
        </w:rPr>
        <w:t>Eur.</w:t>
      </w:r>
    </w:p>
    <w:p w14:paraId="7AB46D4C" w14:textId="79A9B4F4" w:rsidR="00BA4AA3" w:rsidRDefault="00032DBF" w:rsidP="001A67C4">
      <w:pPr>
        <w:spacing w:after="120" w:line="288" w:lineRule="auto"/>
        <w:jc w:val="both"/>
        <w:rPr>
          <w:rFonts w:ascii="Arial" w:hAnsi="Arial" w:cs="Arial"/>
          <w:sz w:val="20"/>
          <w:szCs w:val="20"/>
        </w:rPr>
      </w:pPr>
      <w:r>
        <w:rPr>
          <w:rFonts w:ascii="Arial" w:hAnsi="Arial" w:cs="Arial"/>
          <w:sz w:val="20"/>
          <w:szCs w:val="20"/>
        </w:rPr>
        <w:t>Jak bylo zmíněno výše, dosáhlo</w:t>
      </w:r>
      <w:r w:rsidR="00235F98">
        <w:rPr>
          <w:rFonts w:ascii="Arial" w:hAnsi="Arial" w:cs="Arial"/>
          <w:sz w:val="20"/>
          <w:szCs w:val="20"/>
        </w:rPr>
        <w:t xml:space="preserve"> v roce 2021 </w:t>
      </w:r>
      <w:r>
        <w:rPr>
          <w:rFonts w:ascii="Arial" w:hAnsi="Arial" w:cs="Arial"/>
          <w:sz w:val="20"/>
          <w:szCs w:val="20"/>
        </w:rPr>
        <w:t xml:space="preserve">Česko </w:t>
      </w:r>
      <w:r w:rsidR="00235F98">
        <w:rPr>
          <w:rFonts w:ascii="Arial" w:hAnsi="Arial" w:cs="Arial"/>
          <w:sz w:val="20"/>
          <w:szCs w:val="20"/>
        </w:rPr>
        <w:t xml:space="preserve">hranice 2 % výdajů na </w:t>
      </w:r>
      <w:proofErr w:type="spellStart"/>
      <w:r w:rsidR="00235F98">
        <w:rPr>
          <w:rFonts w:ascii="Arial" w:hAnsi="Arial" w:cs="Arial"/>
          <w:sz w:val="20"/>
          <w:szCs w:val="20"/>
        </w:rPr>
        <w:t>VaV</w:t>
      </w:r>
      <w:proofErr w:type="spellEnd"/>
      <w:r w:rsidR="00235F98">
        <w:rPr>
          <w:rFonts w:ascii="Arial" w:hAnsi="Arial" w:cs="Arial"/>
          <w:sz w:val="20"/>
          <w:szCs w:val="20"/>
        </w:rPr>
        <w:t xml:space="preserve"> na HDP</w:t>
      </w:r>
      <w:r w:rsidR="008E5D27">
        <w:rPr>
          <w:rFonts w:ascii="Arial" w:hAnsi="Arial" w:cs="Arial"/>
          <w:sz w:val="20"/>
          <w:szCs w:val="20"/>
        </w:rPr>
        <w:t xml:space="preserve"> s následujícím drobným poklesem na 1,96 % v roce 2022</w:t>
      </w:r>
      <w:r w:rsidR="00235F98">
        <w:rPr>
          <w:rFonts w:ascii="Arial" w:hAnsi="Arial" w:cs="Arial"/>
          <w:sz w:val="20"/>
          <w:szCs w:val="20"/>
        </w:rPr>
        <w:t>. Přesto Česko v tomto ukazateli zaostává</w:t>
      </w:r>
      <w:r w:rsidR="000C21EC">
        <w:rPr>
          <w:rFonts w:ascii="Arial" w:hAnsi="Arial" w:cs="Arial"/>
          <w:sz w:val="20"/>
          <w:szCs w:val="20"/>
        </w:rPr>
        <w:t xml:space="preserve"> </w:t>
      </w:r>
      <w:r w:rsidR="00235F98">
        <w:rPr>
          <w:rFonts w:ascii="Arial" w:hAnsi="Arial" w:cs="Arial"/>
          <w:sz w:val="20"/>
          <w:szCs w:val="20"/>
        </w:rPr>
        <w:t>za průměrem EU</w:t>
      </w:r>
      <w:r>
        <w:rPr>
          <w:rFonts w:ascii="Arial" w:hAnsi="Arial" w:cs="Arial"/>
          <w:sz w:val="20"/>
          <w:szCs w:val="20"/>
        </w:rPr>
        <w:t>27</w:t>
      </w:r>
      <w:r w:rsidR="00235F98">
        <w:rPr>
          <w:rFonts w:ascii="Arial" w:hAnsi="Arial" w:cs="Arial"/>
          <w:sz w:val="20"/>
          <w:szCs w:val="20"/>
        </w:rPr>
        <w:t xml:space="preserve">, který </w:t>
      </w:r>
      <w:r w:rsidR="00D1523B">
        <w:rPr>
          <w:rFonts w:ascii="Arial" w:hAnsi="Arial" w:cs="Arial"/>
          <w:sz w:val="20"/>
          <w:szCs w:val="20"/>
        </w:rPr>
        <w:t xml:space="preserve">se v posledních čtyřech letech pohybuje v rozmezí 2,2 až 2,3 %. </w:t>
      </w:r>
      <w:r w:rsidR="00AC03AD">
        <w:rPr>
          <w:rFonts w:ascii="Arial" w:hAnsi="Arial" w:cs="Arial"/>
          <w:sz w:val="20"/>
          <w:szCs w:val="20"/>
        </w:rPr>
        <w:t>Ve čtyřech státech EU</w:t>
      </w:r>
      <w:r>
        <w:rPr>
          <w:rFonts w:ascii="Arial" w:hAnsi="Arial" w:cs="Arial"/>
          <w:sz w:val="20"/>
          <w:szCs w:val="20"/>
        </w:rPr>
        <w:t>27</w:t>
      </w:r>
      <w:r w:rsidR="00AC03AD">
        <w:rPr>
          <w:rFonts w:ascii="Arial" w:hAnsi="Arial" w:cs="Arial"/>
          <w:sz w:val="20"/>
          <w:szCs w:val="20"/>
        </w:rPr>
        <w:t xml:space="preserve"> se vynaložila na </w:t>
      </w:r>
      <w:proofErr w:type="spellStart"/>
      <w:r w:rsidR="00AC03AD">
        <w:rPr>
          <w:rFonts w:ascii="Arial" w:hAnsi="Arial" w:cs="Arial"/>
          <w:sz w:val="20"/>
          <w:szCs w:val="20"/>
        </w:rPr>
        <w:t>VaV</w:t>
      </w:r>
      <w:proofErr w:type="spellEnd"/>
      <w:r w:rsidR="00AC03AD">
        <w:rPr>
          <w:rFonts w:ascii="Arial" w:hAnsi="Arial" w:cs="Arial"/>
          <w:sz w:val="20"/>
          <w:szCs w:val="20"/>
        </w:rPr>
        <w:t xml:space="preserve"> dokonce více než 3 % HDP, a to v</w:t>
      </w:r>
      <w:r w:rsidR="00F8532B">
        <w:rPr>
          <w:rFonts w:ascii="Arial" w:hAnsi="Arial" w:cs="Arial"/>
          <w:sz w:val="20"/>
          <w:szCs w:val="20"/>
        </w:rPr>
        <w:t xml:space="preserve"> Belgii (3,41</w:t>
      </w:r>
      <w:r w:rsidR="00AC03AD">
        <w:rPr>
          <w:rFonts w:ascii="Arial" w:hAnsi="Arial" w:cs="Arial"/>
          <w:sz w:val="20"/>
          <w:szCs w:val="20"/>
        </w:rPr>
        <w:t xml:space="preserve"> %), </w:t>
      </w:r>
      <w:r w:rsidR="00F8532B">
        <w:rPr>
          <w:rFonts w:ascii="Arial" w:hAnsi="Arial" w:cs="Arial"/>
          <w:sz w:val="20"/>
          <w:szCs w:val="20"/>
        </w:rPr>
        <w:t>Švédsku (3,40 %), Rakousku (3,20</w:t>
      </w:r>
      <w:r w:rsidR="00AC03AD">
        <w:rPr>
          <w:rFonts w:ascii="Arial" w:hAnsi="Arial" w:cs="Arial"/>
          <w:sz w:val="20"/>
          <w:szCs w:val="20"/>
        </w:rPr>
        <w:t xml:space="preserve"> %) a Německu (3,13 %). V sousedním Polsku to bylo 1,4</w:t>
      </w:r>
      <w:r w:rsidR="00F8532B">
        <w:rPr>
          <w:rFonts w:ascii="Arial" w:hAnsi="Arial" w:cs="Arial"/>
          <w:sz w:val="20"/>
          <w:szCs w:val="20"/>
        </w:rPr>
        <w:t>6</w:t>
      </w:r>
      <w:r w:rsidR="00AC03AD">
        <w:rPr>
          <w:rFonts w:ascii="Arial" w:hAnsi="Arial" w:cs="Arial"/>
          <w:sz w:val="20"/>
          <w:szCs w:val="20"/>
        </w:rPr>
        <w:t xml:space="preserve"> % a na Slovensku 0,9</w:t>
      </w:r>
      <w:r w:rsidR="00F8532B">
        <w:rPr>
          <w:rFonts w:ascii="Arial" w:hAnsi="Arial" w:cs="Arial"/>
          <w:sz w:val="20"/>
          <w:szCs w:val="20"/>
        </w:rPr>
        <w:t>8</w:t>
      </w:r>
      <w:r w:rsidR="00AC03AD">
        <w:rPr>
          <w:rFonts w:ascii="Arial" w:hAnsi="Arial" w:cs="Arial"/>
          <w:sz w:val="20"/>
          <w:szCs w:val="20"/>
        </w:rPr>
        <w:t xml:space="preserve"> %. Slovensko patří mezi </w:t>
      </w:r>
      <w:r w:rsidR="000F554C">
        <w:rPr>
          <w:rFonts w:ascii="Arial" w:hAnsi="Arial" w:cs="Arial"/>
          <w:sz w:val="20"/>
          <w:szCs w:val="20"/>
        </w:rPr>
        <w:t>osm</w:t>
      </w:r>
      <w:r w:rsidR="00F8532B">
        <w:rPr>
          <w:rFonts w:ascii="Arial" w:hAnsi="Arial" w:cs="Arial"/>
          <w:sz w:val="20"/>
          <w:szCs w:val="20"/>
        </w:rPr>
        <w:t xml:space="preserve"> států EU</w:t>
      </w:r>
      <w:r w:rsidR="00FA3705">
        <w:rPr>
          <w:rFonts w:ascii="Arial" w:hAnsi="Arial" w:cs="Arial"/>
          <w:sz w:val="20"/>
          <w:szCs w:val="20"/>
        </w:rPr>
        <w:t>27</w:t>
      </w:r>
      <w:r w:rsidR="00F8532B">
        <w:rPr>
          <w:rFonts w:ascii="Arial" w:hAnsi="Arial" w:cs="Arial"/>
          <w:sz w:val="20"/>
          <w:szCs w:val="20"/>
        </w:rPr>
        <w:t>, kde se v roce 2022</w:t>
      </w:r>
      <w:r w:rsidR="00AC03AD">
        <w:rPr>
          <w:rFonts w:ascii="Arial" w:hAnsi="Arial" w:cs="Arial"/>
          <w:sz w:val="20"/>
          <w:szCs w:val="20"/>
        </w:rPr>
        <w:t xml:space="preserve"> vynaložilo na </w:t>
      </w:r>
      <w:proofErr w:type="spellStart"/>
      <w:r w:rsidR="00AC03AD">
        <w:rPr>
          <w:rFonts w:ascii="Arial" w:hAnsi="Arial" w:cs="Arial"/>
          <w:sz w:val="20"/>
          <w:szCs w:val="20"/>
        </w:rPr>
        <w:t>VaV</w:t>
      </w:r>
      <w:proofErr w:type="spellEnd"/>
      <w:r w:rsidR="00AC03AD">
        <w:rPr>
          <w:rFonts w:ascii="Arial" w:hAnsi="Arial" w:cs="Arial"/>
          <w:sz w:val="20"/>
          <w:szCs w:val="20"/>
        </w:rPr>
        <w:t xml:space="preserve"> méně než 1 % HDP. </w:t>
      </w:r>
      <w:r w:rsidR="00BA4AA3">
        <w:rPr>
          <w:rFonts w:ascii="Arial" w:hAnsi="Arial" w:cs="Arial"/>
          <w:sz w:val="20"/>
          <w:szCs w:val="20"/>
        </w:rPr>
        <w:t xml:space="preserve">Světovým lídrem je Izrael, kde se na </w:t>
      </w:r>
      <w:proofErr w:type="spellStart"/>
      <w:r w:rsidR="00BA4AA3">
        <w:rPr>
          <w:rFonts w:ascii="Arial" w:hAnsi="Arial" w:cs="Arial"/>
          <w:sz w:val="20"/>
          <w:szCs w:val="20"/>
        </w:rPr>
        <w:t>VaV</w:t>
      </w:r>
      <w:proofErr w:type="spellEnd"/>
      <w:r w:rsidR="00BA4AA3">
        <w:rPr>
          <w:rFonts w:ascii="Arial" w:hAnsi="Arial" w:cs="Arial"/>
          <w:sz w:val="20"/>
          <w:szCs w:val="20"/>
        </w:rPr>
        <w:t xml:space="preserve"> </w:t>
      </w:r>
      <w:r w:rsidR="000F554C">
        <w:rPr>
          <w:rFonts w:ascii="Arial" w:hAnsi="Arial" w:cs="Arial"/>
          <w:sz w:val="20"/>
          <w:szCs w:val="20"/>
        </w:rPr>
        <w:t>vynakládá více než 5 % HDP (5,56 % v roce 2021</w:t>
      </w:r>
      <w:r w:rsidR="00BA4AA3">
        <w:rPr>
          <w:rFonts w:ascii="Arial" w:hAnsi="Arial" w:cs="Arial"/>
          <w:sz w:val="20"/>
          <w:szCs w:val="20"/>
        </w:rPr>
        <w:t xml:space="preserve">), za </w:t>
      </w:r>
      <w:r w:rsidR="000F554C">
        <w:rPr>
          <w:rFonts w:ascii="Arial" w:hAnsi="Arial" w:cs="Arial"/>
          <w:sz w:val="20"/>
          <w:szCs w:val="20"/>
        </w:rPr>
        <w:t>ním následuje Jižní Korea (4,93 % v roce 2021</w:t>
      </w:r>
      <w:r w:rsidR="00BA4AA3">
        <w:rPr>
          <w:rFonts w:ascii="Arial" w:hAnsi="Arial" w:cs="Arial"/>
          <w:sz w:val="20"/>
          <w:szCs w:val="20"/>
        </w:rPr>
        <w:t>).</w:t>
      </w:r>
    </w:p>
    <w:p w14:paraId="713606B9" w14:textId="77777777" w:rsidR="00C715D8" w:rsidRDefault="00C715D8" w:rsidP="00444836">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6</w:t>
      </w:r>
      <w:r w:rsidRPr="00E66D3A">
        <w:rPr>
          <w:rFonts w:ascii="Arial" w:hAnsi="Arial" w:cs="Arial"/>
          <w:b/>
          <w:sz w:val="20"/>
          <w:szCs w:val="20"/>
        </w:rPr>
        <w:t xml:space="preserve">. </w:t>
      </w:r>
      <w:r>
        <w:rPr>
          <w:rFonts w:ascii="Arial" w:hAnsi="Arial" w:cs="Arial"/>
          <w:b/>
          <w:sz w:val="20"/>
          <w:szCs w:val="20"/>
        </w:rPr>
        <w:t xml:space="preserve">Podíl celkových výdajů na </w:t>
      </w:r>
      <w:proofErr w:type="spellStart"/>
      <w:r>
        <w:rPr>
          <w:rFonts w:ascii="Arial" w:hAnsi="Arial" w:cs="Arial"/>
          <w:b/>
          <w:sz w:val="20"/>
          <w:szCs w:val="20"/>
        </w:rPr>
        <w:t>VaV</w:t>
      </w:r>
      <w:proofErr w:type="spellEnd"/>
      <w:r>
        <w:rPr>
          <w:rFonts w:ascii="Arial" w:hAnsi="Arial" w:cs="Arial"/>
          <w:b/>
          <w:sz w:val="20"/>
          <w:szCs w:val="20"/>
        </w:rPr>
        <w:t xml:space="preserve"> (GERD) v zemích EU 27 na HDP v roce 2022 (%)</w:t>
      </w:r>
    </w:p>
    <w:p w14:paraId="2C4E155A" w14:textId="28DD9046" w:rsidR="00310198" w:rsidRDefault="00C715D8" w:rsidP="00444836">
      <w:pPr>
        <w:spacing w:after="120" w:line="288" w:lineRule="auto"/>
        <w:jc w:val="both"/>
        <w:rPr>
          <w:rFonts w:ascii="Arial" w:hAnsi="Arial" w:cs="Arial"/>
          <w:b/>
          <w:sz w:val="20"/>
          <w:szCs w:val="20"/>
        </w:rPr>
      </w:pPr>
      <w:r>
        <w:rPr>
          <w:noProof/>
          <w:lang w:eastAsia="cs-CZ"/>
        </w:rPr>
        <w:drawing>
          <wp:inline distT="0" distB="0" distL="0" distR="0" wp14:anchorId="2DAD59A3" wp14:editId="5C9F6702">
            <wp:extent cx="6083935" cy="2695575"/>
            <wp:effectExtent l="0" t="0" r="0" b="0"/>
            <wp:docPr id="73"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EBA192" w14:textId="5E2D2D02" w:rsidR="00444836" w:rsidRPr="00C715D8" w:rsidRDefault="00C715D8" w:rsidP="00C715D8">
      <w:pPr>
        <w:spacing w:after="120" w:line="288" w:lineRule="auto"/>
        <w:jc w:val="right"/>
        <w:rPr>
          <w:rFonts w:ascii="Arial" w:hAnsi="Arial" w:cs="Arial"/>
          <w:sz w:val="18"/>
          <w:szCs w:val="20"/>
        </w:rPr>
      </w:pPr>
      <w:r w:rsidRPr="00827195">
        <w:rPr>
          <w:rFonts w:ascii="Arial" w:hAnsi="Arial" w:cs="Arial"/>
          <w:i/>
          <w:sz w:val="18"/>
          <w:szCs w:val="20"/>
        </w:rPr>
        <w:t xml:space="preserve">Zdroj: </w:t>
      </w:r>
      <w:proofErr w:type="spellStart"/>
      <w:r w:rsidRPr="00827195">
        <w:rPr>
          <w:rFonts w:ascii="Arial" w:hAnsi="Arial" w:cs="Arial"/>
          <w:i/>
          <w:sz w:val="18"/>
          <w:szCs w:val="20"/>
        </w:rPr>
        <w:t>Eurostat</w:t>
      </w:r>
      <w:proofErr w:type="spellEnd"/>
    </w:p>
    <w:p w14:paraId="0CE8F7ED" w14:textId="11114716" w:rsidR="00C337A1" w:rsidRDefault="00C337A1" w:rsidP="00C337A1">
      <w:pPr>
        <w:spacing w:after="120" w:line="288" w:lineRule="auto"/>
        <w:jc w:val="both"/>
        <w:rPr>
          <w:rFonts w:ascii="Arial" w:hAnsi="Arial" w:cs="Arial"/>
          <w:sz w:val="20"/>
          <w:szCs w:val="20"/>
        </w:rPr>
      </w:pPr>
      <w:r>
        <w:rPr>
          <w:rFonts w:ascii="Arial" w:hAnsi="Arial" w:cs="Arial"/>
          <w:sz w:val="20"/>
          <w:szCs w:val="20"/>
        </w:rPr>
        <w:t xml:space="preserve">Výzkum a vývoj </w:t>
      </w:r>
      <w:r w:rsidR="00BE40F6">
        <w:rPr>
          <w:rFonts w:ascii="Arial" w:hAnsi="Arial" w:cs="Arial"/>
          <w:sz w:val="20"/>
          <w:szCs w:val="20"/>
        </w:rPr>
        <w:t xml:space="preserve">se </w:t>
      </w:r>
      <w:r>
        <w:rPr>
          <w:rFonts w:ascii="Arial" w:hAnsi="Arial" w:cs="Arial"/>
          <w:sz w:val="20"/>
          <w:szCs w:val="20"/>
        </w:rPr>
        <w:t xml:space="preserve">v Česku </w:t>
      </w:r>
      <w:r w:rsidR="00BE40F6">
        <w:rPr>
          <w:rFonts w:ascii="Arial" w:hAnsi="Arial" w:cs="Arial"/>
          <w:sz w:val="20"/>
          <w:szCs w:val="20"/>
        </w:rPr>
        <w:t xml:space="preserve">provádí </w:t>
      </w:r>
      <w:r>
        <w:rPr>
          <w:rFonts w:ascii="Arial" w:hAnsi="Arial" w:cs="Arial"/>
          <w:sz w:val="20"/>
          <w:szCs w:val="20"/>
        </w:rPr>
        <w:t>v největší míře ve třech krajích, a to v Praze</w:t>
      </w:r>
      <w:r w:rsidR="00BE40F6">
        <w:rPr>
          <w:rFonts w:ascii="Arial" w:hAnsi="Arial" w:cs="Arial"/>
          <w:sz w:val="20"/>
          <w:szCs w:val="20"/>
        </w:rPr>
        <w:t xml:space="preserve"> a </w:t>
      </w:r>
      <w:r>
        <w:rPr>
          <w:rFonts w:ascii="Arial" w:hAnsi="Arial" w:cs="Arial"/>
          <w:sz w:val="20"/>
          <w:szCs w:val="20"/>
        </w:rPr>
        <w:t xml:space="preserve">v Jihomoravském a Středočeském kraji. </w:t>
      </w:r>
      <w:r w:rsidR="00BE40F6">
        <w:rPr>
          <w:rFonts w:ascii="Arial" w:hAnsi="Arial" w:cs="Arial"/>
          <w:sz w:val="20"/>
          <w:szCs w:val="20"/>
        </w:rPr>
        <w:t>V roce 2022 měly tyto tři kraje d</w:t>
      </w:r>
      <w:r>
        <w:rPr>
          <w:rFonts w:ascii="Arial" w:hAnsi="Arial" w:cs="Arial"/>
          <w:sz w:val="20"/>
          <w:szCs w:val="20"/>
        </w:rPr>
        <w:t xml:space="preserve">ohromady 49% podíl pracovišť, 67% podíl pracovníků a dokonce 69% podíl výdajů na </w:t>
      </w:r>
      <w:proofErr w:type="spellStart"/>
      <w:r>
        <w:rPr>
          <w:rFonts w:ascii="Arial" w:hAnsi="Arial" w:cs="Arial"/>
          <w:sz w:val="20"/>
          <w:szCs w:val="20"/>
        </w:rPr>
        <w:t>VaV</w:t>
      </w:r>
      <w:proofErr w:type="spellEnd"/>
      <w:r>
        <w:rPr>
          <w:rFonts w:ascii="Arial" w:hAnsi="Arial" w:cs="Arial"/>
          <w:sz w:val="20"/>
          <w:szCs w:val="20"/>
        </w:rPr>
        <w:t xml:space="preserve"> na území</w:t>
      </w:r>
      <w:r w:rsidR="00BE40F6">
        <w:rPr>
          <w:rFonts w:ascii="Arial" w:hAnsi="Arial" w:cs="Arial"/>
          <w:sz w:val="20"/>
          <w:szCs w:val="20"/>
        </w:rPr>
        <w:t xml:space="preserve"> Česka</w:t>
      </w:r>
      <w:r>
        <w:rPr>
          <w:rFonts w:ascii="Arial" w:hAnsi="Arial" w:cs="Arial"/>
          <w:sz w:val="20"/>
          <w:szCs w:val="20"/>
        </w:rPr>
        <w:t xml:space="preserve">. Jednoznačným lídrem je dlouhodobě Praha, v níž se nachází nejvíce vysokých škol, ústavů Akademie věd i podniků provádějících </w:t>
      </w:r>
      <w:proofErr w:type="spellStart"/>
      <w:r>
        <w:rPr>
          <w:rFonts w:ascii="Arial" w:hAnsi="Arial" w:cs="Arial"/>
          <w:sz w:val="20"/>
          <w:szCs w:val="20"/>
        </w:rPr>
        <w:t>VaV</w:t>
      </w:r>
      <w:proofErr w:type="spellEnd"/>
      <w:r>
        <w:rPr>
          <w:rFonts w:ascii="Arial" w:hAnsi="Arial" w:cs="Arial"/>
          <w:sz w:val="20"/>
          <w:szCs w:val="20"/>
        </w:rPr>
        <w:t xml:space="preserve"> činnost. V roce 2022 se v Praze na </w:t>
      </w:r>
      <w:proofErr w:type="spellStart"/>
      <w:r>
        <w:rPr>
          <w:rFonts w:ascii="Arial" w:hAnsi="Arial" w:cs="Arial"/>
          <w:sz w:val="20"/>
          <w:szCs w:val="20"/>
        </w:rPr>
        <w:t>VaV</w:t>
      </w:r>
      <w:proofErr w:type="spellEnd"/>
      <w:r>
        <w:rPr>
          <w:rFonts w:ascii="Arial" w:hAnsi="Arial" w:cs="Arial"/>
          <w:sz w:val="20"/>
          <w:szCs w:val="20"/>
        </w:rPr>
        <w:t xml:space="preserve"> vynaložilo 51,7 mld. Kč. S velkým odstupem následoval Jihomoravský kraj, kde se výzkum výrazně koncentruje do krajského sídla Brna. V Jihomoravském kraji se na </w:t>
      </w:r>
      <w:proofErr w:type="spellStart"/>
      <w:r>
        <w:rPr>
          <w:rFonts w:ascii="Arial" w:hAnsi="Arial" w:cs="Arial"/>
          <w:sz w:val="20"/>
          <w:szCs w:val="20"/>
        </w:rPr>
        <w:t>VaV</w:t>
      </w:r>
      <w:proofErr w:type="spellEnd"/>
      <w:r>
        <w:rPr>
          <w:rFonts w:ascii="Arial" w:hAnsi="Arial" w:cs="Arial"/>
          <w:sz w:val="20"/>
          <w:szCs w:val="20"/>
        </w:rPr>
        <w:t xml:space="preserve"> v roce 2022 vynaložilo celkem 22,9 mld. Kč, z toho 93 % připadalo na okres Brno-město. V</w:t>
      </w:r>
      <w:r w:rsidR="00432F7B">
        <w:rPr>
          <w:rFonts w:ascii="Arial" w:hAnsi="Arial" w:cs="Arial"/>
          <w:sz w:val="20"/>
          <w:szCs w:val="20"/>
        </w:rPr>
        <w:t> </w:t>
      </w:r>
      <w:r>
        <w:rPr>
          <w:rFonts w:ascii="Arial" w:hAnsi="Arial" w:cs="Arial"/>
          <w:sz w:val="20"/>
          <w:szCs w:val="20"/>
        </w:rPr>
        <w:t>pořadí</w:t>
      </w:r>
      <w:r w:rsidR="00432F7B">
        <w:rPr>
          <w:rFonts w:ascii="Arial" w:hAnsi="Arial" w:cs="Arial"/>
          <w:sz w:val="20"/>
          <w:szCs w:val="20"/>
        </w:rPr>
        <w:t xml:space="preserve"> třetím</w:t>
      </w:r>
      <w:r w:rsidR="00BE40F6">
        <w:rPr>
          <w:rFonts w:ascii="Arial" w:hAnsi="Arial" w:cs="Arial"/>
          <w:sz w:val="20"/>
          <w:szCs w:val="20"/>
        </w:rPr>
        <w:t>,</w:t>
      </w:r>
      <w:r w:rsidR="00432F7B">
        <w:rPr>
          <w:rFonts w:ascii="Arial" w:hAnsi="Arial" w:cs="Arial"/>
          <w:sz w:val="20"/>
          <w:szCs w:val="20"/>
        </w:rPr>
        <w:t xml:space="preserve"> Středočeském</w:t>
      </w:r>
      <w:r w:rsidR="00BE40F6">
        <w:rPr>
          <w:rFonts w:ascii="Arial" w:hAnsi="Arial" w:cs="Arial"/>
          <w:sz w:val="20"/>
          <w:szCs w:val="20"/>
        </w:rPr>
        <w:t>,</w:t>
      </w:r>
      <w:r w:rsidR="00432F7B">
        <w:rPr>
          <w:rFonts w:ascii="Arial" w:hAnsi="Arial" w:cs="Arial"/>
          <w:sz w:val="20"/>
          <w:szCs w:val="20"/>
        </w:rPr>
        <w:t xml:space="preserve"> kraji</w:t>
      </w:r>
      <w:r>
        <w:rPr>
          <w:rFonts w:ascii="Arial" w:hAnsi="Arial" w:cs="Arial"/>
          <w:sz w:val="20"/>
          <w:szCs w:val="20"/>
        </w:rPr>
        <w:t xml:space="preserve"> </w:t>
      </w:r>
      <w:r w:rsidR="00BE40F6">
        <w:rPr>
          <w:rFonts w:ascii="Arial" w:hAnsi="Arial" w:cs="Arial"/>
          <w:sz w:val="20"/>
          <w:szCs w:val="20"/>
        </w:rPr>
        <w:t xml:space="preserve">se </w:t>
      </w:r>
      <w:r>
        <w:rPr>
          <w:rFonts w:ascii="Arial" w:hAnsi="Arial" w:cs="Arial"/>
          <w:sz w:val="20"/>
          <w:szCs w:val="20"/>
        </w:rPr>
        <w:t xml:space="preserve">v roce 2022 </w:t>
      </w:r>
      <w:r w:rsidR="00BE40F6">
        <w:rPr>
          <w:rFonts w:ascii="Arial" w:hAnsi="Arial" w:cs="Arial"/>
          <w:sz w:val="20"/>
          <w:szCs w:val="20"/>
        </w:rPr>
        <w:t>utratilo za</w:t>
      </w:r>
      <w:r>
        <w:rPr>
          <w:rFonts w:ascii="Arial" w:hAnsi="Arial" w:cs="Arial"/>
          <w:sz w:val="20"/>
          <w:szCs w:val="20"/>
        </w:rPr>
        <w:t xml:space="preserve"> </w:t>
      </w:r>
      <w:proofErr w:type="spellStart"/>
      <w:r>
        <w:rPr>
          <w:rFonts w:ascii="Arial" w:hAnsi="Arial" w:cs="Arial"/>
          <w:sz w:val="20"/>
          <w:szCs w:val="20"/>
        </w:rPr>
        <w:t>VaV</w:t>
      </w:r>
      <w:proofErr w:type="spellEnd"/>
      <w:r>
        <w:rPr>
          <w:rFonts w:ascii="Arial" w:hAnsi="Arial" w:cs="Arial"/>
          <w:sz w:val="20"/>
          <w:szCs w:val="20"/>
        </w:rPr>
        <w:t xml:space="preserve"> 17,7 mld. Kč. Ve Středočeském kraji má výrazné zastoupení podnikový výzkum. Z jednotlivých okresů připadal největší podíl na výdajích na </w:t>
      </w:r>
      <w:proofErr w:type="spellStart"/>
      <w:r>
        <w:rPr>
          <w:rFonts w:ascii="Arial" w:hAnsi="Arial" w:cs="Arial"/>
          <w:sz w:val="20"/>
          <w:szCs w:val="20"/>
        </w:rPr>
        <w:t>VaV</w:t>
      </w:r>
      <w:proofErr w:type="spellEnd"/>
      <w:r>
        <w:rPr>
          <w:rFonts w:ascii="Arial" w:hAnsi="Arial" w:cs="Arial"/>
          <w:sz w:val="20"/>
          <w:szCs w:val="20"/>
        </w:rPr>
        <w:t xml:space="preserve"> Středočeského kraje na Mladou Boleslav (45 %), za níž následovaly okresy Praha-západ (18 %) a Praha-východ (17 %). </w:t>
      </w:r>
    </w:p>
    <w:p w14:paraId="0AE16BCE" w14:textId="52F95651" w:rsidR="00F03185" w:rsidRDefault="00F8647D" w:rsidP="001A67C4">
      <w:pPr>
        <w:spacing w:after="120" w:line="288" w:lineRule="auto"/>
        <w:jc w:val="both"/>
        <w:rPr>
          <w:rFonts w:ascii="Arial" w:hAnsi="Arial" w:cs="Arial"/>
          <w:sz w:val="20"/>
          <w:szCs w:val="20"/>
        </w:rPr>
      </w:pPr>
      <w:r>
        <w:rPr>
          <w:rFonts w:ascii="Arial" w:hAnsi="Arial" w:cs="Arial"/>
          <w:sz w:val="20"/>
          <w:szCs w:val="20"/>
        </w:rPr>
        <w:t>V u</w:t>
      </w:r>
      <w:r w:rsidR="004737FA">
        <w:rPr>
          <w:rFonts w:ascii="Arial" w:hAnsi="Arial" w:cs="Arial"/>
          <w:sz w:val="20"/>
          <w:szCs w:val="20"/>
        </w:rPr>
        <w:t xml:space="preserve">kazateli podílu výdajů na </w:t>
      </w:r>
      <w:proofErr w:type="spellStart"/>
      <w:r w:rsidR="004737FA">
        <w:rPr>
          <w:rFonts w:ascii="Arial" w:hAnsi="Arial" w:cs="Arial"/>
          <w:sz w:val="20"/>
          <w:szCs w:val="20"/>
        </w:rPr>
        <w:t>VaV</w:t>
      </w:r>
      <w:proofErr w:type="spellEnd"/>
      <w:r w:rsidR="004737FA">
        <w:rPr>
          <w:rFonts w:ascii="Arial" w:hAnsi="Arial" w:cs="Arial"/>
          <w:sz w:val="20"/>
          <w:szCs w:val="20"/>
        </w:rPr>
        <w:t xml:space="preserve"> na krajském HDP opět vyčnívají tři výše zmiňované regiony, které jako jediné z Česka překonávají hranici 2 %. Ve vedoucím Jihomoravské kraji se dokonce</w:t>
      </w:r>
      <w:r w:rsidR="000140F1">
        <w:rPr>
          <w:rFonts w:ascii="Arial" w:hAnsi="Arial" w:cs="Arial"/>
          <w:sz w:val="20"/>
          <w:szCs w:val="20"/>
        </w:rPr>
        <w:t>,</w:t>
      </w:r>
      <w:r w:rsidR="004737FA">
        <w:rPr>
          <w:rFonts w:ascii="Arial" w:hAnsi="Arial" w:cs="Arial"/>
          <w:sz w:val="20"/>
          <w:szCs w:val="20"/>
        </w:rPr>
        <w:t xml:space="preserve"> jako </w:t>
      </w:r>
      <w:r w:rsidR="000140F1">
        <w:rPr>
          <w:rFonts w:ascii="Arial" w:hAnsi="Arial" w:cs="Arial"/>
          <w:sz w:val="20"/>
          <w:szCs w:val="20"/>
        </w:rPr>
        <w:t xml:space="preserve">v </w:t>
      </w:r>
      <w:r w:rsidR="004737FA">
        <w:rPr>
          <w:rFonts w:ascii="Arial" w:hAnsi="Arial" w:cs="Arial"/>
          <w:sz w:val="20"/>
          <w:szCs w:val="20"/>
        </w:rPr>
        <w:t>jediném regionu Česka</w:t>
      </w:r>
      <w:r w:rsidR="000140F1">
        <w:rPr>
          <w:rFonts w:ascii="Arial" w:hAnsi="Arial" w:cs="Arial"/>
          <w:sz w:val="20"/>
          <w:szCs w:val="20"/>
        </w:rPr>
        <w:t>,</w:t>
      </w:r>
      <w:r w:rsidR="004737FA">
        <w:rPr>
          <w:rFonts w:ascii="Arial" w:hAnsi="Arial" w:cs="Arial"/>
          <w:sz w:val="20"/>
          <w:szCs w:val="20"/>
        </w:rPr>
        <w:t xml:space="preserve"> vynakládají na </w:t>
      </w:r>
      <w:proofErr w:type="spellStart"/>
      <w:r w:rsidR="004737FA">
        <w:rPr>
          <w:rFonts w:ascii="Arial" w:hAnsi="Arial" w:cs="Arial"/>
          <w:sz w:val="20"/>
          <w:szCs w:val="20"/>
        </w:rPr>
        <w:t>VaV</w:t>
      </w:r>
      <w:proofErr w:type="spellEnd"/>
      <w:r w:rsidR="004737FA">
        <w:rPr>
          <w:rFonts w:ascii="Arial" w:hAnsi="Arial" w:cs="Arial"/>
          <w:sz w:val="20"/>
          <w:szCs w:val="20"/>
        </w:rPr>
        <w:t xml:space="preserve"> více než 3 % tamního HDP, v </w:t>
      </w:r>
      <w:r w:rsidR="009849A0">
        <w:rPr>
          <w:rFonts w:ascii="Arial" w:hAnsi="Arial" w:cs="Arial"/>
          <w:sz w:val="20"/>
          <w:szCs w:val="20"/>
        </w:rPr>
        <w:t>roce 2022 to bylo 3,0</w:t>
      </w:r>
      <w:r w:rsidR="004737FA">
        <w:rPr>
          <w:rFonts w:ascii="Arial" w:hAnsi="Arial" w:cs="Arial"/>
          <w:sz w:val="20"/>
          <w:szCs w:val="20"/>
        </w:rPr>
        <w:t>8 %. N</w:t>
      </w:r>
      <w:r w:rsidR="009849A0">
        <w:rPr>
          <w:rFonts w:ascii="Arial" w:hAnsi="Arial" w:cs="Arial"/>
          <w:sz w:val="20"/>
          <w:szCs w:val="20"/>
        </w:rPr>
        <w:t>a druhé příčce byla Praha s 2,69</w:t>
      </w:r>
      <w:r w:rsidR="00793608">
        <w:rPr>
          <w:rFonts w:ascii="Arial" w:hAnsi="Arial" w:cs="Arial"/>
          <w:sz w:val="20"/>
          <w:szCs w:val="20"/>
        </w:rPr>
        <w:t> </w:t>
      </w:r>
      <w:r w:rsidR="004737FA">
        <w:rPr>
          <w:rFonts w:ascii="Arial" w:hAnsi="Arial" w:cs="Arial"/>
          <w:sz w:val="20"/>
          <w:szCs w:val="20"/>
        </w:rPr>
        <w:t xml:space="preserve">% a na třetím Středočeský kraj s 2,28 %. </w:t>
      </w:r>
      <w:r w:rsidR="00EA66BC">
        <w:rPr>
          <w:rFonts w:ascii="Arial" w:hAnsi="Arial" w:cs="Arial"/>
          <w:sz w:val="20"/>
          <w:szCs w:val="20"/>
        </w:rPr>
        <w:t xml:space="preserve">Více než 1,5 % HDP se vydalo </w:t>
      </w:r>
      <w:r w:rsidR="009849A0">
        <w:rPr>
          <w:rFonts w:ascii="Arial" w:hAnsi="Arial" w:cs="Arial"/>
          <w:sz w:val="20"/>
          <w:szCs w:val="20"/>
        </w:rPr>
        <w:t xml:space="preserve">na </w:t>
      </w:r>
      <w:proofErr w:type="spellStart"/>
      <w:r w:rsidR="009849A0">
        <w:rPr>
          <w:rFonts w:ascii="Arial" w:hAnsi="Arial" w:cs="Arial"/>
          <w:sz w:val="20"/>
          <w:szCs w:val="20"/>
        </w:rPr>
        <w:t>VaV</w:t>
      </w:r>
      <w:proofErr w:type="spellEnd"/>
      <w:r w:rsidR="009849A0">
        <w:rPr>
          <w:rFonts w:ascii="Arial" w:hAnsi="Arial" w:cs="Arial"/>
          <w:sz w:val="20"/>
          <w:szCs w:val="20"/>
        </w:rPr>
        <w:t xml:space="preserve"> v Plzeňském, Olomouckém a Libere</w:t>
      </w:r>
      <w:r w:rsidR="00EA66BC">
        <w:rPr>
          <w:rFonts w:ascii="Arial" w:hAnsi="Arial" w:cs="Arial"/>
          <w:sz w:val="20"/>
          <w:szCs w:val="20"/>
        </w:rPr>
        <w:t>ckém kraji. Naopak ve čtyřech krajích byl tento podíl nižší</w:t>
      </w:r>
      <w:r>
        <w:rPr>
          <w:rFonts w:ascii="Arial" w:hAnsi="Arial" w:cs="Arial"/>
          <w:sz w:val="20"/>
          <w:szCs w:val="20"/>
        </w:rPr>
        <w:t xml:space="preserve"> než</w:t>
      </w:r>
      <w:r w:rsidR="00EA66BC">
        <w:rPr>
          <w:rFonts w:ascii="Arial" w:hAnsi="Arial" w:cs="Arial"/>
          <w:sz w:val="20"/>
          <w:szCs w:val="20"/>
        </w:rPr>
        <w:t xml:space="preserve"> </w:t>
      </w:r>
      <w:r w:rsidR="000140F1">
        <w:rPr>
          <w:rFonts w:ascii="Arial" w:hAnsi="Arial" w:cs="Arial"/>
          <w:sz w:val="20"/>
          <w:szCs w:val="20"/>
        </w:rPr>
        <w:t>1 </w:t>
      </w:r>
      <w:r w:rsidR="00EA66BC">
        <w:rPr>
          <w:rFonts w:ascii="Arial" w:hAnsi="Arial" w:cs="Arial"/>
          <w:sz w:val="20"/>
          <w:szCs w:val="20"/>
        </w:rPr>
        <w:t>%, a to v Královéhradeckém kraji, Kraji Vysočina, Ústeckém kraji a Karlovarském kraji.</w:t>
      </w:r>
    </w:p>
    <w:p w14:paraId="5AA445CE" w14:textId="4482CDBB" w:rsidR="00C715D8" w:rsidRDefault="002D4B7A" w:rsidP="001A67C4">
      <w:pPr>
        <w:spacing w:after="120" w:line="288" w:lineRule="auto"/>
        <w:jc w:val="both"/>
        <w:rPr>
          <w:rFonts w:ascii="Arial" w:hAnsi="Arial" w:cs="Arial"/>
          <w:sz w:val="20"/>
          <w:szCs w:val="20"/>
        </w:rPr>
      </w:pPr>
      <w:r>
        <w:rPr>
          <w:rFonts w:ascii="Arial" w:hAnsi="Arial" w:cs="Arial"/>
          <w:sz w:val="20"/>
          <w:szCs w:val="20"/>
        </w:rPr>
        <w:t xml:space="preserve">V roce 2022 pracovalo v Česku ve výzkumu a vývoji 123 tis. osob. V ukazateli osob přepočtených na plný roční úvazek ve </w:t>
      </w:r>
      <w:proofErr w:type="spellStart"/>
      <w:r>
        <w:rPr>
          <w:rFonts w:ascii="Arial" w:hAnsi="Arial" w:cs="Arial"/>
          <w:sz w:val="20"/>
          <w:szCs w:val="20"/>
        </w:rPr>
        <w:t>VaV</w:t>
      </w:r>
      <w:proofErr w:type="spellEnd"/>
      <w:r>
        <w:rPr>
          <w:rFonts w:ascii="Arial" w:hAnsi="Arial" w:cs="Arial"/>
          <w:sz w:val="20"/>
          <w:szCs w:val="20"/>
        </w:rPr>
        <w:t xml:space="preserve"> (FTE) to bylo 86,1 tis. osob. V Česku tak ve </w:t>
      </w:r>
      <w:proofErr w:type="spellStart"/>
      <w:r>
        <w:rPr>
          <w:rFonts w:ascii="Arial" w:hAnsi="Arial" w:cs="Arial"/>
          <w:sz w:val="20"/>
          <w:szCs w:val="20"/>
        </w:rPr>
        <w:t>VaV</w:t>
      </w:r>
      <w:proofErr w:type="spellEnd"/>
      <w:r>
        <w:rPr>
          <w:rFonts w:ascii="Arial" w:hAnsi="Arial" w:cs="Arial"/>
          <w:sz w:val="20"/>
          <w:szCs w:val="20"/>
        </w:rPr>
        <w:t xml:space="preserve"> pracuje jen o trochu méně osob než v sousedním Rakousku, kde to v roce 2021 bylo celkem 92,6 tis. přepočtených osob (FTE). V celé Evropské Unii pracovalo ve </w:t>
      </w:r>
      <w:proofErr w:type="spellStart"/>
      <w:r>
        <w:rPr>
          <w:rFonts w:ascii="Arial" w:hAnsi="Arial" w:cs="Arial"/>
          <w:sz w:val="20"/>
          <w:szCs w:val="20"/>
        </w:rPr>
        <w:t>VaV</w:t>
      </w:r>
      <w:proofErr w:type="spellEnd"/>
      <w:r>
        <w:rPr>
          <w:rFonts w:ascii="Arial" w:hAnsi="Arial" w:cs="Arial"/>
          <w:sz w:val="20"/>
          <w:szCs w:val="20"/>
        </w:rPr>
        <w:t xml:space="preserve"> více než 3,2 mil. osob (FTE). Téměř čtvrtina z těchto pracovníků (783 tis. osob) byla zaměstnána v Německu. S odstupem na druhém místě za Německem následovala Francie, kde se v roce 2022 přehoupl počet pracovníků ve </w:t>
      </w:r>
      <w:proofErr w:type="spellStart"/>
      <w:r>
        <w:rPr>
          <w:rFonts w:ascii="Arial" w:hAnsi="Arial" w:cs="Arial"/>
          <w:sz w:val="20"/>
          <w:szCs w:val="20"/>
        </w:rPr>
        <w:t>VaV</w:t>
      </w:r>
      <w:proofErr w:type="spellEnd"/>
      <w:r>
        <w:rPr>
          <w:rFonts w:ascii="Arial" w:hAnsi="Arial" w:cs="Arial"/>
          <w:sz w:val="20"/>
          <w:szCs w:val="20"/>
        </w:rPr>
        <w:t xml:space="preserve"> přes půl milionu osob. V sousedním Polsku pracuje ve </w:t>
      </w:r>
      <w:proofErr w:type="spellStart"/>
      <w:r>
        <w:rPr>
          <w:rFonts w:ascii="Arial" w:hAnsi="Arial" w:cs="Arial"/>
          <w:sz w:val="20"/>
          <w:szCs w:val="20"/>
        </w:rPr>
        <w:t>VaV</w:t>
      </w:r>
      <w:proofErr w:type="spellEnd"/>
      <w:r>
        <w:rPr>
          <w:rFonts w:ascii="Arial" w:hAnsi="Arial" w:cs="Arial"/>
          <w:sz w:val="20"/>
          <w:szCs w:val="20"/>
        </w:rPr>
        <w:t xml:space="preserve"> přibližně </w:t>
      </w:r>
      <w:r>
        <w:rPr>
          <w:rFonts w:ascii="Arial" w:hAnsi="Arial" w:cs="Arial"/>
          <w:sz w:val="20"/>
          <w:szCs w:val="20"/>
        </w:rPr>
        <w:lastRenderedPageBreak/>
        <w:t>dvojnásobek osob oproti Česku (195 tis. osob v roce 2022), zatímco na Slovensku je to skoro čtyřikrát méně než u nás (23 tis. osob v roce 2022).</w:t>
      </w:r>
    </w:p>
    <w:p w14:paraId="1B8A42BD" w14:textId="77777777" w:rsidR="00C715D8" w:rsidRDefault="00C715D8" w:rsidP="00C337A1">
      <w:pPr>
        <w:spacing w:after="120" w:line="288" w:lineRule="auto"/>
        <w:jc w:val="both"/>
        <w:rPr>
          <w:rFonts w:ascii="Arial" w:hAnsi="Arial" w:cs="Arial"/>
          <w:b/>
          <w:sz w:val="20"/>
          <w:szCs w:val="20"/>
        </w:rPr>
      </w:pPr>
      <w:r w:rsidRPr="00C67BA8">
        <w:rPr>
          <w:rFonts w:ascii="Arial" w:hAnsi="Arial" w:cs="Arial"/>
          <w:b/>
          <w:sz w:val="20"/>
          <w:szCs w:val="20"/>
        </w:rPr>
        <w:t>Kartogram</w:t>
      </w:r>
      <w:r>
        <w:rPr>
          <w:rFonts w:ascii="Arial" w:hAnsi="Arial" w:cs="Arial"/>
          <w:b/>
          <w:sz w:val="20"/>
          <w:szCs w:val="20"/>
        </w:rPr>
        <w:t xml:space="preserve"> 1. Výdaje na výzkum a vývoj podle krajů v roce 2022 (mil. Kč; % HDP)</w:t>
      </w:r>
    </w:p>
    <w:p w14:paraId="3D93643A" w14:textId="77777777" w:rsidR="00C715D8" w:rsidRDefault="00C715D8" w:rsidP="00C337A1">
      <w:pPr>
        <w:spacing w:after="120" w:line="288" w:lineRule="auto"/>
        <w:jc w:val="both"/>
        <w:rPr>
          <w:rFonts w:ascii="Arial" w:hAnsi="Arial" w:cs="Arial"/>
          <w:sz w:val="20"/>
          <w:szCs w:val="20"/>
        </w:rPr>
      </w:pPr>
      <w:r w:rsidRPr="000E3C07">
        <w:rPr>
          <w:rFonts w:ascii="Arial" w:hAnsi="Arial" w:cs="Arial"/>
          <w:b/>
          <w:noProof/>
          <w:sz w:val="20"/>
          <w:szCs w:val="20"/>
          <w:lang w:eastAsia="cs-CZ"/>
        </w:rPr>
        <w:drawing>
          <wp:inline distT="0" distB="0" distL="0" distR="0" wp14:anchorId="71B8B2C7" wp14:editId="55AF79A6">
            <wp:extent cx="6120120" cy="3841115"/>
            <wp:effectExtent l="0" t="0" r="0" b="6985"/>
            <wp:docPr id="72" name="Obrázek 72" descr="C:\Users\stampach16510\VTR\web stranky CSU_vyzkum a vyvoj\2022\kartogramy\mapy_podklady\Marek_202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mpach16510\VTR\web stranky CSU_vyzkum a vyvoj\2022\kartogramy\mapy_podklady\Marek_2022\17.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27"/>
                    <a:stretch/>
                  </pic:blipFill>
                  <pic:spPr bwMode="auto">
                    <a:xfrm>
                      <a:off x="0" y="0"/>
                      <a:ext cx="6120130" cy="3841121"/>
                    </a:xfrm>
                    <a:prstGeom prst="rect">
                      <a:avLst/>
                    </a:prstGeom>
                    <a:noFill/>
                    <a:ln>
                      <a:noFill/>
                    </a:ln>
                    <a:extLst>
                      <a:ext uri="{53640926-AAD7-44D8-BBD7-CCE9431645EC}">
                        <a14:shadowObscured xmlns:a14="http://schemas.microsoft.com/office/drawing/2010/main"/>
                      </a:ext>
                    </a:extLst>
                  </pic:spPr>
                </pic:pic>
              </a:graphicData>
            </a:graphic>
          </wp:inline>
        </w:drawing>
      </w:r>
    </w:p>
    <w:p w14:paraId="3E441E4A" w14:textId="5BE3F62D" w:rsidR="00444836" w:rsidRDefault="00C715D8" w:rsidP="002D4B7A">
      <w:pPr>
        <w:spacing w:after="120" w:line="288" w:lineRule="auto"/>
        <w:jc w:val="right"/>
        <w:rPr>
          <w:rFonts w:ascii="Arial" w:hAnsi="Arial" w:cs="Arial"/>
          <w:b/>
          <w:sz w:val="20"/>
          <w:szCs w:val="20"/>
        </w:rPr>
      </w:pPr>
      <w:r w:rsidRPr="0019141D">
        <w:rPr>
          <w:rFonts w:ascii="Arial" w:hAnsi="Arial" w:cs="Arial"/>
          <w:i/>
          <w:sz w:val="18"/>
          <w:szCs w:val="20"/>
        </w:rPr>
        <w:t>Zdroj: ČSÚ; Roční zjišťování o výzkumu a vývoji VTR 5-01</w:t>
      </w:r>
    </w:p>
    <w:p w14:paraId="2359565D" w14:textId="0E64C6EC" w:rsidR="00C337A1" w:rsidRDefault="003F60FD" w:rsidP="00C337A1">
      <w:pPr>
        <w:spacing w:after="120" w:line="288" w:lineRule="auto"/>
        <w:jc w:val="both"/>
        <w:rPr>
          <w:rFonts w:ascii="Arial" w:hAnsi="Arial" w:cs="Arial"/>
          <w:sz w:val="20"/>
          <w:szCs w:val="20"/>
        </w:rPr>
      </w:pPr>
      <w:r>
        <w:rPr>
          <w:rFonts w:ascii="Arial" w:hAnsi="Arial" w:cs="Arial"/>
          <w:sz w:val="20"/>
          <w:szCs w:val="20"/>
        </w:rPr>
        <w:t xml:space="preserve">Ve srovnání s ostatními státy EU27 má </w:t>
      </w:r>
      <w:r w:rsidR="00C337A1">
        <w:rPr>
          <w:rFonts w:ascii="Arial" w:hAnsi="Arial" w:cs="Arial"/>
          <w:sz w:val="20"/>
          <w:szCs w:val="20"/>
        </w:rPr>
        <w:t xml:space="preserve">Česko dlouhodobě nízké zastoupení žen ve </w:t>
      </w:r>
      <w:proofErr w:type="spellStart"/>
      <w:r w:rsidR="00C337A1">
        <w:rPr>
          <w:rFonts w:ascii="Arial" w:hAnsi="Arial" w:cs="Arial"/>
          <w:sz w:val="20"/>
          <w:szCs w:val="20"/>
        </w:rPr>
        <w:t>VaV</w:t>
      </w:r>
      <w:proofErr w:type="spellEnd"/>
      <w:r w:rsidR="00C337A1">
        <w:rPr>
          <w:rFonts w:ascii="Arial" w:hAnsi="Arial" w:cs="Arial"/>
          <w:sz w:val="20"/>
          <w:szCs w:val="20"/>
        </w:rPr>
        <w:t>. Česko s 29% podílem žen patří mezi 5 států EU</w:t>
      </w:r>
      <w:r>
        <w:rPr>
          <w:rFonts w:ascii="Arial" w:hAnsi="Arial" w:cs="Arial"/>
          <w:sz w:val="20"/>
          <w:szCs w:val="20"/>
        </w:rPr>
        <w:t>27</w:t>
      </w:r>
      <w:r w:rsidR="00C337A1">
        <w:rPr>
          <w:rFonts w:ascii="Arial" w:hAnsi="Arial" w:cs="Arial"/>
          <w:sz w:val="20"/>
          <w:szCs w:val="20"/>
        </w:rPr>
        <w:t xml:space="preserve">, kde je podíl žen ve </w:t>
      </w:r>
      <w:proofErr w:type="spellStart"/>
      <w:r w:rsidR="00C337A1">
        <w:rPr>
          <w:rFonts w:ascii="Arial" w:hAnsi="Arial" w:cs="Arial"/>
          <w:sz w:val="20"/>
          <w:szCs w:val="20"/>
        </w:rPr>
        <w:t>VaV</w:t>
      </w:r>
      <w:proofErr w:type="spellEnd"/>
      <w:r w:rsidR="00C337A1">
        <w:rPr>
          <w:rFonts w:ascii="Arial" w:hAnsi="Arial" w:cs="Arial"/>
          <w:sz w:val="20"/>
          <w:szCs w:val="20"/>
        </w:rPr>
        <w:t xml:space="preserve"> nižší než </w:t>
      </w:r>
      <w:r w:rsidR="005E5AAB">
        <w:rPr>
          <w:rFonts w:ascii="Arial" w:hAnsi="Arial" w:cs="Arial"/>
          <w:sz w:val="20"/>
          <w:szCs w:val="20"/>
        </w:rPr>
        <w:t>30 </w:t>
      </w:r>
      <w:r w:rsidR="00C337A1">
        <w:rPr>
          <w:rFonts w:ascii="Arial" w:hAnsi="Arial" w:cs="Arial"/>
          <w:sz w:val="20"/>
          <w:szCs w:val="20"/>
        </w:rPr>
        <w:t>%. Do této skupiny států patří také naši sousedé z Německa a Rakouska. V devíti státech EU</w:t>
      </w:r>
      <w:r w:rsidR="005E5AAB">
        <w:rPr>
          <w:rFonts w:ascii="Arial" w:hAnsi="Arial" w:cs="Arial"/>
          <w:sz w:val="20"/>
          <w:szCs w:val="20"/>
        </w:rPr>
        <w:t>27</w:t>
      </w:r>
      <w:r w:rsidR="00190EF1">
        <w:rPr>
          <w:rFonts w:ascii="Arial" w:hAnsi="Arial" w:cs="Arial"/>
          <w:sz w:val="20"/>
          <w:szCs w:val="20"/>
        </w:rPr>
        <w:t xml:space="preserve"> </w:t>
      </w:r>
      <w:r w:rsidR="00C337A1">
        <w:rPr>
          <w:rFonts w:ascii="Arial" w:hAnsi="Arial" w:cs="Arial"/>
          <w:sz w:val="20"/>
          <w:szCs w:val="20"/>
        </w:rPr>
        <w:t xml:space="preserve">je zastoupení žen mezi pracovníky ve </w:t>
      </w:r>
      <w:proofErr w:type="spellStart"/>
      <w:r w:rsidR="00C337A1">
        <w:rPr>
          <w:rFonts w:ascii="Arial" w:hAnsi="Arial" w:cs="Arial"/>
          <w:sz w:val="20"/>
          <w:szCs w:val="20"/>
        </w:rPr>
        <w:t>VaV</w:t>
      </w:r>
      <w:proofErr w:type="spellEnd"/>
      <w:r w:rsidR="00C337A1">
        <w:rPr>
          <w:rFonts w:ascii="Arial" w:hAnsi="Arial" w:cs="Arial"/>
          <w:sz w:val="20"/>
          <w:szCs w:val="20"/>
        </w:rPr>
        <w:t xml:space="preserve"> vyšší než 40 %, v případě Lotyšska </w:t>
      </w:r>
      <w:r w:rsidR="00432F7B">
        <w:rPr>
          <w:rFonts w:ascii="Arial" w:hAnsi="Arial" w:cs="Arial"/>
          <w:sz w:val="20"/>
          <w:szCs w:val="20"/>
        </w:rPr>
        <w:t xml:space="preserve">je to </w:t>
      </w:r>
      <w:r w:rsidR="00C337A1">
        <w:rPr>
          <w:rFonts w:ascii="Arial" w:hAnsi="Arial" w:cs="Arial"/>
          <w:sz w:val="20"/>
          <w:szCs w:val="20"/>
        </w:rPr>
        <w:t xml:space="preserve">dokonce více než </w:t>
      </w:r>
      <w:r w:rsidR="005E5AAB">
        <w:rPr>
          <w:rFonts w:ascii="Arial" w:hAnsi="Arial" w:cs="Arial"/>
          <w:sz w:val="20"/>
          <w:szCs w:val="20"/>
        </w:rPr>
        <w:t>50 </w:t>
      </w:r>
      <w:r w:rsidR="00C337A1">
        <w:rPr>
          <w:rFonts w:ascii="Arial" w:hAnsi="Arial" w:cs="Arial"/>
          <w:sz w:val="20"/>
          <w:szCs w:val="20"/>
        </w:rPr>
        <w:t xml:space="preserve">%. V ukazateli podílu pracovníků </w:t>
      </w:r>
      <w:proofErr w:type="spellStart"/>
      <w:r w:rsidR="00C337A1">
        <w:rPr>
          <w:rFonts w:ascii="Arial" w:hAnsi="Arial" w:cs="Arial"/>
          <w:sz w:val="20"/>
          <w:szCs w:val="20"/>
        </w:rPr>
        <w:t>VaV</w:t>
      </w:r>
      <w:proofErr w:type="spellEnd"/>
      <w:r w:rsidR="00C337A1">
        <w:rPr>
          <w:rFonts w:ascii="Arial" w:hAnsi="Arial" w:cs="Arial"/>
          <w:sz w:val="20"/>
          <w:szCs w:val="20"/>
        </w:rPr>
        <w:t xml:space="preserve"> (FTE) na celkové populaci se Česko řadí mezi nadprůměrné státy EU</w:t>
      </w:r>
      <w:r w:rsidR="005E5AAB">
        <w:rPr>
          <w:rFonts w:ascii="Arial" w:hAnsi="Arial" w:cs="Arial"/>
          <w:sz w:val="20"/>
          <w:szCs w:val="20"/>
        </w:rPr>
        <w:t>27</w:t>
      </w:r>
      <w:r w:rsidR="00C337A1">
        <w:rPr>
          <w:rFonts w:ascii="Arial" w:hAnsi="Arial" w:cs="Arial"/>
          <w:sz w:val="20"/>
          <w:szCs w:val="20"/>
        </w:rPr>
        <w:t xml:space="preserve">. Průměr EU v roce 2022 činil 7,2 osob ve </w:t>
      </w:r>
      <w:proofErr w:type="spellStart"/>
      <w:r w:rsidR="00C337A1">
        <w:rPr>
          <w:rFonts w:ascii="Arial" w:hAnsi="Arial" w:cs="Arial"/>
          <w:sz w:val="20"/>
          <w:szCs w:val="20"/>
        </w:rPr>
        <w:t>VaV</w:t>
      </w:r>
      <w:proofErr w:type="spellEnd"/>
      <w:r w:rsidR="00C337A1">
        <w:rPr>
          <w:rFonts w:ascii="Arial" w:hAnsi="Arial" w:cs="Arial"/>
          <w:sz w:val="20"/>
          <w:szCs w:val="20"/>
        </w:rPr>
        <w:t xml:space="preserve"> (FTE) na 1 000 obyvatel. V Česku pracovalo ve </w:t>
      </w:r>
      <w:proofErr w:type="spellStart"/>
      <w:r w:rsidR="00C337A1">
        <w:rPr>
          <w:rFonts w:ascii="Arial" w:hAnsi="Arial" w:cs="Arial"/>
          <w:sz w:val="20"/>
          <w:szCs w:val="20"/>
        </w:rPr>
        <w:t>VaV</w:t>
      </w:r>
      <w:proofErr w:type="spellEnd"/>
      <w:r w:rsidR="00C337A1">
        <w:rPr>
          <w:rFonts w:ascii="Arial" w:hAnsi="Arial" w:cs="Arial"/>
          <w:sz w:val="20"/>
          <w:szCs w:val="20"/>
        </w:rPr>
        <w:t xml:space="preserve"> 7,9 osob na 1 000 obyvatel. Šest států v tomto ukazateli překonává hranici 10 pracovníků ve </w:t>
      </w:r>
      <w:proofErr w:type="spellStart"/>
      <w:r w:rsidR="00C337A1">
        <w:rPr>
          <w:rFonts w:ascii="Arial" w:hAnsi="Arial" w:cs="Arial"/>
          <w:sz w:val="20"/>
          <w:szCs w:val="20"/>
        </w:rPr>
        <w:t>VaV</w:t>
      </w:r>
      <w:proofErr w:type="spellEnd"/>
      <w:r w:rsidR="00C337A1">
        <w:rPr>
          <w:rFonts w:ascii="Arial" w:hAnsi="Arial" w:cs="Arial"/>
          <w:sz w:val="20"/>
          <w:szCs w:val="20"/>
        </w:rPr>
        <w:t xml:space="preserve"> na 1 000 obyvatel. Ve Švédsku je to jako jediném státu EU dokonce více než 11 pracovníků ve </w:t>
      </w:r>
      <w:proofErr w:type="spellStart"/>
      <w:r w:rsidR="00C337A1">
        <w:rPr>
          <w:rFonts w:ascii="Arial" w:hAnsi="Arial" w:cs="Arial"/>
          <w:sz w:val="20"/>
          <w:szCs w:val="20"/>
        </w:rPr>
        <w:t>VaV</w:t>
      </w:r>
      <w:proofErr w:type="spellEnd"/>
      <w:r w:rsidR="00C337A1">
        <w:rPr>
          <w:rFonts w:ascii="Arial" w:hAnsi="Arial" w:cs="Arial"/>
          <w:sz w:val="20"/>
          <w:szCs w:val="20"/>
        </w:rPr>
        <w:t xml:space="preserve"> na 1 000 obyvatel.</w:t>
      </w:r>
    </w:p>
    <w:p w14:paraId="6006287B" w14:textId="77777777" w:rsidR="00827195" w:rsidRPr="00E66D3A" w:rsidRDefault="00827195" w:rsidP="00827195">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7</w:t>
      </w:r>
      <w:r w:rsidRPr="00E66D3A">
        <w:rPr>
          <w:rFonts w:ascii="Arial" w:hAnsi="Arial" w:cs="Arial"/>
          <w:b/>
          <w:sz w:val="20"/>
          <w:szCs w:val="20"/>
        </w:rPr>
        <w:t xml:space="preserve">. </w:t>
      </w:r>
      <w:r w:rsidRPr="00786824">
        <w:rPr>
          <w:rFonts w:ascii="Arial" w:hAnsi="Arial" w:cs="Arial"/>
          <w:b/>
          <w:sz w:val="20"/>
          <w:szCs w:val="20"/>
        </w:rPr>
        <w:t>Prac</w:t>
      </w:r>
      <w:r>
        <w:rPr>
          <w:rFonts w:ascii="Arial" w:hAnsi="Arial" w:cs="Arial"/>
          <w:b/>
          <w:sz w:val="20"/>
          <w:szCs w:val="20"/>
        </w:rPr>
        <w:t xml:space="preserve">ovníci </w:t>
      </w:r>
      <w:r w:rsidRPr="00786824">
        <w:rPr>
          <w:rFonts w:ascii="Arial" w:hAnsi="Arial" w:cs="Arial"/>
          <w:b/>
          <w:sz w:val="20"/>
          <w:szCs w:val="20"/>
        </w:rPr>
        <w:t xml:space="preserve">ve </w:t>
      </w:r>
      <w:proofErr w:type="spellStart"/>
      <w:r w:rsidRPr="00786824">
        <w:rPr>
          <w:rFonts w:ascii="Arial" w:hAnsi="Arial" w:cs="Arial"/>
          <w:b/>
          <w:sz w:val="20"/>
          <w:szCs w:val="20"/>
        </w:rPr>
        <w:t>VaV</w:t>
      </w:r>
      <w:proofErr w:type="spellEnd"/>
      <w:r w:rsidRPr="00786824">
        <w:rPr>
          <w:rFonts w:ascii="Arial" w:hAnsi="Arial" w:cs="Arial"/>
          <w:b/>
          <w:sz w:val="20"/>
          <w:szCs w:val="20"/>
        </w:rPr>
        <w:t xml:space="preserve"> v Česku (FTE</w:t>
      </w:r>
      <w:r>
        <w:rPr>
          <w:rFonts w:ascii="Arial" w:hAnsi="Arial" w:cs="Arial"/>
          <w:b/>
          <w:sz w:val="20"/>
          <w:szCs w:val="20"/>
        </w:rPr>
        <w:t>)*</w:t>
      </w:r>
      <w:r w:rsidRPr="00786824">
        <w:rPr>
          <w:rFonts w:ascii="Arial" w:hAnsi="Arial" w:cs="Arial"/>
          <w:b/>
          <w:sz w:val="20"/>
          <w:szCs w:val="20"/>
        </w:rPr>
        <w:t xml:space="preserve"> podle pohlaví, sektorů provádění a vědních oblastí (%)</w:t>
      </w:r>
    </w:p>
    <w:p w14:paraId="674BEF8A" w14:textId="77777777" w:rsidR="00827195" w:rsidRPr="00C67BA8" w:rsidRDefault="00827195" w:rsidP="00827195">
      <w:pPr>
        <w:tabs>
          <w:tab w:val="left" w:pos="284"/>
          <w:tab w:val="left" w:pos="3119"/>
          <w:tab w:val="left" w:pos="6237"/>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w:t>
      </w:r>
      <w:r>
        <w:rPr>
          <w:rFonts w:ascii="Arial" w:hAnsi="Arial" w:cs="Arial"/>
          <w:b/>
          <w:i/>
          <w:sz w:val="18"/>
          <w:szCs w:val="20"/>
        </w:rPr>
        <w:t>pohlaví</w:t>
      </w:r>
      <w:r w:rsidRPr="00C67BA8">
        <w:rPr>
          <w:rFonts w:ascii="Arial" w:hAnsi="Arial" w:cs="Arial"/>
          <w:b/>
          <w:i/>
          <w:sz w:val="18"/>
          <w:szCs w:val="20"/>
        </w:rPr>
        <w:t xml:space="preserve"> </w:t>
      </w:r>
      <w:r w:rsidRPr="00C67BA8">
        <w:rPr>
          <w:rFonts w:ascii="Arial" w:hAnsi="Arial" w:cs="Arial"/>
          <w:b/>
          <w:i/>
          <w:sz w:val="18"/>
          <w:szCs w:val="20"/>
        </w:rPr>
        <w:tab/>
        <w:t xml:space="preserve">b) podle </w:t>
      </w:r>
      <w:r>
        <w:rPr>
          <w:rFonts w:ascii="Arial" w:hAnsi="Arial" w:cs="Arial"/>
          <w:b/>
          <w:i/>
          <w:sz w:val="18"/>
          <w:szCs w:val="20"/>
        </w:rPr>
        <w:t>sektorů provádění</w:t>
      </w:r>
      <w:r w:rsidRPr="00C67BA8">
        <w:rPr>
          <w:rFonts w:ascii="Arial" w:hAnsi="Arial" w:cs="Arial"/>
          <w:b/>
          <w:i/>
          <w:sz w:val="18"/>
          <w:szCs w:val="20"/>
        </w:rPr>
        <w:t xml:space="preserve"> </w:t>
      </w:r>
      <w:r w:rsidRPr="00C67BA8">
        <w:rPr>
          <w:rFonts w:ascii="Arial" w:hAnsi="Arial" w:cs="Arial"/>
          <w:b/>
          <w:i/>
          <w:sz w:val="18"/>
          <w:szCs w:val="20"/>
        </w:rPr>
        <w:tab/>
        <w:t xml:space="preserve">c) podle </w:t>
      </w:r>
      <w:r>
        <w:rPr>
          <w:rFonts w:ascii="Arial" w:hAnsi="Arial" w:cs="Arial"/>
          <w:b/>
          <w:i/>
          <w:sz w:val="18"/>
          <w:szCs w:val="20"/>
        </w:rPr>
        <w:t>vědních oblastí</w:t>
      </w:r>
    </w:p>
    <w:p w14:paraId="780257A2" w14:textId="0715A389" w:rsidR="00827195" w:rsidRDefault="00310198" w:rsidP="001A67C4">
      <w:pPr>
        <w:spacing w:after="120" w:line="288" w:lineRule="auto"/>
        <w:jc w:val="both"/>
        <w:rPr>
          <w:noProof/>
          <w:lang w:eastAsia="cs-CZ"/>
        </w:rPr>
      </w:pPr>
      <w:r>
        <w:rPr>
          <w:noProof/>
          <w:lang w:eastAsia="cs-CZ"/>
        </w:rPr>
        <w:drawing>
          <wp:inline distT="0" distB="0" distL="0" distR="0" wp14:anchorId="6D8C7325" wp14:editId="4274B3F6">
            <wp:extent cx="1800000" cy="1980000"/>
            <wp:effectExtent l="0" t="0" r="0" b="0"/>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cs-CZ"/>
        </w:rPr>
        <w:drawing>
          <wp:inline distT="0" distB="0" distL="0" distR="0" wp14:anchorId="0F5CDE89" wp14:editId="41D354E1">
            <wp:extent cx="1980000" cy="1980000"/>
            <wp:effectExtent l="0" t="0" r="1270"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27195" w:rsidRPr="00827195">
        <w:rPr>
          <w:noProof/>
          <w:lang w:eastAsia="cs-CZ"/>
        </w:rPr>
        <w:t xml:space="preserve"> </w:t>
      </w:r>
      <w:r>
        <w:rPr>
          <w:noProof/>
          <w:lang w:eastAsia="cs-CZ"/>
        </w:rPr>
        <w:drawing>
          <wp:inline distT="0" distB="0" distL="0" distR="0" wp14:anchorId="642F6176" wp14:editId="4675EA10">
            <wp:extent cx="2174875" cy="1980000"/>
            <wp:effectExtent l="0" t="0" r="0" b="0"/>
            <wp:docPr id="76" name="Graf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DE4AE7" w14:textId="07B707E5" w:rsidR="00827195" w:rsidRPr="00C337A1" w:rsidRDefault="00827195" w:rsidP="00C337A1">
      <w:pPr>
        <w:spacing w:after="120" w:line="288" w:lineRule="auto"/>
        <w:jc w:val="both"/>
        <w:rPr>
          <w:rFonts w:ascii="Arial" w:hAnsi="Arial" w:cs="Arial"/>
          <w:sz w:val="20"/>
          <w:szCs w:val="20"/>
        </w:rPr>
      </w:pPr>
      <w:r w:rsidRPr="0019141D">
        <w:rPr>
          <w:rFonts w:ascii="Arial" w:hAnsi="Arial" w:cs="Arial"/>
          <w:i/>
          <w:sz w:val="18"/>
          <w:szCs w:val="20"/>
        </w:rPr>
        <w:t>Zdroj: ČSÚ; Roční zjišťování o výzkumu a vývoji VTR 5-01</w:t>
      </w:r>
      <w:r w:rsidR="00AD6394" w:rsidRPr="00AD6394">
        <w:rPr>
          <w:rFonts w:ascii="Arial" w:hAnsi="Arial" w:cs="Arial"/>
          <w:sz w:val="20"/>
          <w:szCs w:val="20"/>
        </w:rPr>
        <w:t xml:space="preserve"> </w:t>
      </w:r>
    </w:p>
    <w:p w14:paraId="2AA8219A" w14:textId="048BCF91" w:rsidR="003218DA" w:rsidRPr="00456552" w:rsidRDefault="003218DA" w:rsidP="005B7472">
      <w:pPr>
        <w:pageBreakBefore/>
        <w:spacing w:after="120" w:line="288" w:lineRule="auto"/>
        <w:jc w:val="both"/>
        <w:rPr>
          <w:rFonts w:ascii="Arial" w:hAnsi="Arial" w:cs="Arial"/>
          <w:b/>
          <w:color w:val="009BB4"/>
          <w:sz w:val="24"/>
          <w:szCs w:val="24"/>
        </w:rPr>
      </w:pPr>
      <w:r>
        <w:rPr>
          <w:rFonts w:ascii="Arial" w:hAnsi="Arial" w:cs="Arial"/>
          <w:b/>
          <w:color w:val="009BB4"/>
          <w:sz w:val="24"/>
          <w:szCs w:val="24"/>
        </w:rPr>
        <w:lastRenderedPageBreak/>
        <w:t>Výzkum a vývoj v podnikatelském sektoru</w:t>
      </w:r>
    </w:p>
    <w:p w14:paraId="09D21A32" w14:textId="3B781DBD" w:rsidR="00246BC9" w:rsidRDefault="00603C8C" w:rsidP="001A67C4">
      <w:pPr>
        <w:jc w:val="both"/>
        <w:rPr>
          <w:rFonts w:ascii="Arial" w:hAnsi="Arial" w:cs="Arial"/>
          <w:sz w:val="20"/>
          <w:szCs w:val="20"/>
        </w:rPr>
      </w:pPr>
      <w:r>
        <w:rPr>
          <w:rFonts w:ascii="Arial" w:hAnsi="Arial" w:cs="Arial"/>
          <w:sz w:val="20"/>
          <w:szCs w:val="20"/>
        </w:rPr>
        <w:t xml:space="preserve">V podnicích bylo v roce </w:t>
      </w:r>
      <w:r w:rsidR="00C253E7">
        <w:rPr>
          <w:rFonts w:ascii="Arial" w:hAnsi="Arial" w:cs="Arial"/>
          <w:sz w:val="20"/>
          <w:szCs w:val="20"/>
        </w:rPr>
        <w:t xml:space="preserve">2022 na </w:t>
      </w:r>
      <w:proofErr w:type="spellStart"/>
      <w:r w:rsidR="00C253E7">
        <w:rPr>
          <w:rFonts w:ascii="Arial" w:hAnsi="Arial" w:cs="Arial"/>
          <w:sz w:val="20"/>
          <w:szCs w:val="20"/>
        </w:rPr>
        <w:t>VaV</w:t>
      </w:r>
      <w:proofErr w:type="spellEnd"/>
      <w:r w:rsidR="00C253E7">
        <w:rPr>
          <w:rFonts w:ascii="Arial" w:hAnsi="Arial" w:cs="Arial"/>
          <w:sz w:val="20"/>
          <w:szCs w:val="20"/>
        </w:rPr>
        <w:t xml:space="preserve"> vynaloženo celkem 85</w:t>
      </w:r>
      <w:r>
        <w:rPr>
          <w:rFonts w:ascii="Arial" w:hAnsi="Arial" w:cs="Arial"/>
          <w:sz w:val="20"/>
          <w:szCs w:val="20"/>
        </w:rPr>
        <w:t xml:space="preserve">,6 mld. Kč. </w:t>
      </w:r>
      <w:r w:rsidR="00BB12CA">
        <w:rPr>
          <w:rFonts w:ascii="Arial" w:hAnsi="Arial" w:cs="Arial"/>
          <w:sz w:val="20"/>
          <w:szCs w:val="20"/>
        </w:rPr>
        <w:t>Oproti předc</w:t>
      </w:r>
      <w:r w:rsidR="00C253E7">
        <w:rPr>
          <w:rFonts w:ascii="Arial" w:hAnsi="Arial" w:cs="Arial"/>
          <w:sz w:val="20"/>
          <w:szCs w:val="20"/>
        </w:rPr>
        <w:t>hozímu roku došlo k výraznému 12</w:t>
      </w:r>
      <w:r w:rsidR="00BB12CA">
        <w:rPr>
          <w:rFonts w:ascii="Arial" w:hAnsi="Arial" w:cs="Arial"/>
          <w:sz w:val="20"/>
          <w:szCs w:val="20"/>
        </w:rPr>
        <w:t>%</w:t>
      </w:r>
      <w:r w:rsidR="00F8647D">
        <w:rPr>
          <w:rFonts w:ascii="Arial" w:hAnsi="Arial" w:cs="Arial"/>
          <w:sz w:val="20"/>
          <w:szCs w:val="20"/>
        </w:rPr>
        <w:t xml:space="preserve"> meziročnímu</w:t>
      </w:r>
      <w:r w:rsidR="00BB12CA">
        <w:rPr>
          <w:rFonts w:ascii="Arial" w:hAnsi="Arial" w:cs="Arial"/>
          <w:sz w:val="20"/>
          <w:szCs w:val="20"/>
        </w:rPr>
        <w:t xml:space="preserve"> nárůstu. </w:t>
      </w:r>
      <w:r w:rsidR="00E4325B">
        <w:rPr>
          <w:rFonts w:ascii="Arial" w:hAnsi="Arial" w:cs="Arial"/>
          <w:sz w:val="20"/>
          <w:szCs w:val="20"/>
        </w:rPr>
        <w:t>Obdobně</w:t>
      </w:r>
      <w:r w:rsidR="00943A35">
        <w:rPr>
          <w:rFonts w:ascii="Arial" w:hAnsi="Arial" w:cs="Arial"/>
          <w:sz w:val="20"/>
          <w:szCs w:val="20"/>
        </w:rPr>
        <w:t>,</w:t>
      </w:r>
      <w:r w:rsidR="00E4325B">
        <w:rPr>
          <w:rFonts w:ascii="Arial" w:hAnsi="Arial" w:cs="Arial"/>
          <w:sz w:val="20"/>
          <w:szCs w:val="20"/>
        </w:rPr>
        <w:t xml:space="preserve"> jako ve většině států EU</w:t>
      </w:r>
      <w:r w:rsidR="00F46BF7">
        <w:rPr>
          <w:rFonts w:ascii="Arial" w:hAnsi="Arial" w:cs="Arial"/>
          <w:sz w:val="20"/>
          <w:szCs w:val="20"/>
        </w:rPr>
        <w:t>27</w:t>
      </w:r>
      <w:r w:rsidR="00E4325B">
        <w:rPr>
          <w:rFonts w:ascii="Arial" w:hAnsi="Arial" w:cs="Arial"/>
          <w:sz w:val="20"/>
          <w:szCs w:val="20"/>
        </w:rPr>
        <w:t xml:space="preserve">, </w:t>
      </w:r>
      <w:r w:rsidR="00943A35">
        <w:rPr>
          <w:rFonts w:ascii="Arial" w:hAnsi="Arial" w:cs="Arial"/>
          <w:sz w:val="20"/>
          <w:szCs w:val="20"/>
        </w:rPr>
        <w:t xml:space="preserve">jsou </w:t>
      </w:r>
      <w:r w:rsidR="00E4325B">
        <w:rPr>
          <w:rFonts w:ascii="Arial" w:hAnsi="Arial" w:cs="Arial"/>
          <w:sz w:val="20"/>
          <w:szCs w:val="20"/>
        </w:rPr>
        <w:t xml:space="preserve">i v Česku </w:t>
      </w:r>
      <w:r w:rsidR="00BB12CA">
        <w:rPr>
          <w:rFonts w:ascii="Arial" w:hAnsi="Arial" w:cs="Arial"/>
          <w:sz w:val="20"/>
          <w:szCs w:val="20"/>
        </w:rPr>
        <w:t>podniky</w:t>
      </w:r>
      <w:r w:rsidR="00E4325B">
        <w:rPr>
          <w:rFonts w:ascii="Arial" w:hAnsi="Arial" w:cs="Arial"/>
          <w:sz w:val="20"/>
          <w:szCs w:val="20"/>
        </w:rPr>
        <w:t xml:space="preserve"> nejdůležitějším sektorem provádění </w:t>
      </w:r>
      <w:proofErr w:type="spellStart"/>
      <w:r w:rsidR="00E4325B">
        <w:rPr>
          <w:rFonts w:ascii="Arial" w:hAnsi="Arial" w:cs="Arial"/>
          <w:sz w:val="20"/>
          <w:szCs w:val="20"/>
        </w:rPr>
        <w:t>VaV</w:t>
      </w:r>
      <w:proofErr w:type="spellEnd"/>
      <w:r w:rsidR="00E4325B">
        <w:rPr>
          <w:rFonts w:ascii="Arial" w:hAnsi="Arial" w:cs="Arial"/>
          <w:sz w:val="20"/>
          <w:szCs w:val="20"/>
        </w:rPr>
        <w:t xml:space="preserve">. </w:t>
      </w:r>
      <w:r w:rsidR="00CD6079">
        <w:rPr>
          <w:rFonts w:ascii="Arial" w:hAnsi="Arial" w:cs="Arial"/>
          <w:sz w:val="20"/>
          <w:szCs w:val="20"/>
        </w:rPr>
        <w:t>Význam podnikového výzkumu u nás při</w:t>
      </w:r>
      <w:r w:rsidR="00F8647D">
        <w:rPr>
          <w:rFonts w:ascii="Arial" w:hAnsi="Arial" w:cs="Arial"/>
          <w:sz w:val="20"/>
          <w:szCs w:val="20"/>
        </w:rPr>
        <w:t>tom stále narůstá. Podíl podnikatelsk</w:t>
      </w:r>
      <w:r w:rsidR="00CD6079">
        <w:rPr>
          <w:rFonts w:ascii="Arial" w:hAnsi="Arial" w:cs="Arial"/>
          <w:sz w:val="20"/>
          <w:szCs w:val="20"/>
        </w:rPr>
        <w:t xml:space="preserve">ého sektoru na celkových </w:t>
      </w:r>
      <w:r w:rsidR="00943A35">
        <w:rPr>
          <w:rFonts w:ascii="Arial" w:hAnsi="Arial" w:cs="Arial"/>
          <w:sz w:val="20"/>
          <w:szCs w:val="20"/>
        </w:rPr>
        <w:t xml:space="preserve">spotřebovaných </w:t>
      </w:r>
      <w:r w:rsidR="00CD6079">
        <w:rPr>
          <w:rFonts w:ascii="Arial" w:hAnsi="Arial" w:cs="Arial"/>
          <w:sz w:val="20"/>
          <w:szCs w:val="20"/>
        </w:rPr>
        <w:t xml:space="preserve">výdajích na </w:t>
      </w:r>
      <w:proofErr w:type="spellStart"/>
      <w:r w:rsidR="00CD6079">
        <w:rPr>
          <w:rFonts w:ascii="Arial" w:hAnsi="Arial" w:cs="Arial"/>
          <w:sz w:val="20"/>
          <w:szCs w:val="20"/>
        </w:rPr>
        <w:t>VaV</w:t>
      </w:r>
      <w:proofErr w:type="spellEnd"/>
      <w:r w:rsidR="00CD6079">
        <w:rPr>
          <w:rFonts w:ascii="Arial" w:hAnsi="Arial" w:cs="Arial"/>
          <w:sz w:val="20"/>
          <w:szCs w:val="20"/>
        </w:rPr>
        <w:t xml:space="preserve"> byl </w:t>
      </w:r>
      <w:r w:rsidR="00C253E7">
        <w:rPr>
          <w:rFonts w:ascii="Arial" w:hAnsi="Arial" w:cs="Arial"/>
          <w:sz w:val="20"/>
          <w:szCs w:val="20"/>
        </w:rPr>
        <w:t>v roce 2022</w:t>
      </w:r>
      <w:r>
        <w:rPr>
          <w:rFonts w:ascii="Arial" w:hAnsi="Arial" w:cs="Arial"/>
          <w:sz w:val="20"/>
          <w:szCs w:val="20"/>
        </w:rPr>
        <w:t xml:space="preserve"> </w:t>
      </w:r>
      <w:r w:rsidR="00CD6079">
        <w:rPr>
          <w:rFonts w:ascii="Arial" w:hAnsi="Arial" w:cs="Arial"/>
          <w:sz w:val="20"/>
          <w:szCs w:val="20"/>
        </w:rPr>
        <w:t>již 6</w:t>
      </w:r>
      <w:r w:rsidR="00C253E7">
        <w:rPr>
          <w:rFonts w:ascii="Arial" w:hAnsi="Arial" w:cs="Arial"/>
          <w:sz w:val="20"/>
          <w:szCs w:val="20"/>
        </w:rPr>
        <w:t>4</w:t>
      </w:r>
      <w:r w:rsidR="00CD6079">
        <w:rPr>
          <w:rFonts w:ascii="Arial" w:hAnsi="Arial" w:cs="Arial"/>
          <w:sz w:val="20"/>
          <w:szCs w:val="20"/>
        </w:rPr>
        <w:t xml:space="preserve"> %.</w:t>
      </w:r>
      <w:r>
        <w:rPr>
          <w:rFonts w:ascii="Arial" w:hAnsi="Arial" w:cs="Arial"/>
          <w:sz w:val="20"/>
          <w:szCs w:val="20"/>
        </w:rPr>
        <w:t xml:space="preserve"> Česko je i přes zmíněný nárůst významu podnikového výzkumu stále pod průměrem EU</w:t>
      </w:r>
      <w:r w:rsidR="00943A35">
        <w:rPr>
          <w:rFonts w:ascii="Arial" w:hAnsi="Arial" w:cs="Arial"/>
          <w:sz w:val="20"/>
          <w:szCs w:val="20"/>
        </w:rPr>
        <w:t>27</w:t>
      </w:r>
      <w:r>
        <w:rPr>
          <w:rFonts w:ascii="Arial" w:hAnsi="Arial" w:cs="Arial"/>
          <w:sz w:val="20"/>
          <w:szCs w:val="20"/>
        </w:rPr>
        <w:t xml:space="preserve">. Na celkových výdajích na </w:t>
      </w:r>
      <w:proofErr w:type="spellStart"/>
      <w:r>
        <w:rPr>
          <w:rFonts w:ascii="Arial" w:hAnsi="Arial" w:cs="Arial"/>
          <w:sz w:val="20"/>
          <w:szCs w:val="20"/>
        </w:rPr>
        <w:t>VaV</w:t>
      </w:r>
      <w:proofErr w:type="spellEnd"/>
      <w:r>
        <w:rPr>
          <w:rFonts w:ascii="Arial" w:hAnsi="Arial" w:cs="Arial"/>
          <w:sz w:val="20"/>
          <w:szCs w:val="20"/>
        </w:rPr>
        <w:t xml:space="preserve"> EU</w:t>
      </w:r>
      <w:r w:rsidR="00943A35">
        <w:rPr>
          <w:rFonts w:ascii="Arial" w:hAnsi="Arial" w:cs="Arial"/>
          <w:sz w:val="20"/>
          <w:szCs w:val="20"/>
        </w:rPr>
        <w:t>27</w:t>
      </w:r>
      <w:r>
        <w:rPr>
          <w:rFonts w:ascii="Arial" w:hAnsi="Arial" w:cs="Arial"/>
          <w:sz w:val="20"/>
          <w:szCs w:val="20"/>
        </w:rPr>
        <w:t xml:space="preserve"> zaujímají podniky 66% podíl. V </w:t>
      </w:r>
      <w:r w:rsidR="00C253E7">
        <w:rPr>
          <w:rFonts w:ascii="Arial" w:hAnsi="Arial" w:cs="Arial"/>
          <w:sz w:val="20"/>
          <w:szCs w:val="20"/>
        </w:rPr>
        <w:t>pěti</w:t>
      </w:r>
      <w:r>
        <w:rPr>
          <w:rFonts w:ascii="Arial" w:hAnsi="Arial" w:cs="Arial"/>
          <w:sz w:val="20"/>
          <w:szCs w:val="20"/>
        </w:rPr>
        <w:t xml:space="preserve"> státech EU je podíl podniků vyšší než 70 %. V soused</w:t>
      </w:r>
      <w:r w:rsidR="00C253E7">
        <w:rPr>
          <w:rFonts w:ascii="Arial" w:hAnsi="Arial" w:cs="Arial"/>
          <w:sz w:val="20"/>
          <w:szCs w:val="20"/>
        </w:rPr>
        <w:t>ním Německu byl podíl podniků 68</w:t>
      </w:r>
      <w:r>
        <w:rPr>
          <w:rFonts w:ascii="Arial" w:hAnsi="Arial" w:cs="Arial"/>
          <w:sz w:val="20"/>
          <w:szCs w:val="20"/>
        </w:rPr>
        <w:t xml:space="preserve"> % a v Rakousku </w:t>
      </w:r>
      <w:r w:rsidR="00C15A57">
        <w:rPr>
          <w:rFonts w:ascii="Arial" w:hAnsi="Arial" w:cs="Arial"/>
          <w:sz w:val="20"/>
          <w:szCs w:val="20"/>
        </w:rPr>
        <w:t>69</w:t>
      </w:r>
      <w:r>
        <w:rPr>
          <w:rFonts w:ascii="Arial" w:hAnsi="Arial" w:cs="Arial"/>
          <w:sz w:val="20"/>
          <w:szCs w:val="20"/>
        </w:rPr>
        <w:t xml:space="preserve"> %. </w:t>
      </w:r>
      <w:r w:rsidR="00C15A57">
        <w:rPr>
          <w:rFonts w:ascii="Arial" w:hAnsi="Arial" w:cs="Arial"/>
          <w:sz w:val="20"/>
          <w:szCs w:val="20"/>
        </w:rPr>
        <w:t>O trochu vyšší</w:t>
      </w:r>
      <w:r>
        <w:rPr>
          <w:rFonts w:ascii="Arial" w:hAnsi="Arial" w:cs="Arial"/>
          <w:sz w:val="20"/>
          <w:szCs w:val="20"/>
        </w:rPr>
        <w:t xml:space="preserve"> podíl podnikatelského sektoru (6</w:t>
      </w:r>
      <w:r w:rsidR="00C15A57">
        <w:rPr>
          <w:rFonts w:ascii="Arial" w:hAnsi="Arial" w:cs="Arial"/>
          <w:sz w:val="20"/>
          <w:szCs w:val="20"/>
        </w:rPr>
        <w:t>6 %) než v Česku, byl v roce 2022</w:t>
      </w:r>
      <w:r>
        <w:rPr>
          <w:rFonts w:ascii="Arial" w:hAnsi="Arial" w:cs="Arial"/>
          <w:sz w:val="20"/>
          <w:szCs w:val="20"/>
        </w:rPr>
        <w:t xml:space="preserve"> v Polsku</w:t>
      </w:r>
      <w:r w:rsidR="00943A35">
        <w:rPr>
          <w:rFonts w:ascii="Arial" w:hAnsi="Arial" w:cs="Arial"/>
          <w:sz w:val="20"/>
          <w:szCs w:val="20"/>
        </w:rPr>
        <w:t xml:space="preserve"> a</w:t>
      </w:r>
      <w:r w:rsidR="00C15A57">
        <w:rPr>
          <w:rFonts w:ascii="Arial" w:hAnsi="Arial" w:cs="Arial"/>
          <w:sz w:val="20"/>
          <w:szCs w:val="20"/>
        </w:rPr>
        <w:t xml:space="preserve"> </w:t>
      </w:r>
      <w:r w:rsidR="00943A35">
        <w:rPr>
          <w:rFonts w:ascii="Arial" w:hAnsi="Arial" w:cs="Arial"/>
          <w:sz w:val="20"/>
          <w:szCs w:val="20"/>
        </w:rPr>
        <w:t>n</w:t>
      </w:r>
      <w:r w:rsidR="00432F7B">
        <w:rPr>
          <w:rFonts w:ascii="Arial" w:hAnsi="Arial" w:cs="Arial"/>
          <w:sz w:val="20"/>
          <w:szCs w:val="20"/>
        </w:rPr>
        <w:t>aopak n</w:t>
      </w:r>
      <w:r w:rsidR="00C15A57">
        <w:rPr>
          <w:rFonts w:ascii="Arial" w:hAnsi="Arial" w:cs="Arial"/>
          <w:sz w:val="20"/>
          <w:szCs w:val="20"/>
        </w:rPr>
        <w:t>ižší (57</w:t>
      </w:r>
      <w:r w:rsidR="00432F7B">
        <w:rPr>
          <w:rFonts w:ascii="Arial" w:hAnsi="Arial" w:cs="Arial"/>
          <w:sz w:val="20"/>
          <w:szCs w:val="20"/>
        </w:rPr>
        <w:t xml:space="preserve"> %) byl</w:t>
      </w:r>
      <w:r w:rsidR="00BB12CA">
        <w:rPr>
          <w:rFonts w:ascii="Arial" w:hAnsi="Arial" w:cs="Arial"/>
          <w:sz w:val="20"/>
          <w:szCs w:val="20"/>
        </w:rPr>
        <w:t xml:space="preserve"> tento podíl na Slovensku.</w:t>
      </w:r>
    </w:p>
    <w:p w14:paraId="39403E47" w14:textId="77777777" w:rsidR="004C103D" w:rsidRDefault="004C103D" w:rsidP="004C103D">
      <w:pPr>
        <w:spacing w:after="0" w:line="288" w:lineRule="auto"/>
        <w:jc w:val="both"/>
        <w:rPr>
          <w:rFonts w:ascii="Arial" w:hAnsi="Arial" w:cs="Arial"/>
          <w:b/>
          <w:sz w:val="20"/>
          <w:szCs w:val="20"/>
        </w:rPr>
      </w:pPr>
      <w:r w:rsidRPr="00253397">
        <w:rPr>
          <w:rFonts w:ascii="Arial" w:hAnsi="Arial" w:cs="Arial"/>
          <w:b/>
          <w:sz w:val="20"/>
          <w:szCs w:val="20"/>
        </w:rPr>
        <w:t xml:space="preserve">Graf </w:t>
      </w:r>
      <w:r>
        <w:rPr>
          <w:rFonts w:ascii="Arial" w:hAnsi="Arial" w:cs="Arial"/>
          <w:b/>
          <w:sz w:val="20"/>
          <w:szCs w:val="20"/>
        </w:rPr>
        <w:t>8</w:t>
      </w:r>
      <w:r w:rsidRPr="00253397">
        <w:rPr>
          <w:rFonts w:ascii="Arial" w:hAnsi="Arial" w:cs="Arial"/>
          <w:b/>
          <w:sz w:val="20"/>
          <w:szCs w:val="20"/>
        </w:rPr>
        <w:t xml:space="preserve">. </w:t>
      </w:r>
      <w:r>
        <w:rPr>
          <w:rFonts w:ascii="Arial" w:hAnsi="Arial" w:cs="Arial"/>
          <w:b/>
          <w:sz w:val="20"/>
          <w:szCs w:val="20"/>
        </w:rPr>
        <w:t>Výzkum a vývoj v podnikatelském sektoru v Česku – základní ukazatele</w:t>
      </w:r>
    </w:p>
    <w:p w14:paraId="0E8CBC67" w14:textId="5DEE04F4" w:rsidR="004C103D" w:rsidRDefault="00ED3A22" w:rsidP="001A67C4">
      <w:pPr>
        <w:jc w:val="both"/>
        <w:rPr>
          <w:rFonts w:ascii="Arial" w:hAnsi="Arial" w:cs="Arial"/>
          <w:sz w:val="20"/>
          <w:szCs w:val="20"/>
        </w:rPr>
      </w:pPr>
      <w:r>
        <w:rPr>
          <w:noProof/>
          <w:lang w:eastAsia="cs-CZ"/>
        </w:rPr>
        <w:drawing>
          <wp:inline distT="0" distB="0" distL="0" distR="0" wp14:anchorId="0F40EE11" wp14:editId="76EAB1E1">
            <wp:extent cx="6119495" cy="2857500"/>
            <wp:effectExtent l="0" t="0" r="0" b="0"/>
            <wp:docPr id="77" name="Graf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39BAB6" w14:textId="0B580CDC" w:rsidR="004C103D" w:rsidRPr="004C103D" w:rsidRDefault="004C103D" w:rsidP="004C103D">
      <w:pPr>
        <w:spacing w:after="120" w:line="288" w:lineRule="auto"/>
        <w:jc w:val="right"/>
        <w:rPr>
          <w:rFonts w:ascii="Arial" w:hAnsi="Arial" w:cs="Arial"/>
          <w:b/>
          <w:sz w:val="20"/>
          <w:szCs w:val="20"/>
        </w:rPr>
      </w:pPr>
      <w:r w:rsidRPr="0019141D">
        <w:rPr>
          <w:rFonts w:ascii="Arial" w:hAnsi="Arial" w:cs="Arial"/>
          <w:i/>
          <w:sz w:val="18"/>
          <w:szCs w:val="20"/>
        </w:rPr>
        <w:t>Zdroj: ČSÚ; Roční zjišťování o výzkumu a vývoji VTR 5-01</w:t>
      </w:r>
    </w:p>
    <w:p w14:paraId="528F6644" w14:textId="77777777" w:rsidR="00E21A5D" w:rsidRDefault="00E21A5D" w:rsidP="00E21A5D">
      <w:pPr>
        <w:jc w:val="both"/>
        <w:rPr>
          <w:rFonts w:ascii="Arial" w:hAnsi="Arial" w:cs="Arial"/>
          <w:sz w:val="20"/>
          <w:szCs w:val="20"/>
        </w:rPr>
      </w:pPr>
      <w:r>
        <w:rPr>
          <w:rFonts w:ascii="Arial" w:hAnsi="Arial" w:cs="Arial"/>
          <w:sz w:val="20"/>
          <w:szCs w:val="20"/>
        </w:rPr>
        <w:t xml:space="preserve">Výše výdajů na </w:t>
      </w:r>
      <w:proofErr w:type="spellStart"/>
      <w:r>
        <w:rPr>
          <w:rFonts w:ascii="Arial" w:hAnsi="Arial" w:cs="Arial"/>
          <w:sz w:val="20"/>
          <w:szCs w:val="20"/>
        </w:rPr>
        <w:t>VaV</w:t>
      </w:r>
      <w:proofErr w:type="spellEnd"/>
      <w:r>
        <w:rPr>
          <w:rFonts w:ascii="Arial" w:hAnsi="Arial" w:cs="Arial"/>
          <w:sz w:val="20"/>
          <w:szCs w:val="20"/>
        </w:rPr>
        <w:t xml:space="preserve"> v podnikatelském sektoru přesahuje od roku 2013 v Česku 1 % HDP. V roce 2020 byla poprvé překročena hranice 1,2 % HDP. V roce 2022 byl tento podíl 1,26 %. Stále však zaostáváme za průměrem EU27, který se pohybuje okolo 1,5 % HDP. V pěti státech EU27, včetně Německa a Rakouska, byl podíl výdajů na </w:t>
      </w:r>
      <w:proofErr w:type="spellStart"/>
      <w:r>
        <w:rPr>
          <w:rFonts w:ascii="Arial" w:hAnsi="Arial" w:cs="Arial"/>
          <w:sz w:val="20"/>
          <w:szCs w:val="20"/>
        </w:rPr>
        <w:t>VaV</w:t>
      </w:r>
      <w:proofErr w:type="spellEnd"/>
      <w:r>
        <w:rPr>
          <w:rFonts w:ascii="Arial" w:hAnsi="Arial" w:cs="Arial"/>
          <w:sz w:val="20"/>
          <w:szCs w:val="20"/>
        </w:rPr>
        <w:t xml:space="preserve"> v podnikatelském sektoru vyšší než 2 % HDP.</w:t>
      </w:r>
    </w:p>
    <w:p w14:paraId="2B6C8BC5" w14:textId="375EEFFC" w:rsidR="00E21A5D" w:rsidRDefault="00E21A5D" w:rsidP="00E21A5D">
      <w:pPr>
        <w:spacing w:after="0" w:line="288" w:lineRule="auto"/>
        <w:jc w:val="both"/>
        <w:rPr>
          <w:rFonts w:ascii="Arial" w:hAnsi="Arial" w:cs="Arial"/>
          <w:b/>
          <w:sz w:val="20"/>
          <w:szCs w:val="20"/>
        </w:rPr>
      </w:pPr>
      <w:r w:rsidRPr="00E66D3A">
        <w:rPr>
          <w:rFonts w:ascii="Arial" w:hAnsi="Arial" w:cs="Arial"/>
          <w:b/>
          <w:sz w:val="20"/>
          <w:szCs w:val="20"/>
        </w:rPr>
        <w:t xml:space="preserve">Graf </w:t>
      </w:r>
      <w:r w:rsidR="007C4355">
        <w:rPr>
          <w:rFonts w:ascii="Arial" w:hAnsi="Arial" w:cs="Arial"/>
          <w:b/>
          <w:sz w:val="20"/>
          <w:szCs w:val="20"/>
        </w:rPr>
        <w:t>9</w:t>
      </w:r>
      <w:r w:rsidRPr="00E66D3A">
        <w:rPr>
          <w:rFonts w:ascii="Arial" w:hAnsi="Arial" w:cs="Arial"/>
          <w:b/>
          <w:sz w:val="20"/>
          <w:szCs w:val="20"/>
        </w:rPr>
        <w:t xml:space="preserve">. </w:t>
      </w:r>
      <w:r>
        <w:rPr>
          <w:rFonts w:ascii="Arial" w:hAnsi="Arial" w:cs="Arial"/>
          <w:b/>
          <w:sz w:val="20"/>
          <w:szCs w:val="20"/>
        </w:rPr>
        <w:t xml:space="preserve">Podíl výdajů na </w:t>
      </w:r>
      <w:proofErr w:type="spellStart"/>
      <w:r>
        <w:rPr>
          <w:rFonts w:ascii="Arial" w:hAnsi="Arial" w:cs="Arial"/>
          <w:b/>
          <w:sz w:val="20"/>
          <w:szCs w:val="20"/>
        </w:rPr>
        <w:t>VaV</w:t>
      </w:r>
      <w:proofErr w:type="spellEnd"/>
      <w:r>
        <w:rPr>
          <w:rFonts w:ascii="Arial" w:hAnsi="Arial" w:cs="Arial"/>
          <w:b/>
          <w:sz w:val="20"/>
          <w:szCs w:val="20"/>
        </w:rPr>
        <w:t xml:space="preserve"> v podnikatelském sektoru (BERD) v zemích EU 27 na HDP v roce 2022 (%)</w:t>
      </w:r>
    </w:p>
    <w:p w14:paraId="2ECA2320" w14:textId="5A1C038B" w:rsidR="00E21A5D" w:rsidRDefault="00E21A5D" w:rsidP="00E21A5D">
      <w:pPr>
        <w:spacing w:after="0" w:line="288" w:lineRule="auto"/>
        <w:jc w:val="both"/>
        <w:rPr>
          <w:rFonts w:ascii="Arial" w:hAnsi="Arial" w:cs="Arial"/>
          <w:b/>
          <w:sz w:val="20"/>
          <w:szCs w:val="20"/>
        </w:rPr>
      </w:pPr>
      <w:r>
        <w:rPr>
          <w:noProof/>
          <w:lang w:eastAsia="cs-CZ"/>
        </w:rPr>
        <w:drawing>
          <wp:inline distT="0" distB="0" distL="0" distR="0" wp14:anchorId="7FC0DDAF" wp14:editId="3F0B4DC0">
            <wp:extent cx="6083935" cy="2724150"/>
            <wp:effectExtent l="0" t="0" r="0" b="0"/>
            <wp:docPr id="90" name="Graf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F0A7BD" w14:textId="77777777" w:rsidR="00E21A5D" w:rsidRPr="006438BD" w:rsidRDefault="00E21A5D" w:rsidP="00E21A5D">
      <w:pPr>
        <w:spacing w:after="120" w:line="288" w:lineRule="auto"/>
        <w:jc w:val="right"/>
        <w:rPr>
          <w:rFonts w:ascii="Arial" w:hAnsi="Arial" w:cs="Arial"/>
          <w:i/>
          <w:sz w:val="18"/>
          <w:szCs w:val="20"/>
        </w:rPr>
      </w:pPr>
      <w:r w:rsidRPr="006438BD">
        <w:rPr>
          <w:rFonts w:ascii="Arial" w:hAnsi="Arial" w:cs="Arial"/>
          <w:i/>
          <w:sz w:val="18"/>
          <w:szCs w:val="20"/>
        </w:rPr>
        <w:t xml:space="preserve">Zdroj: </w:t>
      </w:r>
      <w:proofErr w:type="spellStart"/>
      <w:r>
        <w:rPr>
          <w:rFonts w:ascii="Arial" w:hAnsi="Arial" w:cs="Arial"/>
          <w:i/>
          <w:sz w:val="18"/>
          <w:szCs w:val="20"/>
        </w:rPr>
        <w:t>Eurostat</w:t>
      </w:r>
      <w:proofErr w:type="spellEnd"/>
    </w:p>
    <w:p w14:paraId="7242B4A9" w14:textId="2B17887D" w:rsidR="009C6912" w:rsidRDefault="009C6912" w:rsidP="009C6912">
      <w:pPr>
        <w:jc w:val="both"/>
        <w:rPr>
          <w:rFonts w:ascii="Arial" w:hAnsi="Arial" w:cs="Arial"/>
          <w:sz w:val="20"/>
          <w:szCs w:val="20"/>
        </w:rPr>
      </w:pPr>
      <w:r>
        <w:rPr>
          <w:rFonts w:ascii="Arial" w:hAnsi="Arial" w:cs="Arial"/>
          <w:sz w:val="20"/>
          <w:szCs w:val="20"/>
        </w:rPr>
        <w:lastRenderedPageBreak/>
        <w:t xml:space="preserve">Výzkum a vývoj provádělo v roce 2022 v Česku 2 886 podniků. Z tohoto počtu bylo 2 233 soukromých domácích podniků (77 % podniků provádějících </w:t>
      </w:r>
      <w:proofErr w:type="spellStart"/>
      <w:r>
        <w:rPr>
          <w:rFonts w:ascii="Arial" w:hAnsi="Arial" w:cs="Arial"/>
          <w:sz w:val="20"/>
          <w:szCs w:val="20"/>
        </w:rPr>
        <w:t>VaV</w:t>
      </w:r>
      <w:proofErr w:type="spellEnd"/>
      <w:r>
        <w:rPr>
          <w:rFonts w:ascii="Arial" w:hAnsi="Arial" w:cs="Arial"/>
          <w:sz w:val="20"/>
          <w:szCs w:val="20"/>
        </w:rPr>
        <w:t xml:space="preserve">), 596 soukromých podniků pod zahraniční kontrolou (21 %) a 57 veřejných podniků. Pokud jde však o celkové vynaložené prostředky na </w:t>
      </w:r>
      <w:proofErr w:type="spellStart"/>
      <w:r>
        <w:rPr>
          <w:rFonts w:ascii="Arial" w:hAnsi="Arial" w:cs="Arial"/>
          <w:sz w:val="20"/>
          <w:szCs w:val="20"/>
        </w:rPr>
        <w:t>VaV</w:t>
      </w:r>
      <w:proofErr w:type="spellEnd"/>
      <w:r>
        <w:rPr>
          <w:rFonts w:ascii="Arial" w:hAnsi="Arial" w:cs="Arial"/>
          <w:sz w:val="20"/>
          <w:szCs w:val="20"/>
        </w:rPr>
        <w:t xml:space="preserve"> činnost, jsou jednoznačně nejvýznamnějším typem podniků firmy pod zahraniční kontrolou. Jejich podíl na výdajích na </w:t>
      </w:r>
      <w:proofErr w:type="spellStart"/>
      <w:r>
        <w:rPr>
          <w:rFonts w:ascii="Arial" w:hAnsi="Arial" w:cs="Arial"/>
          <w:sz w:val="20"/>
          <w:szCs w:val="20"/>
        </w:rPr>
        <w:t>VaV</w:t>
      </w:r>
      <w:proofErr w:type="spellEnd"/>
      <w:r>
        <w:rPr>
          <w:rFonts w:ascii="Arial" w:hAnsi="Arial" w:cs="Arial"/>
          <w:sz w:val="20"/>
          <w:szCs w:val="20"/>
        </w:rPr>
        <w:t xml:space="preserve"> podniků přesahuje dlouhodobě více než 60 %, v roce 2022 to bylo 64 %. Celkové výdaje na </w:t>
      </w:r>
      <w:proofErr w:type="spellStart"/>
      <w:r>
        <w:rPr>
          <w:rFonts w:ascii="Arial" w:hAnsi="Arial" w:cs="Arial"/>
          <w:sz w:val="20"/>
          <w:szCs w:val="20"/>
        </w:rPr>
        <w:t>VaV</w:t>
      </w:r>
      <w:proofErr w:type="spellEnd"/>
      <w:r>
        <w:rPr>
          <w:rFonts w:ascii="Arial" w:hAnsi="Arial" w:cs="Arial"/>
          <w:sz w:val="20"/>
          <w:szCs w:val="20"/>
        </w:rPr>
        <w:t xml:space="preserve"> zahraničních podniků byly v roce 2022 54,4 mld. Kč. Výše prostředků vynakládaná v těchto podnicích na </w:t>
      </w:r>
      <w:proofErr w:type="spellStart"/>
      <w:r>
        <w:rPr>
          <w:rFonts w:ascii="Arial" w:hAnsi="Arial" w:cs="Arial"/>
          <w:sz w:val="20"/>
          <w:szCs w:val="20"/>
        </w:rPr>
        <w:t>VaV</w:t>
      </w:r>
      <w:proofErr w:type="spellEnd"/>
      <w:r>
        <w:rPr>
          <w:rFonts w:ascii="Arial" w:hAnsi="Arial" w:cs="Arial"/>
          <w:sz w:val="20"/>
          <w:szCs w:val="20"/>
        </w:rPr>
        <w:t xml:space="preserve"> se od roku 2010 zvýšila více než trojnásobně. V roce 2010 vynaložily soukromé zahraniční podniky na </w:t>
      </w:r>
      <w:proofErr w:type="spellStart"/>
      <w:r>
        <w:rPr>
          <w:rFonts w:ascii="Arial" w:hAnsi="Arial" w:cs="Arial"/>
          <w:sz w:val="20"/>
          <w:szCs w:val="20"/>
        </w:rPr>
        <w:t>VaV</w:t>
      </w:r>
      <w:proofErr w:type="spellEnd"/>
      <w:r>
        <w:rPr>
          <w:rFonts w:ascii="Arial" w:hAnsi="Arial" w:cs="Arial"/>
          <w:sz w:val="20"/>
          <w:szCs w:val="20"/>
        </w:rPr>
        <w:t xml:space="preserve"> celkem 15 mld. Kč což tvořilo 28 % celkových výdajů na </w:t>
      </w:r>
      <w:proofErr w:type="spellStart"/>
      <w:r>
        <w:rPr>
          <w:rFonts w:ascii="Arial" w:hAnsi="Arial" w:cs="Arial"/>
          <w:sz w:val="20"/>
          <w:szCs w:val="20"/>
        </w:rPr>
        <w:t>VaV</w:t>
      </w:r>
      <w:proofErr w:type="spellEnd"/>
      <w:r>
        <w:rPr>
          <w:rFonts w:ascii="Arial" w:hAnsi="Arial" w:cs="Arial"/>
          <w:sz w:val="20"/>
          <w:szCs w:val="20"/>
        </w:rPr>
        <w:t xml:space="preserve">, roce 2022 tyto podniky zaujímaly již 41% podíl na celkových výdajích na </w:t>
      </w:r>
      <w:proofErr w:type="spellStart"/>
      <w:r>
        <w:rPr>
          <w:rFonts w:ascii="Arial" w:hAnsi="Arial" w:cs="Arial"/>
          <w:sz w:val="20"/>
          <w:szCs w:val="20"/>
        </w:rPr>
        <w:t>VaV</w:t>
      </w:r>
      <w:proofErr w:type="spellEnd"/>
      <w:r>
        <w:rPr>
          <w:rFonts w:ascii="Arial" w:hAnsi="Arial" w:cs="Arial"/>
          <w:sz w:val="20"/>
          <w:szCs w:val="20"/>
        </w:rPr>
        <w:t xml:space="preserve"> v Česku.</w:t>
      </w:r>
    </w:p>
    <w:p w14:paraId="3775BB91" w14:textId="6649B8E7" w:rsidR="004C103D" w:rsidRPr="00253397" w:rsidRDefault="004C103D" w:rsidP="004C103D">
      <w:pPr>
        <w:spacing w:after="120" w:line="288" w:lineRule="auto"/>
        <w:jc w:val="both"/>
        <w:rPr>
          <w:rFonts w:ascii="Arial" w:hAnsi="Arial" w:cs="Arial"/>
          <w:b/>
          <w:sz w:val="20"/>
          <w:szCs w:val="20"/>
        </w:rPr>
      </w:pPr>
      <w:r w:rsidRPr="00253397">
        <w:rPr>
          <w:rFonts w:ascii="Arial" w:hAnsi="Arial" w:cs="Arial"/>
          <w:b/>
          <w:sz w:val="20"/>
          <w:szCs w:val="20"/>
        </w:rPr>
        <w:t xml:space="preserve">Graf </w:t>
      </w:r>
      <w:r w:rsidR="00BF68BA">
        <w:rPr>
          <w:rFonts w:ascii="Arial" w:hAnsi="Arial" w:cs="Arial"/>
          <w:b/>
          <w:sz w:val="20"/>
          <w:szCs w:val="20"/>
        </w:rPr>
        <w:t>10</w:t>
      </w:r>
      <w:r w:rsidRPr="00253397">
        <w:rPr>
          <w:rFonts w:ascii="Arial" w:hAnsi="Arial" w:cs="Arial"/>
          <w:b/>
          <w:sz w:val="20"/>
          <w:szCs w:val="20"/>
        </w:rPr>
        <w:t xml:space="preserve">. </w:t>
      </w:r>
      <w:r>
        <w:rPr>
          <w:rFonts w:ascii="Arial" w:hAnsi="Arial" w:cs="Arial"/>
          <w:b/>
          <w:sz w:val="20"/>
          <w:szCs w:val="20"/>
        </w:rPr>
        <w:t>Podniky provádějící v Česku výzkum a vývoj v</w:t>
      </w:r>
      <w:r w:rsidRPr="00253397">
        <w:rPr>
          <w:rFonts w:ascii="Arial" w:hAnsi="Arial" w:cs="Arial"/>
          <w:b/>
          <w:sz w:val="20"/>
          <w:szCs w:val="20"/>
        </w:rPr>
        <w:t xml:space="preserve"> roce 202</w:t>
      </w:r>
      <w:r w:rsidR="00BF68BA">
        <w:rPr>
          <w:rFonts w:ascii="Arial" w:hAnsi="Arial" w:cs="Arial"/>
          <w:b/>
          <w:sz w:val="20"/>
          <w:szCs w:val="20"/>
        </w:rPr>
        <w:t>2</w:t>
      </w:r>
    </w:p>
    <w:p w14:paraId="3AA98B02" w14:textId="49D74174" w:rsidR="004C103D" w:rsidRDefault="004C103D" w:rsidP="004C103D">
      <w:pPr>
        <w:tabs>
          <w:tab w:val="left" w:pos="0"/>
          <w:tab w:val="left" w:pos="3402"/>
          <w:tab w:val="left" w:pos="6379"/>
        </w:tabs>
        <w:spacing w:after="0" w:line="288" w:lineRule="auto"/>
        <w:jc w:val="both"/>
        <w:rPr>
          <w:rFonts w:ascii="Arial" w:hAnsi="Arial" w:cs="Arial"/>
          <w:b/>
          <w:i/>
          <w:sz w:val="18"/>
          <w:szCs w:val="20"/>
        </w:rPr>
      </w:pPr>
      <w:r w:rsidRPr="00253397">
        <w:rPr>
          <w:rFonts w:ascii="Arial" w:hAnsi="Arial" w:cs="Arial"/>
          <w:b/>
          <w:i/>
          <w:sz w:val="18"/>
          <w:szCs w:val="20"/>
        </w:rPr>
        <w:t xml:space="preserve">a) podle </w:t>
      </w:r>
      <w:r>
        <w:rPr>
          <w:rFonts w:ascii="Arial" w:hAnsi="Arial" w:cs="Arial"/>
          <w:b/>
          <w:i/>
          <w:sz w:val="18"/>
          <w:szCs w:val="20"/>
        </w:rPr>
        <w:t xml:space="preserve">výše výdajů na </w:t>
      </w:r>
      <w:proofErr w:type="spellStart"/>
      <w:r w:rsidRPr="00253397">
        <w:rPr>
          <w:rFonts w:ascii="Arial" w:hAnsi="Arial" w:cs="Arial"/>
          <w:b/>
          <w:i/>
          <w:sz w:val="18"/>
          <w:szCs w:val="20"/>
        </w:rPr>
        <w:t>VaV</w:t>
      </w:r>
      <w:proofErr w:type="spellEnd"/>
      <w:r w:rsidRPr="00253397">
        <w:rPr>
          <w:rFonts w:ascii="Arial" w:hAnsi="Arial" w:cs="Arial"/>
          <w:b/>
          <w:i/>
          <w:sz w:val="18"/>
          <w:szCs w:val="20"/>
        </w:rPr>
        <w:t xml:space="preserve"> (</w:t>
      </w:r>
      <w:r>
        <w:rPr>
          <w:rFonts w:ascii="Arial" w:hAnsi="Arial" w:cs="Arial"/>
          <w:b/>
          <w:i/>
          <w:sz w:val="18"/>
          <w:szCs w:val="20"/>
        </w:rPr>
        <w:t>mil. Kč</w:t>
      </w:r>
      <w:r w:rsidRPr="00253397">
        <w:rPr>
          <w:rFonts w:ascii="Arial" w:hAnsi="Arial" w:cs="Arial"/>
          <w:b/>
          <w:i/>
          <w:sz w:val="18"/>
          <w:szCs w:val="20"/>
        </w:rPr>
        <w:t xml:space="preserve">) </w:t>
      </w:r>
      <w:r w:rsidRPr="00253397">
        <w:rPr>
          <w:rFonts w:ascii="Arial" w:hAnsi="Arial" w:cs="Arial"/>
          <w:b/>
          <w:i/>
          <w:sz w:val="18"/>
          <w:szCs w:val="20"/>
        </w:rPr>
        <w:tab/>
        <w:t xml:space="preserve">b) podle </w:t>
      </w:r>
      <w:r>
        <w:rPr>
          <w:rFonts w:ascii="Arial" w:hAnsi="Arial" w:cs="Arial"/>
          <w:b/>
          <w:i/>
          <w:sz w:val="18"/>
          <w:szCs w:val="20"/>
        </w:rPr>
        <w:t>vlastnictví podniků</w:t>
      </w:r>
      <w:r w:rsidRPr="00253397">
        <w:rPr>
          <w:rFonts w:ascii="Arial" w:hAnsi="Arial" w:cs="Arial"/>
          <w:b/>
          <w:i/>
          <w:sz w:val="18"/>
          <w:szCs w:val="20"/>
        </w:rPr>
        <w:t xml:space="preserve"> </w:t>
      </w:r>
      <w:r w:rsidRPr="00253397">
        <w:rPr>
          <w:rFonts w:ascii="Arial" w:hAnsi="Arial" w:cs="Arial"/>
          <w:b/>
          <w:i/>
          <w:sz w:val="18"/>
          <w:szCs w:val="20"/>
        </w:rPr>
        <w:tab/>
        <w:t xml:space="preserve">c) podle </w:t>
      </w:r>
      <w:r>
        <w:rPr>
          <w:rFonts w:ascii="Arial" w:hAnsi="Arial" w:cs="Arial"/>
          <w:b/>
          <w:i/>
          <w:sz w:val="18"/>
          <w:szCs w:val="20"/>
        </w:rPr>
        <w:t>odvětvových sekcí CZ-NACE</w:t>
      </w:r>
    </w:p>
    <w:p w14:paraId="61F6EA5C" w14:textId="071CABF4" w:rsidR="004C103D" w:rsidRDefault="00ED3A22" w:rsidP="004C103D">
      <w:pPr>
        <w:tabs>
          <w:tab w:val="left" w:pos="0"/>
          <w:tab w:val="left" w:pos="3402"/>
          <w:tab w:val="left" w:pos="6379"/>
        </w:tabs>
        <w:spacing w:after="0" w:line="288" w:lineRule="auto"/>
        <w:jc w:val="both"/>
        <w:rPr>
          <w:noProof/>
          <w:lang w:eastAsia="cs-CZ"/>
        </w:rPr>
      </w:pPr>
      <w:r>
        <w:rPr>
          <w:noProof/>
          <w:lang w:eastAsia="cs-CZ"/>
        </w:rPr>
        <w:drawing>
          <wp:inline distT="0" distB="0" distL="0" distR="0" wp14:anchorId="2D671EA8" wp14:editId="79E582CE">
            <wp:extent cx="2087880" cy="2602800"/>
            <wp:effectExtent l="0" t="0" r="7620" b="7620"/>
            <wp:docPr id="78" name="Graf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25A42">
        <w:rPr>
          <w:noProof/>
          <w:lang w:eastAsia="cs-CZ"/>
        </w:rPr>
        <w:drawing>
          <wp:inline distT="0" distB="0" distL="0" distR="0" wp14:anchorId="6B113F59" wp14:editId="1E9C251B">
            <wp:extent cx="1828800" cy="2602800"/>
            <wp:effectExtent l="0" t="0" r="0" b="0"/>
            <wp:docPr id="79" name="Graf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25A42">
        <w:rPr>
          <w:noProof/>
          <w:lang w:eastAsia="cs-CZ"/>
        </w:rPr>
        <w:drawing>
          <wp:inline distT="0" distB="0" distL="0" distR="0" wp14:anchorId="71FD7326" wp14:editId="5F0B6DB4">
            <wp:extent cx="2160000" cy="2602800"/>
            <wp:effectExtent l="0" t="0" r="0" b="7620"/>
            <wp:docPr id="80" name="Graf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29B3BE" w14:textId="77777777" w:rsidR="00ED69BE" w:rsidRPr="004C103D" w:rsidRDefault="00ED69BE" w:rsidP="00ED69BE">
      <w:pPr>
        <w:spacing w:after="120" w:line="288" w:lineRule="auto"/>
        <w:jc w:val="right"/>
        <w:rPr>
          <w:rFonts w:ascii="Arial" w:hAnsi="Arial" w:cs="Arial"/>
          <w:b/>
          <w:sz w:val="20"/>
          <w:szCs w:val="20"/>
        </w:rPr>
      </w:pPr>
      <w:r w:rsidRPr="0019141D">
        <w:rPr>
          <w:rFonts w:ascii="Arial" w:hAnsi="Arial" w:cs="Arial"/>
          <w:i/>
          <w:sz w:val="18"/>
          <w:szCs w:val="20"/>
        </w:rPr>
        <w:t>Zdroj: ČSÚ; Roční zjišťování o výzkumu a vývoji VTR 5-01</w:t>
      </w:r>
    </w:p>
    <w:p w14:paraId="4B09B79C" w14:textId="77777777" w:rsidR="001C2B6D" w:rsidRDefault="007C4355" w:rsidP="007C4355">
      <w:pPr>
        <w:jc w:val="both"/>
        <w:rPr>
          <w:rFonts w:ascii="Arial" w:hAnsi="Arial" w:cs="Arial"/>
          <w:sz w:val="20"/>
          <w:szCs w:val="20"/>
        </w:rPr>
      </w:pPr>
      <w:r>
        <w:rPr>
          <w:rFonts w:ascii="Arial" w:hAnsi="Arial" w:cs="Arial"/>
          <w:sz w:val="20"/>
          <w:szCs w:val="20"/>
        </w:rPr>
        <w:t xml:space="preserve">Podnikový výzkum v Česku je financován především z vlastních, podnikových zdrojů. Podnikové zdroje se v roce 2022 podílely na financování podnikového výzkumu z 91 %. Druhým nejdůležitějším zdrojem financování </w:t>
      </w:r>
      <w:proofErr w:type="spellStart"/>
      <w:r>
        <w:rPr>
          <w:rFonts w:ascii="Arial" w:hAnsi="Arial" w:cs="Arial"/>
          <w:sz w:val="20"/>
          <w:szCs w:val="20"/>
        </w:rPr>
        <w:t>VaV</w:t>
      </w:r>
      <w:proofErr w:type="spellEnd"/>
      <w:r>
        <w:rPr>
          <w:rFonts w:ascii="Arial" w:hAnsi="Arial" w:cs="Arial"/>
          <w:sz w:val="20"/>
          <w:szCs w:val="20"/>
        </w:rPr>
        <w:t xml:space="preserve"> v podnicích jsou veřejné domácí zdroje. Posledních šest let podporuje český stát podnikový výzkum každoročně částkou mezi 4 až 4,7 mld. Kč. V roce 2022 to bylo 4,2 mld. Kč, což znamenalo 5% podíl na celkových výdajích podnikatelského sektoru. </w:t>
      </w:r>
    </w:p>
    <w:p w14:paraId="11D72119" w14:textId="088E02AF" w:rsidR="007C4355" w:rsidRDefault="007C4355" w:rsidP="007C4355">
      <w:pPr>
        <w:jc w:val="both"/>
        <w:rPr>
          <w:rFonts w:ascii="Arial" w:hAnsi="Arial" w:cs="Arial"/>
          <w:sz w:val="20"/>
          <w:szCs w:val="20"/>
        </w:rPr>
      </w:pPr>
      <w:r>
        <w:rPr>
          <w:rFonts w:ascii="Arial" w:hAnsi="Arial" w:cs="Arial"/>
          <w:sz w:val="20"/>
          <w:szCs w:val="20"/>
        </w:rPr>
        <w:t xml:space="preserve">Veřejnou domácí podporu čerpalo v roce 2022 přibližně  tisíc podniků, z toho 85 % bylo soukromých domácích podniků. Téměř čtyřicet procent ze soukromých domácích podniků provádějících v roce 2022 na území Česka </w:t>
      </w:r>
      <w:proofErr w:type="spellStart"/>
      <w:r>
        <w:rPr>
          <w:rFonts w:ascii="Arial" w:hAnsi="Arial" w:cs="Arial"/>
          <w:sz w:val="20"/>
          <w:szCs w:val="20"/>
        </w:rPr>
        <w:t>VaV</w:t>
      </w:r>
      <w:proofErr w:type="spellEnd"/>
      <w:r>
        <w:rPr>
          <w:rFonts w:ascii="Arial" w:hAnsi="Arial" w:cs="Arial"/>
          <w:sz w:val="20"/>
          <w:szCs w:val="20"/>
        </w:rPr>
        <w:t xml:space="preserve"> činnost, čerpalo veřejnou domácí podporu. V případě zahraničních podniků tuto formu podpory čerpalo pouze 20 % z nich. I v celkových vynaložených částkách je patrné, že veřejná domácí podpora směřovala především na </w:t>
      </w:r>
      <w:proofErr w:type="spellStart"/>
      <w:r>
        <w:rPr>
          <w:rFonts w:ascii="Arial" w:hAnsi="Arial" w:cs="Arial"/>
          <w:sz w:val="20"/>
          <w:szCs w:val="20"/>
        </w:rPr>
        <w:t>VaV</w:t>
      </w:r>
      <w:proofErr w:type="spellEnd"/>
      <w:r>
        <w:rPr>
          <w:rFonts w:ascii="Arial" w:hAnsi="Arial" w:cs="Arial"/>
          <w:sz w:val="20"/>
          <w:szCs w:val="20"/>
        </w:rPr>
        <w:t xml:space="preserve"> v soukromých domácích podnicích. Ty si z pomyslného koláče ukrojily ¾. V rámci soukromých domácích podniků byly nejvíce podpořeny malé a střední podniky. Ty v roce 2022 čerpaly 2,6 mld. Kč, 62 % celkové veřejné domácí podpory. Oproti tomu zahraniční podniky čerpaly domácí podporu ve výši 0,4 mld. Kč, jen 10 % celkové veřejné domácí podpory v podnicích.</w:t>
      </w:r>
    </w:p>
    <w:p w14:paraId="3AE544D2" w14:textId="77777777" w:rsidR="001C2B6D" w:rsidRDefault="001C2B6D" w:rsidP="001C2B6D">
      <w:pPr>
        <w:jc w:val="both"/>
        <w:rPr>
          <w:rFonts w:ascii="Arial" w:hAnsi="Arial" w:cs="Arial"/>
          <w:sz w:val="20"/>
          <w:szCs w:val="20"/>
        </w:rPr>
      </w:pPr>
      <w:r>
        <w:rPr>
          <w:rFonts w:ascii="Arial" w:hAnsi="Arial" w:cs="Arial"/>
          <w:sz w:val="20"/>
          <w:szCs w:val="20"/>
        </w:rPr>
        <w:t xml:space="preserve">Na financování podnikového výzkumu se podílí nezanedbatelnou částkou i veřejné zahraniční zdroje. Především se jedná o dotace Evropské Unie. V roce 2022 čerpaly podniky podporu z veřejných zahraničních zdrojů ve výši 3,2 mld. Kč, což tvořilo 4 % výdajů na </w:t>
      </w:r>
      <w:proofErr w:type="spellStart"/>
      <w:r>
        <w:rPr>
          <w:rFonts w:ascii="Arial" w:hAnsi="Arial" w:cs="Arial"/>
          <w:sz w:val="20"/>
          <w:szCs w:val="20"/>
        </w:rPr>
        <w:t>VaV</w:t>
      </w:r>
      <w:proofErr w:type="spellEnd"/>
      <w:r>
        <w:rPr>
          <w:rFonts w:ascii="Arial" w:hAnsi="Arial" w:cs="Arial"/>
          <w:sz w:val="20"/>
          <w:szCs w:val="20"/>
        </w:rPr>
        <w:t xml:space="preserve"> podnikatelského sektoru. Podporu z veřejných zahraničních zdrojů využily taktéž především domácí podniky. Z přibližně 600 podniků, které tuto formu podpory využily, bylo téměř 90 % soukromých domácích podniků. Tyto podniky čerpaly v roce 2022 celkem 2,7 mld. Kč veřejné zahraniční podpory.</w:t>
      </w:r>
    </w:p>
    <w:p w14:paraId="7CB4547D" w14:textId="77777777" w:rsidR="001C2B6D" w:rsidRDefault="001C2B6D" w:rsidP="007C4355">
      <w:pPr>
        <w:spacing w:after="0" w:line="288" w:lineRule="auto"/>
        <w:jc w:val="both"/>
        <w:rPr>
          <w:rFonts w:ascii="Arial" w:hAnsi="Arial" w:cs="Arial"/>
          <w:b/>
          <w:sz w:val="20"/>
          <w:szCs w:val="20"/>
        </w:rPr>
      </w:pPr>
    </w:p>
    <w:p w14:paraId="62B0FFA9" w14:textId="77777777" w:rsidR="001C2B6D" w:rsidRDefault="001C2B6D" w:rsidP="007C4355">
      <w:pPr>
        <w:spacing w:after="0" w:line="288" w:lineRule="auto"/>
        <w:jc w:val="both"/>
        <w:rPr>
          <w:rFonts w:ascii="Arial" w:hAnsi="Arial" w:cs="Arial"/>
          <w:b/>
          <w:sz w:val="20"/>
          <w:szCs w:val="20"/>
        </w:rPr>
      </w:pPr>
    </w:p>
    <w:p w14:paraId="0F1F257A" w14:textId="77777777" w:rsidR="001C2B6D" w:rsidRDefault="001C2B6D" w:rsidP="007C4355">
      <w:pPr>
        <w:spacing w:after="0" w:line="288" w:lineRule="auto"/>
        <w:jc w:val="both"/>
        <w:rPr>
          <w:rFonts w:ascii="Arial" w:hAnsi="Arial" w:cs="Arial"/>
          <w:b/>
          <w:sz w:val="20"/>
          <w:szCs w:val="20"/>
        </w:rPr>
      </w:pPr>
    </w:p>
    <w:p w14:paraId="34E670FD" w14:textId="7AC700EE" w:rsidR="007C4355" w:rsidRDefault="007C4355" w:rsidP="007C4355">
      <w:pPr>
        <w:spacing w:after="0" w:line="288" w:lineRule="auto"/>
        <w:jc w:val="both"/>
        <w:rPr>
          <w:rFonts w:ascii="Arial" w:hAnsi="Arial" w:cs="Arial"/>
          <w:b/>
          <w:sz w:val="20"/>
          <w:szCs w:val="20"/>
        </w:rPr>
      </w:pPr>
      <w:r w:rsidRPr="00C67BA8">
        <w:rPr>
          <w:rFonts w:ascii="Arial" w:hAnsi="Arial" w:cs="Arial"/>
          <w:b/>
          <w:sz w:val="20"/>
          <w:szCs w:val="20"/>
        </w:rPr>
        <w:lastRenderedPageBreak/>
        <w:t xml:space="preserve">Graf </w:t>
      </w:r>
      <w:r w:rsidR="00BF68BA">
        <w:rPr>
          <w:rFonts w:ascii="Arial" w:hAnsi="Arial" w:cs="Arial"/>
          <w:b/>
          <w:sz w:val="20"/>
          <w:szCs w:val="20"/>
        </w:rPr>
        <w:t>11</w:t>
      </w:r>
      <w:r w:rsidRPr="00C67BA8">
        <w:rPr>
          <w:rFonts w:ascii="Arial" w:hAnsi="Arial" w:cs="Arial"/>
          <w:b/>
          <w:sz w:val="20"/>
          <w:szCs w:val="20"/>
        </w:rPr>
        <w:t xml:space="preserve">. </w:t>
      </w:r>
      <w:r>
        <w:rPr>
          <w:rFonts w:ascii="Arial" w:hAnsi="Arial" w:cs="Arial"/>
          <w:b/>
          <w:sz w:val="20"/>
          <w:szCs w:val="20"/>
        </w:rPr>
        <w:t xml:space="preserve">Podnikový </w:t>
      </w:r>
      <w:proofErr w:type="spellStart"/>
      <w:r>
        <w:rPr>
          <w:rFonts w:ascii="Arial" w:hAnsi="Arial" w:cs="Arial"/>
          <w:b/>
          <w:sz w:val="20"/>
          <w:szCs w:val="20"/>
        </w:rPr>
        <w:t>VaV</w:t>
      </w:r>
      <w:proofErr w:type="spellEnd"/>
      <w:r>
        <w:rPr>
          <w:rFonts w:ascii="Arial" w:hAnsi="Arial" w:cs="Arial"/>
          <w:b/>
          <w:sz w:val="20"/>
          <w:szCs w:val="20"/>
        </w:rPr>
        <w:t xml:space="preserve"> financovaný v Česku z veřejných zdrojů*</w:t>
      </w:r>
      <w:r w:rsidRPr="001B52AB">
        <w:rPr>
          <w:rFonts w:ascii="Arial" w:hAnsi="Arial" w:cs="Arial"/>
          <w:b/>
          <w:sz w:val="20"/>
          <w:szCs w:val="20"/>
        </w:rPr>
        <w:t xml:space="preserve"> podle vlastnictví</w:t>
      </w:r>
      <w:r>
        <w:rPr>
          <w:rFonts w:ascii="Arial" w:hAnsi="Arial" w:cs="Arial"/>
          <w:b/>
          <w:sz w:val="20"/>
          <w:szCs w:val="20"/>
        </w:rPr>
        <w:t xml:space="preserve"> podniků</w:t>
      </w:r>
    </w:p>
    <w:p w14:paraId="3F7ADACD" w14:textId="6728C38F" w:rsidR="007C4355" w:rsidRDefault="007C4355" w:rsidP="007C4355">
      <w:pPr>
        <w:spacing w:after="0" w:line="288" w:lineRule="auto"/>
        <w:jc w:val="both"/>
        <w:rPr>
          <w:rFonts w:ascii="Arial" w:hAnsi="Arial" w:cs="Arial"/>
          <w:b/>
          <w:sz w:val="20"/>
          <w:szCs w:val="20"/>
        </w:rPr>
      </w:pPr>
    </w:p>
    <w:p w14:paraId="21E34408" w14:textId="68D9316F" w:rsidR="007C4355" w:rsidRDefault="007C4355" w:rsidP="007C4355">
      <w:pPr>
        <w:spacing w:after="0" w:line="288" w:lineRule="auto"/>
        <w:jc w:val="both"/>
        <w:rPr>
          <w:rFonts w:ascii="Arial" w:hAnsi="Arial" w:cs="Arial"/>
          <w:b/>
          <w:sz w:val="20"/>
          <w:szCs w:val="20"/>
        </w:rPr>
      </w:pPr>
      <w:r>
        <w:rPr>
          <w:noProof/>
          <w:lang w:eastAsia="cs-CZ"/>
        </w:rPr>
        <w:drawing>
          <wp:inline distT="0" distB="0" distL="0" distR="0" wp14:anchorId="094B7D94" wp14:editId="65D8BEFA">
            <wp:extent cx="4283075" cy="2619375"/>
            <wp:effectExtent l="0" t="0" r="317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lang w:eastAsia="cs-CZ"/>
        </w:rPr>
        <w:drawing>
          <wp:inline distT="0" distB="0" distL="0" distR="0" wp14:anchorId="27BFB193" wp14:editId="0EA7AEBE">
            <wp:extent cx="1706950" cy="2700000"/>
            <wp:effectExtent l="0" t="0" r="762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E372C98" w14:textId="77777777" w:rsidR="007C4355" w:rsidRPr="00F4232A" w:rsidRDefault="007C4355" w:rsidP="007C4355">
      <w:pPr>
        <w:spacing w:after="40" w:line="288" w:lineRule="auto"/>
        <w:rPr>
          <w:rFonts w:ascii="Arial" w:hAnsi="Arial" w:cs="Arial"/>
          <w:sz w:val="18"/>
          <w:szCs w:val="20"/>
        </w:rPr>
      </w:pPr>
      <w:r>
        <w:rPr>
          <w:rFonts w:ascii="Arial" w:hAnsi="Arial" w:cs="Arial"/>
          <w:sz w:val="18"/>
          <w:szCs w:val="20"/>
        </w:rPr>
        <w:t xml:space="preserve">*Zahrnuje veřejné </w:t>
      </w:r>
      <w:r w:rsidRPr="00F4232A">
        <w:rPr>
          <w:rFonts w:ascii="Arial" w:hAnsi="Arial" w:cs="Arial"/>
          <w:sz w:val="18"/>
          <w:szCs w:val="20"/>
        </w:rPr>
        <w:t>domácí</w:t>
      </w:r>
      <w:r>
        <w:rPr>
          <w:rFonts w:ascii="Arial" w:hAnsi="Arial" w:cs="Arial"/>
          <w:sz w:val="18"/>
          <w:szCs w:val="20"/>
        </w:rPr>
        <w:t xml:space="preserve"> zdroje</w:t>
      </w:r>
      <w:r w:rsidRPr="00F4232A">
        <w:rPr>
          <w:rFonts w:ascii="Arial" w:hAnsi="Arial" w:cs="Arial"/>
          <w:sz w:val="18"/>
          <w:szCs w:val="20"/>
        </w:rPr>
        <w:t xml:space="preserve"> a veřejné zdroje ze zahraničí </w:t>
      </w:r>
      <w:r>
        <w:rPr>
          <w:rFonts w:ascii="Arial" w:hAnsi="Arial" w:cs="Arial"/>
          <w:sz w:val="18"/>
          <w:szCs w:val="20"/>
        </w:rPr>
        <w:t xml:space="preserve">včetně </w:t>
      </w:r>
      <w:r w:rsidRPr="00F4232A">
        <w:rPr>
          <w:rFonts w:ascii="Arial" w:hAnsi="Arial" w:cs="Arial"/>
          <w:sz w:val="18"/>
          <w:szCs w:val="20"/>
        </w:rPr>
        <w:t>strukturální</w:t>
      </w:r>
      <w:r>
        <w:rPr>
          <w:rFonts w:ascii="Arial" w:hAnsi="Arial" w:cs="Arial"/>
          <w:sz w:val="18"/>
          <w:szCs w:val="20"/>
        </w:rPr>
        <w:t>ch</w:t>
      </w:r>
      <w:r w:rsidRPr="00F4232A">
        <w:rPr>
          <w:rFonts w:ascii="Arial" w:hAnsi="Arial" w:cs="Arial"/>
          <w:sz w:val="18"/>
          <w:szCs w:val="20"/>
        </w:rPr>
        <w:t xml:space="preserve"> fond</w:t>
      </w:r>
      <w:r>
        <w:rPr>
          <w:rFonts w:ascii="Arial" w:hAnsi="Arial" w:cs="Arial"/>
          <w:sz w:val="18"/>
          <w:szCs w:val="20"/>
        </w:rPr>
        <w:t>ů</w:t>
      </w:r>
      <w:r w:rsidRPr="00F4232A">
        <w:rPr>
          <w:rFonts w:ascii="Arial" w:hAnsi="Arial" w:cs="Arial"/>
          <w:sz w:val="18"/>
          <w:szCs w:val="20"/>
        </w:rPr>
        <w:t xml:space="preserve"> EU</w:t>
      </w:r>
    </w:p>
    <w:p w14:paraId="65B68E72" w14:textId="77777777" w:rsidR="007C4355" w:rsidRPr="006438BD" w:rsidRDefault="007C4355" w:rsidP="007C4355">
      <w:pPr>
        <w:spacing w:after="120" w:line="288" w:lineRule="auto"/>
        <w:jc w:val="right"/>
        <w:rPr>
          <w:rFonts w:ascii="Arial" w:hAnsi="Arial" w:cs="Arial"/>
          <w:i/>
          <w:sz w:val="18"/>
          <w:szCs w:val="20"/>
        </w:rPr>
      </w:pPr>
      <w:r w:rsidRPr="006438BD">
        <w:rPr>
          <w:rFonts w:ascii="Arial" w:hAnsi="Arial" w:cs="Arial"/>
          <w:i/>
          <w:sz w:val="18"/>
          <w:szCs w:val="20"/>
        </w:rPr>
        <w:t>Zdroj: ČSÚ; Roční zjišťování o výzkumu a vývoji VTR 5-01</w:t>
      </w:r>
    </w:p>
    <w:p w14:paraId="6F4A5D05" w14:textId="2CB04F91" w:rsidR="007C4355" w:rsidRDefault="007C4355" w:rsidP="007C4355">
      <w:pPr>
        <w:spacing w:after="0" w:line="288" w:lineRule="auto"/>
        <w:jc w:val="both"/>
        <w:rPr>
          <w:rFonts w:ascii="Arial" w:hAnsi="Arial" w:cs="Arial"/>
          <w:b/>
          <w:sz w:val="20"/>
          <w:szCs w:val="20"/>
        </w:rPr>
      </w:pPr>
    </w:p>
    <w:p w14:paraId="52DE796C" w14:textId="47235A1B" w:rsidR="007C4355" w:rsidRDefault="007C4355" w:rsidP="007C4355">
      <w:pPr>
        <w:jc w:val="both"/>
        <w:rPr>
          <w:rFonts w:ascii="Arial" w:hAnsi="Arial" w:cs="Arial"/>
          <w:sz w:val="20"/>
          <w:szCs w:val="20"/>
        </w:rPr>
      </w:pPr>
      <w:r>
        <w:rPr>
          <w:rFonts w:ascii="Arial" w:hAnsi="Arial" w:cs="Arial"/>
          <w:sz w:val="20"/>
          <w:szCs w:val="20"/>
        </w:rPr>
        <w:t xml:space="preserve">Počet soukromých domácích podniků provádějících </w:t>
      </w:r>
      <w:proofErr w:type="spellStart"/>
      <w:r>
        <w:rPr>
          <w:rFonts w:ascii="Arial" w:hAnsi="Arial" w:cs="Arial"/>
          <w:sz w:val="20"/>
          <w:szCs w:val="20"/>
        </w:rPr>
        <w:t>VaV</w:t>
      </w:r>
      <w:proofErr w:type="spellEnd"/>
      <w:r>
        <w:rPr>
          <w:rFonts w:ascii="Arial" w:hAnsi="Arial" w:cs="Arial"/>
          <w:sz w:val="20"/>
          <w:szCs w:val="20"/>
        </w:rPr>
        <w:t xml:space="preserve"> je sice téměř čtyřnásobný oproti zahraničním podnikům, ale jejich výdaje na </w:t>
      </w:r>
      <w:proofErr w:type="spellStart"/>
      <w:r>
        <w:rPr>
          <w:rFonts w:ascii="Arial" w:hAnsi="Arial" w:cs="Arial"/>
          <w:sz w:val="20"/>
          <w:szCs w:val="20"/>
        </w:rPr>
        <w:t>VaV</w:t>
      </w:r>
      <w:proofErr w:type="spellEnd"/>
      <w:r>
        <w:rPr>
          <w:rFonts w:ascii="Arial" w:hAnsi="Arial" w:cs="Arial"/>
          <w:sz w:val="20"/>
          <w:szCs w:val="20"/>
        </w:rPr>
        <w:t xml:space="preserve"> jsou výrazně nižší. V roce 2022 to bylo celkem 28,8 mld. Kč. Jednalo se však o poměrně výrazný meziroční nárůst o 2,7 mld. Kč. Soukromé domácí podniky měly ve zmíněném roce 34% podíl na výdajích na </w:t>
      </w:r>
      <w:proofErr w:type="spellStart"/>
      <w:r>
        <w:rPr>
          <w:rFonts w:ascii="Arial" w:hAnsi="Arial" w:cs="Arial"/>
          <w:sz w:val="20"/>
          <w:szCs w:val="20"/>
        </w:rPr>
        <w:t>VaV</w:t>
      </w:r>
      <w:proofErr w:type="spellEnd"/>
      <w:r>
        <w:rPr>
          <w:rFonts w:ascii="Arial" w:hAnsi="Arial" w:cs="Arial"/>
          <w:sz w:val="20"/>
          <w:szCs w:val="20"/>
        </w:rPr>
        <w:t xml:space="preserve"> podnikatelského sektoru. </w:t>
      </w:r>
    </w:p>
    <w:p w14:paraId="3EE00BE2" w14:textId="27F70ED8" w:rsidR="00ED69BE" w:rsidRPr="00C67BA8" w:rsidRDefault="00ED69BE" w:rsidP="00ED69BE">
      <w:pPr>
        <w:spacing w:after="0" w:line="288" w:lineRule="auto"/>
        <w:jc w:val="both"/>
        <w:rPr>
          <w:rFonts w:ascii="Arial" w:hAnsi="Arial" w:cs="Arial"/>
          <w:b/>
          <w:sz w:val="20"/>
          <w:szCs w:val="20"/>
        </w:rPr>
      </w:pPr>
      <w:r w:rsidRPr="00C67BA8">
        <w:rPr>
          <w:rFonts w:ascii="Arial" w:hAnsi="Arial" w:cs="Arial"/>
          <w:b/>
          <w:sz w:val="20"/>
          <w:szCs w:val="20"/>
        </w:rPr>
        <w:t xml:space="preserve">Graf </w:t>
      </w:r>
      <w:r w:rsidR="00BF68BA">
        <w:rPr>
          <w:rFonts w:ascii="Arial" w:hAnsi="Arial" w:cs="Arial"/>
          <w:b/>
          <w:sz w:val="20"/>
          <w:szCs w:val="20"/>
        </w:rPr>
        <w:t>12</w:t>
      </w:r>
      <w:r w:rsidRPr="00C67BA8">
        <w:rPr>
          <w:rFonts w:ascii="Arial" w:hAnsi="Arial" w:cs="Arial"/>
          <w:b/>
          <w:sz w:val="20"/>
          <w:szCs w:val="20"/>
        </w:rPr>
        <w:t xml:space="preserve">. </w:t>
      </w:r>
      <w:r w:rsidRPr="001B52AB">
        <w:rPr>
          <w:rFonts w:ascii="Arial" w:hAnsi="Arial" w:cs="Arial"/>
          <w:b/>
          <w:sz w:val="20"/>
          <w:szCs w:val="20"/>
        </w:rPr>
        <w:t>Výdaje na výzkum a vývoj v podnicích v Česku podle jejich vlastnictví</w:t>
      </w:r>
      <w:r>
        <w:rPr>
          <w:rFonts w:ascii="Arial" w:hAnsi="Arial" w:cs="Arial"/>
          <w:b/>
          <w:sz w:val="20"/>
          <w:szCs w:val="20"/>
        </w:rPr>
        <w:t xml:space="preserve"> (</w:t>
      </w:r>
      <w:r w:rsidRPr="00C67BA8">
        <w:rPr>
          <w:rFonts w:ascii="Arial" w:hAnsi="Arial" w:cs="Arial"/>
          <w:b/>
          <w:sz w:val="20"/>
          <w:szCs w:val="20"/>
        </w:rPr>
        <w:t>mld. Kč</w:t>
      </w:r>
      <w:r>
        <w:rPr>
          <w:rFonts w:ascii="Arial" w:hAnsi="Arial" w:cs="Arial"/>
          <w:b/>
          <w:sz w:val="20"/>
          <w:szCs w:val="20"/>
        </w:rPr>
        <w:t>; %)</w:t>
      </w:r>
    </w:p>
    <w:p w14:paraId="0E1B0FB5" w14:textId="4FCA8E4F" w:rsidR="00ED69BE" w:rsidRDefault="00B813EF" w:rsidP="001A67C4">
      <w:pPr>
        <w:jc w:val="both"/>
        <w:rPr>
          <w:noProof/>
          <w:lang w:eastAsia="cs-CZ"/>
        </w:rPr>
      </w:pPr>
      <w:r>
        <w:rPr>
          <w:noProof/>
          <w:lang w:eastAsia="cs-CZ"/>
        </w:rPr>
        <w:drawing>
          <wp:inline distT="0" distB="0" distL="0" distR="0" wp14:anchorId="720581D5" wp14:editId="7A675390">
            <wp:extent cx="4140000" cy="2700000"/>
            <wp:effectExtent l="0" t="0" r="0" b="5715"/>
            <wp:docPr id="81" name="Graf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ED69BE" w:rsidRPr="00ED69BE">
        <w:rPr>
          <w:noProof/>
          <w:lang w:eastAsia="cs-CZ"/>
        </w:rPr>
        <w:t xml:space="preserve"> </w:t>
      </w:r>
      <w:r>
        <w:rPr>
          <w:noProof/>
          <w:lang w:eastAsia="cs-CZ"/>
        </w:rPr>
        <w:drawing>
          <wp:inline distT="0" distB="0" distL="0" distR="0" wp14:anchorId="28C24C02" wp14:editId="1142D2A8">
            <wp:extent cx="1872000" cy="2700000"/>
            <wp:effectExtent l="0" t="0" r="0" b="0"/>
            <wp:docPr id="82" name="Graf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4A5CFAD" w14:textId="77777777" w:rsidR="007F7B06" w:rsidRPr="004C103D" w:rsidRDefault="007F7B06" w:rsidP="007F7B06">
      <w:pPr>
        <w:spacing w:after="120" w:line="288" w:lineRule="auto"/>
        <w:jc w:val="right"/>
        <w:rPr>
          <w:rFonts w:ascii="Arial" w:hAnsi="Arial" w:cs="Arial"/>
          <w:b/>
          <w:sz w:val="20"/>
          <w:szCs w:val="20"/>
        </w:rPr>
      </w:pPr>
      <w:r w:rsidRPr="0019141D">
        <w:rPr>
          <w:rFonts w:ascii="Arial" w:hAnsi="Arial" w:cs="Arial"/>
          <w:i/>
          <w:sz w:val="18"/>
          <w:szCs w:val="20"/>
        </w:rPr>
        <w:t>Zdroj: ČSÚ; Roční zjišťování o výzkumu a vývoji VTR 5-01</w:t>
      </w:r>
    </w:p>
    <w:p w14:paraId="66C9D016" w14:textId="5BD37609" w:rsidR="007F7B06" w:rsidRDefault="007C4355" w:rsidP="001A67C4">
      <w:pPr>
        <w:jc w:val="both"/>
        <w:rPr>
          <w:rFonts w:ascii="Arial" w:hAnsi="Arial" w:cs="Arial"/>
          <w:sz w:val="20"/>
          <w:szCs w:val="20"/>
        </w:rPr>
      </w:pPr>
      <w:r>
        <w:rPr>
          <w:rFonts w:ascii="Arial" w:hAnsi="Arial" w:cs="Arial"/>
          <w:sz w:val="20"/>
          <w:szCs w:val="20"/>
        </w:rPr>
        <w:t xml:space="preserve">Většina podniků provádějících </w:t>
      </w:r>
      <w:proofErr w:type="spellStart"/>
      <w:r>
        <w:rPr>
          <w:rFonts w:ascii="Arial" w:hAnsi="Arial" w:cs="Arial"/>
          <w:sz w:val="20"/>
          <w:szCs w:val="20"/>
        </w:rPr>
        <w:t>VaV</w:t>
      </w:r>
      <w:proofErr w:type="spellEnd"/>
      <w:r>
        <w:rPr>
          <w:rFonts w:ascii="Arial" w:hAnsi="Arial" w:cs="Arial"/>
          <w:sz w:val="20"/>
          <w:szCs w:val="20"/>
        </w:rPr>
        <w:t xml:space="preserve"> vynakládá na tuto činnost nízké částky. V roce 2022 70 % podniků vynaložilo na </w:t>
      </w:r>
      <w:proofErr w:type="spellStart"/>
      <w:r>
        <w:rPr>
          <w:rFonts w:ascii="Arial" w:hAnsi="Arial" w:cs="Arial"/>
          <w:sz w:val="20"/>
          <w:szCs w:val="20"/>
        </w:rPr>
        <w:t>VaV</w:t>
      </w:r>
      <w:proofErr w:type="spellEnd"/>
      <w:r>
        <w:rPr>
          <w:rFonts w:ascii="Arial" w:hAnsi="Arial" w:cs="Arial"/>
          <w:sz w:val="20"/>
          <w:szCs w:val="20"/>
        </w:rPr>
        <w:t xml:space="preserve"> méně než 10 mil. Kč. V případě 18 % podniků to bylo dokonce méně než 1 mil. Kč. Mezi 50 až 100 mil. Kč utratilo za </w:t>
      </w:r>
      <w:proofErr w:type="spellStart"/>
      <w:r>
        <w:rPr>
          <w:rFonts w:ascii="Arial" w:hAnsi="Arial" w:cs="Arial"/>
          <w:sz w:val="20"/>
          <w:szCs w:val="20"/>
        </w:rPr>
        <w:t>VaV</w:t>
      </w:r>
      <w:proofErr w:type="spellEnd"/>
      <w:r>
        <w:rPr>
          <w:rFonts w:ascii="Arial" w:hAnsi="Arial" w:cs="Arial"/>
          <w:sz w:val="20"/>
          <w:szCs w:val="20"/>
        </w:rPr>
        <w:t xml:space="preserve"> v roce 2022 celkem 80 podniků. Počet podniků, které vynakládají na </w:t>
      </w:r>
      <w:proofErr w:type="spellStart"/>
      <w:r>
        <w:rPr>
          <w:rFonts w:ascii="Arial" w:hAnsi="Arial" w:cs="Arial"/>
          <w:sz w:val="20"/>
          <w:szCs w:val="20"/>
        </w:rPr>
        <w:t>VaV</w:t>
      </w:r>
      <w:proofErr w:type="spellEnd"/>
      <w:r>
        <w:rPr>
          <w:rFonts w:ascii="Arial" w:hAnsi="Arial" w:cs="Arial"/>
          <w:sz w:val="20"/>
          <w:szCs w:val="20"/>
        </w:rPr>
        <w:t xml:space="preserve"> více než 100 mil. Kč ročně trvale narůstá. V roce 2010 to bylo 50 podniků a v roce 2022 se jednalo již o 130 podniků. Tyto podniky sice tvořily jen 5 % podniků provádějících na území Česka </w:t>
      </w:r>
      <w:proofErr w:type="spellStart"/>
      <w:r>
        <w:rPr>
          <w:rFonts w:ascii="Arial" w:hAnsi="Arial" w:cs="Arial"/>
          <w:sz w:val="20"/>
          <w:szCs w:val="20"/>
        </w:rPr>
        <w:t>VaV</w:t>
      </w:r>
      <w:proofErr w:type="spellEnd"/>
      <w:r>
        <w:rPr>
          <w:rFonts w:ascii="Arial" w:hAnsi="Arial" w:cs="Arial"/>
          <w:sz w:val="20"/>
          <w:szCs w:val="20"/>
        </w:rPr>
        <w:t xml:space="preserve">, ale celkově vynaložily na tuto činnost 59,4 mld. Kč, téměř 70 % celkových výdajů na </w:t>
      </w:r>
      <w:proofErr w:type="spellStart"/>
      <w:r>
        <w:rPr>
          <w:rFonts w:ascii="Arial" w:hAnsi="Arial" w:cs="Arial"/>
          <w:sz w:val="20"/>
          <w:szCs w:val="20"/>
        </w:rPr>
        <w:t>VaV</w:t>
      </w:r>
      <w:proofErr w:type="spellEnd"/>
      <w:r>
        <w:rPr>
          <w:rFonts w:ascii="Arial" w:hAnsi="Arial" w:cs="Arial"/>
          <w:sz w:val="20"/>
          <w:szCs w:val="20"/>
        </w:rPr>
        <w:t xml:space="preserve"> podnikatelského sektoru. Ze 130 podniků, které vynaložily na </w:t>
      </w:r>
      <w:proofErr w:type="spellStart"/>
      <w:r>
        <w:rPr>
          <w:rFonts w:ascii="Arial" w:hAnsi="Arial" w:cs="Arial"/>
          <w:sz w:val="20"/>
          <w:szCs w:val="20"/>
        </w:rPr>
        <w:t>VaV</w:t>
      </w:r>
      <w:proofErr w:type="spellEnd"/>
      <w:r>
        <w:rPr>
          <w:rFonts w:ascii="Arial" w:hAnsi="Arial" w:cs="Arial"/>
          <w:sz w:val="20"/>
          <w:szCs w:val="20"/>
        </w:rPr>
        <w:t xml:space="preserve"> v roce 2022 více než 100 mil. Kč jich 94 mělo zahraničního vlastníka. Nejvíce z těchto zahraničních podniků s vysokými výdaji na </w:t>
      </w:r>
      <w:proofErr w:type="spellStart"/>
      <w:r>
        <w:rPr>
          <w:rFonts w:ascii="Arial" w:hAnsi="Arial" w:cs="Arial"/>
          <w:sz w:val="20"/>
          <w:szCs w:val="20"/>
        </w:rPr>
        <w:t>VaV</w:t>
      </w:r>
      <w:proofErr w:type="spellEnd"/>
      <w:r>
        <w:rPr>
          <w:rFonts w:ascii="Arial" w:hAnsi="Arial" w:cs="Arial"/>
          <w:sz w:val="20"/>
          <w:szCs w:val="20"/>
        </w:rPr>
        <w:t xml:space="preserve"> má vrcholového vlastníka ve Spojených státech nebo </w:t>
      </w:r>
      <w:r>
        <w:rPr>
          <w:rFonts w:ascii="Arial" w:hAnsi="Arial" w:cs="Arial"/>
          <w:sz w:val="20"/>
          <w:szCs w:val="20"/>
        </w:rPr>
        <w:lastRenderedPageBreak/>
        <w:t xml:space="preserve">v Německu. Celkem 33 podniků vynaložilo v roce 2022 na </w:t>
      </w:r>
      <w:proofErr w:type="spellStart"/>
      <w:r>
        <w:rPr>
          <w:rFonts w:ascii="Arial" w:hAnsi="Arial" w:cs="Arial"/>
          <w:sz w:val="20"/>
          <w:szCs w:val="20"/>
        </w:rPr>
        <w:t>VaV</w:t>
      </w:r>
      <w:proofErr w:type="spellEnd"/>
      <w:r>
        <w:rPr>
          <w:rFonts w:ascii="Arial" w:hAnsi="Arial" w:cs="Arial"/>
          <w:sz w:val="20"/>
          <w:szCs w:val="20"/>
        </w:rPr>
        <w:t xml:space="preserve"> více než 500 mil. Kč, 25 z nich mělo zahraničního vlastníka. Třináct podniků pak ve stejném roce vynaložilo na </w:t>
      </w:r>
      <w:proofErr w:type="spellStart"/>
      <w:r>
        <w:rPr>
          <w:rFonts w:ascii="Arial" w:hAnsi="Arial" w:cs="Arial"/>
          <w:sz w:val="20"/>
          <w:szCs w:val="20"/>
        </w:rPr>
        <w:t>VaV</w:t>
      </w:r>
      <w:proofErr w:type="spellEnd"/>
      <w:r>
        <w:rPr>
          <w:rFonts w:ascii="Arial" w:hAnsi="Arial" w:cs="Arial"/>
          <w:sz w:val="20"/>
          <w:szCs w:val="20"/>
        </w:rPr>
        <w:t xml:space="preserve"> dokonce více než 1 mld. Kč.</w:t>
      </w:r>
    </w:p>
    <w:p w14:paraId="6E887EE6" w14:textId="27A2E9FB" w:rsidR="007F7B06" w:rsidRPr="00E66D3A" w:rsidRDefault="007F7B06" w:rsidP="007F7B06">
      <w:pPr>
        <w:spacing w:after="120" w:line="288" w:lineRule="auto"/>
        <w:jc w:val="both"/>
        <w:rPr>
          <w:rFonts w:ascii="Arial" w:hAnsi="Arial" w:cs="Arial"/>
          <w:b/>
          <w:sz w:val="20"/>
          <w:szCs w:val="20"/>
        </w:rPr>
      </w:pPr>
      <w:r w:rsidRPr="00E66D3A">
        <w:rPr>
          <w:rFonts w:ascii="Arial" w:hAnsi="Arial" w:cs="Arial"/>
          <w:b/>
          <w:sz w:val="20"/>
          <w:szCs w:val="20"/>
        </w:rPr>
        <w:t xml:space="preserve">Graf </w:t>
      </w:r>
      <w:r w:rsidR="00BF68BA">
        <w:rPr>
          <w:rFonts w:ascii="Arial" w:hAnsi="Arial" w:cs="Arial"/>
          <w:b/>
          <w:sz w:val="20"/>
          <w:szCs w:val="20"/>
        </w:rPr>
        <w:t>13</w:t>
      </w:r>
      <w:r w:rsidRPr="00E66D3A">
        <w:rPr>
          <w:rFonts w:ascii="Arial" w:hAnsi="Arial" w:cs="Arial"/>
          <w:b/>
          <w:sz w:val="20"/>
          <w:szCs w:val="20"/>
        </w:rPr>
        <w:t xml:space="preserve">. Výdaje na </w:t>
      </w:r>
      <w:proofErr w:type="spellStart"/>
      <w:r>
        <w:rPr>
          <w:rFonts w:ascii="Arial" w:hAnsi="Arial" w:cs="Arial"/>
          <w:b/>
          <w:sz w:val="20"/>
          <w:szCs w:val="20"/>
        </w:rPr>
        <w:t>VaV</w:t>
      </w:r>
      <w:proofErr w:type="spellEnd"/>
      <w:r w:rsidRPr="00E66D3A">
        <w:rPr>
          <w:rFonts w:ascii="Arial" w:hAnsi="Arial" w:cs="Arial"/>
          <w:b/>
          <w:sz w:val="20"/>
          <w:szCs w:val="20"/>
        </w:rPr>
        <w:t xml:space="preserve"> </w:t>
      </w:r>
      <w:r>
        <w:rPr>
          <w:rFonts w:ascii="Arial" w:hAnsi="Arial" w:cs="Arial"/>
          <w:b/>
          <w:sz w:val="20"/>
          <w:szCs w:val="20"/>
        </w:rPr>
        <w:t xml:space="preserve">v podnicích </w:t>
      </w:r>
      <w:r w:rsidRPr="00E66D3A">
        <w:rPr>
          <w:rFonts w:ascii="Arial" w:hAnsi="Arial" w:cs="Arial"/>
          <w:b/>
          <w:sz w:val="20"/>
          <w:szCs w:val="20"/>
        </w:rPr>
        <w:t xml:space="preserve">v Česku podle </w:t>
      </w:r>
      <w:r>
        <w:rPr>
          <w:rFonts w:ascii="Arial" w:hAnsi="Arial" w:cs="Arial"/>
          <w:b/>
          <w:sz w:val="20"/>
          <w:szCs w:val="20"/>
        </w:rPr>
        <w:t xml:space="preserve">druhu výdajů a zdrojů financování </w:t>
      </w:r>
      <w:r w:rsidRPr="00E66D3A">
        <w:rPr>
          <w:rFonts w:ascii="Arial" w:hAnsi="Arial" w:cs="Arial"/>
          <w:b/>
          <w:sz w:val="20"/>
          <w:szCs w:val="20"/>
        </w:rPr>
        <w:t>(</w:t>
      </w:r>
      <w:r>
        <w:rPr>
          <w:rFonts w:ascii="Arial" w:hAnsi="Arial" w:cs="Arial"/>
          <w:b/>
          <w:sz w:val="20"/>
          <w:szCs w:val="20"/>
        </w:rPr>
        <w:t>%</w:t>
      </w:r>
      <w:r w:rsidRPr="00E66D3A">
        <w:rPr>
          <w:rFonts w:ascii="Arial" w:hAnsi="Arial" w:cs="Arial"/>
          <w:b/>
          <w:sz w:val="20"/>
          <w:szCs w:val="20"/>
        </w:rPr>
        <w:t>)</w:t>
      </w:r>
    </w:p>
    <w:p w14:paraId="05791E37" w14:textId="77777777" w:rsidR="007F7B06" w:rsidRPr="00C67BA8" w:rsidRDefault="007F7B06" w:rsidP="007F7B06">
      <w:pPr>
        <w:tabs>
          <w:tab w:val="left" w:pos="567"/>
          <w:tab w:val="left" w:pos="5387"/>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výdajů </w:t>
      </w:r>
      <w:r w:rsidRPr="00C67BA8">
        <w:rPr>
          <w:rFonts w:ascii="Arial" w:hAnsi="Arial" w:cs="Arial"/>
          <w:b/>
          <w:i/>
          <w:sz w:val="18"/>
          <w:szCs w:val="20"/>
        </w:rPr>
        <w:tab/>
        <w:t xml:space="preserve">b) podle zdrojů financování </w:t>
      </w:r>
      <w:r w:rsidRPr="00C67BA8">
        <w:rPr>
          <w:rFonts w:ascii="Arial" w:hAnsi="Arial" w:cs="Arial"/>
          <w:b/>
          <w:i/>
          <w:sz w:val="18"/>
          <w:szCs w:val="20"/>
        </w:rPr>
        <w:tab/>
      </w:r>
    </w:p>
    <w:p w14:paraId="2895DFF8" w14:textId="00D39E68" w:rsidR="007F7B06" w:rsidRDefault="00B813EF" w:rsidP="001A67C4">
      <w:pPr>
        <w:jc w:val="both"/>
        <w:rPr>
          <w:rFonts w:ascii="Arial" w:hAnsi="Arial" w:cs="Arial"/>
          <w:sz w:val="20"/>
          <w:szCs w:val="20"/>
        </w:rPr>
      </w:pPr>
      <w:r>
        <w:rPr>
          <w:noProof/>
          <w:lang w:eastAsia="cs-CZ"/>
        </w:rPr>
        <w:drawing>
          <wp:inline distT="0" distB="0" distL="0" distR="0" wp14:anchorId="6431C040" wp14:editId="5AB63438">
            <wp:extent cx="2520000" cy="2340000"/>
            <wp:effectExtent l="0" t="0" r="0" b="0"/>
            <wp:docPr id="83" name="Graf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F7B06">
        <w:rPr>
          <w:rFonts w:ascii="Arial" w:hAnsi="Arial" w:cs="Arial"/>
          <w:sz w:val="20"/>
          <w:szCs w:val="20"/>
        </w:rPr>
        <w:t xml:space="preserve">                    </w:t>
      </w:r>
      <w:r>
        <w:rPr>
          <w:noProof/>
          <w:lang w:eastAsia="cs-CZ"/>
        </w:rPr>
        <w:drawing>
          <wp:inline distT="0" distB="0" distL="0" distR="0" wp14:anchorId="51709A20" wp14:editId="266EA8D6">
            <wp:extent cx="2520000" cy="2340000"/>
            <wp:effectExtent l="0" t="0" r="0" b="0"/>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C415BE3" w14:textId="77777777" w:rsidR="007F7B06" w:rsidRPr="004C103D" w:rsidRDefault="007F7B06" w:rsidP="007F7B06">
      <w:pPr>
        <w:spacing w:after="120" w:line="288" w:lineRule="auto"/>
        <w:jc w:val="right"/>
        <w:rPr>
          <w:rFonts w:ascii="Arial" w:hAnsi="Arial" w:cs="Arial"/>
          <w:b/>
          <w:sz w:val="20"/>
          <w:szCs w:val="20"/>
        </w:rPr>
      </w:pPr>
      <w:r w:rsidRPr="0019141D">
        <w:rPr>
          <w:rFonts w:ascii="Arial" w:hAnsi="Arial" w:cs="Arial"/>
          <w:i/>
          <w:sz w:val="18"/>
          <w:szCs w:val="20"/>
        </w:rPr>
        <w:t>Zdroj: ČSÚ; Roční zjišťování o výzkumu a vývoji VTR 5-01</w:t>
      </w:r>
    </w:p>
    <w:p w14:paraId="25859557" w14:textId="77777777" w:rsidR="007C4355" w:rsidRDefault="007C4355" w:rsidP="007C4355">
      <w:pPr>
        <w:jc w:val="both"/>
        <w:rPr>
          <w:rFonts w:ascii="Arial" w:hAnsi="Arial" w:cs="Arial"/>
          <w:sz w:val="20"/>
          <w:szCs w:val="20"/>
        </w:rPr>
      </w:pPr>
      <w:r>
        <w:rPr>
          <w:rFonts w:ascii="Arial" w:hAnsi="Arial" w:cs="Arial"/>
          <w:sz w:val="20"/>
          <w:szCs w:val="20"/>
        </w:rPr>
        <w:t xml:space="preserve">Obdobně jako ve všech sektorech provádění se i v podnicích nejvíce prostředků vynakládá na mzdy, přičemž jejich podíl trvale narůstá. V roce 2022 se v podnicích vydalo na mzdy ve </w:t>
      </w:r>
      <w:proofErr w:type="spellStart"/>
      <w:r>
        <w:rPr>
          <w:rFonts w:ascii="Arial" w:hAnsi="Arial" w:cs="Arial"/>
          <w:sz w:val="20"/>
          <w:szCs w:val="20"/>
        </w:rPr>
        <w:t>VaV</w:t>
      </w:r>
      <w:proofErr w:type="spellEnd"/>
      <w:r>
        <w:rPr>
          <w:rFonts w:ascii="Arial" w:hAnsi="Arial" w:cs="Arial"/>
          <w:sz w:val="20"/>
          <w:szCs w:val="20"/>
        </w:rPr>
        <w:t xml:space="preserve"> 50,5 mld. Kč, což tvořilo 59 % výdajů na </w:t>
      </w:r>
      <w:proofErr w:type="spellStart"/>
      <w:r>
        <w:rPr>
          <w:rFonts w:ascii="Arial" w:hAnsi="Arial" w:cs="Arial"/>
          <w:sz w:val="20"/>
          <w:szCs w:val="20"/>
        </w:rPr>
        <w:t>VaV</w:t>
      </w:r>
      <w:proofErr w:type="spellEnd"/>
      <w:r>
        <w:rPr>
          <w:rFonts w:ascii="Arial" w:hAnsi="Arial" w:cs="Arial"/>
          <w:sz w:val="20"/>
          <w:szCs w:val="20"/>
        </w:rPr>
        <w:t xml:space="preserve"> podniků. Investiční výdaje se naopak příliš nenavyšují. V roce 2022 se na investice v podnikovém výzkumu vynaložilo celkem 7,7 mld. Kč, což tvořilo 9 % podnikového výzkumu. Obdobná částka alokovaná na investice v roce 2014 tvořila tehdy 16 % výdajů na </w:t>
      </w:r>
      <w:proofErr w:type="spellStart"/>
      <w:r>
        <w:rPr>
          <w:rFonts w:ascii="Arial" w:hAnsi="Arial" w:cs="Arial"/>
          <w:sz w:val="20"/>
          <w:szCs w:val="20"/>
        </w:rPr>
        <w:t>VaV</w:t>
      </w:r>
      <w:proofErr w:type="spellEnd"/>
      <w:r>
        <w:rPr>
          <w:rFonts w:ascii="Arial" w:hAnsi="Arial" w:cs="Arial"/>
          <w:sz w:val="20"/>
          <w:szCs w:val="20"/>
        </w:rPr>
        <w:t xml:space="preserve"> podnikatelského sektoru.</w:t>
      </w:r>
    </w:p>
    <w:p w14:paraId="2350118D" w14:textId="71D1C4FD" w:rsidR="00460518" w:rsidRPr="00C67BA8" w:rsidRDefault="00460518" w:rsidP="00460518">
      <w:pPr>
        <w:spacing w:after="0" w:line="288" w:lineRule="auto"/>
        <w:jc w:val="both"/>
        <w:rPr>
          <w:rFonts w:ascii="Arial" w:hAnsi="Arial" w:cs="Arial"/>
          <w:b/>
          <w:sz w:val="20"/>
          <w:szCs w:val="20"/>
        </w:rPr>
      </w:pPr>
      <w:r w:rsidRPr="00C67BA8">
        <w:rPr>
          <w:rFonts w:ascii="Arial" w:hAnsi="Arial" w:cs="Arial"/>
          <w:b/>
          <w:sz w:val="20"/>
          <w:szCs w:val="20"/>
        </w:rPr>
        <w:t xml:space="preserve">Graf </w:t>
      </w:r>
      <w:r w:rsidR="00BF68BA">
        <w:rPr>
          <w:rFonts w:ascii="Arial" w:hAnsi="Arial" w:cs="Arial"/>
          <w:b/>
          <w:sz w:val="20"/>
          <w:szCs w:val="20"/>
        </w:rPr>
        <w:t>14</w:t>
      </w:r>
      <w:r w:rsidRPr="00C67BA8">
        <w:rPr>
          <w:rFonts w:ascii="Arial" w:hAnsi="Arial" w:cs="Arial"/>
          <w:b/>
          <w:sz w:val="20"/>
          <w:szCs w:val="20"/>
        </w:rPr>
        <w:t xml:space="preserve">. </w:t>
      </w:r>
      <w:r w:rsidRPr="00F4232A">
        <w:rPr>
          <w:rFonts w:ascii="Arial" w:hAnsi="Arial" w:cs="Arial"/>
          <w:b/>
          <w:sz w:val="20"/>
          <w:szCs w:val="20"/>
        </w:rPr>
        <w:t xml:space="preserve">Výdaje na </w:t>
      </w:r>
      <w:proofErr w:type="spellStart"/>
      <w:r>
        <w:rPr>
          <w:rFonts w:ascii="Arial" w:hAnsi="Arial" w:cs="Arial"/>
          <w:b/>
          <w:sz w:val="20"/>
          <w:szCs w:val="20"/>
        </w:rPr>
        <w:t>VaV</w:t>
      </w:r>
      <w:proofErr w:type="spellEnd"/>
      <w:r w:rsidRPr="00F4232A">
        <w:rPr>
          <w:rFonts w:ascii="Arial" w:hAnsi="Arial" w:cs="Arial"/>
          <w:b/>
          <w:sz w:val="20"/>
          <w:szCs w:val="20"/>
        </w:rPr>
        <w:t xml:space="preserve"> v podnicích v Č</w:t>
      </w:r>
      <w:r>
        <w:rPr>
          <w:rFonts w:ascii="Arial" w:hAnsi="Arial" w:cs="Arial"/>
          <w:b/>
          <w:sz w:val="20"/>
          <w:szCs w:val="20"/>
        </w:rPr>
        <w:t>esku</w:t>
      </w:r>
      <w:r w:rsidRPr="00F4232A">
        <w:rPr>
          <w:rFonts w:ascii="Arial" w:hAnsi="Arial" w:cs="Arial"/>
          <w:b/>
          <w:sz w:val="20"/>
          <w:szCs w:val="20"/>
        </w:rPr>
        <w:t xml:space="preserve"> podle převažující ekonomické činnosti (</w:t>
      </w:r>
      <w:r>
        <w:rPr>
          <w:rFonts w:ascii="Arial" w:hAnsi="Arial" w:cs="Arial"/>
          <w:b/>
          <w:sz w:val="20"/>
          <w:szCs w:val="20"/>
        </w:rPr>
        <w:t>sekce CZ-</w:t>
      </w:r>
      <w:r w:rsidRPr="00F4232A">
        <w:rPr>
          <w:rFonts w:ascii="Arial" w:hAnsi="Arial" w:cs="Arial"/>
          <w:b/>
          <w:sz w:val="20"/>
          <w:szCs w:val="20"/>
        </w:rPr>
        <w:t>NACE)</w:t>
      </w:r>
    </w:p>
    <w:p w14:paraId="6406FB11" w14:textId="66F18A6A" w:rsidR="00460518" w:rsidRDefault="005775B9" w:rsidP="001A67C4">
      <w:pPr>
        <w:jc w:val="both"/>
        <w:rPr>
          <w:noProof/>
          <w:lang w:eastAsia="cs-CZ"/>
        </w:rPr>
      </w:pPr>
      <w:r>
        <w:rPr>
          <w:noProof/>
          <w:lang w:eastAsia="cs-CZ"/>
        </w:rPr>
        <w:drawing>
          <wp:inline distT="0" distB="0" distL="0" distR="0" wp14:anchorId="4920ED69" wp14:editId="54F8BD4D">
            <wp:extent cx="4178301" cy="2880000"/>
            <wp:effectExtent l="0" t="0" r="0" b="0"/>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460518" w:rsidRPr="00460518">
        <w:rPr>
          <w:noProof/>
          <w:lang w:eastAsia="cs-CZ"/>
        </w:rPr>
        <w:t xml:space="preserve"> </w:t>
      </w:r>
      <w:r>
        <w:rPr>
          <w:noProof/>
          <w:lang w:eastAsia="cs-CZ"/>
        </w:rPr>
        <w:drawing>
          <wp:inline distT="0" distB="0" distL="0" distR="0" wp14:anchorId="5B57F7E5" wp14:editId="719A81B2">
            <wp:extent cx="1800000" cy="2880000"/>
            <wp:effectExtent l="0" t="0" r="0" b="0"/>
            <wp:docPr id="88"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25515F" w14:textId="065C07F2" w:rsidR="00460518" w:rsidRPr="00460518" w:rsidRDefault="00460518" w:rsidP="00460518">
      <w:pPr>
        <w:spacing w:after="120" w:line="288" w:lineRule="auto"/>
        <w:jc w:val="right"/>
        <w:rPr>
          <w:rFonts w:ascii="Arial" w:hAnsi="Arial" w:cs="Arial"/>
          <w:i/>
          <w:sz w:val="18"/>
          <w:szCs w:val="20"/>
        </w:rPr>
      </w:pPr>
      <w:r w:rsidRPr="006438BD">
        <w:rPr>
          <w:rFonts w:ascii="Arial" w:hAnsi="Arial" w:cs="Arial"/>
          <w:i/>
          <w:sz w:val="18"/>
          <w:szCs w:val="20"/>
        </w:rPr>
        <w:t>Zdroj: ČSÚ; Roční zjišťování o výzkumu a vývoji VTR 5-01</w:t>
      </w:r>
    </w:p>
    <w:p w14:paraId="26D3A458" w14:textId="7FA4169C" w:rsidR="00D436CC" w:rsidRDefault="00F07142" w:rsidP="00D436CC">
      <w:pPr>
        <w:jc w:val="both"/>
        <w:rPr>
          <w:rFonts w:ascii="Arial" w:hAnsi="Arial" w:cs="Arial"/>
          <w:sz w:val="20"/>
          <w:szCs w:val="20"/>
        </w:rPr>
      </w:pPr>
      <w:r>
        <w:rPr>
          <w:rFonts w:ascii="Arial" w:hAnsi="Arial" w:cs="Arial"/>
          <w:sz w:val="20"/>
          <w:szCs w:val="20"/>
        </w:rPr>
        <w:t>Přibližně</w:t>
      </w:r>
      <w:r w:rsidR="00D436CC">
        <w:rPr>
          <w:rFonts w:ascii="Arial" w:hAnsi="Arial" w:cs="Arial"/>
          <w:sz w:val="20"/>
          <w:szCs w:val="20"/>
        </w:rPr>
        <w:t xml:space="preserve"> polovina firem provádějících v Česku </w:t>
      </w:r>
      <w:proofErr w:type="spellStart"/>
      <w:r w:rsidR="00D436CC">
        <w:rPr>
          <w:rFonts w:ascii="Arial" w:hAnsi="Arial" w:cs="Arial"/>
          <w:sz w:val="20"/>
          <w:szCs w:val="20"/>
        </w:rPr>
        <w:t>V</w:t>
      </w:r>
      <w:r>
        <w:rPr>
          <w:rFonts w:ascii="Arial" w:hAnsi="Arial" w:cs="Arial"/>
          <w:sz w:val="20"/>
          <w:szCs w:val="20"/>
        </w:rPr>
        <w:t>aV</w:t>
      </w:r>
      <w:proofErr w:type="spellEnd"/>
      <w:r>
        <w:rPr>
          <w:rFonts w:ascii="Arial" w:hAnsi="Arial" w:cs="Arial"/>
          <w:sz w:val="20"/>
          <w:szCs w:val="20"/>
        </w:rPr>
        <w:t xml:space="preserve"> spadala v roce 2022</w:t>
      </w:r>
      <w:r w:rsidR="00D436CC">
        <w:rPr>
          <w:rFonts w:ascii="Arial" w:hAnsi="Arial" w:cs="Arial"/>
          <w:sz w:val="20"/>
          <w:szCs w:val="20"/>
        </w:rPr>
        <w:t xml:space="preserve"> do průmyslových odvětví. Podíl výdajů na </w:t>
      </w:r>
      <w:proofErr w:type="spellStart"/>
      <w:r w:rsidR="00D436CC">
        <w:rPr>
          <w:rFonts w:ascii="Arial" w:hAnsi="Arial" w:cs="Arial"/>
          <w:sz w:val="20"/>
          <w:szCs w:val="20"/>
        </w:rPr>
        <w:t>VaV</w:t>
      </w:r>
      <w:proofErr w:type="spellEnd"/>
      <w:r w:rsidR="00D436CC">
        <w:rPr>
          <w:rFonts w:ascii="Arial" w:hAnsi="Arial" w:cs="Arial"/>
          <w:sz w:val="20"/>
          <w:szCs w:val="20"/>
        </w:rPr>
        <w:t xml:space="preserve"> firem ze zpracovatelského průmyslu na celkových výdajích podnikatelského sektoru však v průběhu času </w:t>
      </w:r>
      <w:r w:rsidR="006C0E9C">
        <w:rPr>
          <w:rFonts w:ascii="Arial" w:hAnsi="Arial" w:cs="Arial"/>
          <w:sz w:val="20"/>
          <w:szCs w:val="20"/>
        </w:rPr>
        <w:t>pozvolna</w:t>
      </w:r>
      <w:r w:rsidR="00D436CC">
        <w:rPr>
          <w:rFonts w:ascii="Arial" w:hAnsi="Arial" w:cs="Arial"/>
          <w:sz w:val="20"/>
          <w:szCs w:val="20"/>
        </w:rPr>
        <w:t xml:space="preserve"> klesá. V roce 202</w:t>
      </w:r>
      <w:r w:rsidR="006C0E9C">
        <w:rPr>
          <w:rFonts w:ascii="Arial" w:hAnsi="Arial" w:cs="Arial"/>
          <w:sz w:val="20"/>
          <w:szCs w:val="20"/>
        </w:rPr>
        <w:t>2</w:t>
      </w:r>
      <w:r w:rsidR="00D436CC">
        <w:rPr>
          <w:rFonts w:ascii="Arial" w:hAnsi="Arial" w:cs="Arial"/>
          <w:sz w:val="20"/>
          <w:szCs w:val="20"/>
        </w:rPr>
        <w:t xml:space="preserve"> připadala na průmyslové podniky polovina výdajů na </w:t>
      </w:r>
      <w:proofErr w:type="spellStart"/>
      <w:r w:rsidR="00D436CC">
        <w:rPr>
          <w:rFonts w:ascii="Arial" w:hAnsi="Arial" w:cs="Arial"/>
          <w:sz w:val="20"/>
          <w:szCs w:val="20"/>
        </w:rPr>
        <w:t>VaV</w:t>
      </w:r>
      <w:proofErr w:type="spellEnd"/>
      <w:r w:rsidR="00D436CC">
        <w:rPr>
          <w:rFonts w:ascii="Arial" w:hAnsi="Arial" w:cs="Arial"/>
          <w:sz w:val="20"/>
          <w:szCs w:val="20"/>
        </w:rPr>
        <w:t xml:space="preserve"> podnikatelského sektoru.</w:t>
      </w:r>
      <w:r w:rsidR="006C0E9C">
        <w:rPr>
          <w:rFonts w:ascii="Arial" w:hAnsi="Arial" w:cs="Arial"/>
          <w:sz w:val="20"/>
          <w:szCs w:val="20"/>
        </w:rPr>
        <w:t xml:space="preserve"> O pět let dříve to bylo téměř 55</w:t>
      </w:r>
      <w:r w:rsidR="00321002">
        <w:rPr>
          <w:rFonts w:ascii="Arial" w:hAnsi="Arial" w:cs="Arial"/>
          <w:sz w:val="20"/>
          <w:szCs w:val="20"/>
        </w:rPr>
        <w:t> </w:t>
      </w:r>
      <w:r w:rsidR="006C0E9C">
        <w:rPr>
          <w:rFonts w:ascii="Arial" w:hAnsi="Arial" w:cs="Arial"/>
          <w:sz w:val="20"/>
          <w:szCs w:val="20"/>
        </w:rPr>
        <w:t>%.</w:t>
      </w:r>
      <w:r w:rsidR="00D436CC">
        <w:rPr>
          <w:rFonts w:ascii="Arial" w:hAnsi="Arial" w:cs="Arial"/>
          <w:sz w:val="20"/>
          <w:szCs w:val="20"/>
        </w:rPr>
        <w:t xml:space="preserve"> Z hlediska výše výdajů na </w:t>
      </w:r>
      <w:proofErr w:type="spellStart"/>
      <w:r w:rsidR="00D436CC">
        <w:rPr>
          <w:rFonts w:ascii="Arial" w:hAnsi="Arial" w:cs="Arial"/>
          <w:sz w:val="20"/>
          <w:szCs w:val="20"/>
        </w:rPr>
        <w:t>VaV</w:t>
      </w:r>
      <w:proofErr w:type="spellEnd"/>
      <w:r w:rsidR="00D436CC">
        <w:rPr>
          <w:rFonts w:ascii="Arial" w:hAnsi="Arial" w:cs="Arial"/>
          <w:sz w:val="20"/>
          <w:szCs w:val="20"/>
        </w:rPr>
        <w:t xml:space="preserve"> je nejvýznamnějším průmyslovým odvětvím automobilový průmysl. Firmy z tohoto odvětví </w:t>
      </w:r>
      <w:r w:rsidR="002D4899">
        <w:rPr>
          <w:rFonts w:ascii="Arial" w:hAnsi="Arial" w:cs="Arial"/>
          <w:sz w:val="20"/>
          <w:szCs w:val="20"/>
        </w:rPr>
        <w:t xml:space="preserve">utratily </w:t>
      </w:r>
      <w:r w:rsidR="00D436CC">
        <w:rPr>
          <w:rFonts w:ascii="Arial" w:hAnsi="Arial" w:cs="Arial"/>
          <w:sz w:val="20"/>
          <w:szCs w:val="20"/>
        </w:rPr>
        <w:t>v roce 202</w:t>
      </w:r>
      <w:r w:rsidR="006C0E9C">
        <w:rPr>
          <w:rFonts w:ascii="Arial" w:hAnsi="Arial" w:cs="Arial"/>
          <w:sz w:val="20"/>
          <w:szCs w:val="20"/>
        </w:rPr>
        <w:t>2</w:t>
      </w:r>
      <w:r w:rsidR="00D436CC">
        <w:rPr>
          <w:rFonts w:ascii="Arial" w:hAnsi="Arial" w:cs="Arial"/>
          <w:sz w:val="20"/>
          <w:szCs w:val="20"/>
        </w:rPr>
        <w:t xml:space="preserve"> </w:t>
      </w:r>
      <w:r w:rsidR="002D4899">
        <w:rPr>
          <w:rFonts w:ascii="Arial" w:hAnsi="Arial" w:cs="Arial"/>
          <w:sz w:val="20"/>
          <w:szCs w:val="20"/>
        </w:rPr>
        <w:t xml:space="preserve">za </w:t>
      </w:r>
      <w:proofErr w:type="spellStart"/>
      <w:r w:rsidR="006C0E9C">
        <w:rPr>
          <w:rFonts w:ascii="Arial" w:hAnsi="Arial" w:cs="Arial"/>
          <w:sz w:val="20"/>
          <w:szCs w:val="20"/>
        </w:rPr>
        <w:t>VaV</w:t>
      </w:r>
      <w:proofErr w:type="spellEnd"/>
      <w:r w:rsidR="006C0E9C">
        <w:rPr>
          <w:rFonts w:ascii="Arial" w:hAnsi="Arial" w:cs="Arial"/>
          <w:sz w:val="20"/>
          <w:szCs w:val="20"/>
        </w:rPr>
        <w:t xml:space="preserve"> celkem 12,7</w:t>
      </w:r>
      <w:r w:rsidR="00D436CC">
        <w:rPr>
          <w:rFonts w:ascii="Arial" w:hAnsi="Arial" w:cs="Arial"/>
          <w:sz w:val="20"/>
          <w:szCs w:val="20"/>
        </w:rPr>
        <w:t xml:space="preserve"> mld. Kč. Firmy z elektrotechnického průmyslu vynaložily v roce 202</w:t>
      </w:r>
      <w:r w:rsidR="006C0E9C">
        <w:rPr>
          <w:rFonts w:ascii="Arial" w:hAnsi="Arial" w:cs="Arial"/>
          <w:sz w:val="20"/>
          <w:szCs w:val="20"/>
        </w:rPr>
        <w:t>2</w:t>
      </w:r>
      <w:r w:rsidR="00D436CC">
        <w:rPr>
          <w:rFonts w:ascii="Arial" w:hAnsi="Arial" w:cs="Arial"/>
          <w:sz w:val="20"/>
          <w:szCs w:val="20"/>
        </w:rPr>
        <w:t xml:space="preserve"> na </w:t>
      </w:r>
      <w:proofErr w:type="spellStart"/>
      <w:r w:rsidR="00D436CC">
        <w:rPr>
          <w:rFonts w:ascii="Arial" w:hAnsi="Arial" w:cs="Arial"/>
          <w:sz w:val="20"/>
          <w:szCs w:val="20"/>
        </w:rPr>
        <w:t>VaV</w:t>
      </w:r>
      <w:proofErr w:type="spellEnd"/>
      <w:r w:rsidR="00D436CC">
        <w:rPr>
          <w:rFonts w:ascii="Arial" w:hAnsi="Arial" w:cs="Arial"/>
          <w:sz w:val="20"/>
          <w:szCs w:val="20"/>
        </w:rPr>
        <w:t xml:space="preserve"> </w:t>
      </w:r>
      <w:r w:rsidR="006C0E9C">
        <w:rPr>
          <w:rFonts w:ascii="Arial" w:hAnsi="Arial" w:cs="Arial"/>
          <w:sz w:val="20"/>
          <w:szCs w:val="20"/>
        </w:rPr>
        <w:t>7</w:t>
      </w:r>
      <w:r w:rsidR="00D436CC">
        <w:rPr>
          <w:rFonts w:ascii="Arial" w:hAnsi="Arial" w:cs="Arial"/>
          <w:sz w:val="20"/>
          <w:szCs w:val="20"/>
        </w:rPr>
        <w:t xml:space="preserve"> mld. Kč</w:t>
      </w:r>
      <w:r w:rsidR="00321002">
        <w:rPr>
          <w:rFonts w:ascii="Arial" w:hAnsi="Arial" w:cs="Arial"/>
          <w:sz w:val="20"/>
          <w:szCs w:val="20"/>
        </w:rPr>
        <w:t xml:space="preserve"> a</w:t>
      </w:r>
      <w:r w:rsidR="00D436CC">
        <w:rPr>
          <w:rFonts w:ascii="Arial" w:hAnsi="Arial" w:cs="Arial"/>
          <w:sz w:val="20"/>
          <w:szCs w:val="20"/>
        </w:rPr>
        <w:t xml:space="preserve"> </w:t>
      </w:r>
      <w:r w:rsidR="00D436CC">
        <w:rPr>
          <w:rFonts w:ascii="Arial" w:hAnsi="Arial" w:cs="Arial"/>
          <w:sz w:val="20"/>
          <w:szCs w:val="20"/>
        </w:rPr>
        <w:lastRenderedPageBreak/>
        <w:t xml:space="preserve">firmy ze strojírenského průmyslu </w:t>
      </w:r>
      <w:r w:rsidR="006C0E9C">
        <w:rPr>
          <w:rFonts w:ascii="Arial" w:hAnsi="Arial" w:cs="Arial"/>
          <w:sz w:val="20"/>
          <w:szCs w:val="20"/>
        </w:rPr>
        <w:t>5,3</w:t>
      </w:r>
      <w:r w:rsidR="00D436CC">
        <w:rPr>
          <w:rFonts w:ascii="Arial" w:hAnsi="Arial" w:cs="Arial"/>
          <w:sz w:val="20"/>
          <w:szCs w:val="20"/>
        </w:rPr>
        <w:t xml:space="preserve"> mld. Kč. Jednoznačně nejdynamičtěji rostou výdaje na </w:t>
      </w:r>
      <w:proofErr w:type="spellStart"/>
      <w:r w:rsidR="00D436CC">
        <w:rPr>
          <w:rFonts w:ascii="Arial" w:hAnsi="Arial" w:cs="Arial"/>
          <w:sz w:val="20"/>
          <w:szCs w:val="20"/>
        </w:rPr>
        <w:t>VaV</w:t>
      </w:r>
      <w:proofErr w:type="spellEnd"/>
      <w:r w:rsidR="00D436CC">
        <w:rPr>
          <w:rFonts w:ascii="Arial" w:hAnsi="Arial" w:cs="Arial"/>
          <w:sz w:val="20"/>
          <w:szCs w:val="20"/>
        </w:rPr>
        <w:t xml:space="preserve"> IT podniků. Výzkumnou činnost provádělo v roce 202</w:t>
      </w:r>
      <w:r w:rsidR="00C831D8">
        <w:rPr>
          <w:rFonts w:ascii="Arial" w:hAnsi="Arial" w:cs="Arial"/>
          <w:sz w:val="20"/>
          <w:szCs w:val="20"/>
        </w:rPr>
        <w:t>2</w:t>
      </w:r>
      <w:r w:rsidR="00D436CC">
        <w:rPr>
          <w:rFonts w:ascii="Arial" w:hAnsi="Arial" w:cs="Arial"/>
          <w:sz w:val="20"/>
          <w:szCs w:val="20"/>
        </w:rPr>
        <w:t xml:space="preserve"> více než 400 podniků</w:t>
      </w:r>
      <w:r w:rsidR="000E7ED4">
        <w:rPr>
          <w:rFonts w:ascii="Arial" w:hAnsi="Arial" w:cs="Arial"/>
          <w:sz w:val="20"/>
          <w:szCs w:val="20"/>
        </w:rPr>
        <w:t xml:space="preserve"> z odvětví IT</w:t>
      </w:r>
      <w:r w:rsidR="00D436CC">
        <w:rPr>
          <w:rFonts w:ascii="Arial" w:hAnsi="Arial" w:cs="Arial"/>
          <w:sz w:val="20"/>
          <w:szCs w:val="20"/>
        </w:rPr>
        <w:t xml:space="preserve"> s celkovými výdaji </w:t>
      </w:r>
      <w:r w:rsidR="00C831D8">
        <w:rPr>
          <w:rFonts w:ascii="Arial" w:hAnsi="Arial" w:cs="Arial"/>
          <w:sz w:val="20"/>
          <w:szCs w:val="20"/>
        </w:rPr>
        <w:t>21,8</w:t>
      </w:r>
      <w:r w:rsidR="00D436CC">
        <w:rPr>
          <w:rFonts w:ascii="Arial" w:hAnsi="Arial" w:cs="Arial"/>
          <w:sz w:val="20"/>
          <w:szCs w:val="20"/>
        </w:rPr>
        <w:t xml:space="preserve"> mld. Kč. Pro srovnání v roce 2011 to bylo </w:t>
      </w:r>
      <w:r w:rsidR="00321002">
        <w:rPr>
          <w:rFonts w:ascii="Arial" w:hAnsi="Arial" w:cs="Arial"/>
          <w:sz w:val="20"/>
          <w:szCs w:val="20"/>
        </w:rPr>
        <w:t>pouze cca</w:t>
      </w:r>
      <w:r w:rsidR="00D436CC">
        <w:rPr>
          <w:rFonts w:ascii="Arial" w:hAnsi="Arial" w:cs="Arial"/>
          <w:sz w:val="20"/>
          <w:szCs w:val="20"/>
        </w:rPr>
        <w:t xml:space="preserve"> 200 podniků s výdaji na </w:t>
      </w:r>
      <w:proofErr w:type="spellStart"/>
      <w:r w:rsidR="00D436CC">
        <w:rPr>
          <w:rFonts w:ascii="Arial" w:hAnsi="Arial" w:cs="Arial"/>
          <w:sz w:val="20"/>
          <w:szCs w:val="20"/>
        </w:rPr>
        <w:t>VaV</w:t>
      </w:r>
      <w:proofErr w:type="spellEnd"/>
      <w:r w:rsidR="00D436CC">
        <w:rPr>
          <w:rFonts w:ascii="Arial" w:hAnsi="Arial" w:cs="Arial"/>
          <w:sz w:val="20"/>
          <w:szCs w:val="20"/>
        </w:rPr>
        <w:t xml:space="preserve"> 5 mld. Kč. Podíl výdajů na </w:t>
      </w:r>
      <w:proofErr w:type="spellStart"/>
      <w:r w:rsidR="00D436CC">
        <w:rPr>
          <w:rFonts w:ascii="Arial" w:hAnsi="Arial" w:cs="Arial"/>
          <w:sz w:val="20"/>
          <w:szCs w:val="20"/>
        </w:rPr>
        <w:t>VaV</w:t>
      </w:r>
      <w:proofErr w:type="spellEnd"/>
      <w:r w:rsidR="00D436CC">
        <w:rPr>
          <w:rFonts w:ascii="Arial" w:hAnsi="Arial" w:cs="Arial"/>
          <w:sz w:val="20"/>
          <w:szCs w:val="20"/>
        </w:rPr>
        <w:t xml:space="preserve"> v informačních technologií</w:t>
      </w:r>
      <w:r w:rsidR="00C831D8">
        <w:rPr>
          <w:rFonts w:ascii="Arial" w:hAnsi="Arial" w:cs="Arial"/>
          <w:sz w:val="20"/>
          <w:szCs w:val="20"/>
        </w:rPr>
        <w:t>ch</w:t>
      </w:r>
      <w:r w:rsidR="00D436CC">
        <w:rPr>
          <w:rFonts w:ascii="Arial" w:hAnsi="Arial" w:cs="Arial"/>
          <w:sz w:val="20"/>
          <w:szCs w:val="20"/>
        </w:rPr>
        <w:t xml:space="preserve"> na všech podnicích tak za </w:t>
      </w:r>
      <w:r w:rsidR="00C831D8">
        <w:rPr>
          <w:rFonts w:ascii="Arial" w:hAnsi="Arial" w:cs="Arial"/>
          <w:sz w:val="20"/>
          <w:szCs w:val="20"/>
        </w:rPr>
        <w:t>jedenáct</w:t>
      </w:r>
      <w:r w:rsidR="00D436CC">
        <w:rPr>
          <w:rFonts w:ascii="Arial" w:hAnsi="Arial" w:cs="Arial"/>
          <w:sz w:val="20"/>
          <w:szCs w:val="20"/>
        </w:rPr>
        <w:t xml:space="preserve"> let vzrostl z 15 na 25 %. V roce 202</w:t>
      </w:r>
      <w:r w:rsidR="00C831D8">
        <w:rPr>
          <w:rFonts w:ascii="Arial" w:hAnsi="Arial" w:cs="Arial"/>
          <w:sz w:val="20"/>
          <w:szCs w:val="20"/>
        </w:rPr>
        <w:t>2</w:t>
      </w:r>
      <w:r w:rsidR="00D436CC">
        <w:rPr>
          <w:rFonts w:ascii="Arial" w:hAnsi="Arial" w:cs="Arial"/>
          <w:sz w:val="20"/>
          <w:szCs w:val="20"/>
        </w:rPr>
        <w:t xml:space="preserve"> </w:t>
      </w:r>
      <w:r w:rsidR="00C831D8">
        <w:rPr>
          <w:rFonts w:ascii="Arial" w:hAnsi="Arial" w:cs="Arial"/>
          <w:sz w:val="20"/>
          <w:szCs w:val="20"/>
        </w:rPr>
        <w:t>v</w:t>
      </w:r>
      <w:r w:rsidR="00D436CC">
        <w:rPr>
          <w:rFonts w:ascii="Arial" w:hAnsi="Arial" w:cs="Arial"/>
          <w:sz w:val="20"/>
          <w:szCs w:val="20"/>
        </w:rPr>
        <w:t xml:space="preserve">ynaložilo </w:t>
      </w:r>
      <w:r w:rsidR="00C831D8">
        <w:rPr>
          <w:rFonts w:ascii="Arial" w:hAnsi="Arial" w:cs="Arial"/>
          <w:sz w:val="20"/>
          <w:szCs w:val="20"/>
        </w:rPr>
        <w:t xml:space="preserve">na </w:t>
      </w:r>
      <w:proofErr w:type="spellStart"/>
      <w:r w:rsidR="00C831D8">
        <w:rPr>
          <w:rFonts w:ascii="Arial" w:hAnsi="Arial" w:cs="Arial"/>
          <w:sz w:val="20"/>
          <w:szCs w:val="20"/>
        </w:rPr>
        <w:t>VaV</w:t>
      </w:r>
      <w:proofErr w:type="spellEnd"/>
      <w:r w:rsidR="00C831D8">
        <w:rPr>
          <w:rFonts w:ascii="Arial" w:hAnsi="Arial" w:cs="Arial"/>
          <w:sz w:val="20"/>
          <w:szCs w:val="20"/>
        </w:rPr>
        <w:t xml:space="preserve"> </w:t>
      </w:r>
      <w:r w:rsidR="00D436CC">
        <w:rPr>
          <w:rFonts w:ascii="Arial" w:hAnsi="Arial" w:cs="Arial"/>
          <w:sz w:val="20"/>
          <w:szCs w:val="20"/>
        </w:rPr>
        <w:t>více než 500 mil</w:t>
      </w:r>
      <w:r w:rsidR="00FE4F5B">
        <w:rPr>
          <w:rFonts w:ascii="Arial" w:hAnsi="Arial" w:cs="Arial"/>
          <w:sz w:val="20"/>
          <w:szCs w:val="20"/>
        </w:rPr>
        <w:t>. Kč celkem 3</w:t>
      </w:r>
      <w:r w:rsidR="00C831D8">
        <w:rPr>
          <w:rFonts w:ascii="Arial" w:hAnsi="Arial" w:cs="Arial"/>
          <w:sz w:val="20"/>
          <w:szCs w:val="20"/>
        </w:rPr>
        <w:t>3</w:t>
      </w:r>
      <w:r w:rsidR="00FE4F5B">
        <w:rPr>
          <w:rFonts w:ascii="Arial" w:hAnsi="Arial" w:cs="Arial"/>
          <w:sz w:val="20"/>
          <w:szCs w:val="20"/>
        </w:rPr>
        <w:t xml:space="preserve"> podniků. Z</w:t>
      </w:r>
      <w:r w:rsidR="00AC3AD2">
        <w:rPr>
          <w:rFonts w:ascii="Arial" w:hAnsi="Arial" w:cs="Arial"/>
          <w:sz w:val="20"/>
          <w:szCs w:val="20"/>
        </w:rPr>
        <w:t> těchto 33 podniků bylo 13</w:t>
      </w:r>
      <w:r w:rsidR="00D436CC">
        <w:rPr>
          <w:rFonts w:ascii="Arial" w:hAnsi="Arial" w:cs="Arial"/>
          <w:sz w:val="20"/>
          <w:szCs w:val="20"/>
        </w:rPr>
        <w:t xml:space="preserve"> průmyslových podniků, 1</w:t>
      </w:r>
      <w:r w:rsidR="00AC3AD2">
        <w:rPr>
          <w:rFonts w:ascii="Arial" w:hAnsi="Arial" w:cs="Arial"/>
          <w:sz w:val="20"/>
          <w:szCs w:val="20"/>
        </w:rPr>
        <w:t>1</w:t>
      </w:r>
      <w:r w:rsidR="00D436CC">
        <w:rPr>
          <w:rFonts w:ascii="Arial" w:hAnsi="Arial" w:cs="Arial"/>
          <w:sz w:val="20"/>
          <w:szCs w:val="20"/>
        </w:rPr>
        <w:t xml:space="preserve"> IT podniků a </w:t>
      </w:r>
      <w:r w:rsidR="00AC3AD2">
        <w:rPr>
          <w:rFonts w:ascii="Arial" w:hAnsi="Arial" w:cs="Arial"/>
          <w:sz w:val="20"/>
          <w:szCs w:val="20"/>
        </w:rPr>
        <w:t>7</w:t>
      </w:r>
      <w:r w:rsidR="00D436CC">
        <w:rPr>
          <w:rFonts w:ascii="Arial" w:hAnsi="Arial" w:cs="Arial"/>
          <w:sz w:val="20"/>
          <w:szCs w:val="20"/>
        </w:rPr>
        <w:t xml:space="preserve"> podniků z odvětví výzkum a vývoj (CZ-NACE 72).</w:t>
      </w:r>
    </w:p>
    <w:p w14:paraId="0A70177E" w14:textId="4395D5A0" w:rsidR="00460518" w:rsidRDefault="00464977" w:rsidP="00460518">
      <w:pPr>
        <w:spacing w:after="0" w:line="288" w:lineRule="auto"/>
        <w:jc w:val="both"/>
        <w:rPr>
          <w:rFonts w:ascii="Arial" w:hAnsi="Arial" w:cs="Arial"/>
          <w:b/>
          <w:sz w:val="20"/>
          <w:szCs w:val="20"/>
        </w:rPr>
      </w:pPr>
      <w:r w:rsidRPr="00C67BA8">
        <w:rPr>
          <w:rFonts w:ascii="Arial" w:hAnsi="Arial" w:cs="Arial"/>
          <w:b/>
          <w:sz w:val="20"/>
          <w:szCs w:val="20"/>
        </w:rPr>
        <w:t>Kartogram</w:t>
      </w:r>
      <w:r>
        <w:rPr>
          <w:rFonts w:ascii="Arial" w:hAnsi="Arial" w:cs="Arial"/>
          <w:b/>
          <w:sz w:val="20"/>
          <w:szCs w:val="20"/>
        </w:rPr>
        <w:t xml:space="preserve"> 2. Výdaje na výzkum a vývoj v podnicích podle okresů v roce 2022 (mil. Kč; % HDP)</w:t>
      </w:r>
      <w:r w:rsidRPr="005775B9">
        <w:rPr>
          <w:rFonts w:ascii="Arial" w:hAnsi="Arial" w:cs="Arial"/>
          <w:noProof/>
          <w:sz w:val="20"/>
          <w:szCs w:val="20"/>
          <w:lang w:eastAsia="cs-CZ"/>
        </w:rPr>
        <w:drawing>
          <wp:inline distT="0" distB="0" distL="0" distR="0" wp14:anchorId="03193BE8" wp14:editId="7A1BF271">
            <wp:extent cx="6119422" cy="3851275"/>
            <wp:effectExtent l="0" t="0" r="0" b="0"/>
            <wp:docPr id="89" name="Obrázek 89" descr="C:\Users\stampach16510\VTR\web stranky CSU_vyzkum a vyvoj\2022\kartogramy\mapy_podklady\Marek_202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ch16510\VTR\web stranky CSU_vyzkum a vyvoj\2022\kartogramy\mapy_podklady\Marek_2022\28.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1005"/>
                    <a:stretch/>
                  </pic:blipFill>
                  <pic:spPr bwMode="auto">
                    <a:xfrm>
                      <a:off x="0" y="0"/>
                      <a:ext cx="6120130" cy="3851721"/>
                    </a:xfrm>
                    <a:prstGeom prst="rect">
                      <a:avLst/>
                    </a:prstGeom>
                    <a:noFill/>
                    <a:ln>
                      <a:noFill/>
                    </a:ln>
                    <a:extLst>
                      <a:ext uri="{53640926-AAD7-44D8-BBD7-CCE9431645EC}">
                        <a14:shadowObscured xmlns:a14="http://schemas.microsoft.com/office/drawing/2010/main"/>
                      </a:ext>
                    </a:extLst>
                  </pic:spPr>
                </pic:pic>
              </a:graphicData>
            </a:graphic>
          </wp:inline>
        </w:drawing>
      </w:r>
    </w:p>
    <w:p w14:paraId="670A4C82" w14:textId="0C21DC38" w:rsidR="005A7210" w:rsidRDefault="0008755C" w:rsidP="001A67C4">
      <w:pPr>
        <w:jc w:val="both"/>
        <w:rPr>
          <w:rFonts w:ascii="Arial" w:hAnsi="Arial" w:cs="Arial"/>
          <w:sz w:val="20"/>
          <w:szCs w:val="20"/>
        </w:rPr>
      </w:pPr>
      <w:r>
        <w:rPr>
          <w:rFonts w:ascii="Arial" w:hAnsi="Arial" w:cs="Arial"/>
          <w:sz w:val="20"/>
          <w:szCs w:val="20"/>
        </w:rPr>
        <w:t>V roce 202</w:t>
      </w:r>
      <w:r w:rsidR="00797D7D">
        <w:rPr>
          <w:rFonts w:ascii="Arial" w:hAnsi="Arial" w:cs="Arial"/>
          <w:sz w:val="20"/>
          <w:szCs w:val="20"/>
        </w:rPr>
        <w:t>2</w:t>
      </w:r>
      <w:r>
        <w:rPr>
          <w:rFonts w:ascii="Arial" w:hAnsi="Arial" w:cs="Arial"/>
          <w:sz w:val="20"/>
          <w:szCs w:val="20"/>
        </w:rPr>
        <w:t xml:space="preserve"> provádělo</w:t>
      </w:r>
      <w:r w:rsidR="00797D7D">
        <w:rPr>
          <w:rFonts w:ascii="Arial" w:hAnsi="Arial" w:cs="Arial"/>
          <w:sz w:val="20"/>
          <w:szCs w:val="20"/>
        </w:rPr>
        <w:t xml:space="preserve"> v Praze </w:t>
      </w:r>
      <w:r w:rsidR="006D19CE">
        <w:rPr>
          <w:rFonts w:ascii="Arial" w:hAnsi="Arial" w:cs="Arial"/>
          <w:sz w:val="20"/>
          <w:szCs w:val="20"/>
        </w:rPr>
        <w:t>výzkum a vývoj</w:t>
      </w:r>
      <w:r w:rsidR="00797D7D">
        <w:rPr>
          <w:rFonts w:ascii="Arial" w:hAnsi="Arial" w:cs="Arial"/>
          <w:sz w:val="20"/>
          <w:szCs w:val="20"/>
        </w:rPr>
        <w:t xml:space="preserve"> 528</w:t>
      </w:r>
      <w:r>
        <w:rPr>
          <w:rFonts w:ascii="Arial" w:hAnsi="Arial" w:cs="Arial"/>
          <w:sz w:val="20"/>
          <w:szCs w:val="20"/>
        </w:rPr>
        <w:t xml:space="preserve"> podniků, které na t</w:t>
      </w:r>
      <w:r w:rsidR="00797D7D">
        <w:rPr>
          <w:rFonts w:ascii="Arial" w:hAnsi="Arial" w:cs="Arial"/>
          <w:sz w:val="20"/>
          <w:szCs w:val="20"/>
        </w:rPr>
        <w:t>uto činnost vynaložily celkem 26,9</w:t>
      </w:r>
      <w:r>
        <w:rPr>
          <w:rFonts w:ascii="Arial" w:hAnsi="Arial" w:cs="Arial"/>
          <w:sz w:val="20"/>
          <w:szCs w:val="20"/>
        </w:rPr>
        <w:t xml:space="preserve"> mld. Kč. V druhém Jihomoravském kraji provádí </w:t>
      </w:r>
      <w:proofErr w:type="spellStart"/>
      <w:r>
        <w:rPr>
          <w:rFonts w:ascii="Arial" w:hAnsi="Arial" w:cs="Arial"/>
          <w:sz w:val="20"/>
          <w:szCs w:val="20"/>
        </w:rPr>
        <w:t>VaV</w:t>
      </w:r>
      <w:proofErr w:type="spellEnd"/>
      <w:r>
        <w:rPr>
          <w:rFonts w:ascii="Arial" w:hAnsi="Arial" w:cs="Arial"/>
          <w:sz w:val="20"/>
          <w:szCs w:val="20"/>
        </w:rPr>
        <w:t xml:space="preserve"> srovnatelný počet podniků jako </w:t>
      </w:r>
      <w:r w:rsidR="00797D7D">
        <w:rPr>
          <w:rFonts w:ascii="Arial" w:hAnsi="Arial" w:cs="Arial"/>
          <w:sz w:val="20"/>
          <w:szCs w:val="20"/>
        </w:rPr>
        <w:t>v Praze. V roce 2021 to bylo 523</w:t>
      </w:r>
      <w:r>
        <w:rPr>
          <w:rFonts w:ascii="Arial" w:hAnsi="Arial" w:cs="Arial"/>
          <w:sz w:val="20"/>
          <w:szCs w:val="20"/>
        </w:rPr>
        <w:t xml:space="preserve"> podniků, ale jejich celkové výdaje na </w:t>
      </w:r>
      <w:proofErr w:type="spellStart"/>
      <w:r>
        <w:rPr>
          <w:rFonts w:ascii="Arial" w:hAnsi="Arial" w:cs="Arial"/>
          <w:sz w:val="20"/>
          <w:szCs w:val="20"/>
        </w:rPr>
        <w:t>VaV</w:t>
      </w:r>
      <w:proofErr w:type="spellEnd"/>
      <w:r>
        <w:rPr>
          <w:rFonts w:ascii="Arial" w:hAnsi="Arial" w:cs="Arial"/>
          <w:sz w:val="20"/>
          <w:szCs w:val="20"/>
        </w:rPr>
        <w:t xml:space="preserve"> byly vý</w:t>
      </w:r>
      <w:r w:rsidR="00797D7D">
        <w:rPr>
          <w:rFonts w:ascii="Arial" w:hAnsi="Arial" w:cs="Arial"/>
          <w:sz w:val="20"/>
          <w:szCs w:val="20"/>
        </w:rPr>
        <w:t>razně nižší než v Praze, a to 13,8</w:t>
      </w:r>
      <w:r>
        <w:rPr>
          <w:rFonts w:ascii="Arial" w:hAnsi="Arial" w:cs="Arial"/>
          <w:sz w:val="20"/>
          <w:szCs w:val="20"/>
        </w:rPr>
        <w:t xml:space="preserve"> mld. Kč</w:t>
      </w:r>
      <w:r w:rsidR="00797D7D">
        <w:rPr>
          <w:rFonts w:ascii="Arial" w:hAnsi="Arial" w:cs="Arial"/>
          <w:sz w:val="20"/>
          <w:szCs w:val="20"/>
        </w:rPr>
        <w:t>.</w:t>
      </w:r>
      <w:r>
        <w:rPr>
          <w:rFonts w:ascii="Arial" w:hAnsi="Arial" w:cs="Arial"/>
          <w:sz w:val="20"/>
          <w:szCs w:val="20"/>
        </w:rPr>
        <w:t xml:space="preserve"> </w:t>
      </w:r>
      <w:r w:rsidR="00797D7D">
        <w:rPr>
          <w:rFonts w:ascii="Arial" w:hAnsi="Arial" w:cs="Arial"/>
          <w:sz w:val="20"/>
          <w:szCs w:val="20"/>
        </w:rPr>
        <w:t>Shodně</w:t>
      </w:r>
      <w:r>
        <w:rPr>
          <w:rFonts w:ascii="Arial" w:hAnsi="Arial" w:cs="Arial"/>
          <w:sz w:val="20"/>
          <w:szCs w:val="20"/>
        </w:rPr>
        <w:t xml:space="preserve"> </w:t>
      </w:r>
      <w:r w:rsidR="00484D48">
        <w:rPr>
          <w:rFonts w:ascii="Arial" w:hAnsi="Arial" w:cs="Arial"/>
          <w:sz w:val="20"/>
          <w:szCs w:val="20"/>
        </w:rPr>
        <w:t>13,8</w:t>
      </w:r>
      <w:r>
        <w:rPr>
          <w:rFonts w:ascii="Arial" w:hAnsi="Arial" w:cs="Arial"/>
          <w:sz w:val="20"/>
          <w:szCs w:val="20"/>
        </w:rPr>
        <w:t xml:space="preserve"> mld. Kč</w:t>
      </w:r>
      <w:r w:rsidR="00797D7D">
        <w:rPr>
          <w:rFonts w:ascii="Arial" w:hAnsi="Arial" w:cs="Arial"/>
          <w:sz w:val="20"/>
          <w:szCs w:val="20"/>
        </w:rPr>
        <w:t xml:space="preserve"> se utratilo</w:t>
      </w:r>
      <w:r>
        <w:rPr>
          <w:rFonts w:ascii="Arial" w:hAnsi="Arial" w:cs="Arial"/>
          <w:sz w:val="20"/>
          <w:szCs w:val="20"/>
        </w:rPr>
        <w:t xml:space="preserve"> </w:t>
      </w:r>
      <w:r w:rsidR="00566F46">
        <w:rPr>
          <w:rFonts w:ascii="Arial" w:hAnsi="Arial" w:cs="Arial"/>
          <w:sz w:val="20"/>
          <w:szCs w:val="20"/>
        </w:rPr>
        <w:t>za</w:t>
      </w:r>
      <w:r>
        <w:rPr>
          <w:rFonts w:ascii="Arial" w:hAnsi="Arial" w:cs="Arial"/>
          <w:sz w:val="20"/>
          <w:szCs w:val="20"/>
        </w:rPr>
        <w:t xml:space="preserve"> </w:t>
      </w:r>
      <w:proofErr w:type="spellStart"/>
      <w:r>
        <w:rPr>
          <w:rFonts w:ascii="Arial" w:hAnsi="Arial" w:cs="Arial"/>
          <w:sz w:val="20"/>
          <w:szCs w:val="20"/>
        </w:rPr>
        <w:t>VaV</w:t>
      </w:r>
      <w:proofErr w:type="spellEnd"/>
      <w:r w:rsidR="00484D48">
        <w:rPr>
          <w:rFonts w:ascii="Arial" w:hAnsi="Arial" w:cs="Arial"/>
          <w:sz w:val="20"/>
          <w:szCs w:val="20"/>
        </w:rPr>
        <w:t xml:space="preserve"> v roce 2022 ve Středočeském kraji</w:t>
      </w:r>
      <w:r w:rsidR="006413DB">
        <w:rPr>
          <w:rFonts w:ascii="Arial" w:hAnsi="Arial" w:cs="Arial"/>
          <w:sz w:val="20"/>
          <w:szCs w:val="20"/>
        </w:rPr>
        <w:t xml:space="preserve">, kde se </w:t>
      </w:r>
      <w:proofErr w:type="spellStart"/>
      <w:r w:rsidR="006413DB">
        <w:rPr>
          <w:rFonts w:ascii="Arial" w:hAnsi="Arial" w:cs="Arial"/>
          <w:sz w:val="20"/>
          <w:szCs w:val="20"/>
        </w:rPr>
        <w:t>VaV</w:t>
      </w:r>
      <w:proofErr w:type="spellEnd"/>
      <w:r w:rsidR="006413DB">
        <w:rPr>
          <w:rFonts w:ascii="Arial" w:hAnsi="Arial" w:cs="Arial"/>
          <w:sz w:val="20"/>
          <w:szCs w:val="20"/>
        </w:rPr>
        <w:t xml:space="preserve"> prováděl v 301 podnicích</w:t>
      </w:r>
      <w:r>
        <w:rPr>
          <w:rFonts w:ascii="Arial" w:hAnsi="Arial" w:cs="Arial"/>
          <w:sz w:val="20"/>
          <w:szCs w:val="20"/>
        </w:rPr>
        <w:t xml:space="preserve">. Dohromady se v těchto třech krajích </w:t>
      </w:r>
      <w:r w:rsidR="00566F46">
        <w:rPr>
          <w:rFonts w:ascii="Arial" w:hAnsi="Arial" w:cs="Arial"/>
          <w:sz w:val="20"/>
          <w:szCs w:val="20"/>
        </w:rPr>
        <w:t xml:space="preserve">spotřebovalo </w:t>
      </w:r>
      <w:r w:rsidR="00484D48">
        <w:rPr>
          <w:rFonts w:ascii="Arial" w:hAnsi="Arial" w:cs="Arial"/>
          <w:sz w:val="20"/>
          <w:szCs w:val="20"/>
        </w:rPr>
        <w:t>64</w:t>
      </w:r>
      <w:r>
        <w:rPr>
          <w:rFonts w:ascii="Arial" w:hAnsi="Arial" w:cs="Arial"/>
          <w:sz w:val="20"/>
          <w:szCs w:val="20"/>
        </w:rPr>
        <w:t xml:space="preserve"> % </w:t>
      </w:r>
      <w:r w:rsidR="00566F46">
        <w:rPr>
          <w:rFonts w:ascii="Arial" w:hAnsi="Arial" w:cs="Arial"/>
          <w:sz w:val="20"/>
          <w:szCs w:val="20"/>
        </w:rPr>
        <w:t xml:space="preserve">výdajů na </w:t>
      </w:r>
      <w:proofErr w:type="spellStart"/>
      <w:r w:rsidR="00566F46">
        <w:rPr>
          <w:rFonts w:ascii="Arial" w:hAnsi="Arial" w:cs="Arial"/>
          <w:sz w:val="20"/>
          <w:szCs w:val="20"/>
        </w:rPr>
        <w:t>VaV</w:t>
      </w:r>
      <w:proofErr w:type="spellEnd"/>
      <w:r w:rsidR="00566F46">
        <w:rPr>
          <w:rFonts w:ascii="Arial" w:hAnsi="Arial" w:cs="Arial"/>
          <w:sz w:val="20"/>
          <w:szCs w:val="20"/>
        </w:rPr>
        <w:t xml:space="preserve"> </w:t>
      </w:r>
      <w:r>
        <w:rPr>
          <w:rFonts w:ascii="Arial" w:hAnsi="Arial" w:cs="Arial"/>
          <w:sz w:val="20"/>
          <w:szCs w:val="20"/>
        </w:rPr>
        <w:t xml:space="preserve">podnikatelského sektoru. </w:t>
      </w:r>
      <w:r w:rsidR="0001095A">
        <w:rPr>
          <w:rFonts w:ascii="Arial" w:hAnsi="Arial" w:cs="Arial"/>
          <w:sz w:val="20"/>
          <w:szCs w:val="20"/>
        </w:rPr>
        <w:t>S velkým odstupem v</w:t>
      </w:r>
      <w:r w:rsidR="00484D48">
        <w:rPr>
          <w:rFonts w:ascii="Arial" w:hAnsi="Arial" w:cs="Arial"/>
          <w:sz w:val="20"/>
          <w:szCs w:val="20"/>
        </w:rPr>
        <w:t xml:space="preserve">e čtvrté Plzni </w:t>
      </w:r>
      <w:r w:rsidR="0001095A">
        <w:rPr>
          <w:rFonts w:ascii="Arial" w:hAnsi="Arial" w:cs="Arial"/>
          <w:sz w:val="20"/>
          <w:szCs w:val="20"/>
        </w:rPr>
        <w:t xml:space="preserve">se v podnicích </w:t>
      </w:r>
      <w:r w:rsidR="00FE4F5B">
        <w:rPr>
          <w:rFonts w:ascii="Arial" w:hAnsi="Arial" w:cs="Arial"/>
          <w:sz w:val="20"/>
          <w:szCs w:val="20"/>
        </w:rPr>
        <w:t>utratilo</w:t>
      </w:r>
      <w:r w:rsidR="004F229C">
        <w:rPr>
          <w:rFonts w:ascii="Arial" w:hAnsi="Arial" w:cs="Arial"/>
          <w:sz w:val="20"/>
          <w:szCs w:val="20"/>
        </w:rPr>
        <w:t xml:space="preserve"> </w:t>
      </w:r>
      <w:r w:rsidR="0001095A">
        <w:rPr>
          <w:rFonts w:ascii="Arial" w:hAnsi="Arial" w:cs="Arial"/>
          <w:sz w:val="20"/>
          <w:szCs w:val="20"/>
        </w:rPr>
        <w:t>z</w:t>
      </w:r>
      <w:r w:rsidR="004F229C">
        <w:rPr>
          <w:rFonts w:ascii="Arial" w:hAnsi="Arial" w:cs="Arial"/>
          <w:sz w:val="20"/>
          <w:szCs w:val="20"/>
        </w:rPr>
        <w:t xml:space="preserve">a </w:t>
      </w:r>
      <w:proofErr w:type="spellStart"/>
      <w:r w:rsidR="004F229C">
        <w:rPr>
          <w:rFonts w:ascii="Arial" w:hAnsi="Arial" w:cs="Arial"/>
          <w:sz w:val="20"/>
          <w:szCs w:val="20"/>
        </w:rPr>
        <w:t>VaV</w:t>
      </w:r>
      <w:proofErr w:type="spellEnd"/>
      <w:r w:rsidR="004F229C">
        <w:rPr>
          <w:rFonts w:ascii="Arial" w:hAnsi="Arial" w:cs="Arial"/>
          <w:sz w:val="20"/>
          <w:szCs w:val="20"/>
        </w:rPr>
        <w:t xml:space="preserve"> 5</w:t>
      </w:r>
      <w:r w:rsidR="0001095A">
        <w:rPr>
          <w:rFonts w:ascii="Arial" w:hAnsi="Arial" w:cs="Arial"/>
          <w:sz w:val="20"/>
          <w:szCs w:val="20"/>
        </w:rPr>
        <w:t>,1 mld. Kč. P</w:t>
      </w:r>
      <w:r w:rsidR="004F229C">
        <w:rPr>
          <w:rFonts w:ascii="Arial" w:hAnsi="Arial" w:cs="Arial"/>
          <w:sz w:val="20"/>
          <w:szCs w:val="20"/>
        </w:rPr>
        <w:t>olovina výdajů v</w:t>
      </w:r>
      <w:r w:rsidR="0001095A">
        <w:rPr>
          <w:rFonts w:ascii="Arial" w:hAnsi="Arial" w:cs="Arial"/>
          <w:sz w:val="20"/>
          <w:szCs w:val="20"/>
        </w:rPr>
        <w:t> </w:t>
      </w:r>
      <w:r w:rsidR="004F229C">
        <w:rPr>
          <w:rFonts w:ascii="Arial" w:hAnsi="Arial" w:cs="Arial"/>
          <w:sz w:val="20"/>
          <w:szCs w:val="20"/>
        </w:rPr>
        <w:t>podnicích</w:t>
      </w:r>
      <w:r w:rsidR="0001095A">
        <w:rPr>
          <w:rFonts w:ascii="Arial" w:hAnsi="Arial" w:cs="Arial"/>
          <w:sz w:val="20"/>
          <w:szCs w:val="20"/>
        </w:rPr>
        <w:t xml:space="preserve"> v Praze připadala</w:t>
      </w:r>
      <w:r w:rsidR="004F229C">
        <w:rPr>
          <w:rFonts w:ascii="Arial" w:hAnsi="Arial" w:cs="Arial"/>
          <w:sz w:val="20"/>
          <w:szCs w:val="20"/>
        </w:rPr>
        <w:t xml:space="preserve"> na podniky v odvětví informačních a komunikačních technologiích. Na pr</w:t>
      </w:r>
      <w:r w:rsidR="0001095A">
        <w:rPr>
          <w:rFonts w:ascii="Arial" w:hAnsi="Arial" w:cs="Arial"/>
          <w:sz w:val="20"/>
          <w:szCs w:val="20"/>
        </w:rPr>
        <w:t>ůmyslové podniky v Praze připadalo 19</w:t>
      </w:r>
      <w:r w:rsidR="004F229C">
        <w:rPr>
          <w:rFonts w:ascii="Arial" w:hAnsi="Arial" w:cs="Arial"/>
          <w:sz w:val="20"/>
          <w:szCs w:val="20"/>
        </w:rPr>
        <w:t xml:space="preserve"> % výdajů, nejm</w:t>
      </w:r>
      <w:r w:rsidR="00FD05B0">
        <w:rPr>
          <w:rFonts w:ascii="Arial" w:hAnsi="Arial" w:cs="Arial"/>
          <w:sz w:val="20"/>
          <w:szCs w:val="20"/>
        </w:rPr>
        <w:t>enší podíl</w:t>
      </w:r>
      <w:r w:rsidR="004F229C">
        <w:rPr>
          <w:rFonts w:ascii="Arial" w:hAnsi="Arial" w:cs="Arial"/>
          <w:sz w:val="20"/>
          <w:szCs w:val="20"/>
        </w:rPr>
        <w:t xml:space="preserve"> ze všech krajů v Česku.</w:t>
      </w:r>
      <w:r w:rsidR="00217F47">
        <w:rPr>
          <w:rFonts w:ascii="Arial" w:hAnsi="Arial" w:cs="Arial"/>
          <w:sz w:val="20"/>
          <w:szCs w:val="20"/>
        </w:rPr>
        <w:t xml:space="preserve"> V Jihomoravském kraji</w:t>
      </w:r>
      <w:r w:rsidR="00C90B98">
        <w:rPr>
          <w:rFonts w:ascii="Arial" w:hAnsi="Arial" w:cs="Arial"/>
          <w:sz w:val="20"/>
          <w:szCs w:val="20"/>
        </w:rPr>
        <w:t xml:space="preserve"> jsou,</w:t>
      </w:r>
      <w:r w:rsidR="00217F47">
        <w:rPr>
          <w:rFonts w:ascii="Arial" w:hAnsi="Arial" w:cs="Arial"/>
          <w:sz w:val="20"/>
          <w:szCs w:val="20"/>
        </w:rPr>
        <w:t xml:space="preserve"> obdobně jako v</w:t>
      </w:r>
      <w:r w:rsidR="00C90B98">
        <w:rPr>
          <w:rFonts w:ascii="Arial" w:hAnsi="Arial" w:cs="Arial"/>
          <w:sz w:val="20"/>
          <w:szCs w:val="20"/>
        </w:rPr>
        <w:t> </w:t>
      </w:r>
      <w:r w:rsidR="00217F47">
        <w:rPr>
          <w:rFonts w:ascii="Arial" w:hAnsi="Arial" w:cs="Arial"/>
          <w:sz w:val="20"/>
          <w:szCs w:val="20"/>
        </w:rPr>
        <w:t>Praze</w:t>
      </w:r>
      <w:r w:rsidR="00C90B98">
        <w:rPr>
          <w:rFonts w:ascii="Arial" w:hAnsi="Arial" w:cs="Arial"/>
          <w:sz w:val="20"/>
          <w:szCs w:val="20"/>
        </w:rPr>
        <w:t>,</w:t>
      </w:r>
      <w:r>
        <w:rPr>
          <w:rFonts w:ascii="Arial" w:hAnsi="Arial" w:cs="Arial"/>
          <w:sz w:val="20"/>
          <w:szCs w:val="20"/>
        </w:rPr>
        <w:t xml:space="preserve"> </w:t>
      </w:r>
      <w:r w:rsidR="00217F47">
        <w:rPr>
          <w:rFonts w:ascii="Arial" w:hAnsi="Arial" w:cs="Arial"/>
          <w:sz w:val="20"/>
          <w:szCs w:val="20"/>
        </w:rPr>
        <w:t xml:space="preserve">nejdůležitějším odvětvím informační a komunikační služby, </w:t>
      </w:r>
      <w:r w:rsidR="00C90B98">
        <w:rPr>
          <w:rFonts w:ascii="Arial" w:hAnsi="Arial" w:cs="Arial"/>
          <w:sz w:val="20"/>
          <w:szCs w:val="20"/>
        </w:rPr>
        <w:t>do kterých</w:t>
      </w:r>
      <w:r w:rsidR="00217F47">
        <w:rPr>
          <w:rFonts w:ascii="Arial" w:hAnsi="Arial" w:cs="Arial"/>
          <w:sz w:val="20"/>
          <w:szCs w:val="20"/>
        </w:rPr>
        <w:t xml:space="preserve"> v roce 202</w:t>
      </w:r>
      <w:r w:rsidR="00E437B5">
        <w:rPr>
          <w:rFonts w:ascii="Arial" w:hAnsi="Arial" w:cs="Arial"/>
          <w:sz w:val="20"/>
          <w:szCs w:val="20"/>
        </w:rPr>
        <w:t>2</w:t>
      </w:r>
      <w:r w:rsidR="00217F47">
        <w:rPr>
          <w:rFonts w:ascii="Arial" w:hAnsi="Arial" w:cs="Arial"/>
          <w:sz w:val="20"/>
          <w:szCs w:val="20"/>
        </w:rPr>
        <w:t xml:space="preserve"> </w:t>
      </w:r>
      <w:r w:rsidR="00C90B98">
        <w:rPr>
          <w:rFonts w:ascii="Arial" w:hAnsi="Arial" w:cs="Arial"/>
          <w:sz w:val="20"/>
          <w:szCs w:val="20"/>
        </w:rPr>
        <w:t xml:space="preserve">směřovalo </w:t>
      </w:r>
      <w:r w:rsidR="00217F47">
        <w:rPr>
          <w:rFonts w:ascii="Arial" w:hAnsi="Arial" w:cs="Arial"/>
          <w:sz w:val="20"/>
          <w:szCs w:val="20"/>
        </w:rPr>
        <w:t>4</w:t>
      </w:r>
      <w:r w:rsidR="00E437B5">
        <w:rPr>
          <w:rFonts w:ascii="Arial" w:hAnsi="Arial" w:cs="Arial"/>
          <w:sz w:val="20"/>
          <w:szCs w:val="20"/>
        </w:rPr>
        <w:t>2</w:t>
      </w:r>
      <w:r w:rsidR="00217F47">
        <w:rPr>
          <w:rFonts w:ascii="Arial" w:hAnsi="Arial" w:cs="Arial"/>
          <w:sz w:val="20"/>
          <w:szCs w:val="20"/>
        </w:rPr>
        <w:t xml:space="preserve"> % výdajů</w:t>
      </w:r>
      <w:r w:rsidR="00C90B98">
        <w:rPr>
          <w:rFonts w:ascii="Arial" w:hAnsi="Arial" w:cs="Arial"/>
          <w:sz w:val="20"/>
          <w:szCs w:val="20"/>
        </w:rPr>
        <w:t xml:space="preserve"> na </w:t>
      </w:r>
      <w:proofErr w:type="spellStart"/>
      <w:r w:rsidR="00C90B98">
        <w:rPr>
          <w:rFonts w:ascii="Arial" w:hAnsi="Arial" w:cs="Arial"/>
          <w:sz w:val="20"/>
          <w:szCs w:val="20"/>
        </w:rPr>
        <w:t>VaV</w:t>
      </w:r>
      <w:proofErr w:type="spellEnd"/>
      <w:r w:rsidR="00C90B98">
        <w:rPr>
          <w:rFonts w:ascii="Arial" w:hAnsi="Arial" w:cs="Arial"/>
          <w:sz w:val="20"/>
          <w:szCs w:val="20"/>
        </w:rPr>
        <w:t xml:space="preserve"> utracených v tomto kraji</w:t>
      </w:r>
      <w:r w:rsidR="00217F47">
        <w:rPr>
          <w:rFonts w:ascii="Arial" w:hAnsi="Arial" w:cs="Arial"/>
          <w:sz w:val="20"/>
          <w:szCs w:val="20"/>
        </w:rPr>
        <w:t>. Ve všech krajích</w:t>
      </w:r>
      <w:r w:rsidR="00C90B98">
        <w:rPr>
          <w:rFonts w:ascii="Arial" w:hAnsi="Arial" w:cs="Arial"/>
          <w:sz w:val="20"/>
          <w:szCs w:val="20"/>
        </w:rPr>
        <w:t>,</w:t>
      </w:r>
      <w:r w:rsidR="00217F47">
        <w:rPr>
          <w:rFonts w:ascii="Arial" w:hAnsi="Arial" w:cs="Arial"/>
          <w:sz w:val="20"/>
          <w:szCs w:val="20"/>
        </w:rPr>
        <w:t xml:space="preserve"> vyjma Prahy a Jihomoravského kraje</w:t>
      </w:r>
      <w:r w:rsidR="00C90B98">
        <w:rPr>
          <w:rFonts w:ascii="Arial" w:hAnsi="Arial" w:cs="Arial"/>
          <w:sz w:val="20"/>
          <w:szCs w:val="20"/>
        </w:rPr>
        <w:t>,</w:t>
      </w:r>
      <w:r w:rsidR="00217F47">
        <w:rPr>
          <w:rFonts w:ascii="Arial" w:hAnsi="Arial" w:cs="Arial"/>
          <w:sz w:val="20"/>
          <w:szCs w:val="20"/>
        </w:rPr>
        <w:t xml:space="preserve"> </w:t>
      </w:r>
      <w:r w:rsidR="00FE4F5B">
        <w:rPr>
          <w:rFonts w:ascii="Arial" w:hAnsi="Arial" w:cs="Arial"/>
          <w:sz w:val="20"/>
          <w:szCs w:val="20"/>
        </w:rPr>
        <w:t>vynakládají</w:t>
      </w:r>
      <w:r w:rsidR="00217F47">
        <w:rPr>
          <w:rFonts w:ascii="Arial" w:hAnsi="Arial" w:cs="Arial"/>
          <w:sz w:val="20"/>
          <w:szCs w:val="20"/>
        </w:rPr>
        <w:t xml:space="preserve"> </w:t>
      </w:r>
      <w:r w:rsidR="00C90B98">
        <w:rPr>
          <w:rFonts w:ascii="Arial" w:hAnsi="Arial" w:cs="Arial"/>
          <w:sz w:val="20"/>
          <w:szCs w:val="20"/>
        </w:rPr>
        <w:t xml:space="preserve">nejvíce prostředků na </w:t>
      </w:r>
      <w:proofErr w:type="spellStart"/>
      <w:r w:rsidR="00C90B98">
        <w:rPr>
          <w:rFonts w:ascii="Arial" w:hAnsi="Arial" w:cs="Arial"/>
          <w:sz w:val="20"/>
          <w:szCs w:val="20"/>
        </w:rPr>
        <w:t>VaV</w:t>
      </w:r>
      <w:proofErr w:type="spellEnd"/>
      <w:r w:rsidR="00C90B98">
        <w:rPr>
          <w:rFonts w:ascii="Arial" w:hAnsi="Arial" w:cs="Arial"/>
          <w:sz w:val="20"/>
          <w:szCs w:val="20"/>
        </w:rPr>
        <w:t xml:space="preserve"> </w:t>
      </w:r>
      <w:r w:rsidR="00217F47">
        <w:rPr>
          <w:rFonts w:ascii="Arial" w:hAnsi="Arial" w:cs="Arial"/>
          <w:sz w:val="20"/>
          <w:szCs w:val="20"/>
        </w:rPr>
        <w:t>průmyslové podnik</w:t>
      </w:r>
      <w:r w:rsidR="00E437B5">
        <w:rPr>
          <w:rFonts w:ascii="Arial" w:hAnsi="Arial" w:cs="Arial"/>
          <w:sz w:val="20"/>
          <w:szCs w:val="20"/>
        </w:rPr>
        <w:t>y. Ve Středočeském kraji připadalo</w:t>
      </w:r>
      <w:r w:rsidR="00217F47">
        <w:rPr>
          <w:rFonts w:ascii="Arial" w:hAnsi="Arial" w:cs="Arial"/>
          <w:sz w:val="20"/>
          <w:szCs w:val="20"/>
        </w:rPr>
        <w:t xml:space="preserve"> na průmyslové podniky </w:t>
      </w:r>
      <w:r w:rsidR="00E437B5">
        <w:rPr>
          <w:rFonts w:ascii="Arial" w:hAnsi="Arial" w:cs="Arial"/>
          <w:sz w:val="20"/>
          <w:szCs w:val="20"/>
        </w:rPr>
        <w:t xml:space="preserve">téměř </w:t>
      </w:r>
      <w:r w:rsidR="00217F47">
        <w:rPr>
          <w:rFonts w:ascii="Arial" w:hAnsi="Arial" w:cs="Arial"/>
          <w:sz w:val="20"/>
          <w:szCs w:val="20"/>
        </w:rPr>
        <w:t xml:space="preserve">80 % výdajů na </w:t>
      </w:r>
      <w:proofErr w:type="spellStart"/>
      <w:r w:rsidR="00217F47">
        <w:rPr>
          <w:rFonts w:ascii="Arial" w:hAnsi="Arial" w:cs="Arial"/>
          <w:sz w:val="20"/>
          <w:szCs w:val="20"/>
        </w:rPr>
        <w:t>VaV</w:t>
      </w:r>
      <w:proofErr w:type="spellEnd"/>
      <w:r w:rsidR="00217F47">
        <w:rPr>
          <w:rFonts w:ascii="Arial" w:hAnsi="Arial" w:cs="Arial"/>
          <w:sz w:val="20"/>
          <w:szCs w:val="20"/>
        </w:rPr>
        <w:t>.</w:t>
      </w:r>
    </w:p>
    <w:p w14:paraId="5ECCAE2A" w14:textId="177F1739" w:rsidR="00217F47" w:rsidRDefault="00D436CC" w:rsidP="001A67C4">
      <w:pPr>
        <w:jc w:val="both"/>
        <w:rPr>
          <w:rFonts w:ascii="Arial" w:hAnsi="Arial" w:cs="Arial"/>
          <w:sz w:val="20"/>
          <w:szCs w:val="20"/>
        </w:rPr>
      </w:pPr>
      <w:r>
        <w:rPr>
          <w:rFonts w:ascii="Arial" w:hAnsi="Arial" w:cs="Arial"/>
          <w:sz w:val="20"/>
          <w:szCs w:val="20"/>
        </w:rPr>
        <w:t>V roce 202</w:t>
      </w:r>
      <w:r w:rsidR="00E437B5">
        <w:rPr>
          <w:rFonts w:ascii="Arial" w:hAnsi="Arial" w:cs="Arial"/>
          <w:sz w:val="20"/>
          <w:szCs w:val="20"/>
        </w:rPr>
        <w:t>2</w:t>
      </w:r>
      <w:r>
        <w:rPr>
          <w:rFonts w:ascii="Arial" w:hAnsi="Arial" w:cs="Arial"/>
          <w:sz w:val="20"/>
          <w:szCs w:val="20"/>
        </w:rPr>
        <w:t xml:space="preserve"> pracov</w:t>
      </w:r>
      <w:r w:rsidR="00F34E0D">
        <w:rPr>
          <w:rFonts w:ascii="Arial" w:hAnsi="Arial" w:cs="Arial"/>
          <w:sz w:val="20"/>
          <w:szCs w:val="20"/>
        </w:rPr>
        <w:t xml:space="preserve">alo v podnicích ve </w:t>
      </w:r>
      <w:proofErr w:type="spellStart"/>
      <w:r w:rsidR="00F34E0D">
        <w:rPr>
          <w:rFonts w:ascii="Arial" w:hAnsi="Arial" w:cs="Arial"/>
          <w:sz w:val="20"/>
          <w:szCs w:val="20"/>
        </w:rPr>
        <w:t>VaV</w:t>
      </w:r>
      <w:proofErr w:type="spellEnd"/>
      <w:r w:rsidR="00F34E0D">
        <w:rPr>
          <w:rFonts w:ascii="Arial" w:hAnsi="Arial" w:cs="Arial"/>
          <w:sz w:val="20"/>
          <w:szCs w:val="20"/>
        </w:rPr>
        <w:t xml:space="preserve"> celkem 65,4</w:t>
      </w:r>
      <w:r>
        <w:rPr>
          <w:rFonts w:ascii="Arial" w:hAnsi="Arial" w:cs="Arial"/>
          <w:sz w:val="20"/>
          <w:szCs w:val="20"/>
        </w:rPr>
        <w:t xml:space="preserve"> tis. osob. V ukazateli přepočt</w:t>
      </w:r>
      <w:r w:rsidR="00F34E0D">
        <w:rPr>
          <w:rFonts w:ascii="Arial" w:hAnsi="Arial" w:cs="Arial"/>
          <w:sz w:val="20"/>
          <w:szCs w:val="20"/>
        </w:rPr>
        <w:t>ených osob (FTE) se jednalo o 50,7 tis. osob, což tvořilo 59</w:t>
      </w:r>
      <w:r>
        <w:rPr>
          <w:rFonts w:ascii="Arial" w:hAnsi="Arial" w:cs="Arial"/>
          <w:sz w:val="20"/>
          <w:szCs w:val="20"/>
        </w:rPr>
        <w:t xml:space="preserve"> % </w:t>
      </w:r>
      <w:r w:rsidR="00810927">
        <w:rPr>
          <w:rFonts w:ascii="Arial" w:hAnsi="Arial" w:cs="Arial"/>
          <w:sz w:val="20"/>
          <w:szCs w:val="20"/>
        </w:rPr>
        <w:t xml:space="preserve">všech </w:t>
      </w:r>
      <w:r>
        <w:rPr>
          <w:rFonts w:ascii="Arial" w:hAnsi="Arial" w:cs="Arial"/>
          <w:sz w:val="20"/>
          <w:szCs w:val="20"/>
        </w:rPr>
        <w:t xml:space="preserve">pracovníků </w:t>
      </w:r>
      <w:proofErr w:type="spellStart"/>
      <w:r>
        <w:rPr>
          <w:rFonts w:ascii="Arial" w:hAnsi="Arial" w:cs="Arial"/>
          <w:sz w:val="20"/>
          <w:szCs w:val="20"/>
        </w:rPr>
        <w:t>VaV</w:t>
      </w:r>
      <w:proofErr w:type="spellEnd"/>
      <w:r>
        <w:rPr>
          <w:rFonts w:ascii="Arial" w:hAnsi="Arial" w:cs="Arial"/>
          <w:sz w:val="20"/>
          <w:szCs w:val="20"/>
        </w:rPr>
        <w:t xml:space="preserve"> na území Česka. V celé Evropské unii </w:t>
      </w:r>
      <w:r w:rsidR="00810927">
        <w:rPr>
          <w:rFonts w:ascii="Arial" w:hAnsi="Arial" w:cs="Arial"/>
          <w:sz w:val="20"/>
          <w:szCs w:val="20"/>
        </w:rPr>
        <w:t xml:space="preserve">zaujímají </w:t>
      </w:r>
      <w:r>
        <w:rPr>
          <w:rFonts w:ascii="Arial" w:hAnsi="Arial" w:cs="Arial"/>
          <w:sz w:val="20"/>
          <w:szCs w:val="20"/>
        </w:rPr>
        <w:t>pracovní</w:t>
      </w:r>
      <w:r w:rsidR="00810927">
        <w:rPr>
          <w:rFonts w:ascii="Arial" w:hAnsi="Arial" w:cs="Arial"/>
          <w:sz w:val="20"/>
          <w:szCs w:val="20"/>
        </w:rPr>
        <w:t>ci podnikového</w:t>
      </w:r>
      <w:r>
        <w:rPr>
          <w:rFonts w:ascii="Arial" w:hAnsi="Arial" w:cs="Arial"/>
          <w:sz w:val="20"/>
          <w:szCs w:val="20"/>
        </w:rPr>
        <w:t xml:space="preserve"> </w:t>
      </w:r>
      <w:proofErr w:type="spellStart"/>
      <w:r>
        <w:rPr>
          <w:rFonts w:ascii="Arial" w:hAnsi="Arial" w:cs="Arial"/>
          <w:sz w:val="20"/>
          <w:szCs w:val="20"/>
        </w:rPr>
        <w:t>VaV</w:t>
      </w:r>
      <w:proofErr w:type="spellEnd"/>
      <w:r>
        <w:rPr>
          <w:rFonts w:ascii="Arial" w:hAnsi="Arial" w:cs="Arial"/>
          <w:sz w:val="20"/>
          <w:szCs w:val="20"/>
        </w:rPr>
        <w:t xml:space="preserve"> </w:t>
      </w:r>
      <w:r w:rsidR="00200412">
        <w:rPr>
          <w:rFonts w:ascii="Arial" w:hAnsi="Arial" w:cs="Arial"/>
          <w:sz w:val="20"/>
          <w:szCs w:val="20"/>
        </w:rPr>
        <w:t>60 %</w:t>
      </w:r>
      <w:r w:rsidR="00810927">
        <w:rPr>
          <w:rFonts w:ascii="Arial" w:hAnsi="Arial" w:cs="Arial"/>
          <w:sz w:val="20"/>
          <w:szCs w:val="20"/>
        </w:rPr>
        <w:t xml:space="preserve"> všech zaměstnaných ve </w:t>
      </w:r>
      <w:proofErr w:type="spellStart"/>
      <w:r w:rsidR="00810927">
        <w:rPr>
          <w:rFonts w:ascii="Arial" w:hAnsi="Arial" w:cs="Arial"/>
          <w:sz w:val="20"/>
          <w:szCs w:val="20"/>
        </w:rPr>
        <w:t>VaV</w:t>
      </w:r>
      <w:proofErr w:type="spellEnd"/>
      <w:r w:rsidR="00200412">
        <w:rPr>
          <w:rFonts w:ascii="Arial" w:hAnsi="Arial" w:cs="Arial"/>
          <w:sz w:val="20"/>
          <w:szCs w:val="20"/>
        </w:rPr>
        <w:t>. V Belgii a</w:t>
      </w:r>
      <w:r w:rsidR="006066F0">
        <w:rPr>
          <w:rFonts w:ascii="Arial" w:hAnsi="Arial" w:cs="Arial"/>
          <w:sz w:val="20"/>
          <w:szCs w:val="20"/>
        </w:rPr>
        <w:t> </w:t>
      </w:r>
      <w:r w:rsidR="00200412">
        <w:rPr>
          <w:rFonts w:ascii="Arial" w:hAnsi="Arial" w:cs="Arial"/>
          <w:sz w:val="20"/>
          <w:szCs w:val="20"/>
        </w:rPr>
        <w:t>Nizozemsku se</w:t>
      </w:r>
      <w:r>
        <w:rPr>
          <w:rFonts w:ascii="Arial" w:hAnsi="Arial" w:cs="Arial"/>
          <w:sz w:val="20"/>
          <w:szCs w:val="20"/>
        </w:rPr>
        <w:t xml:space="preserve"> tento podíl</w:t>
      </w:r>
      <w:r w:rsidR="00200412">
        <w:rPr>
          <w:rFonts w:ascii="Arial" w:hAnsi="Arial" w:cs="Arial"/>
          <w:sz w:val="20"/>
          <w:szCs w:val="20"/>
        </w:rPr>
        <w:t xml:space="preserve"> pohybuje okolo 70 %, ve Švédsku činil v roce 2022</w:t>
      </w:r>
      <w:r>
        <w:rPr>
          <w:rFonts w:ascii="Arial" w:hAnsi="Arial" w:cs="Arial"/>
          <w:sz w:val="20"/>
          <w:szCs w:val="20"/>
        </w:rPr>
        <w:t xml:space="preserve"> dokonce 77 %. V Rakousku a</w:t>
      </w:r>
      <w:r w:rsidR="006066F0">
        <w:rPr>
          <w:rFonts w:ascii="Arial" w:hAnsi="Arial" w:cs="Arial"/>
          <w:sz w:val="20"/>
          <w:szCs w:val="20"/>
        </w:rPr>
        <w:t> </w:t>
      </w:r>
      <w:r>
        <w:rPr>
          <w:rFonts w:ascii="Arial" w:hAnsi="Arial" w:cs="Arial"/>
          <w:sz w:val="20"/>
          <w:szCs w:val="20"/>
        </w:rPr>
        <w:t xml:space="preserve">Německu podíl podnikatelského sektoru na pracovnících </w:t>
      </w:r>
      <w:proofErr w:type="spellStart"/>
      <w:r>
        <w:rPr>
          <w:rFonts w:ascii="Arial" w:hAnsi="Arial" w:cs="Arial"/>
          <w:sz w:val="20"/>
          <w:szCs w:val="20"/>
        </w:rPr>
        <w:t>VaV</w:t>
      </w:r>
      <w:proofErr w:type="spellEnd"/>
      <w:r>
        <w:rPr>
          <w:rFonts w:ascii="Arial" w:hAnsi="Arial" w:cs="Arial"/>
          <w:sz w:val="20"/>
          <w:szCs w:val="20"/>
        </w:rPr>
        <w:t xml:space="preserve"> výrazně převyšuje 60 %. Na Slovensku je to naopak </w:t>
      </w:r>
      <w:r w:rsidR="00810927">
        <w:rPr>
          <w:rFonts w:ascii="Arial" w:hAnsi="Arial" w:cs="Arial"/>
          <w:sz w:val="20"/>
          <w:szCs w:val="20"/>
        </w:rPr>
        <w:t xml:space="preserve">pouze </w:t>
      </w:r>
      <w:r w:rsidR="00B11C89">
        <w:rPr>
          <w:rFonts w:ascii="Arial" w:hAnsi="Arial" w:cs="Arial"/>
          <w:sz w:val="20"/>
          <w:szCs w:val="20"/>
        </w:rPr>
        <w:t>40</w:t>
      </w:r>
      <w:r>
        <w:rPr>
          <w:rFonts w:ascii="Arial" w:hAnsi="Arial" w:cs="Arial"/>
          <w:sz w:val="20"/>
          <w:szCs w:val="20"/>
        </w:rPr>
        <w:t xml:space="preserve"> %</w:t>
      </w:r>
      <w:r w:rsidR="00810927">
        <w:rPr>
          <w:rFonts w:ascii="Arial" w:hAnsi="Arial" w:cs="Arial"/>
          <w:sz w:val="20"/>
          <w:szCs w:val="20"/>
        </w:rPr>
        <w:t xml:space="preserve"> a v</w:t>
      </w:r>
      <w:r>
        <w:rPr>
          <w:rFonts w:ascii="Arial" w:hAnsi="Arial" w:cs="Arial"/>
          <w:sz w:val="20"/>
          <w:szCs w:val="20"/>
        </w:rPr>
        <w:t>ůbec nejnižší zastoupení ze států EU</w:t>
      </w:r>
      <w:r w:rsidR="00810927">
        <w:rPr>
          <w:rFonts w:ascii="Arial" w:hAnsi="Arial" w:cs="Arial"/>
          <w:sz w:val="20"/>
          <w:szCs w:val="20"/>
        </w:rPr>
        <w:t>27</w:t>
      </w:r>
      <w:r>
        <w:rPr>
          <w:rFonts w:ascii="Arial" w:hAnsi="Arial" w:cs="Arial"/>
          <w:sz w:val="20"/>
          <w:szCs w:val="20"/>
        </w:rPr>
        <w:t xml:space="preserve"> </w:t>
      </w:r>
      <w:r w:rsidR="00FD05B0">
        <w:rPr>
          <w:rFonts w:ascii="Arial" w:hAnsi="Arial" w:cs="Arial"/>
          <w:sz w:val="20"/>
          <w:szCs w:val="20"/>
        </w:rPr>
        <w:t xml:space="preserve">mají </w:t>
      </w:r>
      <w:r w:rsidR="00810927">
        <w:rPr>
          <w:rFonts w:ascii="Arial" w:hAnsi="Arial" w:cs="Arial"/>
          <w:sz w:val="20"/>
          <w:szCs w:val="20"/>
        </w:rPr>
        <w:t xml:space="preserve">na pracovních výzkumu a vývoje </w:t>
      </w:r>
      <w:r w:rsidR="00FD05B0">
        <w:rPr>
          <w:rFonts w:ascii="Arial" w:hAnsi="Arial" w:cs="Arial"/>
          <w:sz w:val="20"/>
          <w:szCs w:val="20"/>
        </w:rPr>
        <w:t>podniky</w:t>
      </w:r>
      <w:r>
        <w:rPr>
          <w:rFonts w:ascii="Arial" w:hAnsi="Arial" w:cs="Arial"/>
          <w:sz w:val="20"/>
          <w:szCs w:val="20"/>
        </w:rPr>
        <w:t xml:space="preserve"> v Lotyšsku, v roce </w:t>
      </w:r>
      <w:r w:rsidR="00B11C89">
        <w:rPr>
          <w:rFonts w:ascii="Arial" w:hAnsi="Arial" w:cs="Arial"/>
          <w:sz w:val="20"/>
          <w:szCs w:val="20"/>
        </w:rPr>
        <w:t>2022</w:t>
      </w:r>
      <w:r>
        <w:rPr>
          <w:rFonts w:ascii="Arial" w:hAnsi="Arial" w:cs="Arial"/>
          <w:sz w:val="20"/>
          <w:szCs w:val="20"/>
        </w:rPr>
        <w:t xml:space="preserve"> to bylo </w:t>
      </w:r>
      <w:r w:rsidR="00B11C89">
        <w:rPr>
          <w:rFonts w:ascii="Arial" w:hAnsi="Arial" w:cs="Arial"/>
          <w:sz w:val="20"/>
          <w:szCs w:val="20"/>
        </w:rPr>
        <w:t>pouhých 29</w:t>
      </w:r>
      <w:r w:rsidR="006D1956">
        <w:rPr>
          <w:rFonts w:ascii="Arial" w:hAnsi="Arial" w:cs="Arial"/>
          <w:sz w:val="20"/>
          <w:szCs w:val="20"/>
        </w:rPr>
        <w:t xml:space="preserve"> %. </w:t>
      </w:r>
    </w:p>
    <w:p w14:paraId="52310A24" w14:textId="5B7000A4" w:rsidR="00BF68BA" w:rsidRDefault="00BF68BA" w:rsidP="001A67C4">
      <w:pPr>
        <w:jc w:val="both"/>
        <w:rPr>
          <w:rFonts w:ascii="Arial" w:hAnsi="Arial" w:cs="Arial"/>
          <w:sz w:val="20"/>
          <w:szCs w:val="20"/>
        </w:rPr>
      </w:pPr>
    </w:p>
    <w:p w14:paraId="04C86384" w14:textId="58CFDC18" w:rsidR="008D75B1" w:rsidRPr="00C67BA8" w:rsidRDefault="008D75B1" w:rsidP="008D75B1">
      <w:pPr>
        <w:spacing w:after="0" w:line="288" w:lineRule="auto"/>
        <w:jc w:val="both"/>
        <w:rPr>
          <w:rFonts w:ascii="Arial" w:hAnsi="Arial" w:cs="Arial"/>
          <w:b/>
          <w:sz w:val="20"/>
          <w:szCs w:val="20"/>
        </w:rPr>
      </w:pPr>
      <w:r w:rsidRPr="00C67BA8">
        <w:rPr>
          <w:rFonts w:ascii="Arial" w:hAnsi="Arial" w:cs="Arial"/>
          <w:b/>
          <w:sz w:val="20"/>
          <w:szCs w:val="20"/>
        </w:rPr>
        <w:lastRenderedPageBreak/>
        <w:t xml:space="preserve">Graf </w:t>
      </w:r>
      <w:r>
        <w:rPr>
          <w:rFonts w:ascii="Arial" w:hAnsi="Arial" w:cs="Arial"/>
          <w:b/>
          <w:sz w:val="20"/>
          <w:szCs w:val="20"/>
        </w:rPr>
        <w:t>15</w:t>
      </w:r>
      <w:r w:rsidRPr="00C67BA8">
        <w:rPr>
          <w:rFonts w:ascii="Arial" w:hAnsi="Arial" w:cs="Arial"/>
          <w:b/>
          <w:sz w:val="20"/>
          <w:szCs w:val="20"/>
        </w:rPr>
        <w:t xml:space="preserve">. </w:t>
      </w:r>
      <w:r>
        <w:rPr>
          <w:rFonts w:ascii="Arial" w:hAnsi="Arial" w:cs="Arial"/>
          <w:b/>
          <w:sz w:val="20"/>
          <w:szCs w:val="20"/>
        </w:rPr>
        <w:t xml:space="preserve">Pracovníci ve </w:t>
      </w:r>
      <w:r w:rsidRPr="001B52AB">
        <w:rPr>
          <w:rFonts w:ascii="Arial" w:hAnsi="Arial" w:cs="Arial"/>
          <w:b/>
          <w:sz w:val="20"/>
          <w:szCs w:val="20"/>
        </w:rPr>
        <w:t>výzkum</w:t>
      </w:r>
      <w:r>
        <w:rPr>
          <w:rFonts w:ascii="Arial" w:hAnsi="Arial" w:cs="Arial"/>
          <w:b/>
          <w:sz w:val="20"/>
          <w:szCs w:val="20"/>
        </w:rPr>
        <w:t>u</w:t>
      </w:r>
      <w:r w:rsidRPr="001B52AB">
        <w:rPr>
          <w:rFonts w:ascii="Arial" w:hAnsi="Arial" w:cs="Arial"/>
          <w:b/>
          <w:sz w:val="20"/>
          <w:szCs w:val="20"/>
        </w:rPr>
        <w:t xml:space="preserve"> a vývoj</w:t>
      </w:r>
      <w:r>
        <w:rPr>
          <w:rFonts w:ascii="Arial" w:hAnsi="Arial" w:cs="Arial"/>
          <w:b/>
          <w:sz w:val="20"/>
          <w:szCs w:val="20"/>
        </w:rPr>
        <w:t xml:space="preserve">i </w:t>
      </w:r>
      <w:r w:rsidRPr="001B52AB">
        <w:rPr>
          <w:rFonts w:ascii="Arial" w:hAnsi="Arial" w:cs="Arial"/>
          <w:b/>
          <w:sz w:val="20"/>
          <w:szCs w:val="20"/>
        </w:rPr>
        <w:t>v podnicích v Česku podle jejich vlastnictví</w:t>
      </w:r>
    </w:p>
    <w:p w14:paraId="57E37445" w14:textId="6DCB55B6" w:rsidR="008D75B1" w:rsidRDefault="005775B9" w:rsidP="001A67C4">
      <w:pPr>
        <w:jc w:val="both"/>
        <w:rPr>
          <w:rFonts w:ascii="Arial" w:hAnsi="Arial" w:cs="Arial"/>
          <w:sz w:val="20"/>
          <w:szCs w:val="20"/>
        </w:rPr>
      </w:pPr>
      <w:r>
        <w:rPr>
          <w:noProof/>
          <w:lang w:eastAsia="cs-CZ"/>
        </w:rPr>
        <w:drawing>
          <wp:inline distT="0" distB="0" distL="0" distR="0" wp14:anchorId="23319D11" wp14:editId="0E9F455B">
            <wp:extent cx="4111625" cy="2700000"/>
            <wp:effectExtent l="0" t="0" r="3175" b="5715"/>
            <wp:docPr id="91" name="Graf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eastAsia="cs-CZ"/>
        </w:rPr>
        <w:drawing>
          <wp:inline distT="0" distB="0" distL="0" distR="0" wp14:anchorId="2CA40946" wp14:editId="77A06E34">
            <wp:extent cx="1980000" cy="2700000"/>
            <wp:effectExtent l="0" t="0" r="1270" b="0"/>
            <wp:docPr id="92" name="Graf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F2EA8BD" w14:textId="01718C6F" w:rsidR="008D75B1" w:rsidRPr="00BF68BA" w:rsidRDefault="008D75B1" w:rsidP="00BF68BA">
      <w:pPr>
        <w:spacing w:after="120" w:line="288" w:lineRule="auto"/>
        <w:jc w:val="right"/>
        <w:rPr>
          <w:rFonts w:ascii="Arial" w:hAnsi="Arial" w:cs="Arial"/>
          <w:i/>
          <w:sz w:val="18"/>
          <w:szCs w:val="20"/>
        </w:rPr>
      </w:pPr>
      <w:r w:rsidRPr="006438BD">
        <w:rPr>
          <w:rFonts w:ascii="Arial" w:hAnsi="Arial" w:cs="Arial"/>
          <w:i/>
          <w:sz w:val="18"/>
          <w:szCs w:val="20"/>
        </w:rPr>
        <w:t>Zdroj: ČSÚ; Roční zjišťování o výzkumu a vývoji VTR 5-01</w:t>
      </w:r>
    </w:p>
    <w:p w14:paraId="76F3F4A9" w14:textId="64A139CA" w:rsidR="00BB12CA" w:rsidRDefault="006D1956" w:rsidP="001A67C4">
      <w:pPr>
        <w:jc w:val="both"/>
        <w:rPr>
          <w:rFonts w:ascii="Arial" w:hAnsi="Arial" w:cs="Arial"/>
          <w:sz w:val="20"/>
          <w:szCs w:val="20"/>
        </w:rPr>
      </w:pPr>
      <w:r>
        <w:rPr>
          <w:rFonts w:ascii="Arial" w:hAnsi="Arial" w:cs="Arial"/>
          <w:sz w:val="20"/>
          <w:szCs w:val="20"/>
        </w:rPr>
        <w:t>Nad průměrem EU</w:t>
      </w:r>
      <w:r w:rsidR="00DF700E">
        <w:rPr>
          <w:rFonts w:ascii="Arial" w:hAnsi="Arial" w:cs="Arial"/>
          <w:sz w:val="20"/>
          <w:szCs w:val="20"/>
        </w:rPr>
        <w:t>27</w:t>
      </w:r>
      <w:r>
        <w:rPr>
          <w:rFonts w:ascii="Arial" w:hAnsi="Arial" w:cs="Arial"/>
          <w:sz w:val="20"/>
          <w:szCs w:val="20"/>
        </w:rPr>
        <w:t xml:space="preserve"> je Česko v ukazateli podílu pracovníků </w:t>
      </w:r>
      <w:proofErr w:type="spellStart"/>
      <w:r>
        <w:rPr>
          <w:rFonts w:ascii="Arial" w:hAnsi="Arial" w:cs="Arial"/>
          <w:sz w:val="20"/>
          <w:szCs w:val="20"/>
        </w:rPr>
        <w:t>VaV</w:t>
      </w:r>
      <w:proofErr w:type="spellEnd"/>
      <w:r>
        <w:rPr>
          <w:rFonts w:ascii="Arial" w:hAnsi="Arial" w:cs="Arial"/>
          <w:sz w:val="20"/>
          <w:szCs w:val="20"/>
        </w:rPr>
        <w:t xml:space="preserve"> (FTE) v podnicích na obyvatel</w:t>
      </w:r>
      <w:r w:rsidR="00436435">
        <w:rPr>
          <w:rFonts w:ascii="Arial" w:hAnsi="Arial" w:cs="Arial"/>
          <w:sz w:val="20"/>
          <w:szCs w:val="20"/>
        </w:rPr>
        <w:t>stvu</w:t>
      </w:r>
      <w:r>
        <w:rPr>
          <w:rFonts w:ascii="Arial" w:hAnsi="Arial" w:cs="Arial"/>
          <w:sz w:val="20"/>
          <w:szCs w:val="20"/>
        </w:rPr>
        <w:t>. V celé EU</w:t>
      </w:r>
      <w:r w:rsidR="00DF700E">
        <w:rPr>
          <w:rFonts w:ascii="Arial" w:hAnsi="Arial" w:cs="Arial"/>
          <w:sz w:val="20"/>
          <w:szCs w:val="20"/>
        </w:rPr>
        <w:t>27</w:t>
      </w:r>
      <w:r>
        <w:rPr>
          <w:rFonts w:ascii="Arial" w:hAnsi="Arial" w:cs="Arial"/>
          <w:sz w:val="20"/>
          <w:szCs w:val="20"/>
        </w:rPr>
        <w:t xml:space="preserve"> pracovalo v podnicích </w:t>
      </w:r>
      <w:r w:rsidR="00436435">
        <w:rPr>
          <w:rFonts w:ascii="Arial" w:hAnsi="Arial" w:cs="Arial"/>
          <w:sz w:val="20"/>
          <w:szCs w:val="20"/>
        </w:rPr>
        <w:t xml:space="preserve">ve </w:t>
      </w:r>
      <w:proofErr w:type="spellStart"/>
      <w:r w:rsidR="00436435">
        <w:rPr>
          <w:rFonts w:ascii="Arial" w:hAnsi="Arial" w:cs="Arial"/>
          <w:sz w:val="20"/>
          <w:szCs w:val="20"/>
        </w:rPr>
        <w:t>VaV</w:t>
      </w:r>
      <w:proofErr w:type="spellEnd"/>
      <w:r w:rsidR="00436435">
        <w:rPr>
          <w:rFonts w:ascii="Arial" w:hAnsi="Arial" w:cs="Arial"/>
          <w:sz w:val="20"/>
          <w:szCs w:val="20"/>
        </w:rPr>
        <w:t xml:space="preserve"> 1,9 mil</w:t>
      </w:r>
      <w:r w:rsidR="00A6228A">
        <w:rPr>
          <w:rFonts w:ascii="Arial" w:hAnsi="Arial" w:cs="Arial"/>
          <w:sz w:val="20"/>
          <w:szCs w:val="20"/>
        </w:rPr>
        <w:t>. osob (FTE), které tvořily 0,43</w:t>
      </w:r>
      <w:r w:rsidR="00436435">
        <w:rPr>
          <w:rFonts w:ascii="Arial" w:hAnsi="Arial" w:cs="Arial"/>
          <w:sz w:val="20"/>
          <w:szCs w:val="20"/>
        </w:rPr>
        <w:t xml:space="preserve"> % populace EU</w:t>
      </w:r>
      <w:r w:rsidR="000463A0">
        <w:rPr>
          <w:rFonts w:ascii="Arial" w:hAnsi="Arial" w:cs="Arial"/>
          <w:sz w:val="20"/>
          <w:szCs w:val="20"/>
        </w:rPr>
        <w:t>27</w:t>
      </w:r>
      <w:r w:rsidR="00436435">
        <w:rPr>
          <w:rFonts w:ascii="Arial" w:hAnsi="Arial" w:cs="Arial"/>
          <w:sz w:val="20"/>
          <w:szCs w:val="20"/>
        </w:rPr>
        <w:t xml:space="preserve">. </w:t>
      </w:r>
      <w:r w:rsidR="00A6228A">
        <w:rPr>
          <w:rFonts w:ascii="Arial" w:hAnsi="Arial" w:cs="Arial"/>
          <w:sz w:val="20"/>
          <w:szCs w:val="20"/>
        </w:rPr>
        <w:t>V České republice v roce 2022</w:t>
      </w:r>
      <w:r w:rsidR="00CF5D0D">
        <w:rPr>
          <w:rFonts w:ascii="Arial" w:hAnsi="Arial" w:cs="Arial"/>
          <w:sz w:val="20"/>
          <w:szCs w:val="20"/>
        </w:rPr>
        <w:t xml:space="preserve"> pracovalo ve </w:t>
      </w:r>
      <w:proofErr w:type="spellStart"/>
      <w:r w:rsidR="00CF5D0D">
        <w:rPr>
          <w:rFonts w:ascii="Arial" w:hAnsi="Arial" w:cs="Arial"/>
          <w:sz w:val="20"/>
          <w:szCs w:val="20"/>
        </w:rPr>
        <w:t>VaV</w:t>
      </w:r>
      <w:proofErr w:type="spellEnd"/>
      <w:r w:rsidR="00A6228A">
        <w:rPr>
          <w:rFonts w:ascii="Arial" w:hAnsi="Arial" w:cs="Arial"/>
          <w:sz w:val="20"/>
          <w:szCs w:val="20"/>
        </w:rPr>
        <w:t xml:space="preserve"> v podnicích</w:t>
      </w:r>
      <w:r w:rsidR="00436435">
        <w:rPr>
          <w:rFonts w:ascii="Arial" w:hAnsi="Arial" w:cs="Arial"/>
          <w:sz w:val="20"/>
          <w:szCs w:val="20"/>
        </w:rPr>
        <w:t> </w:t>
      </w:r>
      <w:r w:rsidR="00A6228A">
        <w:rPr>
          <w:rFonts w:ascii="Arial" w:hAnsi="Arial" w:cs="Arial"/>
          <w:sz w:val="20"/>
          <w:szCs w:val="20"/>
        </w:rPr>
        <w:t>50,7</w:t>
      </w:r>
      <w:r w:rsidR="00436435">
        <w:rPr>
          <w:rFonts w:ascii="Arial" w:hAnsi="Arial" w:cs="Arial"/>
          <w:sz w:val="20"/>
          <w:szCs w:val="20"/>
        </w:rPr>
        <w:t xml:space="preserve"> tis. </w:t>
      </w:r>
      <w:r w:rsidR="00CF5D0D">
        <w:rPr>
          <w:rFonts w:ascii="Arial" w:hAnsi="Arial" w:cs="Arial"/>
          <w:sz w:val="20"/>
          <w:szCs w:val="20"/>
        </w:rPr>
        <w:t>osob</w:t>
      </w:r>
      <w:r w:rsidR="00436435">
        <w:rPr>
          <w:rFonts w:ascii="Arial" w:hAnsi="Arial" w:cs="Arial"/>
          <w:sz w:val="20"/>
          <w:szCs w:val="20"/>
        </w:rPr>
        <w:t xml:space="preserve">, které na </w:t>
      </w:r>
      <w:r w:rsidR="00CF5D0D">
        <w:rPr>
          <w:rFonts w:ascii="Arial" w:hAnsi="Arial" w:cs="Arial"/>
          <w:sz w:val="20"/>
          <w:szCs w:val="20"/>
        </w:rPr>
        <w:t>její populaci zaujímaly 0,47</w:t>
      </w:r>
      <w:r w:rsidR="00436435">
        <w:rPr>
          <w:rFonts w:ascii="Arial" w:hAnsi="Arial" w:cs="Arial"/>
          <w:sz w:val="20"/>
          <w:szCs w:val="20"/>
        </w:rPr>
        <w:t xml:space="preserve">% podíl. Více než 0,5 % populace pracuje ve </w:t>
      </w:r>
      <w:proofErr w:type="spellStart"/>
      <w:r w:rsidR="00436435">
        <w:rPr>
          <w:rFonts w:ascii="Arial" w:hAnsi="Arial" w:cs="Arial"/>
          <w:sz w:val="20"/>
          <w:szCs w:val="20"/>
        </w:rPr>
        <w:t>VaV</w:t>
      </w:r>
      <w:proofErr w:type="spellEnd"/>
      <w:r w:rsidR="00436435">
        <w:rPr>
          <w:rFonts w:ascii="Arial" w:hAnsi="Arial" w:cs="Arial"/>
          <w:sz w:val="20"/>
          <w:szCs w:val="20"/>
        </w:rPr>
        <w:t xml:space="preserve"> v osmi státech EU. Nejvyšší podíl</w:t>
      </w:r>
      <w:r w:rsidR="00CF5D0D">
        <w:rPr>
          <w:rFonts w:ascii="Arial" w:hAnsi="Arial" w:cs="Arial"/>
          <w:sz w:val="20"/>
          <w:szCs w:val="20"/>
        </w:rPr>
        <w:t xml:space="preserve"> zaznamenalo</w:t>
      </w:r>
      <w:r w:rsidR="00436435">
        <w:rPr>
          <w:rFonts w:ascii="Arial" w:hAnsi="Arial" w:cs="Arial"/>
          <w:sz w:val="20"/>
          <w:szCs w:val="20"/>
        </w:rPr>
        <w:t xml:space="preserve"> v </w:t>
      </w:r>
      <w:r w:rsidR="00A6228A">
        <w:rPr>
          <w:rFonts w:ascii="Arial" w:hAnsi="Arial" w:cs="Arial"/>
          <w:sz w:val="20"/>
          <w:szCs w:val="20"/>
        </w:rPr>
        <w:t>roce 2022</w:t>
      </w:r>
      <w:r w:rsidR="00CF5D0D">
        <w:rPr>
          <w:rFonts w:ascii="Arial" w:hAnsi="Arial" w:cs="Arial"/>
          <w:sz w:val="20"/>
          <w:szCs w:val="20"/>
        </w:rPr>
        <w:t xml:space="preserve"> Švédsko</w:t>
      </w:r>
      <w:r w:rsidR="00A6228A">
        <w:rPr>
          <w:rFonts w:ascii="Arial" w:hAnsi="Arial" w:cs="Arial"/>
          <w:sz w:val="20"/>
          <w:szCs w:val="20"/>
        </w:rPr>
        <w:t>, kde to bylo 0,89</w:t>
      </w:r>
      <w:r w:rsidR="00436435">
        <w:rPr>
          <w:rFonts w:ascii="Arial" w:hAnsi="Arial" w:cs="Arial"/>
          <w:sz w:val="20"/>
          <w:szCs w:val="20"/>
        </w:rPr>
        <w:t xml:space="preserve"> %. Za Švédskem následovala Belgie s Nizozemskem s více než 0,7 %. </w:t>
      </w:r>
      <w:r w:rsidR="00CF5D0D">
        <w:rPr>
          <w:rFonts w:ascii="Arial" w:hAnsi="Arial" w:cs="Arial"/>
          <w:sz w:val="20"/>
          <w:szCs w:val="20"/>
        </w:rPr>
        <w:t>Více než 1 % populace pracuje v podnikovém výzkumu</w:t>
      </w:r>
      <w:r w:rsidR="00436435">
        <w:rPr>
          <w:rFonts w:ascii="Arial" w:hAnsi="Arial" w:cs="Arial"/>
          <w:sz w:val="20"/>
          <w:szCs w:val="20"/>
        </w:rPr>
        <w:t xml:space="preserve"> pouze v Izraeli.</w:t>
      </w:r>
    </w:p>
    <w:p w14:paraId="34D0A4C3" w14:textId="6F9569B6" w:rsidR="008D75B1" w:rsidRPr="00E66D3A" w:rsidRDefault="008D75B1" w:rsidP="008D75B1">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16</w:t>
      </w:r>
      <w:r w:rsidRPr="00E66D3A">
        <w:rPr>
          <w:rFonts w:ascii="Arial" w:hAnsi="Arial" w:cs="Arial"/>
          <w:b/>
          <w:sz w:val="20"/>
          <w:szCs w:val="20"/>
        </w:rPr>
        <w:t xml:space="preserve">. </w:t>
      </w:r>
      <w:r w:rsidRPr="00786824">
        <w:rPr>
          <w:rFonts w:ascii="Arial" w:hAnsi="Arial" w:cs="Arial"/>
          <w:b/>
          <w:sz w:val="20"/>
          <w:szCs w:val="20"/>
        </w:rPr>
        <w:t>Prac</w:t>
      </w:r>
      <w:r>
        <w:rPr>
          <w:rFonts w:ascii="Arial" w:hAnsi="Arial" w:cs="Arial"/>
          <w:b/>
          <w:sz w:val="20"/>
          <w:szCs w:val="20"/>
        </w:rPr>
        <w:t xml:space="preserve">ovníci </w:t>
      </w:r>
      <w:r w:rsidRPr="00786824">
        <w:rPr>
          <w:rFonts w:ascii="Arial" w:hAnsi="Arial" w:cs="Arial"/>
          <w:b/>
          <w:sz w:val="20"/>
          <w:szCs w:val="20"/>
        </w:rPr>
        <w:t xml:space="preserve">ve </w:t>
      </w:r>
      <w:r>
        <w:rPr>
          <w:rFonts w:ascii="Arial" w:hAnsi="Arial" w:cs="Arial"/>
          <w:b/>
          <w:sz w:val="20"/>
          <w:szCs w:val="20"/>
        </w:rPr>
        <w:t xml:space="preserve">výzkumu a vývoji </w:t>
      </w:r>
      <w:r w:rsidRPr="00786824">
        <w:rPr>
          <w:rFonts w:ascii="Arial" w:hAnsi="Arial" w:cs="Arial"/>
          <w:b/>
          <w:sz w:val="20"/>
          <w:szCs w:val="20"/>
        </w:rPr>
        <w:t>(FTE</w:t>
      </w:r>
      <w:r>
        <w:rPr>
          <w:rFonts w:ascii="Arial" w:hAnsi="Arial" w:cs="Arial"/>
          <w:b/>
          <w:sz w:val="20"/>
          <w:szCs w:val="20"/>
        </w:rPr>
        <w:t>)* v podnicích v Česku podle pohlaví, odvětví a krajů</w:t>
      </w:r>
      <w:r w:rsidRPr="00786824">
        <w:rPr>
          <w:rFonts w:ascii="Arial" w:hAnsi="Arial" w:cs="Arial"/>
          <w:b/>
          <w:sz w:val="20"/>
          <w:szCs w:val="20"/>
        </w:rPr>
        <w:t xml:space="preserve"> (%)</w:t>
      </w:r>
    </w:p>
    <w:p w14:paraId="434D8F3A" w14:textId="5D5CD36D" w:rsidR="008D75B1" w:rsidRPr="00C67BA8" w:rsidRDefault="008D75B1" w:rsidP="008D75B1">
      <w:pPr>
        <w:tabs>
          <w:tab w:val="left" w:pos="284"/>
          <w:tab w:val="left" w:pos="3119"/>
          <w:tab w:val="left" w:pos="6663"/>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w:t>
      </w:r>
      <w:r>
        <w:rPr>
          <w:rFonts w:ascii="Arial" w:hAnsi="Arial" w:cs="Arial"/>
          <w:b/>
          <w:i/>
          <w:sz w:val="18"/>
          <w:szCs w:val="20"/>
        </w:rPr>
        <w:t>pohlaví</w:t>
      </w:r>
      <w:r w:rsidRPr="00C67BA8">
        <w:rPr>
          <w:rFonts w:ascii="Arial" w:hAnsi="Arial" w:cs="Arial"/>
          <w:b/>
          <w:i/>
          <w:sz w:val="18"/>
          <w:szCs w:val="20"/>
        </w:rPr>
        <w:t xml:space="preserve"> </w:t>
      </w:r>
      <w:r w:rsidRPr="00C67BA8">
        <w:rPr>
          <w:rFonts w:ascii="Arial" w:hAnsi="Arial" w:cs="Arial"/>
          <w:b/>
          <w:i/>
          <w:sz w:val="18"/>
          <w:szCs w:val="20"/>
        </w:rPr>
        <w:tab/>
      </w:r>
      <w:r>
        <w:rPr>
          <w:rFonts w:ascii="Arial" w:hAnsi="Arial" w:cs="Arial"/>
          <w:b/>
          <w:i/>
          <w:sz w:val="18"/>
          <w:szCs w:val="20"/>
        </w:rPr>
        <w:t>b</w:t>
      </w:r>
      <w:r w:rsidRPr="008172FB">
        <w:rPr>
          <w:rFonts w:ascii="Arial" w:hAnsi="Arial" w:cs="Arial"/>
          <w:b/>
          <w:i/>
          <w:sz w:val="18"/>
          <w:szCs w:val="20"/>
        </w:rPr>
        <w:t xml:space="preserve">) podle odvětvových sekcí </w:t>
      </w:r>
      <w:r>
        <w:rPr>
          <w:rFonts w:ascii="Arial" w:hAnsi="Arial" w:cs="Arial"/>
          <w:b/>
          <w:i/>
          <w:sz w:val="18"/>
          <w:szCs w:val="20"/>
        </w:rPr>
        <w:t>(CZ-NACE)</w:t>
      </w:r>
      <w:r>
        <w:rPr>
          <w:rFonts w:ascii="Arial" w:hAnsi="Arial" w:cs="Arial"/>
          <w:b/>
          <w:i/>
          <w:sz w:val="18"/>
          <w:szCs w:val="20"/>
        </w:rPr>
        <w:tab/>
        <w:t xml:space="preserve">   c) podle krajů</w:t>
      </w:r>
      <w:r w:rsidRPr="00C67BA8">
        <w:rPr>
          <w:rFonts w:ascii="Arial" w:hAnsi="Arial" w:cs="Arial"/>
          <w:b/>
          <w:i/>
          <w:sz w:val="18"/>
          <w:szCs w:val="20"/>
        </w:rPr>
        <w:t xml:space="preserve"> </w:t>
      </w:r>
    </w:p>
    <w:p w14:paraId="57818B48" w14:textId="380D8B40" w:rsidR="008D75B1" w:rsidRDefault="00A14921" w:rsidP="001A67C4">
      <w:pPr>
        <w:jc w:val="both"/>
        <w:rPr>
          <w:noProof/>
          <w:lang w:eastAsia="cs-CZ"/>
        </w:rPr>
      </w:pPr>
      <w:r>
        <w:rPr>
          <w:noProof/>
          <w:lang w:eastAsia="cs-CZ"/>
        </w:rPr>
        <w:drawing>
          <wp:inline distT="0" distB="0" distL="0" distR="0" wp14:anchorId="72C965B1" wp14:editId="60B0B028">
            <wp:extent cx="1764000" cy="1980000"/>
            <wp:effectExtent l="0" t="0" r="0" b="0"/>
            <wp:docPr id="93" name="Graf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8D75B1" w:rsidRPr="008D75B1">
        <w:rPr>
          <w:noProof/>
          <w:lang w:eastAsia="cs-CZ"/>
        </w:rPr>
        <w:t xml:space="preserve"> </w:t>
      </w:r>
      <w:r w:rsidR="008D75B1">
        <w:rPr>
          <w:noProof/>
          <w:lang w:eastAsia="cs-CZ"/>
        </w:rPr>
        <w:t xml:space="preserve">  </w:t>
      </w:r>
      <w:r>
        <w:rPr>
          <w:noProof/>
          <w:lang w:eastAsia="cs-CZ"/>
        </w:rPr>
        <w:drawing>
          <wp:inline distT="0" distB="0" distL="0" distR="0" wp14:anchorId="24A1A078" wp14:editId="7562E4B1">
            <wp:extent cx="1980000" cy="1980000"/>
            <wp:effectExtent l="0" t="0" r="1270" b="0"/>
            <wp:docPr id="94"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8D75B1" w:rsidRPr="008D75B1">
        <w:rPr>
          <w:noProof/>
          <w:lang w:eastAsia="cs-CZ"/>
        </w:rPr>
        <w:t xml:space="preserve"> </w:t>
      </w:r>
      <w:r w:rsidR="008D75B1">
        <w:rPr>
          <w:noProof/>
          <w:lang w:eastAsia="cs-CZ"/>
        </w:rPr>
        <w:t xml:space="preserve">       </w:t>
      </w:r>
      <w:r>
        <w:rPr>
          <w:noProof/>
          <w:lang w:eastAsia="cs-CZ"/>
        </w:rPr>
        <w:drawing>
          <wp:inline distT="0" distB="0" distL="0" distR="0" wp14:anchorId="7AA3D6E9" wp14:editId="6DEC454C">
            <wp:extent cx="1980000" cy="1980000"/>
            <wp:effectExtent l="0" t="0" r="1270" b="0"/>
            <wp:docPr id="95" name="Graf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815E95E" w14:textId="77777777" w:rsidR="008D75B1" w:rsidRDefault="008D75B1" w:rsidP="008D75B1">
      <w:pPr>
        <w:spacing w:after="40" w:line="288" w:lineRule="auto"/>
        <w:rPr>
          <w:rFonts w:ascii="Arial" w:hAnsi="Arial" w:cs="Arial"/>
          <w:sz w:val="18"/>
          <w:szCs w:val="20"/>
        </w:rPr>
      </w:pPr>
      <w:r>
        <w:rPr>
          <w:rFonts w:ascii="Arial" w:hAnsi="Arial" w:cs="Arial"/>
          <w:sz w:val="18"/>
          <w:szCs w:val="20"/>
        </w:rPr>
        <w:t>*</w:t>
      </w:r>
      <w:r w:rsidRPr="000B0A9C">
        <w:rPr>
          <w:rFonts w:ascii="Arial" w:hAnsi="Arial" w:cs="Arial"/>
          <w:sz w:val="18"/>
          <w:szCs w:val="20"/>
        </w:rPr>
        <w:t>přepočtené osoby na plnou pracovní dobu věnovanou výzkumným a vývojovým činnostem (FTE)</w:t>
      </w:r>
    </w:p>
    <w:p w14:paraId="5BA69835" w14:textId="77777777" w:rsidR="008D75B1" w:rsidRPr="008D75B1" w:rsidRDefault="008D75B1" w:rsidP="008D75B1">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217C0881" w14:textId="50450709" w:rsidR="00436435" w:rsidRDefault="00436435" w:rsidP="001A67C4">
      <w:pPr>
        <w:jc w:val="both"/>
        <w:rPr>
          <w:rFonts w:ascii="Arial" w:hAnsi="Arial" w:cs="Arial"/>
          <w:sz w:val="20"/>
          <w:szCs w:val="20"/>
        </w:rPr>
      </w:pPr>
      <w:r>
        <w:rPr>
          <w:rFonts w:ascii="Arial" w:hAnsi="Arial" w:cs="Arial"/>
          <w:sz w:val="20"/>
          <w:szCs w:val="20"/>
        </w:rPr>
        <w:t xml:space="preserve">V podnikovém výzkumu v Česku je velmi nízké zastoupení žen. Podíl žen je </w:t>
      </w:r>
      <w:r w:rsidR="00CF5D0D">
        <w:rPr>
          <w:rFonts w:ascii="Arial" w:hAnsi="Arial" w:cs="Arial"/>
          <w:sz w:val="20"/>
          <w:szCs w:val="20"/>
        </w:rPr>
        <w:t xml:space="preserve">zde </w:t>
      </w:r>
      <w:r>
        <w:rPr>
          <w:rFonts w:ascii="Arial" w:hAnsi="Arial" w:cs="Arial"/>
          <w:sz w:val="20"/>
          <w:szCs w:val="20"/>
        </w:rPr>
        <w:t>dlouho</w:t>
      </w:r>
      <w:r w:rsidR="002717BA">
        <w:rPr>
          <w:rFonts w:ascii="Arial" w:hAnsi="Arial" w:cs="Arial"/>
          <w:sz w:val="20"/>
          <w:szCs w:val="20"/>
        </w:rPr>
        <w:t>době nižší než 20 %, v roce 2022</w:t>
      </w:r>
      <w:r>
        <w:rPr>
          <w:rFonts w:ascii="Arial" w:hAnsi="Arial" w:cs="Arial"/>
          <w:sz w:val="20"/>
          <w:szCs w:val="20"/>
        </w:rPr>
        <w:t xml:space="preserve"> to bylo </w:t>
      </w:r>
      <w:r w:rsidR="00B13189">
        <w:rPr>
          <w:rFonts w:ascii="Arial" w:hAnsi="Arial" w:cs="Arial"/>
          <w:sz w:val="20"/>
          <w:szCs w:val="20"/>
        </w:rPr>
        <w:t>1</w:t>
      </w:r>
      <w:r w:rsidR="002717BA">
        <w:rPr>
          <w:rFonts w:ascii="Arial" w:hAnsi="Arial" w:cs="Arial"/>
          <w:sz w:val="20"/>
          <w:szCs w:val="20"/>
        </w:rPr>
        <w:t>9</w:t>
      </w:r>
      <w:r w:rsidR="00B13189">
        <w:rPr>
          <w:rFonts w:ascii="Arial" w:hAnsi="Arial" w:cs="Arial"/>
          <w:sz w:val="20"/>
          <w:szCs w:val="20"/>
        </w:rPr>
        <w:t xml:space="preserve"> %. Nízké zastoupení že</w:t>
      </w:r>
      <w:r w:rsidR="00CF5D0D">
        <w:rPr>
          <w:rFonts w:ascii="Arial" w:hAnsi="Arial" w:cs="Arial"/>
          <w:sz w:val="20"/>
          <w:szCs w:val="20"/>
        </w:rPr>
        <w:t>n</w:t>
      </w:r>
      <w:r w:rsidR="00B13189">
        <w:rPr>
          <w:rFonts w:ascii="Arial" w:hAnsi="Arial" w:cs="Arial"/>
          <w:sz w:val="20"/>
          <w:szCs w:val="20"/>
        </w:rPr>
        <w:t xml:space="preserve"> je zapříčiněno především odvětvovou skladbou podniků provádějících u nás </w:t>
      </w:r>
      <w:proofErr w:type="spellStart"/>
      <w:r w:rsidR="00B13189">
        <w:rPr>
          <w:rFonts w:ascii="Arial" w:hAnsi="Arial" w:cs="Arial"/>
          <w:sz w:val="20"/>
          <w:szCs w:val="20"/>
        </w:rPr>
        <w:t>VaV</w:t>
      </w:r>
      <w:proofErr w:type="spellEnd"/>
      <w:r w:rsidR="00B13189">
        <w:rPr>
          <w:rFonts w:ascii="Arial" w:hAnsi="Arial" w:cs="Arial"/>
          <w:sz w:val="20"/>
          <w:szCs w:val="20"/>
        </w:rPr>
        <w:t xml:space="preserve">. Výzkum se </w:t>
      </w:r>
      <w:r w:rsidR="00CF5D0D">
        <w:rPr>
          <w:rFonts w:ascii="Arial" w:hAnsi="Arial" w:cs="Arial"/>
          <w:sz w:val="20"/>
          <w:szCs w:val="20"/>
        </w:rPr>
        <w:t>v Česku</w:t>
      </w:r>
      <w:r w:rsidR="00B13189">
        <w:rPr>
          <w:rFonts w:ascii="Arial" w:hAnsi="Arial" w:cs="Arial"/>
          <w:sz w:val="20"/>
          <w:szCs w:val="20"/>
        </w:rPr>
        <w:t xml:space="preserve"> provádí v největší míře v průmyslu a v IT, které jsou doménou mužů. V průmyslových podnicích bylo zastoupení žen 15 %. V automobilovém průmyslu měly ženy zastoupení 13</w:t>
      </w:r>
      <w:r w:rsidR="00CF5D0D">
        <w:rPr>
          <w:rFonts w:ascii="Arial" w:hAnsi="Arial" w:cs="Arial"/>
          <w:sz w:val="20"/>
          <w:szCs w:val="20"/>
        </w:rPr>
        <w:t xml:space="preserve"> </w:t>
      </w:r>
      <w:r w:rsidR="00B13189">
        <w:rPr>
          <w:rFonts w:ascii="Arial" w:hAnsi="Arial" w:cs="Arial"/>
          <w:sz w:val="20"/>
          <w:szCs w:val="20"/>
        </w:rPr>
        <w:t>%, ve strojírenství pouze 7 %. V IT podnicíc</w:t>
      </w:r>
      <w:r w:rsidR="002717BA">
        <w:rPr>
          <w:rFonts w:ascii="Arial" w:hAnsi="Arial" w:cs="Arial"/>
          <w:sz w:val="20"/>
          <w:szCs w:val="20"/>
        </w:rPr>
        <w:t xml:space="preserve">h pracovalo v roce 2021 ve </w:t>
      </w:r>
      <w:proofErr w:type="spellStart"/>
      <w:r w:rsidR="002717BA">
        <w:rPr>
          <w:rFonts w:ascii="Arial" w:hAnsi="Arial" w:cs="Arial"/>
          <w:sz w:val="20"/>
          <w:szCs w:val="20"/>
        </w:rPr>
        <w:t>VaV</w:t>
      </w:r>
      <w:proofErr w:type="spellEnd"/>
      <w:r w:rsidR="002717BA">
        <w:rPr>
          <w:rFonts w:ascii="Arial" w:hAnsi="Arial" w:cs="Arial"/>
          <w:sz w:val="20"/>
          <w:szCs w:val="20"/>
        </w:rPr>
        <w:t xml:space="preserve"> 2,1</w:t>
      </w:r>
      <w:r w:rsidR="00B13189">
        <w:rPr>
          <w:rFonts w:ascii="Arial" w:hAnsi="Arial" w:cs="Arial"/>
          <w:sz w:val="20"/>
          <w:szCs w:val="20"/>
        </w:rPr>
        <w:t xml:space="preserve"> tis. žen</w:t>
      </w:r>
      <w:r w:rsidR="002717BA">
        <w:rPr>
          <w:rFonts w:ascii="Arial" w:hAnsi="Arial" w:cs="Arial"/>
          <w:sz w:val="20"/>
          <w:szCs w:val="20"/>
        </w:rPr>
        <w:t xml:space="preserve"> (FTE)</w:t>
      </w:r>
      <w:r w:rsidR="00B13189">
        <w:rPr>
          <w:rFonts w:ascii="Arial" w:hAnsi="Arial" w:cs="Arial"/>
          <w:sz w:val="20"/>
          <w:szCs w:val="20"/>
        </w:rPr>
        <w:t>, které tv</w:t>
      </w:r>
      <w:r w:rsidR="002717BA">
        <w:rPr>
          <w:rFonts w:ascii="Arial" w:hAnsi="Arial" w:cs="Arial"/>
          <w:sz w:val="20"/>
          <w:szCs w:val="20"/>
        </w:rPr>
        <w:t>ořily jen 16</w:t>
      </w:r>
      <w:r w:rsidR="00CF5D0D">
        <w:rPr>
          <w:rFonts w:ascii="Arial" w:hAnsi="Arial" w:cs="Arial"/>
          <w:sz w:val="20"/>
          <w:szCs w:val="20"/>
        </w:rPr>
        <w:t xml:space="preserve"> </w:t>
      </w:r>
      <w:r w:rsidR="00B13189">
        <w:rPr>
          <w:rFonts w:ascii="Arial" w:hAnsi="Arial" w:cs="Arial"/>
          <w:sz w:val="20"/>
          <w:szCs w:val="20"/>
        </w:rPr>
        <w:t xml:space="preserve">% pracovníků </w:t>
      </w:r>
      <w:proofErr w:type="spellStart"/>
      <w:r w:rsidR="00B13189">
        <w:rPr>
          <w:rFonts w:ascii="Arial" w:hAnsi="Arial" w:cs="Arial"/>
          <w:sz w:val="20"/>
          <w:szCs w:val="20"/>
        </w:rPr>
        <w:t>VaV</w:t>
      </w:r>
      <w:proofErr w:type="spellEnd"/>
      <w:r w:rsidR="00B13189">
        <w:rPr>
          <w:rFonts w:ascii="Arial" w:hAnsi="Arial" w:cs="Arial"/>
          <w:sz w:val="20"/>
          <w:szCs w:val="20"/>
        </w:rPr>
        <w:t xml:space="preserve"> IT podniků. Obdobně nízké zastoupení žen v podnikovém výzkumu jako v Česku je také na Slovensku, </w:t>
      </w:r>
      <w:r w:rsidR="00CF5D0D">
        <w:rPr>
          <w:rFonts w:ascii="Arial" w:hAnsi="Arial" w:cs="Arial"/>
          <w:sz w:val="20"/>
          <w:szCs w:val="20"/>
        </w:rPr>
        <w:t xml:space="preserve">v </w:t>
      </w:r>
      <w:r w:rsidR="00B13189">
        <w:rPr>
          <w:rFonts w:ascii="Arial" w:hAnsi="Arial" w:cs="Arial"/>
          <w:sz w:val="20"/>
          <w:szCs w:val="20"/>
        </w:rPr>
        <w:t xml:space="preserve">Rakousku a Německu. V několika </w:t>
      </w:r>
      <w:r w:rsidR="000C2032">
        <w:rPr>
          <w:rFonts w:ascii="Arial" w:hAnsi="Arial" w:cs="Arial"/>
          <w:sz w:val="20"/>
          <w:szCs w:val="20"/>
        </w:rPr>
        <w:t xml:space="preserve">státech EU (např. Španělsku, </w:t>
      </w:r>
      <w:r w:rsidR="002717BA">
        <w:rPr>
          <w:rFonts w:ascii="Arial" w:hAnsi="Arial" w:cs="Arial"/>
          <w:sz w:val="20"/>
          <w:szCs w:val="20"/>
        </w:rPr>
        <w:t>Bulhars</w:t>
      </w:r>
      <w:r w:rsidR="000C2032">
        <w:rPr>
          <w:rFonts w:ascii="Arial" w:hAnsi="Arial" w:cs="Arial"/>
          <w:sz w:val="20"/>
          <w:szCs w:val="20"/>
        </w:rPr>
        <w:t>ku, Litvě a Lotyšsku) přesahuje podíl žen v podnikovém výzkumu 30 %.</w:t>
      </w:r>
    </w:p>
    <w:p w14:paraId="104C5DB7" w14:textId="77777777" w:rsidR="00746408" w:rsidRPr="00456552" w:rsidRDefault="00746408" w:rsidP="00A96835">
      <w:pPr>
        <w:pageBreakBefore/>
        <w:spacing w:after="120" w:line="288" w:lineRule="auto"/>
        <w:jc w:val="both"/>
        <w:rPr>
          <w:rFonts w:ascii="Arial" w:hAnsi="Arial" w:cs="Arial"/>
          <w:b/>
          <w:color w:val="009BB4"/>
          <w:sz w:val="24"/>
          <w:szCs w:val="24"/>
        </w:rPr>
      </w:pPr>
      <w:r>
        <w:rPr>
          <w:rFonts w:ascii="Arial" w:hAnsi="Arial" w:cs="Arial"/>
          <w:b/>
          <w:color w:val="009BB4"/>
          <w:sz w:val="24"/>
          <w:szCs w:val="24"/>
        </w:rPr>
        <w:lastRenderedPageBreak/>
        <w:t>Výzkum a vývoj prováděný ve vládním sektoru</w:t>
      </w:r>
    </w:p>
    <w:p w14:paraId="484E1E49" w14:textId="7224C825" w:rsidR="00A7180F" w:rsidRDefault="00270786" w:rsidP="00A7180F">
      <w:pPr>
        <w:spacing w:after="120" w:line="288" w:lineRule="auto"/>
        <w:jc w:val="both"/>
        <w:rPr>
          <w:rFonts w:ascii="Arial" w:hAnsi="Arial" w:cs="Arial"/>
          <w:sz w:val="20"/>
          <w:szCs w:val="20"/>
        </w:rPr>
      </w:pPr>
      <w:r>
        <w:rPr>
          <w:rFonts w:ascii="Arial" w:hAnsi="Arial" w:cs="Arial"/>
          <w:sz w:val="20"/>
          <w:szCs w:val="20"/>
        </w:rPr>
        <w:t xml:space="preserve">Výdaje na </w:t>
      </w:r>
      <w:proofErr w:type="spellStart"/>
      <w:r>
        <w:rPr>
          <w:rFonts w:ascii="Arial" w:hAnsi="Arial" w:cs="Arial"/>
          <w:sz w:val="20"/>
          <w:szCs w:val="20"/>
        </w:rPr>
        <w:t>VaV</w:t>
      </w:r>
      <w:proofErr w:type="spellEnd"/>
      <w:r w:rsidR="000837FE">
        <w:rPr>
          <w:rFonts w:ascii="Arial" w:hAnsi="Arial" w:cs="Arial"/>
          <w:sz w:val="20"/>
          <w:szCs w:val="20"/>
        </w:rPr>
        <w:t xml:space="preserve"> ve vládním sektoru</w:t>
      </w:r>
      <w:r>
        <w:rPr>
          <w:rFonts w:ascii="Arial" w:hAnsi="Arial" w:cs="Arial"/>
          <w:sz w:val="20"/>
          <w:szCs w:val="20"/>
        </w:rPr>
        <w:t xml:space="preserve"> </w:t>
      </w:r>
      <w:r w:rsidR="002717BA">
        <w:rPr>
          <w:rFonts w:ascii="Arial" w:hAnsi="Arial" w:cs="Arial"/>
          <w:sz w:val="20"/>
          <w:szCs w:val="20"/>
        </w:rPr>
        <w:t>v roce 2022</w:t>
      </w:r>
      <w:r w:rsidR="00A7180F">
        <w:rPr>
          <w:rFonts w:ascii="Arial" w:hAnsi="Arial" w:cs="Arial"/>
          <w:sz w:val="20"/>
          <w:szCs w:val="20"/>
        </w:rPr>
        <w:t xml:space="preserve"> </w:t>
      </w:r>
      <w:r>
        <w:rPr>
          <w:rFonts w:ascii="Arial" w:hAnsi="Arial" w:cs="Arial"/>
          <w:sz w:val="20"/>
          <w:szCs w:val="20"/>
        </w:rPr>
        <w:t xml:space="preserve">dosáhly </w:t>
      </w:r>
      <w:r w:rsidR="002717BA">
        <w:rPr>
          <w:rFonts w:ascii="Arial" w:hAnsi="Arial" w:cs="Arial"/>
          <w:sz w:val="20"/>
          <w:szCs w:val="20"/>
        </w:rPr>
        <w:t>21</w:t>
      </w:r>
      <w:r w:rsidR="002011D4">
        <w:rPr>
          <w:rFonts w:ascii="Arial" w:hAnsi="Arial" w:cs="Arial"/>
          <w:sz w:val="20"/>
          <w:szCs w:val="20"/>
        </w:rPr>
        <w:t>,3</w:t>
      </w:r>
      <w:r w:rsidR="00153767">
        <w:rPr>
          <w:rFonts w:ascii="Arial" w:hAnsi="Arial" w:cs="Arial"/>
          <w:sz w:val="20"/>
          <w:szCs w:val="20"/>
        </w:rPr>
        <w:t> </w:t>
      </w:r>
      <w:r>
        <w:rPr>
          <w:rFonts w:ascii="Arial" w:hAnsi="Arial" w:cs="Arial"/>
          <w:sz w:val="20"/>
          <w:szCs w:val="20"/>
        </w:rPr>
        <w:t xml:space="preserve">mld. Kč. </w:t>
      </w:r>
      <w:r w:rsidR="002717BA">
        <w:rPr>
          <w:rFonts w:ascii="Arial" w:hAnsi="Arial" w:cs="Arial"/>
          <w:sz w:val="20"/>
          <w:szCs w:val="20"/>
        </w:rPr>
        <w:t>O rok dříve se v</w:t>
      </w:r>
      <w:r w:rsidR="00A7180F">
        <w:rPr>
          <w:rFonts w:ascii="Arial" w:hAnsi="Arial" w:cs="Arial"/>
          <w:sz w:val="20"/>
          <w:szCs w:val="20"/>
        </w:rPr>
        <w:t xml:space="preserve"> tomto sektoru </w:t>
      </w:r>
      <w:r w:rsidR="002717BA">
        <w:rPr>
          <w:rFonts w:ascii="Arial" w:hAnsi="Arial" w:cs="Arial"/>
          <w:sz w:val="20"/>
          <w:szCs w:val="20"/>
        </w:rPr>
        <w:t xml:space="preserve">poprvé </w:t>
      </w:r>
      <w:r w:rsidR="00A7180F">
        <w:rPr>
          <w:rFonts w:ascii="Arial" w:hAnsi="Arial" w:cs="Arial"/>
          <w:sz w:val="20"/>
          <w:szCs w:val="20"/>
        </w:rPr>
        <w:t xml:space="preserve">utratilo za výzkumnou činnost více než 20 mld. Kč. Podíl vládního sektoru na celkových výdajích na </w:t>
      </w:r>
      <w:proofErr w:type="spellStart"/>
      <w:r w:rsidR="00A7180F">
        <w:rPr>
          <w:rFonts w:ascii="Arial" w:hAnsi="Arial" w:cs="Arial"/>
          <w:sz w:val="20"/>
          <w:szCs w:val="20"/>
        </w:rPr>
        <w:t>VaV</w:t>
      </w:r>
      <w:proofErr w:type="spellEnd"/>
      <w:r w:rsidR="00A7180F">
        <w:rPr>
          <w:rFonts w:ascii="Arial" w:hAnsi="Arial" w:cs="Arial"/>
          <w:sz w:val="20"/>
          <w:szCs w:val="20"/>
        </w:rPr>
        <w:t xml:space="preserve"> se v posledn</w:t>
      </w:r>
      <w:r w:rsidR="002717BA">
        <w:rPr>
          <w:rFonts w:ascii="Arial" w:hAnsi="Arial" w:cs="Arial"/>
          <w:sz w:val="20"/>
          <w:szCs w:val="20"/>
        </w:rPr>
        <w:t xml:space="preserve">ích pěti letech pohybuje </w:t>
      </w:r>
      <w:r w:rsidR="00A202AA">
        <w:rPr>
          <w:rFonts w:ascii="Arial" w:hAnsi="Arial" w:cs="Arial"/>
          <w:sz w:val="20"/>
          <w:szCs w:val="20"/>
        </w:rPr>
        <w:t xml:space="preserve">okolo </w:t>
      </w:r>
      <w:r w:rsidR="002717BA">
        <w:rPr>
          <w:rFonts w:ascii="Arial" w:hAnsi="Arial" w:cs="Arial"/>
          <w:sz w:val="20"/>
          <w:szCs w:val="20"/>
        </w:rPr>
        <w:t>16</w:t>
      </w:r>
      <w:r w:rsidR="00A7180F">
        <w:rPr>
          <w:rFonts w:ascii="Arial" w:hAnsi="Arial" w:cs="Arial"/>
          <w:sz w:val="20"/>
          <w:szCs w:val="20"/>
        </w:rPr>
        <w:t xml:space="preserve"> %. Jedná se o podíl vysoko přesahující</w:t>
      </w:r>
      <w:r w:rsidR="002717BA">
        <w:rPr>
          <w:rFonts w:ascii="Arial" w:hAnsi="Arial" w:cs="Arial"/>
          <w:sz w:val="20"/>
          <w:szCs w:val="20"/>
        </w:rPr>
        <w:t xml:space="preserve"> podíl EU</w:t>
      </w:r>
      <w:r w:rsidR="00AC5F33">
        <w:rPr>
          <w:rFonts w:ascii="Arial" w:hAnsi="Arial" w:cs="Arial"/>
          <w:sz w:val="20"/>
          <w:szCs w:val="20"/>
        </w:rPr>
        <w:t>27</w:t>
      </w:r>
      <w:r w:rsidR="002717BA">
        <w:rPr>
          <w:rFonts w:ascii="Arial" w:hAnsi="Arial" w:cs="Arial"/>
          <w:sz w:val="20"/>
          <w:szCs w:val="20"/>
        </w:rPr>
        <w:t>, který byl v roce 2022 11</w:t>
      </w:r>
      <w:r w:rsidR="00A7180F">
        <w:rPr>
          <w:rFonts w:ascii="Arial" w:hAnsi="Arial" w:cs="Arial"/>
          <w:sz w:val="20"/>
          <w:szCs w:val="20"/>
        </w:rPr>
        <w:t xml:space="preserve"> %. V Německu je podíl vládního sektoru (1</w:t>
      </w:r>
      <w:r w:rsidR="000338A1">
        <w:rPr>
          <w:rFonts w:ascii="Arial" w:hAnsi="Arial" w:cs="Arial"/>
          <w:sz w:val="20"/>
          <w:szCs w:val="20"/>
        </w:rPr>
        <w:t>3</w:t>
      </w:r>
      <w:r w:rsidR="00A7180F">
        <w:rPr>
          <w:rFonts w:ascii="Arial" w:hAnsi="Arial" w:cs="Arial"/>
          <w:sz w:val="20"/>
          <w:szCs w:val="20"/>
        </w:rPr>
        <w:t xml:space="preserve"> %) nižší než v</w:t>
      </w:r>
      <w:r w:rsidR="00AC5F33">
        <w:rPr>
          <w:rFonts w:ascii="Arial" w:hAnsi="Arial" w:cs="Arial"/>
          <w:sz w:val="20"/>
          <w:szCs w:val="20"/>
        </w:rPr>
        <w:t> </w:t>
      </w:r>
      <w:r w:rsidR="00A7180F">
        <w:rPr>
          <w:rFonts w:ascii="Arial" w:hAnsi="Arial" w:cs="Arial"/>
          <w:sz w:val="20"/>
          <w:szCs w:val="20"/>
        </w:rPr>
        <w:t>Česku</w:t>
      </w:r>
      <w:r w:rsidR="00AC5F33">
        <w:rPr>
          <w:rFonts w:ascii="Arial" w:hAnsi="Arial" w:cs="Arial"/>
          <w:sz w:val="20"/>
          <w:szCs w:val="20"/>
        </w:rPr>
        <w:t>. V</w:t>
      </w:r>
      <w:r w:rsidR="00A7180F">
        <w:rPr>
          <w:rFonts w:ascii="Arial" w:hAnsi="Arial" w:cs="Arial"/>
          <w:sz w:val="20"/>
          <w:szCs w:val="20"/>
        </w:rPr>
        <w:t> absolutním vyjádření se v </w:t>
      </w:r>
      <w:r w:rsidR="00AC5F33">
        <w:rPr>
          <w:rFonts w:ascii="Arial" w:hAnsi="Arial" w:cs="Arial"/>
          <w:sz w:val="20"/>
          <w:szCs w:val="20"/>
        </w:rPr>
        <w:t>n</w:t>
      </w:r>
      <w:r w:rsidR="00A7180F">
        <w:rPr>
          <w:rFonts w:ascii="Arial" w:hAnsi="Arial" w:cs="Arial"/>
          <w:sz w:val="20"/>
          <w:szCs w:val="20"/>
        </w:rPr>
        <w:t>ěmeck</w:t>
      </w:r>
      <w:r w:rsidR="00AC5F33">
        <w:rPr>
          <w:rFonts w:ascii="Arial" w:hAnsi="Arial" w:cs="Arial"/>
          <w:sz w:val="20"/>
          <w:szCs w:val="20"/>
        </w:rPr>
        <w:t>ém</w:t>
      </w:r>
      <w:r w:rsidR="00A7180F">
        <w:rPr>
          <w:rFonts w:ascii="Arial" w:hAnsi="Arial" w:cs="Arial"/>
          <w:sz w:val="20"/>
          <w:szCs w:val="20"/>
        </w:rPr>
        <w:t xml:space="preserve"> vládním sektoru vynaložilo na </w:t>
      </w:r>
      <w:proofErr w:type="spellStart"/>
      <w:r w:rsidR="00A7180F">
        <w:rPr>
          <w:rFonts w:ascii="Arial" w:hAnsi="Arial" w:cs="Arial"/>
          <w:sz w:val="20"/>
          <w:szCs w:val="20"/>
        </w:rPr>
        <w:t>VaV</w:t>
      </w:r>
      <w:proofErr w:type="spellEnd"/>
      <w:r w:rsidR="00A7180F">
        <w:rPr>
          <w:rFonts w:ascii="Arial" w:hAnsi="Arial" w:cs="Arial"/>
          <w:sz w:val="20"/>
          <w:szCs w:val="20"/>
        </w:rPr>
        <w:t xml:space="preserve"> 1</w:t>
      </w:r>
      <w:r w:rsidR="000338A1">
        <w:rPr>
          <w:rFonts w:ascii="Arial" w:hAnsi="Arial" w:cs="Arial"/>
          <w:sz w:val="20"/>
          <w:szCs w:val="20"/>
        </w:rPr>
        <w:t>4,5</w:t>
      </w:r>
      <w:r w:rsidR="00A7180F">
        <w:rPr>
          <w:rFonts w:ascii="Arial" w:hAnsi="Arial" w:cs="Arial"/>
          <w:sz w:val="20"/>
          <w:szCs w:val="20"/>
        </w:rPr>
        <w:t xml:space="preserve"> mld. Eur</w:t>
      </w:r>
      <w:r w:rsidR="00AC5F33">
        <w:rPr>
          <w:rFonts w:ascii="Arial" w:hAnsi="Arial" w:cs="Arial"/>
          <w:sz w:val="20"/>
          <w:szCs w:val="20"/>
        </w:rPr>
        <w:t>, v</w:t>
      </w:r>
      <w:r w:rsidR="000338A1">
        <w:rPr>
          <w:rFonts w:ascii="Arial" w:hAnsi="Arial" w:cs="Arial"/>
          <w:sz w:val="20"/>
          <w:szCs w:val="20"/>
        </w:rPr>
        <w:t> Česku to pro srovnání bylo 0,9</w:t>
      </w:r>
      <w:r w:rsidR="00A7180F">
        <w:rPr>
          <w:rFonts w:ascii="Arial" w:hAnsi="Arial" w:cs="Arial"/>
          <w:sz w:val="20"/>
          <w:szCs w:val="20"/>
        </w:rPr>
        <w:t xml:space="preserve"> mld. Eur.</w:t>
      </w:r>
    </w:p>
    <w:p w14:paraId="0B236316" w14:textId="42DF3F16" w:rsidR="009704BA" w:rsidRDefault="009704BA" w:rsidP="009704BA">
      <w:pPr>
        <w:spacing w:after="0" w:line="288" w:lineRule="auto"/>
        <w:jc w:val="both"/>
        <w:rPr>
          <w:rFonts w:ascii="Arial" w:hAnsi="Arial" w:cs="Arial"/>
          <w:b/>
          <w:sz w:val="20"/>
          <w:szCs w:val="20"/>
        </w:rPr>
      </w:pPr>
      <w:r w:rsidRPr="00253397">
        <w:rPr>
          <w:rFonts w:ascii="Arial" w:hAnsi="Arial" w:cs="Arial"/>
          <w:b/>
          <w:sz w:val="20"/>
          <w:szCs w:val="20"/>
        </w:rPr>
        <w:t xml:space="preserve">Graf </w:t>
      </w:r>
      <w:r>
        <w:rPr>
          <w:rFonts w:ascii="Arial" w:hAnsi="Arial" w:cs="Arial"/>
          <w:b/>
          <w:sz w:val="20"/>
          <w:szCs w:val="20"/>
        </w:rPr>
        <w:t>17</w:t>
      </w:r>
      <w:r w:rsidRPr="00253397">
        <w:rPr>
          <w:rFonts w:ascii="Arial" w:hAnsi="Arial" w:cs="Arial"/>
          <w:b/>
          <w:sz w:val="20"/>
          <w:szCs w:val="20"/>
        </w:rPr>
        <w:t xml:space="preserve">. </w:t>
      </w:r>
      <w:r>
        <w:rPr>
          <w:rFonts w:ascii="Arial" w:hAnsi="Arial" w:cs="Arial"/>
          <w:b/>
          <w:sz w:val="20"/>
          <w:szCs w:val="20"/>
        </w:rPr>
        <w:t>Výzkum a vývoj ve vládním sektoru v Česku – základní ukazatele</w:t>
      </w:r>
    </w:p>
    <w:p w14:paraId="09B401C6" w14:textId="4A0877CF" w:rsidR="009704BA" w:rsidRDefault="00A14921" w:rsidP="00A7180F">
      <w:pPr>
        <w:spacing w:after="120" w:line="288" w:lineRule="auto"/>
        <w:jc w:val="both"/>
        <w:rPr>
          <w:rFonts w:ascii="Arial" w:hAnsi="Arial" w:cs="Arial"/>
          <w:sz w:val="20"/>
          <w:szCs w:val="20"/>
        </w:rPr>
      </w:pPr>
      <w:r>
        <w:rPr>
          <w:noProof/>
          <w:lang w:eastAsia="cs-CZ"/>
        </w:rPr>
        <w:drawing>
          <wp:inline distT="0" distB="0" distL="0" distR="0" wp14:anchorId="41E92D12" wp14:editId="1B8DBC66">
            <wp:extent cx="6036945" cy="2847975"/>
            <wp:effectExtent l="0" t="0" r="1905" b="9525"/>
            <wp:docPr id="96" name="Graf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30A310E" w14:textId="3C548EF4" w:rsidR="009704BA" w:rsidRPr="009704BA" w:rsidRDefault="009704BA" w:rsidP="009704BA">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394FD697" w14:textId="7C2534F2" w:rsidR="003F019C" w:rsidRDefault="00A7180F" w:rsidP="00A7180F">
      <w:pPr>
        <w:spacing w:after="120" w:line="288" w:lineRule="auto"/>
        <w:jc w:val="both"/>
        <w:rPr>
          <w:rFonts w:ascii="Arial" w:hAnsi="Arial" w:cs="Arial"/>
          <w:sz w:val="20"/>
          <w:szCs w:val="20"/>
        </w:rPr>
      </w:pPr>
      <w:r>
        <w:rPr>
          <w:rFonts w:ascii="Arial" w:hAnsi="Arial" w:cs="Arial"/>
          <w:sz w:val="20"/>
          <w:szCs w:val="20"/>
        </w:rPr>
        <w:t xml:space="preserve">V podílu výdajů na </w:t>
      </w:r>
      <w:proofErr w:type="spellStart"/>
      <w:r>
        <w:rPr>
          <w:rFonts w:ascii="Arial" w:hAnsi="Arial" w:cs="Arial"/>
          <w:sz w:val="20"/>
          <w:szCs w:val="20"/>
        </w:rPr>
        <w:t>VaV</w:t>
      </w:r>
      <w:proofErr w:type="spellEnd"/>
      <w:r>
        <w:rPr>
          <w:rFonts w:ascii="Arial" w:hAnsi="Arial" w:cs="Arial"/>
          <w:sz w:val="20"/>
          <w:szCs w:val="20"/>
        </w:rPr>
        <w:t xml:space="preserve"> ve vládním sektoru ve vztahu k HDP, patříme dlouh</w:t>
      </w:r>
      <w:r w:rsidR="003A578B">
        <w:rPr>
          <w:rFonts w:ascii="Arial" w:hAnsi="Arial" w:cs="Arial"/>
          <w:sz w:val="20"/>
          <w:szCs w:val="20"/>
        </w:rPr>
        <w:t>odobě mezi absolutní evropskou š</w:t>
      </w:r>
      <w:r>
        <w:rPr>
          <w:rFonts w:ascii="Arial" w:hAnsi="Arial" w:cs="Arial"/>
          <w:sz w:val="20"/>
          <w:szCs w:val="20"/>
        </w:rPr>
        <w:t>pičku.</w:t>
      </w:r>
      <w:r w:rsidR="003A578B">
        <w:rPr>
          <w:rFonts w:ascii="Arial" w:hAnsi="Arial" w:cs="Arial"/>
          <w:sz w:val="20"/>
          <w:szCs w:val="20"/>
        </w:rPr>
        <w:t xml:space="preserve"> Dlouhodobě se ve vládním sektoru u nás vynakládá na </w:t>
      </w:r>
      <w:proofErr w:type="spellStart"/>
      <w:r w:rsidR="003A578B">
        <w:rPr>
          <w:rFonts w:ascii="Arial" w:hAnsi="Arial" w:cs="Arial"/>
          <w:sz w:val="20"/>
          <w:szCs w:val="20"/>
        </w:rPr>
        <w:t>VaV</w:t>
      </w:r>
      <w:proofErr w:type="spellEnd"/>
      <w:r w:rsidR="003A578B">
        <w:rPr>
          <w:rFonts w:ascii="Arial" w:hAnsi="Arial" w:cs="Arial"/>
          <w:sz w:val="20"/>
          <w:szCs w:val="20"/>
        </w:rPr>
        <w:t xml:space="preserve"> více než 0,3 % HDP, v roce 202</w:t>
      </w:r>
      <w:r w:rsidR="004444A0">
        <w:rPr>
          <w:rFonts w:ascii="Arial" w:hAnsi="Arial" w:cs="Arial"/>
          <w:sz w:val="20"/>
          <w:szCs w:val="20"/>
        </w:rPr>
        <w:t>2</w:t>
      </w:r>
      <w:r w:rsidR="003A578B">
        <w:rPr>
          <w:rFonts w:ascii="Arial" w:hAnsi="Arial" w:cs="Arial"/>
          <w:sz w:val="20"/>
          <w:szCs w:val="20"/>
        </w:rPr>
        <w:t xml:space="preserve"> to bylo 0,3</w:t>
      </w:r>
      <w:r w:rsidR="004444A0">
        <w:rPr>
          <w:rFonts w:ascii="Arial" w:hAnsi="Arial" w:cs="Arial"/>
          <w:sz w:val="20"/>
          <w:szCs w:val="20"/>
        </w:rPr>
        <w:t>1</w:t>
      </w:r>
      <w:r w:rsidR="003A578B">
        <w:rPr>
          <w:rFonts w:ascii="Arial" w:hAnsi="Arial" w:cs="Arial"/>
          <w:sz w:val="20"/>
          <w:szCs w:val="20"/>
        </w:rPr>
        <w:t xml:space="preserve"> % HD</w:t>
      </w:r>
      <w:r w:rsidR="00353239">
        <w:rPr>
          <w:rFonts w:ascii="Arial" w:hAnsi="Arial" w:cs="Arial"/>
          <w:sz w:val="20"/>
          <w:szCs w:val="20"/>
        </w:rPr>
        <w:t>P. Česko se s tímto podílem řadilo</w:t>
      </w:r>
      <w:r w:rsidR="003A578B">
        <w:rPr>
          <w:rFonts w:ascii="Arial" w:hAnsi="Arial" w:cs="Arial"/>
          <w:sz w:val="20"/>
          <w:szCs w:val="20"/>
        </w:rPr>
        <w:t xml:space="preserve"> </w:t>
      </w:r>
      <w:r w:rsidR="004444A0">
        <w:rPr>
          <w:rFonts w:ascii="Arial" w:hAnsi="Arial" w:cs="Arial"/>
          <w:sz w:val="20"/>
          <w:szCs w:val="20"/>
        </w:rPr>
        <w:t>na třetí místo EU</w:t>
      </w:r>
      <w:r w:rsidR="00185531">
        <w:rPr>
          <w:rFonts w:ascii="Arial" w:hAnsi="Arial" w:cs="Arial"/>
          <w:sz w:val="20"/>
          <w:szCs w:val="20"/>
        </w:rPr>
        <w:t>27</w:t>
      </w:r>
      <w:r w:rsidR="004444A0">
        <w:rPr>
          <w:rFonts w:ascii="Arial" w:hAnsi="Arial" w:cs="Arial"/>
          <w:sz w:val="20"/>
          <w:szCs w:val="20"/>
        </w:rPr>
        <w:t xml:space="preserve"> za Německem a Slovinskem</w:t>
      </w:r>
      <w:r w:rsidR="003A578B">
        <w:rPr>
          <w:rFonts w:ascii="Arial" w:hAnsi="Arial" w:cs="Arial"/>
          <w:sz w:val="20"/>
          <w:szCs w:val="20"/>
        </w:rPr>
        <w:t>. V </w:t>
      </w:r>
      <w:r w:rsidR="004444A0">
        <w:rPr>
          <w:rFonts w:ascii="Arial" w:hAnsi="Arial" w:cs="Arial"/>
          <w:sz w:val="20"/>
          <w:szCs w:val="20"/>
        </w:rPr>
        <w:t xml:space="preserve">roce 2022 v Německu tento podíl činil 0,37 % HDP, což sice značilo výrazný meziroční pokles z 0,46 %, stále je to však </w:t>
      </w:r>
      <w:r w:rsidR="00353239">
        <w:rPr>
          <w:rFonts w:ascii="Arial" w:hAnsi="Arial" w:cs="Arial"/>
          <w:sz w:val="20"/>
          <w:szCs w:val="20"/>
        </w:rPr>
        <w:t>nejvíc</w:t>
      </w:r>
      <w:r w:rsidR="004444A0">
        <w:rPr>
          <w:rFonts w:ascii="Arial" w:hAnsi="Arial" w:cs="Arial"/>
          <w:sz w:val="20"/>
          <w:szCs w:val="20"/>
        </w:rPr>
        <w:t xml:space="preserve"> v celé EU</w:t>
      </w:r>
      <w:r w:rsidR="00185531">
        <w:rPr>
          <w:rFonts w:ascii="Arial" w:hAnsi="Arial" w:cs="Arial"/>
          <w:sz w:val="20"/>
          <w:szCs w:val="20"/>
        </w:rPr>
        <w:t>27</w:t>
      </w:r>
      <w:r w:rsidR="004444A0">
        <w:rPr>
          <w:rFonts w:ascii="Arial" w:hAnsi="Arial" w:cs="Arial"/>
          <w:sz w:val="20"/>
          <w:szCs w:val="20"/>
        </w:rPr>
        <w:t>.</w:t>
      </w:r>
      <w:r w:rsidR="003A578B">
        <w:rPr>
          <w:rFonts w:ascii="Arial" w:hAnsi="Arial" w:cs="Arial"/>
          <w:sz w:val="20"/>
          <w:szCs w:val="20"/>
        </w:rPr>
        <w:t xml:space="preserve"> </w:t>
      </w:r>
      <w:r w:rsidR="0008467C">
        <w:rPr>
          <w:rFonts w:ascii="Arial" w:hAnsi="Arial" w:cs="Arial"/>
          <w:sz w:val="20"/>
          <w:szCs w:val="20"/>
        </w:rPr>
        <w:t xml:space="preserve">Na </w:t>
      </w:r>
      <w:r w:rsidR="004444A0">
        <w:rPr>
          <w:rFonts w:ascii="Arial" w:hAnsi="Arial" w:cs="Arial"/>
          <w:sz w:val="20"/>
          <w:szCs w:val="20"/>
        </w:rPr>
        <w:t>druhém</w:t>
      </w:r>
      <w:r w:rsidR="0008467C">
        <w:rPr>
          <w:rFonts w:ascii="Arial" w:hAnsi="Arial" w:cs="Arial"/>
          <w:sz w:val="20"/>
          <w:szCs w:val="20"/>
        </w:rPr>
        <w:t xml:space="preserve"> </w:t>
      </w:r>
      <w:r w:rsidR="004444A0">
        <w:rPr>
          <w:rFonts w:ascii="Arial" w:hAnsi="Arial" w:cs="Arial"/>
          <w:sz w:val="20"/>
          <w:szCs w:val="20"/>
        </w:rPr>
        <w:t xml:space="preserve">místě </w:t>
      </w:r>
      <w:r w:rsidR="0008467C">
        <w:rPr>
          <w:rFonts w:ascii="Arial" w:hAnsi="Arial" w:cs="Arial"/>
          <w:sz w:val="20"/>
          <w:szCs w:val="20"/>
        </w:rPr>
        <w:t xml:space="preserve">bylo </w:t>
      </w:r>
      <w:r w:rsidR="004444A0">
        <w:rPr>
          <w:rFonts w:ascii="Arial" w:hAnsi="Arial" w:cs="Arial"/>
          <w:sz w:val="20"/>
          <w:szCs w:val="20"/>
        </w:rPr>
        <w:t>Slovinsko s podílem 0,33</w:t>
      </w:r>
      <w:r w:rsidR="0008467C">
        <w:rPr>
          <w:rFonts w:ascii="Arial" w:hAnsi="Arial" w:cs="Arial"/>
          <w:sz w:val="20"/>
          <w:szCs w:val="20"/>
        </w:rPr>
        <w:t xml:space="preserve"> % HDP. </w:t>
      </w:r>
      <w:r w:rsidR="004444A0">
        <w:rPr>
          <w:rFonts w:ascii="Arial" w:hAnsi="Arial" w:cs="Arial"/>
          <w:sz w:val="20"/>
          <w:szCs w:val="20"/>
        </w:rPr>
        <w:t xml:space="preserve">Více než 0,3 % HDP se v roce 2022 utratilo za </w:t>
      </w:r>
      <w:proofErr w:type="spellStart"/>
      <w:r w:rsidR="004444A0">
        <w:rPr>
          <w:rFonts w:ascii="Arial" w:hAnsi="Arial" w:cs="Arial"/>
          <w:sz w:val="20"/>
          <w:szCs w:val="20"/>
        </w:rPr>
        <w:t>VaV</w:t>
      </w:r>
      <w:proofErr w:type="spellEnd"/>
      <w:r w:rsidR="004444A0">
        <w:rPr>
          <w:rFonts w:ascii="Arial" w:hAnsi="Arial" w:cs="Arial"/>
          <w:sz w:val="20"/>
          <w:szCs w:val="20"/>
        </w:rPr>
        <w:t xml:space="preserve"> ve vládním sektoru ještě v Řecku a Belgii</w:t>
      </w:r>
      <w:r w:rsidR="0008467C">
        <w:rPr>
          <w:rFonts w:ascii="Arial" w:hAnsi="Arial" w:cs="Arial"/>
          <w:sz w:val="20"/>
          <w:szCs w:val="20"/>
        </w:rPr>
        <w:t>.</w:t>
      </w:r>
    </w:p>
    <w:p w14:paraId="1CF22496" w14:textId="307BB726" w:rsidR="00BF68BA" w:rsidRDefault="00BF68BA" w:rsidP="00BF68BA">
      <w:pPr>
        <w:spacing w:after="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18</w:t>
      </w:r>
      <w:r w:rsidRPr="00E66D3A">
        <w:rPr>
          <w:rFonts w:ascii="Arial" w:hAnsi="Arial" w:cs="Arial"/>
          <w:b/>
          <w:sz w:val="20"/>
          <w:szCs w:val="20"/>
        </w:rPr>
        <w:t xml:space="preserve">. </w:t>
      </w:r>
      <w:r>
        <w:rPr>
          <w:rFonts w:ascii="Arial" w:hAnsi="Arial" w:cs="Arial"/>
          <w:b/>
          <w:sz w:val="20"/>
          <w:szCs w:val="20"/>
        </w:rPr>
        <w:t xml:space="preserve">Podíl výdajů na </w:t>
      </w:r>
      <w:proofErr w:type="spellStart"/>
      <w:r>
        <w:rPr>
          <w:rFonts w:ascii="Arial" w:hAnsi="Arial" w:cs="Arial"/>
          <w:b/>
          <w:sz w:val="20"/>
          <w:szCs w:val="20"/>
        </w:rPr>
        <w:t>VaV</w:t>
      </w:r>
      <w:proofErr w:type="spellEnd"/>
      <w:r>
        <w:rPr>
          <w:rFonts w:ascii="Arial" w:hAnsi="Arial" w:cs="Arial"/>
          <w:b/>
          <w:sz w:val="20"/>
          <w:szCs w:val="20"/>
        </w:rPr>
        <w:t xml:space="preserve"> ve vládním sektoru (GOVERD) v zemích EU 27 na HDP v roce 2022 (%)</w:t>
      </w:r>
    </w:p>
    <w:p w14:paraId="3A6D11B7" w14:textId="7D8D4584" w:rsidR="00BF68BA" w:rsidRDefault="00BF68BA" w:rsidP="00A7180F">
      <w:pPr>
        <w:spacing w:after="120" w:line="288" w:lineRule="auto"/>
        <w:jc w:val="both"/>
        <w:rPr>
          <w:rFonts w:ascii="Arial" w:hAnsi="Arial" w:cs="Arial"/>
          <w:sz w:val="20"/>
          <w:szCs w:val="20"/>
        </w:rPr>
      </w:pPr>
      <w:r>
        <w:rPr>
          <w:noProof/>
          <w:lang w:eastAsia="cs-CZ"/>
        </w:rPr>
        <w:drawing>
          <wp:inline distT="0" distB="0" distL="0" distR="0" wp14:anchorId="2FB0CAC5" wp14:editId="3F766138">
            <wp:extent cx="6083935" cy="28956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ABF79C9" w14:textId="77777777" w:rsidR="00BF68BA" w:rsidRPr="0017595D" w:rsidRDefault="00BF68BA" w:rsidP="00BF68BA">
      <w:pPr>
        <w:spacing w:after="120" w:line="288" w:lineRule="auto"/>
        <w:jc w:val="right"/>
        <w:rPr>
          <w:rFonts w:ascii="Arial" w:hAnsi="Arial" w:cs="Arial"/>
          <w:i/>
          <w:sz w:val="18"/>
          <w:szCs w:val="20"/>
        </w:rPr>
      </w:pPr>
      <w:r w:rsidRPr="006438BD">
        <w:rPr>
          <w:rFonts w:ascii="Arial" w:hAnsi="Arial" w:cs="Arial"/>
          <w:i/>
          <w:sz w:val="18"/>
          <w:szCs w:val="20"/>
        </w:rPr>
        <w:t xml:space="preserve">Zdroj: </w:t>
      </w:r>
      <w:proofErr w:type="spellStart"/>
      <w:r>
        <w:rPr>
          <w:rFonts w:ascii="Arial" w:hAnsi="Arial" w:cs="Arial"/>
          <w:i/>
          <w:sz w:val="18"/>
          <w:szCs w:val="20"/>
        </w:rPr>
        <w:t>Eurostat</w:t>
      </w:r>
      <w:proofErr w:type="spellEnd"/>
    </w:p>
    <w:p w14:paraId="4A392355" w14:textId="77777777" w:rsidR="00BF68BA" w:rsidRDefault="00BF68BA" w:rsidP="00BF68BA">
      <w:pPr>
        <w:spacing w:after="120" w:line="288" w:lineRule="auto"/>
        <w:jc w:val="both"/>
        <w:rPr>
          <w:rFonts w:ascii="Arial" w:hAnsi="Arial" w:cs="Arial"/>
          <w:sz w:val="20"/>
          <w:szCs w:val="20"/>
        </w:rPr>
      </w:pPr>
      <w:r>
        <w:rPr>
          <w:rFonts w:ascii="Arial" w:hAnsi="Arial" w:cs="Arial"/>
          <w:sz w:val="20"/>
          <w:szCs w:val="20"/>
        </w:rPr>
        <w:lastRenderedPageBreak/>
        <w:t xml:space="preserve">Výzkum a vývoj ve vládním sektoru v Česku provádělo v roce 2022 celkem 171 subjektů. Nejvýznamnější institucí je bezesporu Akademie věd ČR se svými 53 vědeckými ústavy. Na pracovištích Akademie věd se v roce 2022 vynaložilo na </w:t>
      </w:r>
      <w:proofErr w:type="spellStart"/>
      <w:r>
        <w:rPr>
          <w:rFonts w:ascii="Arial" w:hAnsi="Arial" w:cs="Arial"/>
          <w:sz w:val="20"/>
          <w:szCs w:val="20"/>
        </w:rPr>
        <w:t>VaV</w:t>
      </w:r>
      <w:proofErr w:type="spellEnd"/>
      <w:r>
        <w:rPr>
          <w:rFonts w:ascii="Arial" w:hAnsi="Arial" w:cs="Arial"/>
          <w:sz w:val="20"/>
          <w:szCs w:val="20"/>
        </w:rPr>
        <w:t xml:space="preserve"> celkem 15, 7 mld. Kč. Akademie věd ČR tak zaujímá téměř ¾ podíl na vládním sektoru. Na celkových výdajích na </w:t>
      </w:r>
      <w:proofErr w:type="spellStart"/>
      <w:r>
        <w:rPr>
          <w:rFonts w:ascii="Arial" w:hAnsi="Arial" w:cs="Arial"/>
          <w:sz w:val="20"/>
          <w:szCs w:val="20"/>
        </w:rPr>
        <w:t>VaV</w:t>
      </w:r>
      <w:proofErr w:type="spellEnd"/>
      <w:r>
        <w:rPr>
          <w:rFonts w:ascii="Arial" w:hAnsi="Arial" w:cs="Arial"/>
          <w:sz w:val="20"/>
          <w:szCs w:val="20"/>
        </w:rPr>
        <w:t xml:space="preserve"> v Česku se AV ČR podílela 12 %, přičemž tento podíl v čase klesá. Pro srovnání, v roce 2010 měla AV ČR 16% podíl. Od roku 2010 se sice roční výdaje na </w:t>
      </w:r>
      <w:proofErr w:type="spellStart"/>
      <w:r>
        <w:rPr>
          <w:rFonts w:ascii="Arial" w:hAnsi="Arial" w:cs="Arial"/>
          <w:sz w:val="20"/>
          <w:szCs w:val="20"/>
        </w:rPr>
        <w:t>VaV</w:t>
      </w:r>
      <w:proofErr w:type="spellEnd"/>
      <w:r>
        <w:rPr>
          <w:rFonts w:ascii="Arial" w:hAnsi="Arial" w:cs="Arial"/>
          <w:sz w:val="20"/>
          <w:szCs w:val="20"/>
        </w:rPr>
        <w:t xml:space="preserve"> na AV ČR navýšily o 7 mld. Kč, tento nárůst je však ve srovnání s nárůsty v podnicích i veřejných státních školách pomalejší. Vyjma Akademie věd řadíme do vládního sektoru všechny ostatní veřejné výzkumné instituce. V roce 2022 jich na území Česka provádělo </w:t>
      </w:r>
      <w:proofErr w:type="spellStart"/>
      <w:r>
        <w:rPr>
          <w:rFonts w:ascii="Arial" w:hAnsi="Arial" w:cs="Arial"/>
          <w:sz w:val="20"/>
          <w:szCs w:val="20"/>
        </w:rPr>
        <w:t>VaV</w:t>
      </w:r>
      <w:proofErr w:type="spellEnd"/>
      <w:r>
        <w:rPr>
          <w:rFonts w:ascii="Arial" w:hAnsi="Arial" w:cs="Arial"/>
          <w:sz w:val="20"/>
          <w:szCs w:val="20"/>
        </w:rPr>
        <w:t xml:space="preserve"> 22 a na tuto činnost vynaložily celkem 1,7 mld. Kč (8 % vládního sektoru). Dalšími subjekty, které řadíme do vládního sektoru, jsou např. muzea, archivy, knihovny a zdravotnická zařízení kromě fakultních nemocnic.</w:t>
      </w:r>
    </w:p>
    <w:p w14:paraId="20E38CFE" w14:textId="274680B0" w:rsidR="00BF68BA" w:rsidRPr="00E66D3A" w:rsidRDefault="00BF68BA" w:rsidP="00BF68BA">
      <w:pPr>
        <w:spacing w:after="120" w:line="288" w:lineRule="auto"/>
        <w:jc w:val="both"/>
        <w:rPr>
          <w:rFonts w:ascii="Arial" w:hAnsi="Arial" w:cs="Arial"/>
          <w:b/>
          <w:sz w:val="20"/>
          <w:szCs w:val="20"/>
        </w:rPr>
      </w:pPr>
      <w:r w:rsidRPr="00E66D3A">
        <w:rPr>
          <w:rFonts w:ascii="Arial" w:hAnsi="Arial" w:cs="Arial"/>
          <w:b/>
          <w:sz w:val="20"/>
          <w:szCs w:val="20"/>
        </w:rPr>
        <w:t xml:space="preserve">Graf </w:t>
      </w:r>
      <w:r w:rsidR="007C775E">
        <w:rPr>
          <w:rFonts w:ascii="Arial" w:hAnsi="Arial" w:cs="Arial"/>
          <w:b/>
          <w:sz w:val="20"/>
          <w:szCs w:val="20"/>
        </w:rPr>
        <w:t>19</w:t>
      </w:r>
      <w:r w:rsidRPr="00E66D3A">
        <w:rPr>
          <w:rFonts w:ascii="Arial" w:hAnsi="Arial" w:cs="Arial"/>
          <w:b/>
          <w:sz w:val="20"/>
          <w:szCs w:val="20"/>
        </w:rPr>
        <w:t xml:space="preserve">. Výdaje na </w:t>
      </w:r>
      <w:proofErr w:type="spellStart"/>
      <w:r>
        <w:rPr>
          <w:rFonts w:ascii="Arial" w:hAnsi="Arial" w:cs="Arial"/>
          <w:b/>
          <w:sz w:val="20"/>
          <w:szCs w:val="20"/>
        </w:rPr>
        <w:t>VaV</w:t>
      </w:r>
      <w:proofErr w:type="spellEnd"/>
      <w:r w:rsidRPr="00E66D3A">
        <w:rPr>
          <w:rFonts w:ascii="Arial" w:hAnsi="Arial" w:cs="Arial"/>
          <w:b/>
          <w:sz w:val="20"/>
          <w:szCs w:val="20"/>
        </w:rPr>
        <w:t xml:space="preserve"> </w:t>
      </w:r>
      <w:r>
        <w:rPr>
          <w:rFonts w:ascii="Arial" w:hAnsi="Arial" w:cs="Arial"/>
          <w:b/>
          <w:sz w:val="20"/>
          <w:szCs w:val="20"/>
        </w:rPr>
        <w:t xml:space="preserve">ve vládním sektoru </w:t>
      </w:r>
      <w:r w:rsidRPr="00E66D3A">
        <w:rPr>
          <w:rFonts w:ascii="Arial" w:hAnsi="Arial" w:cs="Arial"/>
          <w:b/>
          <w:sz w:val="20"/>
          <w:szCs w:val="20"/>
        </w:rPr>
        <w:t xml:space="preserve">v Česku podle </w:t>
      </w:r>
      <w:r>
        <w:rPr>
          <w:rFonts w:ascii="Arial" w:hAnsi="Arial" w:cs="Arial"/>
          <w:b/>
          <w:sz w:val="20"/>
          <w:szCs w:val="20"/>
        </w:rPr>
        <w:t xml:space="preserve">druhu subjektů a krajů </w:t>
      </w:r>
      <w:r w:rsidRPr="00E66D3A">
        <w:rPr>
          <w:rFonts w:ascii="Arial" w:hAnsi="Arial" w:cs="Arial"/>
          <w:b/>
          <w:sz w:val="20"/>
          <w:szCs w:val="20"/>
        </w:rPr>
        <w:t>(</w:t>
      </w:r>
      <w:r>
        <w:rPr>
          <w:rFonts w:ascii="Arial" w:hAnsi="Arial" w:cs="Arial"/>
          <w:b/>
          <w:sz w:val="20"/>
          <w:szCs w:val="20"/>
        </w:rPr>
        <w:t>%</w:t>
      </w:r>
      <w:r w:rsidRPr="00E66D3A">
        <w:rPr>
          <w:rFonts w:ascii="Arial" w:hAnsi="Arial" w:cs="Arial"/>
          <w:b/>
          <w:sz w:val="20"/>
          <w:szCs w:val="20"/>
        </w:rPr>
        <w:t>)</w:t>
      </w:r>
    </w:p>
    <w:p w14:paraId="54A4BB8C" w14:textId="77777777" w:rsidR="00BF68BA" w:rsidRPr="00C67BA8" w:rsidRDefault="00BF68BA" w:rsidP="00BF68BA">
      <w:pPr>
        <w:tabs>
          <w:tab w:val="left" w:pos="567"/>
          <w:tab w:val="left" w:pos="5387"/>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w:t>
      </w:r>
      <w:r>
        <w:rPr>
          <w:rFonts w:ascii="Arial" w:hAnsi="Arial" w:cs="Arial"/>
          <w:b/>
          <w:i/>
          <w:sz w:val="18"/>
          <w:szCs w:val="20"/>
        </w:rPr>
        <w:t>subjektů</w:t>
      </w:r>
      <w:r w:rsidRPr="00C67BA8">
        <w:rPr>
          <w:rFonts w:ascii="Arial" w:hAnsi="Arial" w:cs="Arial"/>
          <w:b/>
          <w:i/>
          <w:sz w:val="18"/>
          <w:szCs w:val="20"/>
        </w:rPr>
        <w:t xml:space="preserve"> </w:t>
      </w:r>
      <w:r w:rsidRPr="00C67BA8">
        <w:rPr>
          <w:rFonts w:ascii="Arial" w:hAnsi="Arial" w:cs="Arial"/>
          <w:b/>
          <w:i/>
          <w:sz w:val="18"/>
          <w:szCs w:val="20"/>
        </w:rPr>
        <w:tab/>
        <w:t xml:space="preserve">b) podle </w:t>
      </w:r>
      <w:r>
        <w:rPr>
          <w:rFonts w:ascii="Arial" w:hAnsi="Arial" w:cs="Arial"/>
          <w:b/>
          <w:i/>
          <w:sz w:val="18"/>
          <w:szCs w:val="20"/>
        </w:rPr>
        <w:t>krajů</w:t>
      </w:r>
      <w:r w:rsidRPr="00C67BA8">
        <w:rPr>
          <w:rFonts w:ascii="Arial" w:hAnsi="Arial" w:cs="Arial"/>
          <w:b/>
          <w:i/>
          <w:sz w:val="18"/>
          <w:szCs w:val="20"/>
        </w:rPr>
        <w:t xml:space="preserve"> </w:t>
      </w:r>
      <w:r w:rsidRPr="00C67BA8">
        <w:rPr>
          <w:rFonts w:ascii="Arial" w:hAnsi="Arial" w:cs="Arial"/>
          <w:b/>
          <w:i/>
          <w:sz w:val="18"/>
          <w:szCs w:val="20"/>
        </w:rPr>
        <w:tab/>
      </w:r>
    </w:p>
    <w:p w14:paraId="4EBBCA71" w14:textId="77777777" w:rsidR="00BF68BA" w:rsidRDefault="00BF68BA" w:rsidP="00BF68BA">
      <w:pPr>
        <w:spacing w:after="120" w:line="288" w:lineRule="auto"/>
        <w:jc w:val="both"/>
        <w:rPr>
          <w:rFonts w:ascii="Arial" w:hAnsi="Arial" w:cs="Arial"/>
          <w:sz w:val="20"/>
          <w:szCs w:val="20"/>
        </w:rPr>
      </w:pPr>
      <w:r>
        <w:rPr>
          <w:noProof/>
          <w:lang w:eastAsia="cs-CZ"/>
        </w:rPr>
        <w:drawing>
          <wp:inline distT="0" distB="0" distL="0" distR="0" wp14:anchorId="0D0A9594" wp14:editId="6A191858">
            <wp:extent cx="2700000" cy="23400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ascii="Arial" w:hAnsi="Arial" w:cs="Arial"/>
          <w:sz w:val="20"/>
          <w:szCs w:val="20"/>
        </w:rPr>
        <w:t xml:space="preserve">              </w:t>
      </w:r>
      <w:r>
        <w:rPr>
          <w:noProof/>
          <w:lang w:eastAsia="cs-CZ"/>
        </w:rPr>
        <w:drawing>
          <wp:inline distT="0" distB="0" distL="0" distR="0" wp14:anchorId="5FC7D00B" wp14:editId="0F851B4D">
            <wp:extent cx="2700000" cy="23400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5523010" w14:textId="77777777" w:rsidR="00BF68BA" w:rsidRPr="004A0789" w:rsidRDefault="00BF68BA" w:rsidP="00BF68BA">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5F62D516" w14:textId="6662B9AD" w:rsidR="00BF68BA" w:rsidRDefault="007C775E" w:rsidP="00A7180F">
      <w:pPr>
        <w:spacing w:after="120" w:line="288" w:lineRule="auto"/>
        <w:jc w:val="both"/>
        <w:rPr>
          <w:rFonts w:ascii="Arial" w:hAnsi="Arial" w:cs="Arial"/>
          <w:sz w:val="20"/>
          <w:szCs w:val="20"/>
        </w:rPr>
      </w:pPr>
      <w:r>
        <w:rPr>
          <w:rFonts w:ascii="Arial" w:hAnsi="Arial" w:cs="Arial"/>
          <w:sz w:val="20"/>
          <w:szCs w:val="20"/>
        </w:rPr>
        <w:t xml:space="preserve">Výzkum ve vládním sektoru je financován především z veřejných domácích zdrojů. V roce 2022 český stát podpořil výzkum prováděný v tomto sektoru celkem 16,7 mld. Kč, z toho 11,9 mld. Kč směřovalo do ústavů AV ČR. Kolem roku 2010 činily roční veřejné domácí zdroje ve vládním sektoru několik let cca 10 mld. Kč. Podíl veřejných domácích zdrojů na financování </w:t>
      </w:r>
      <w:proofErr w:type="spellStart"/>
      <w:r>
        <w:rPr>
          <w:rFonts w:ascii="Arial" w:hAnsi="Arial" w:cs="Arial"/>
          <w:sz w:val="20"/>
          <w:szCs w:val="20"/>
        </w:rPr>
        <w:t>VaV</w:t>
      </w:r>
      <w:proofErr w:type="spellEnd"/>
      <w:r>
        <w:rPr>
          <w:rFonts w:ascii="Arial" w:hAnsi="Arial" w:cs="Arial"/>
          <w:sz w:val="20"/>
          <w:szCs w:val="20"/>
        </w:rPr>
        <w:t xml:space="preserve"> vládního sektoru se dlouhodobě pohybuje okolo 80 %, v roce 2022 to bylo 78 %. Ve většině států EU27 se tento podíl pohybuje v rozmezí 70 až 90 %. Výrazně vybočují Litva, Lotyško a Belgie, kde byl tento podíl v posledních letech necelých 50 %.</w:t>
      </w:r>
    </w:p>
    <w:p w14:paraId="751108B9" w14:textId="459C7F82" w:rsidR="009704BA" w:rsidRPr="00E66D3A" w:rsidRDefault="009704BA" w:rsidP="009704BA">
      <w:pPr>
        <w:spacing w:after="120" w:line="288" w:lineRule="auto"/>
        <w:jc w:val="both"/>
        <w:rPr>
          <w:rFonts w:ascii="Arial" w:hAnsi="Arial" w:cs="Arial"/>
          <w:b/>
          <w:sz w:val="20"/>
          <w:szCs w:val="20"/>
        </w:rPr>
      </w:pPr>
      <w:r w:rsidRPr="00E66D3A">
        <w:rPr>
          <w:rFonts w:ascii="Arial" w:hAnsi="Arial" w:cs="Arial"/>
          <w:b/>
          <w:sz w:val="20"/>
          <w:szCs w:val="20"/>
        </w:rPr>
        <w:t xml:space="preserve">Graf </w:t>
      </w:r>
      <w:r w:rsidR="00170216">
        <w:rPr>
          <w:rFonts w:ascii="Arial" w:hAnsi="Arial" w:cs="Arial"/>
          <w:b/>
          <w:sz w:val="20"/>
          <w:szCs w:val="20"/>
        </w:rPr>
        <w:t>20</w:t>
      </w:r>
      <w:r w:rsidRPr="00E66D3A">
        <w:rPr>
          <w:rFonts w:ascii="Arial" w:hAnsi="Arial" w:cs="Arial"/>
          <w:b/>
          <w:sz w:val="20"/>
          <w:szCs w:val="20"/>
        </w:rPr>
        <w:t xml:space="preserve">. Výdaje na </w:t>
      </w:r>
      <w:proofErr w:type="spellStart"/>
      <w:r>
        <w:rPr>
          <w:rFonts w:ascii="Arial" w:hAnsi="Arial" w:cs="Arial"/>
          <w:b/>
          <w:sz w:val="20"/>
          <w:szCs w:val="20"/>
        </w:rPr>
        <w:t>VaV</w:t>
      </w:r>
      <w:proofErr w:type="spellEnd"/>
      <w:r w:rsidRPr="00E66D3A">
        <w:rPr>
          <w:rFonts w:ascii="Arial" w:hAnsi="Arial" w:cs="Arial"/>
          <w:b/>
          <w:sz w:val="20"/>
          <w:szCs w:val="20"/>
        </w:rPr>
        <w:t xml:space="preserve"> </w:t>
      </w:r>
      <w:r>
        <w:rPr>
          <w:rFonts w:ascii="Arial" w:hAnsi="Arial" w:cs="Arial"/>
          <w:b/>
          <w:sz w:val="20"/>
          <w:szCs w:val="20"/>
        </w:rPr>
        <w:t xml:space="preserve">ve vládním sektoru </w:t>
      </w:r>
      <w:r w:rsidRPr="00E66D3A">
        <w:rPr>
          <w:rFonts w:ascii="Arial" w:hAnsi="Arial" w:cs="Arial"/>
          <w:b/>
          <w:sz w:val="20"/>
          <w:szCs w:val="20"/>
        </w:rPr>
        <w:t xml:space="preserve">v Česku podle </w:t>
      </w:r>
      <w:r>
        <w:rPr>
          <w:rFonts w:ascii="Arial" w:hAnsi="Arial" w:cs="Arial"/>
          <w:b/>
          <w:sz w:val="20"/>
          <w:szCs w:val="20"/>
        </w:rPr>
        <w:t xml:space="preserve">druhu výdajů a zdrojů financování </w:t>
      </w:r>
      <w:r w:rsidRPr="00E66D3A">
        <w:rPr>
          <w:rFonts w:ascii="Arial" w:hAnsi="Arial" w:cs="Arial"/>
          <w:b/>
          <w:sz w:val="20"/>
          <w:szCs w:val="20"/>
        </w:rPr>
        <w:t>(</w:t>
      </w:r>
      <w:r>
        <w:rPr>
          <w:rFonts w:ascii="Arial" w:hAnsi="Arial" w:cs="Arial"/>
          <w:b/>
          <w:sz w:val="20"/>
          <w:szCs w:val="20"/>
        </w:rPr>
        <w:t>%</w:t>
      </w:r>
      <w:r w:rsidRPr="00E66D3A">
        <w:rPr>
          <w:rFonts w:ascii="Arial" w:hAnsi="Arial" w:cs="Arial"/>
          <w:b/>
          <w:sz w:val="20"/>
          <w:szCs w:val="20"/>
        </w:rPr>
        <w:t>)</w:t>
      </w:r>
    </w:p>
    <w:p w14:paraId="29889306" w14:textId="444BE128" w:rsidR="009704BA" w:rsidRDefault="009704BA" w:rsidP="009704BA">
      <w:pPr>
        <w:tabs>
          <w:tab w:val="left" w:pos="426"/>
          <w:tab w:val="left" w:pos="5245"/>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výdajů </w:t>
      </w:r>
      <w:r w:rsidRPr="00C67BA8">
        <w:rPr>
          <w:rFonts w:ascii="Arial" w:hAnsi="Arial" w:cs="Arial"/>
          <w:b/>
          <w:i/>
          <w:sz w:val="18"/>
          <w:szCs w:val="20"/>
        </w:rPr>
        <w:tab/>
        <w:t xml:space="preserve">b) podle zdrojů financování </w:t>
      </w:r>
      <w:r w:rsidRPr="00C67BA8">
        <w:rPr>
          <w:rFonts w:ascii="Arial" w:hAnsi="Arial" w:cs="Arial"/>
          <w:b/>
          <w:i/>
          <w:sz w:val="18"/>
          <w:szCs w:val="20"/>
        </w:rPr>
        <w:tab/>
      </w:r>
    </w:p>
    <w:p w14:paraId="2E098FAD" w14:textId="19630D65" w:rsidR="009704BA" w:rsidRDefault="00A14921" w:rsidP="009704BA">
      <w:pPr>
        <w:tabs>
          <w:tab w:val="left" w:pos="426"/>
          <w:tab w:val="left" w:pos="5245"/>
        </w:tabs>
        <w:spacing w:after="0" w:line="288" w:lineRule="auto"/>
        <w:jc w:val="both"/>
        <w:rPr>
          <w:rFonts w:ascii="Arial" w:hAnsi="Arial" w:cs="Arial"/>
          <w:b/>
          <w:i/>
          <w:sz w:val="18"/>
          <w:szCs w:val="20"/>
        </w:rPr>
      </w:pPr>
      <w:r>
        <w:rPr>
          <w:noProof/>
          <w:lang w:eastAsia="cs-CZ"/>
        </w:rPr>
        <w:drawing>
          <wp:inline distT="0" distB="0" distL="0" distR="0" wp14:anchorId="712BC311" wp14:editId="1C2B5D23">
            <wp:extent cx="1980000" cy="2016000"/>
            <wp:effectExtent l="0" t="0" r="1270" b="0"/>
            <wp:docPr id="97" name="Graf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9704BA">
        <w:rPr>
          <w:rFonts w:ascii="Arial" w:hAnsi="Arial" w:cs="Arial"/>
          <w:b/>
          <w:i/>
          <w:sz w:val="18"/>
          <w:szCs w:val="20"/>
        </w:rPr>
        <w:t xml:space="preserve">                                 </w:t>
      </w:r>
      <w:r>
        <w:rPr>
          <w:noProof/>
          <w:lang w:eastAsia="cs-CZ"/>
        </w:rPr>
        <w:drawing>
          <wp:inline distT="0" distB="0" distL="0" distR="0" wp14:anchorId="08059B62" wp14:editId="46A0CA2D">
            <wp:extent cx="1980000" cy="2016000"/>
            <wp:effectExtent l="0" t="0" r="1270" b="0"/>
            <wp:docPr id="98" name="Graf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5796CFE" w14:textId="77777777" w:rsidR="009704BA" w:rsidRPr="009704BA" w:rsidRDefault="009704BA" w:rsidP="009704BA">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514F9AE7" w14:textId="77777777" w:rsidR="00944765" w:rsidRDefault="00944765" w:rsidP="00944765">
      <w:pPr>
        <w:spacing w:after="120" w:line="288" w:lineRule="auto"/>
        <w:jc w:val="both"/>
        <w:rPr>
          <w:rFonts w:ascii="Arial" w:hAnsi="Arial" w:cs="Arial"/>
          <w:sz w:val="20"/>
          <w:szCs w:val="20"/>
        </w:rPr>
      </w:pPr>
      <w:r>
        <w:rPr>
          <w:rFonts w:ascii="Arial" w:hAnsi="Arial" w:cs="Arial"/>
          <w:sz w:val="20"/>
          <w:szCs w:val="20"/>
        </w:rPr>
        <w:t xml:space="preserve">Vedle veřejné domácí podpory čerpají subjekty vládního sektoru také veřejnou zahraniční podporu, která je tvořena především dotacemi EU27. Veřejné zahraniční zdroje se v posledních letech pohybují okolo 2 mld. Kč </w:t>
      </w:r>
      <w:r>
        <w:rPr>
          <w:rFonts w:ascii="Arial" w:hAnsi="Arial" w:cs="Arial"/>
          <w:sz w:val="20"/>
          <w:szCs w:val="20"/>
        </w:rPr>
        <w:lastRenderedPageBreak/>
        <w:t xml:space="preserve">ročně. Nejvíce prostředků z EU27 bylo ve vládním sektoru čerpáno mezi lety 2013 až 2015. V roce 2015 to bylo dokonce 4,7 mld. Kč. Nejvyšší dotace byly použity na výstavbu nových výzkumných center včetně dvou center excelence ELI a BIOCEV. Ve zmíněném roce 2015 tvořily veřejné zahraniční zdroje 26 % výdajů vládního sektoru, v roce 2022 to bylo 11 %. I přes tento pokles je podíl zdrojů z EU27 v Česku výrazně nad průměrem EU. V roce 2020 byl průměr EU27 5 %. Vyjma Česka, byl pouze v 7 dalších státech EU27 podíl zdrojů z EU vyšší než 10 % výdajů na </w:t>
      </w:r>
      <w:proofErr w:type="spellStart"/>
      <w:r>
        <w:rPr>
          <w:rFonts w:ascii="Arial" w:hAnsi="Arial" w:cs="Arial"/>
          <w:sz w:val="20"/>
          <w:szCs w:val="20"/>
        </w:rPr>
        <w:t>VaV</w:t>
      </w:r>
      <w:proofErr w:type="spellEnd"/>
      <w:r>
        <w:rPr>
          <w:rFonts w:ascii="Arial" w:hAnsi="Arial" w:cs="Arial"/>
          <w:sz w:val="20"/>
          <w:szCs w:val="20"/>
        </w:rPr>
        <w:t xml:space="preserve"> vládního sektoru. Absolutními rekordmany jsou v tomto ukazateli pobaltské státy Litva a Lotyšsko, v nichž zdroje EU ve vládním sektoru tvoří více než 25 %. </w:t>
      </w:r>
    </w:p>
    <w:p w14:paraId="0E661F0A" w14:textId="77777777" w:rsidR="00944765" w:rsidRDefault="00944765" w:rsidP="00944765">
      <w:pPr>
        <w:spacing w:after="120" w:line="288" w:lineRule="auto"/>
        <w:jc w:val="both"/>
        <w:rPr>
          <w:rFonts w:ascii="Arial" w:hAnsi="Arial" w:cs="Arial"/>
          <w:sz w:val="20"/>
          <w:szCs w:val="20"/>
        </w:rPr>
      </w:pPr>
      <w:r>
        <w:rPr>
          <w:rFonts w:ascii="Arial" w:hAnsi="Arial" w:cs="Arial"/>
          <w:sz w:val="20"/>
          <w:szCs w:val="20"/>
        </w:rPr>
        <w:t xml:space="preserve">Nezanedbatelným zdrojem podpory </w:t>
      </w:r>
      <w:proofErr w:type="spellStart"/>
      <w:r>
        <w:rPr>
          <w:rFonts w:ascii="Arial" w:hAnsi="Arial" w:cs="Arial"/>
          <w:sz w:val="20"/>
          <w:szCs w:val="20"/>
        </w:rPr>
        <w:t>VaV</w:t>
      </w:r>
      <w:proofErr w:type="spellEnd"/>
      <w:r>
        <w:rPr>
          <w:rFonts w:ascii="Arial" w:hAnsi="Arial" w:cs="Arial"/>
          <w:sz w:val="20"/>
          <w:szCs w:val="20"/>
        </w:rPr>
        <w:t xml:space="preserve"> vládního sektoru jsou i podnikové zdroje. Podnikové zdroje jsou ve vládním sektoru tvořeny především příjmy z výzkumu prováděného na zakázku a příjmy z licenčních poplatků. Celkem 75 pracovišť vládního sektoru mělo v roce 2022 příjmy z prodeje služeb </w:t>
      </w:r>
      <w:proofErr w:type="spellStart"/>
      <w:r>
        <w:rPr>
          <w:rFonts w:ascii="Arial" w:hAnsi="Arial" w:cs="Arial"/>
          <w:sz w:val="20"/>
          <w:szCs w:val="20"/>
        </w:rPr>
        <w:t>VaV</w:t>
      </w:r>
      <w:proofErr w:type="spellEnd"/>
      <w:r>
        <w:rPr>
          <w:rFonts w:ascii="Arial" w:hAnsi="Arial" w:cs="Arial"/>
          <w:sz w:val="20"/>
          <w:szCs w:val="20"/>
        </w:rPr>
        <w:t xml:space="preserve"> podnikům, z toho 19 pracovišť mělo tyto příjmy vyšší než 10 mil. Kč. Podnikové zdroje financování vládního výzkumu dosáhly v roce 2022 celkové výše 2,3 mld. Kč a tvořily 11 % výdajů na </w:t>
      </w:r>
      <w:proofErr w:type="spellStart"/>
      <w:r>
        <w:rPr>
          <w:rFonts w:ascii="Arial" w:hAnsi="Arial" w:cs="Arial"/>
          <w:sz w:val="20"/>
          <w:szCs w:val="20"/>
        </w:rPr>
        <w:t>VaV</w:t>
      </w:r>
      <w:proofErr w:type="spellEnd"/>
      <w:r>
        <w:rPr>
          <w:rFonts w:ascii="Arial" w:hAnsi="Arial" w:cs="Arial"/>
          <w:sz w:val="20"/>
          <w:szCs w:val="20"/>
        </w:rPr>
        <w:t xml:space="preserve"> vládního sektoru. Je třeba podotknout, že 1,6 mld. Kč z této částky připadalo na příjmy z licenčních poplatků. Ve většině států EU27 je </w:t>
      </w:r>
      <w:proofErr w:type="spellStart"/>
      <w:r>
        <w:rPr>
          <w:rFonts w:ascii="Arial" w:hAnsi="Arial" w:cs="Arial"/>
          <w:sz w:val="20"/>
          <w:szCs w:val="20"/>
        </w:rPr>
        <w:t>VaV</w:t>
      </w:r>
      <w:proofErr w:type="spellEnd"/>
      <w:r>
        <w:rPr>
          <w:rFonts w:ascii="Arial" w:hAnsi="Arial" w:cs="Arial"/>
          <w:sz w:val="20"/>
          <w:szCs w:val="20"/>
        </w:rPr>
        <w:t xml:space="preserve"> ve vládním sektoru financován z podnikových zdrojů méně než  1  %. Pár evropských států uvádí podnikové financování vládního výzkumu 10 až 20 %. V tomto ukazateli zcela vyčnívá Belgie, kde je vládní výzkum financován podniky přibližně ze 40 %.</w:t>
      </w:r>
    </w:p>
    <w:p w14:paraId="4EC59F1C" w14:textId="0DE3F086" w:rsidR="009704BA" w:rsidRDefault="009704BA" w:rsidP="00A7180F">
      <w:pPr>
        <w:spacing w:after="120" w:line="288" w:lineRule="auto"/>
        <w:jc w:val="both"/>
        <w:rPr>
          <w:rFonts w:ascii="Arial" w:hAnsi="Arial" w:cs="Arial"/>
          <w:b/>
          <w:sz w:val="20"/>
          <w:szCs w:val="20"/>
        </w:rPr>
      </w:pPr>
      <w:r w:rsidRPr="00E66D3A">
        <w:rPr>
          <w:rFonts w:ascii="Arial" w:hAnsi="Arial" w:cs="Arial"/>
          <w:b/>
          <w:sz w:val="20"/>
          <w:szCs w:val="20"/>
        </w:rPr>
        <w:t xml:space="preserve">Graf </w:t>
      </w:r>
      <w:r w:rsidR="00170216">
        <w:rPr>
          <w:rFonts w:ascii="Arial" w:hAnsi="Arial" w:cs="Arial"/>
          <w:b/>
          <w:sz w:val="20"/>
          <w:szCs w:val="20"/>
        </w:rPr>
        <w:t>21</w:t>
      </w:r>
      <w:r w:rsidRPr="00E66D3A">
        <w:rPr>
          <w:rFonts w:ascii="Arial" w:hAnsi="Arial" w:cs="Arial"/>
          <w:b/>
          <w:sz w:val="20"/>
          <w:szCs w:val="20"/>
        </w:rPr>
        <w:t xml:space="preserve">. </w:t>
      </w:r>
      <w:r w:rsidRPr="008A248B">
        <w:rPr>
          <w:rFonts w:ascii="Arial" w:hAnsi="Arial" w:cs="Arial"/>
          <w:b/>
          <w:sz w:val="20"/>
          <w:szCs w:val="20"/>
        </w:rPr>
        <w:t xml:space="preserve">Neinvestiční výdaje na </w:t>
      </w:r>
      <w:proofErr w:type="spellStart"/>
      <w:r w:rsidRPr="008A248B">
        <w:rPr>
          <w:rFonts w:ascii="Arial" w:hAnsi="Arial" w:cs="Arial"/>
          <w:b/>
          <w:sz w:val="20"/>
          <w:szCs w:val="20"/>
        </w:rPr>
        <w:t>VaV</w:t>
      </w:r>
      <w:proofErr w:type="spellEnd"/>
      <w:r w:rsidRPr="008A248B">
        <w:rPr>
          <w:rFonts w:ascii="Arial" w:hAnsi="Arial" w:cs="Arial"/>
          <w:b/>
          <w:sz w:val="20"/>
          <w:szCs w:val="20"/>
        </w:rPr>
        <w:t xml:space="preserve"> ve vládním sektoru v Č</w:t>
      </w:r>
      <w:r>
        <w:rPr>
          <w:rFonts w:ascii="Arial" w:hAnsi="Arial" w:cs="Arial"/>
          <w:b/>
          <w:sz w:val="20"/>
          <w:szCs w:val="20"/>
        </w:rPr>
        <w:t>R</w:t>
      </w:r>
      <w:r w:rsidRPr="008A248B">
        <w:rPr>
          <w:rFonts w:ascii="Arial" w:hAnsi="Arial" w:cs="Arial"/>
          <w:b/>
          <w:sz w:val="20"/>
          <w:szCs w:val="20"/>
        </w:rPr>
        <w:t xml:space="preserve"> podle převažující vědní oblast</w:t>
      </w:r>
      <w:r>
        <w:rPr>
          <w:rFonts w:ascii="Arial" w:hAnsi="Arial" w:cs="Arial"/>
          <w:b/>
          <w:sz w:val="20"/>
          <w:szCs w:val="20"/>
        </w:rPr>
        <w:t>i</w:t>
      </w:r>
    </w:p>
    <w:p w14:paraId="41A3D96D" w14:textId="51A7859E" w:rsidR="004A0789" w:rsidRDefault="00A14921" w:rsidP="00A7180F">
      <w:pPr>
        <w:spacing w:after="120" w:line="288" w:lineRule="auto"/>
        <w:jc w:val="both"/>
        <w:rPr>
          <w:noProof/>
          <w:lang w:eastAsia="cs-CZ"/>
        </w:rPr>
      </w:pPr>
      <w:r>
        <w:rPr>
          <w:noProof/>
          <w:lang w:eastAsia="cs-CZ"/>
        </w:rPr>
        <w:drawing>
          <wp:inline distT="0" distB="0" distL="0" distR="0" wp14:anchorId="481757CD" wp14:editId="0EF4A438">
            <wp:extent cx="3877310" cy="2785110"/>
            <wp:effectExtent l="0" t="0" r="8890" b="0"/>
            <wp:docPr id="99" name="Graf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4A0789" w:rsidRPr="004A0789">
        <w:rPr>
          <w:noProof/>
          <w:lang w:eastAsia="cs-CZ"/>
        </w:rPr>
        <w:t xml:space="preserve"> </w:t>
      </w:r>
      <w:r w:rsidR="00E042A4">
        <w:rPr>
          <w:noProof/>
          <w:lang w:eastAsia="cs-CZ"/>
        </w:rPr>
        <w:drawing>
          <wp:inline distT="0" distB="0" distL="0" distR="0" wp14:anchorId="22BDE6A0" wp14:editId="3653C45A">
            <wp:extent cx="1980000" cy="2795250"/>
            <wp:effectExtent l="0" t="0" r="1270" b="0"/>
            <wp:docPr id="100" name="Graf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A1EE101" w14:textId="61997AA3" w:rsidR="004A0789" w:rsidRPr="004A0789" w:rsidRDefault="004A0789" w:rsidP="004A0789">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6B1B0C5F" w14:textId="761FCDF6" w:rsidR="00054688" w:rsidRDefault="00054688" w:rsidP="00A7180F">
      <w:pPr>
        <w:spacing w:after="120" w:line="288" w:lineRule="auto"/>
        <w:jc w:val="both"/>
        <w:rPr>
          <w:rFonts w:ascii="Arial" w:hAnsi="Arial" w:cs="Arial"/>
          <w:sz w:val="20"/>
          <w:szCs w:val="20"/>
        </w:rPr>
      </w:pPr>
      <w:r>
        <w:rPr>
          <w:rFonts w:ascii="Arial" w:hAnsi="Arial" w:cs="Arial"/>
          <w:sz w:val="20"/>
          <w:szCs w:val="20"/>
        </w:rPr>
        <w:t xml:space="preserve">Ve vládním sektoru u nás převažuje výzkum v přírodních vědách. Dlouhodobě na tuto oblast připadá okolo 70 % výdajů na </w:t>
      </w:r>
      <w:proofErr w:type="spellStart"/>
      <w:r>
        <w:rPr>
          <w:rFonts w:ascii="Arial" w:hAnsi="Arial" w:cs="Arial"/>
          <w:sz w:val="20"/>
          <w:szCs w:val="20"/>
        </w:rPr>
        <w:t>VaV</w:t>
      </w:r>
      <w:proofErr w:type="spellEnd"/>
      <w:r>
        <w:rPr>
          <w:rFonts w:ascii="Arial" w:hAnsi="Arial" w:cs="Arial"/>
          <w:sz w:val="20"/>
          <w:szCs w:val="20"/>
        </w:rPr>
        <w:t xml:space="preserve"> vládního sektoru. Mnoho velkých ústavů AV ČR </w:t>
      </w:r>
      <w:r w:rsidR="00983EF6">
        <w:rPr>
          <w:rFonts w:ascii="Arial" w:hAnsi="Arial" w:cs="Arial"/>
          <w:sz w:val="20"/>
          <w:szCs w:val="20"/>
        </w:rPr>
        <w:t>řadíme</w:t>
      </w:r>
      <w:r>
        <w:rPr>
          <w:rFonts w:ascii="Arial" w:hAnsi="Arial" w:cs="Arial"/>
          <w:sz w:val="20"/>
          <w:szCs w:val="20"/>
        </w:rPr>
        <w:t xml:space="preserve"> právě</w:t>
      </w:r>
      <w:r w:rsidR="00983EF6">
        <w:rPr>
          <w:rFonts w:ascii="Arial" w:hAnsi="Arial" w:cs="Arial"/>
          <w:sz w:val="20"/>
          <w:szCs w:val="20"/>
        </w:rPr>
        <w:t xml:space="preserve"> do oblasti </w:t>
      </w:r>
      <w:proofErr w:type="spellStart"/>
      <w:r w:rsidR="00983EF6">
        <w:rPr>
          <w:rFonts w:ascii="Arial" w:hAnsi="Arial" w:cs="Arial"/>
          <w:sz w:val="20"/>
          <w:szCs w:val="20"/>
        </w:rPr>
        <w:t>přírodovědních</w:t>
      </w:r>
      <w:proofErr w:type="spellEnd"/>
      <w:r>
        <w:rPr>
          <w:rFonts w:ascii="Arial" w:hAnsi="Arial" w:cs="Arial"/>
          <w:sz w:val="20"/>
          <w:szCs w:val="20"/>
        </w:rPr>
        <w:t xml:space="preserve"> </w:t>
      </w:r>
      <w:r w:rsidR="00983EF6">
        <w:rPr>
          <w:rFonts w:ascii="Arial" w:hAnsi="Arial" w:cs="Arial"/>
          <w:sz w:val="20"/>
          <w:szCs w:val="20"/>
        </w:rPr>
        <w:t>věd</w:t>
      </w:r>
      <w:r>
        <w:rPr>
          <w:rFonts w:ascii="Arial" w:hAnsi="Arial" w:cs="Arial"/>
          <w:sz w:val="20"/>
          <w:szCs w:val="20"/>
        </w:rPr>
        <w:t xml:space="preserve">. S velkým odstupem následuje výzkum v humanitních a sociálních vědách. Pokud jde o lékařské vědy, je jejich zastoupení ve skutečnosti vyšší než uvedených 6% vládního sektoru. Data se publikují za převažující vědní oblast pracoviště. </w:t>
      </w:r>
      <w:r w:rsidR="00983EF6">
        <w:rPr>
          <w:rFonts w:ascii="Arial" w:hAnsi="Arial" w:cs="Arial"/>
          <w:sz w:val="20"/>
          <w:szCs w:val="20"/>
        </w:rPr>
        <w:t xml:space="preserve">S ohledem na </w:t>
      </w:r>
      <w:proofErr w:type="spellStart"/>
      <w:r w:rsidR="00983EF6">
        <w:rPr>
          <w:rFonts w:ascii="Arial" w:hAnsi="Arial" w:cs="Arial"/>
          <w:sz w:val="20"/>
          <w:szCs w:val="20"/>
        </w:rPr>
        <w:t>multidisciplinaritu</w:t>
      </w:r>
      <w:proofErr w:type="spellEnd"/>
      <w:r w:rsidR="00983EF6">
        <w:rPr>
          <w:rFonts w:ascii="Arial" w:hAnsi="Arial" w:cs="Arial"/>
          <w:sz w:val="20"/>
          <w:szCs w:val="20"/>
        </w:rPr>
        <w:t xml:space="preserve"> výzkumu má však m</w:t>
      </w:r>
      <w:r>
        <w:rPr>
          <w:rFonts w:ascii="Arial" w:hAnsi="Arial" w:cs="Arial"/>
          <w:sz w:val="20"/>
          <w:szCs w:val="20"/>
        </w:rPr>
        <w:t>noho p</w:t>
      </w:r>
      <w:r w:rsidR="00515E96">
        <w:rPr>
          <w:rFonts w:ascii="Arial" w:hAnsi="Arial" w:cs="Arial"/>
          <w:sz w:val="20"/>
          <w:szCs w:val="20"/>
        </w:rPr>
        <w:t>racovišť s převažující</w:t>
      </w:r>
      <w:r w:rsidR="00983EF6">
        <w:rPr>
          <w:rFonts w:ascii="Arial" w:hAnsi="Arial" w:cs="Arial"/>
          <w:sz w:val="20"/>
          <w:szCs w:val="20"/>
        </w:rPr>
        <w:t>m</w:t>
      </w:r>
      <w:r w:rsidR="00515E96">
        <w:rPr>
          <w:rFonts w:ascii="Arial" w:hAnsi="Arial" w:cs="Arial"/>
          <w:sz w:val="20"/>
          <w:szCs w:val="20"/>
        </w:rPr>
        <w:t xml:space="preserve"> </w:t>
      </w:r>
      <w:r w:rsidR="00983EF6">
        <w:rPr>
          <w:rFonts w:ascii="Arial" w:hAnsi="Arial" w:cs="Arial"/>
          <w:sz w:val="20"/>
          <w:szCs w:val="20"/>
        </w:rPr>
        <w:t>výzkumem v</w:t>
      </w:r>
      <w:r w:rsidR="00515E96">
        <w:rPr>
          <w:rFonts w:ascii="Arial" w:hAnsi="Arial" w:cs="Arial"/>
          <w:sz w:val="20"/>
          <w:szCs w:val="20"/>
        </w:rPr>
        <w:t xml:space="preserve"> přírodních věd</w:t>
      </w:r>
      <w:r w:rsidR="00170216">
        <w:rPr>
          <w:rFonts w:ascii="Arial" w:hAnsi="Arial" w:cs="Arial"/>
          <w:sz w:val="20"/>
          <w:szCs w:val="20"/>
        </w:rPr>
        <w:t>ách</w:t>
      </w:r>
      <w:r w:rsidR="00983EF6">
        <w:rPr>
          <w:rFonts w:ascii="Arial" w:hAnsi="Arial" w:cs="Arial"/>
          <w:sz w:val="20"/>
          <w:szCs w:val="20"/>
        </w:rPr>
        <w:t xml:space="preserve"> přesah do lékařských věd.</w:t>
      </w:r>
    </w:p>
    <w:p w14:paraId="7EF79FA7" w14:textId="0BC3A198" w:rsidR="00084CE7" w:rsidRDefault="00D6225D" w:rsidP="00A7180F">
      <w:pPr>
        <w:spacing w:after="120" w:line="288" w:lineRule="auto"/>
        <w:jc w:val="both"/>
        <w:rPr>
          <w:rFonts w:ascii="Arial" w:hAnsi="Arial" w:cs="Arial"/>
          <w:sz w:val="20"/>
          <w:szCs w:val="20"/>
        </w:rPr>
      </w:pPr>
      <w:r>
        <w:rPr>
          <w:rFonts w:ascii="Arial" w:hAnsi="Arial" w:cs="Arial"/>
          <w:sz w:val="20"/>
          <w:szCs w:val="20"/>
        </w:rPr>
        <w:t xml:space="preserve">Jako ve všech sektorech provádění i v případě vládního sektoru se nejvíce prostředků na </w:t>
      </w:r>
      <w:proofErr w:type="spellStart"/>
      <w:r>
        <w:rPr>
          <w:rFonts w:ascii="Arial" w:hAnsi="Arial" w:cs="Arial"/>
          <w:sz w:val="20"/>
          <w:szCs w:val="20"/>
        </w:rPr>
        <w:t>VaV</w:t>
      </w:r>
      <w:proofErr w:type="spellEnd"/>
      <w:r>
        <w:rPr>
          <w:rFonts w:ascii="Arial" w:hAnsi="Arial" w:cs="Arial"/>
          <w:sz w:val="20"/>
          <w:szCs w:val="20"/>
        </w:rPr>
        <w:t xml:space="preserve"> </w:t>
      </w:r>
      <w:r w:rsidR="002011D4">
        <w:rPr>
          <w:rFonts w:ascii="Arial" w:hAnsi="Arial" w:cs="Arial"/>
          <w:sz w:val="20"/>
          <w:szCs w:val="20"/>
        </w:rPr>
        <w:t>utratí z</w:t>
      </w:r>
      <w:r>
        <w:rPr>
          <w:rFonts w:ascii="Arial" w:hAnsi="Arial" w:cs="Arial"/>
          <w:sz w:val="20"/>
          <w:szCs w:val="20"/>
        </w:rPr>
        <w:t xml:space="preserve">a mzdy. V posledních </w:t>
      </w:r>
      <w:r w:rsidR="00A0394A">
        <w:rPr>
          <w:rFonts w:ascii="Arial" w:hAnsi="Arial" w:cs="Arial"/>
          <w:sz w:val="20"/>
          <w:szCs w:val="20"/>
        </w:rPr>
        <w:t>pěti</w:t>
      </w:r>
      <w:r>
        <w:rPr>
          <w:rFonts w:ascii="Arial" w:hAnsi="Arial" w:cs="Arial"/>
          <w:sz w:val="20"/>
          <w:szCs w:val="20"/>
        </w:rPr>
        <w:t xml:space="preserve"> letech se podíl mzdových nákladů na </w:t>
      </w:r>
      <w:proofErr w:type="spellStart"/>
      <w:r>
        <w:rPr>
          <w:rFonts w:ascii="Arial" w:hAnsi="Arial" w:cs="Arial"/>
          <w:sz w:val="20"/>
          <w:szCs w:val="20"/>
        </w:rPr>
        <w:t>VaV</w:t>
      </w:r>
      <w:proofErr w:type="spellEnd"/>
      <w:r>
        <w:rPr>
          <w:rFonts w:ascii="Arial" w:hAnsi="Arial" w:cs="Arial"/>
          <w:sz w:val="20"/>
          <w:szCs w:val="20"/>
        </w:rPr>
        <w:t xml:space="preserve"> ve vládním sektoru pohybuje okolo 52 %. Za deset let vzrostly mzdové náklady ve vládním</w:t>
      </w:r>
      <w:r w:rsidR="00A0394A">
        <w:rPr>
          <w:rFonts w:ascii="Arial" w:hAnsi="Arial" w:cs="Arial"/>
          <w:sz w:val="20"/>
          <w:szCs w:val="20"/>
        </w:rPr>
        <w:t xml:space="preserve"> sektoru dvojnásobně, a to z 5,5 mld. Kč v roce 2012 na 11</w:t>
      </w:r>
      <w:r w:rsidR="00B71A92">
        <w:rPr>
          <w:rFonts w:ascii="Arial" w:hAnsi="Arial" w:cs="Arial"/>
          <w:sz w:val="20"/>
          <w:szCs w:val="20"/>
        </w:rPr>
        <w:t> </w:t>
      </w:r>
      <w:r w:rsidR="00A0394A">
        <w:rPr>
          <w:rFonts w:ascii="Arial" w:hAnsi="Arial" w:cs="Arial"/>
          <w:sz w:val="20"/>
          <w:szCs w:val="20"/>
        </w:rPr>
        <w:t>mld.</w:t>
      </w:r>
      <w:r w:rsidR="00F646FD">
        <w:rPr>
          <w:rFonts w:ascii="Arial" w:hAnsi="Arial" w:cs="Arial"/>
          <w:sz w:val="20"/>
          <w:szCs w:val="20"/>
        </w:rPr>
        <w:t> </w:t>
      </w:r>
      <w:r w:rsidR="00A0394A">
        <w:rPr>
          <w:rFonts w:ascii="Arial" w:hAnsi="Arial" w:cs="Arial"/>
          <w:sz w:val="20"/>
          <w:szCs w:val="20"/>
        </w:rPr>
        <w:t>Kč v roce 2022</w:t>
      </w:r>
      <w:r>
        <w:rPr>
          <w:rFonts w:ascii="Arial" w:hAnsi="Arial" w:cs="Arial"/>
          <w:sz w:val="20"/>
          <w:szCs w:val="20"/>
        </w:rPr>
        <w:t>. V případě investičních výdajů takovouto dynamiku nezaznamenáváme. S výjimkou let 2013 až 2015, kdy byly čerpány nejvyšší částky evropských dotací určených na výstavbu zmíněných výzku</w:t>
      </w:r>
      <w:r w:rsidR="009E557A">
        <w:rPr>
          <w:rFonts w:ascii="Arial" w:hAnsi="Arial" w:cs="Arial"/>
          <w:sz w:val="20"/>
          <w:szCs w:val="20"/>
        </w:rPr>
        <w:t xml:space="preserve">mných center, se jejich roční výše po dobu uplynulých </w:t>
      </w:r>
      <w:r w:rsidR="00784D2D">
        <w:rPr>
          <w:rFonts w:ascii="Arial" w:hAnsi="Arial" w:cs="Arial"/>
          <w:sz w:val="20"/>
          <w:szCs w:val="20"/>
        </w:rPr>
        <w:t>dvanácti</w:t>
      </w:r>
      <w:r w:rsidR="002011D4">
        <w:rPr>
          <w:rFonts w:ascii="Arial" w:hAnsi="Arial" w:cs="Arial"/>
          <w:sz w:val="20"/>
          <w:szCs w:val="20"/>
        </w:rPr>
        <w:t xml:space="preserve"> let</w:t>
      </w:r>
      <w:r w:rsidR="009E557A">
        <w:rPr>
          <w:rFonts w:ascii="Arial" w:hAnsi="Arial" w:cs="Arial"/>
          <w:sz w:val="20"/>
          <w:szCs w:val="20"/>
        </w:rPr>
        <w:t xml:space="preserve"> pohybovala v rozme</w:t>
      </w:r>
      <w:r w:rsidR="00784D2D">
        <w:rPr>
          <w:rFonts w:ascii="Arial" w:hAnsi="Arial" w:cs="Arial"/>
          <w:sz w:val="20"/>
          <w:szCs w:val="20"/>
        </w:rPr>
        <w:t>zí 2,3 až 3</w:t>
      </w:r>
      <w:r w:rsidR="00F646FD">
        <w:rPr>
          <w:rFonts w:ascii="Arial" w:hAnsi="Arial" w:cs="Arial"/>
          <w:sz w:val="20"/>
          <w:szCs w:val="20"/>
        </w:rPr>
        <w:t> </w:t>
      </w:r>
      <w:r w:rsidR="00784D2D">
        <w:rPr>
          <w:rFonts w:ascii="Arial" w:hAnsi="Arial" w:cs="Arial"/>
          <w:sz w:val="20"/>
          <w:szCs w:val="20"/>
        </w:rPr>
        <w:t>mld.</w:t>
      </w:r>
      <w:r w:rsidR="00F646FD">
        <w:rPr>
          <w:rFonts w:ascii="Arial" w:hAnsi="Arial" w:cs="Arial"/>
          <w:sz w:val="20"/>
          <w:szCs w:val="20"/>
        </w:rPr>
        <w:t> </w:t>
      </w:r>
      <w:r w:rsidR="00784D2D">
        <w:rPr>
          <w:rFonts w:ascii="Arial" w:hAnsi="Arial" w:cs="Arial"/>
          <w:sz w:val="20"/>
          <w:szCs w:val="20"/>
        </w:rPr>
        <w:t>Kč. V roce 2022</w:t>
      </w:r>
      <w:r w:rsidR="009E557A">
        <w:rPr>
          <w:rFonts w:ascii="Arial" w:hAnsi="Arial" w:cs="Arial"/>
          <w:sz w:val="20"/>
          <w:szCs w:val="20"/>
        </w:rPr>
        <w:t xml:space="preserve"> to bylo konk</w:t>
      </w:r>
      <w:r w:rsidR="00784D2D">
        <w:rPr>
          <w:rFonts w:ascii="Arial" w:hAnsi="Arial" w:cs="Arial"/>
          <w:sz w:val="20"/>
          <w:szCs w:val="20"/>
        </w:rPr>
        <w:t>rétně 2,8 mld. Kč, což činilo 13</w:t>
      </w:r>
      <w:r w:rsidR="00F646FD">
        <w:rPr>
          <w:rFonts w:ascii="Arial" w:hAnsi="Arial" w:cs="Arial"/>
          <w:sz w:val="20"/>
          <w:szCs w:val="20"/>
        </w:rPr>
        <w:t> </w:t>
      </w:r>
      <w:r w:rsidR="009E557A">
        <w:rPr>
          <w:rFonts w:ascii="Arial" w:hAnsi="Arial" w:cs="Arial"/>
          <w:sz w:val="20"/>
          <w:szCs w:val="20"/>
        </w:rPr>
        <w:t xml:space="preserve">% vládního sektoru. Rekordní byly investice v roce 2015, tehdy tvořily celou 1/3 výdajů na </w:t>
      </w:r>
      <w:proofErr w:type="spellStart"/>
      <w:r w:rsidR="009E557A">
        <w:rPr>
          <w:rFonts w:ascii="Arial" w:hAnsi="Arial" w:cs="Arial"/>
          <w:sz w:val="20"/>
          <w:szCs w:val="20"/>
        </w:rPr>
        <w:t>VaV</w:t>
      </w:r>
      <w:proofErr w:type="spellEnd"/>
      <w:r w:rsidR="009E557A">
        <w:rPr>
          <w:rFonts w:ascii="Arial" w:hAnsi="Arial" w:cs="Arial"/>
          <w:sz w:val="20"/>
          <w:szCs w:val="20"/>
        </w:rPr>
        <w:t xml:space="preserve"> vládního sektoru. Dlouhodobě více než 80 % z investičních výdajů na </w:t>
      </w:r>
      <w:proofErr w:type="spellStart"/>
      <w:r w:rsidR="009E557A">
        <w:rPr>
          <w:rFonts w:ascii="Arial" w:hAnsi="Arial" w:cs="Arial"/>
          <w:sz w:val="20"/>
          <w:szCs w:val="20"/>
        </w:rPr>
        <w:t>VaV</w:t>
      </w:r>
      <w:proofErr w:type="spellEnd"/>
      <w:r w:rsidR="009E557A">
        <w:rPr>
          <w:rFonts w:ascii="Arial" w:hAnsi="Arial" w:cs="Arial"/>
          <w:sz w:val="20"/>
          <w:szCs w:val="20"/>
        </w:rPr>
        <w:t xml:space="preserve"> vládního sektoru připadá na pracoviště </w:t>
      </w:r>
      <w:r w:rsidR="00C17D62">
        <w:rPr>
          <w:rFonts w:ascii="Arial" w:hAnsi="Arial" w:cs="Arial"/>
          <w:sz w:val="20"/>
          <w:szCs w:val="20"/>
        </w:rPr>
        <w:t>Akademie věd</w:t>
      </w:r>
      <w:r w:rsidR="009E557A">
        <w:rPr>
          <w:rFonts w:ascii="Arial" w:hAnsi="Arial" w:cs="Arial"/>
          <w:sz w:val="20"/>
          <w:szCs w:val="20"/>
        </w:rPr>
        <w:t>.</w:t>
      </w:r>
    </w:p>
    <w:p w14:paraId="0D0B2055" w14:textId="4702F86F" w:rsidR="009E557A" w:rsidRDefault="00784D2D" w:rsidP="00A7180F">
      <w:pPr>
        <w:spacing w:after="120" w:line="288" w:lineRule="auto"/>
        <w:jc w:val="both"/>
        <w:rPr>
          <w:rFonts w:ascii="Arial" w:hAnsi="Arial" w:cs="Arial"/>
          <w:sz w:val="20"/>
          <w:szCs w:val="20"/>
        </w:rPr>
      </w:pPr>
      <w:r>
        <w:rPr>
          <w:rFonts w:ascii="Arial" w:hAnsi="Arial" w:cs="Arial"/>
          <w:sz w:val="20"/>
          <w:szCs w:val="20"/>
        </w:rPr>
        <w:lastRenderedPageBreak/>
        <w:t>Celkem 54</w:t>
      </w:r>
      <w:r w:rsidR="009E557A">
        <w:rPr>
          <w:rFonts w:ascii="Arial" w:hAnsi="Arial" w:cs="Arial"/>
          <w:sz w:val="20"/>
          <w:szCs w:val="20"/>
        </w:rPr>
        <w:t xml:space="preserve"> pracovišť vládníh</w:t>
      </w:r>
      <w:r>
        <w:rPr>
          <w:rFonts w:ascii="Arial" w:hAnsi="Arial" w:cs="Arial"/>
          <w:sz w:val="20"/>
          <w:szCs w:val="20"/>
        </w:rPr>
        <w:t xml:space="preserve">o sektoru vynaložilo v roce </w:t>
      </w:r>
      <w:r w:rsidR="00454940">
        <w:rPr>
          <w:rFonts w:ascii="Arial" w:hAnsi="Arial" w:cs="Arial"/>
          <w:sz w:val="20"/>
          <w:szCs w:val="20"/>
        </w:rPr>
        <w:t xml:space="preserve">2022 </w:t>
      </w:r>
      <w:r w:rsidR="009E557A">
        <w:rPr>
          <w:rFonts w:ascii="Arial" w:hAnsi="Arial" w:cs="Arial"/>
          <w:sz w:val="20"/>
          <w:szCs w:val="20"/>
        </w:rPr>
        <w:t xml:space="preserve">na </w:t>
      </w:r>
      <w:proofErr w:type="spellStart"/>
      <w:r w:rsidR="009E557A">
        <w:rPr>
          <w:rFonts w:ascii="Arial" w:hAnsi="Arial" w:cs="Arial"/>
          <w:sz w:val="20"/>
          <w:szCs w:val="20"/>
        </w:rPr>
        <w:t>VaV</w:t>
      </w:r>
      <w:proofErr w:type="spellEnd"/>
      <w:r w:rsidR="009E557A">
        <w:rPr>
          <w:rFonts w:ascii="Arial" w:hAnsi="Arial" w:cs="Arial"/>
          <w:sz w:val="20"/>
          <w:szCs w:val="20"/>
        </w:rPr>
        <w:t xml:space="preserve"> </w:t>
      </w:r>
      <w:r w:rsidR="002011D4">
        <w:rPr>
          <w:rFonts w:ascii="Arial" w:hAnsi="Arial" w:cs="Arial"/>
          <w:sz w:val="20"/>
          <w:szCs w:val="20"/>
        </w:rPr>
        <w:t xml:space="preserve">více než 100 mil. Kč, z toho </w:t>
      </w:r>
      <w:r>
        <w:rPr>
          <w:rFonts w:ascii="Arial" w:hAnsi="Arial" w:cs="Arial"/>
          <w:sz w:val="20"/>
          <w:szCs w:val="20"/>
        </w:rPr>
        <w:t>38</w:t>
      </w:r>
      <w:r w:rsidR="009E557A">
        <w:rPr>
          <w:rFonts w:ascii="Arial" w:hAnsi="Arial" w:cs="Arial"/>
          <w:sz w:val="20"/>
          <w:szCs w:val="20"/>
        </w:rPr>
        <w:t xml:space="preserve"> pracovišť </w:t>
      </w:r>
      <w:r w:rsidR="00454940">
        <w:rPr>
          <w:rFonts w:ascii="Arial" w:hAnsi="Arial" w:cs="Arial"/>
          <w:sz w:val="20"/>
          <w:szCs w:val="20"/>
        </w:rPr>
        <w:t xml:space="preserve">bylo </w:t>
      </w:r>
      <w:r w:rsidR="009E557A">
        <w:rPr>
          <w:rFonts w:ascii="Arial" w:hAnsi="Arial" w:cs="Arial"/>
          <w:sz w:val="20"/>
          <w:szCs w:val="20"/>
        </w:rPr>
        <w:t xml:space="preserve">Akademie věd ČR. Na </w:t>
      </w:r>
      <w:r w:rsidR="004231C9">
        <w:rPr>
          <w:rFonts w:ascii="Arial" w:hAnsi="Arial" w:cs="Arial"/>
          <w:sz w:val="20"/>
          <w:szCs w:val="20"/>
        </w:rPr>
        <w:t xml:space="preserve">sedmi </w:t>
      </w:r>
      <w:r w:rsidR="009E557A">
        <w:rPr>
          <w:rFonts w:ascii="Arial" w:hAnsi="Arial" w:cs="Arial"/>
          <w:sz w:val="20"/>
          <w:szCs w:val="20"/>
        </w:rPr>
        <w:t xml:space="preserve">pracovištích se </w:t>
      </w:r>
      <w:r w:rsidR="007E1812">
        <w:rPr>
          <w:rFonts w:ascii="Arial" w:hAnsi="Arial" w:cs="Arial"/>
          <w:sz w:val="20"/>
          <w:szCs w:val="20"/>
        </w:rPr>
        <w:t xml:space="preserve">za </w:t>
      </w:r>
      <w:proofErr w:type="spellStart"/>
      <w:r w:rsidR="009E557A">
        <w:rPr>
          <w:rFonts w:ascii="Arial" w:hAnsi="Arial" w:cs="Arial"/>
          <w:sz w:val="20"/>
          <w:szCs w:val="20"/>
        </w:rPr>
        <w:t>VaV</w:t>
      </w:r>
      <w:proofErr w:type="spellEnd"/>
      <w:r w:rsidR="009E557A">
        <w:rPr>
          <w:rFonts w:ascii="Arial" w:hAnsi="Arial" w:cs="Arial"/>
          <w:sz w:val="20"/>
          <w:szCs w:val="20"/>
        </w:rPr>
        <w:t xml:space="preserve"> </w:t>
      </w:r>
      <w:r w:rsidR="007E1812">
        <w:rPr>
          <w:rFonts w:ascii="Arial" w:hAnsi="Arial" w:cs="Arial"/>
          <w:sz w:val="20"/>
          <w:szCs w:val="20"/>
        </w:rPr>
        <w:t>utratilo</w:t>
      </w:r>
      <w:r w:rsidR="009E557A">
        <w:rPr>
          <w:rFonts w:ascii="Arial" w:hAnsi="Arial" w:cs="Arial"/>
          <w:sz w:val="20"/>
          <w:szCs w:val="20"/>
        </w:rPr>
        <w:t xml:space="preserve"> dokonce více než 500</w:t>
      </w:r>
      <w:r w:rsidR="007E1812">
        <w:rPr>
          <w:rFonts w:ascii="Arial" w:hAnsi="Arial" w:cs="Arial"/>
          <w:sz w:val="20"/>
          <w:szCs w:val="20"/>
        </w:rPr>
        <w:t> </w:t>
      </w:r>
      <w:r w:rsidR="009E557A">
        <w:rPr>
          <w:rFonts w:ascii="Arial" w:hAnsi="Arial" w:cs="Arial"/>
          <w:sz w:val="20"/>
          <w:szCs w:val="20"/>
        </w:rPr>
        <w:t>mil.</w:t>
      </w:r>
      <w:r w:rsidR="007E1812">
        <w:rPr>
          <w:rFonts w:ascii="Arial" w:hAnsi="Arial" w:cs="Arial"/>
          <w:sz w:val="20"/>
          <w:szCs w:val="20"/>
        </w:rPr>
        <w:t> </w:t>
      </w:r>
      <w:r w:rsidR="009E557A">
        <w:rPr>
          <w:rFonts w:ascii="Arial" w:hAnsi="Arial" w:cs="Arial"/>
          <w:sz w:val="20"/>
          <w:szCs w:val="20"/>
        </w:rPr>
        <w:t>Kč</w:t>
      </w:r>
      <w:r w:rsidR="00454940">
        <w:rPr>
          <w:rFonts w:ascii="Arial" w:hAnsi="Arial" w:cs="Arial"/>
          <w:sz w:val="20"/>
          <w:szCs w:val="20"/>
        </w:rPr>
        <w:t>,</w:t>
      </w:r>
      <w:r w:rsidR="009E557A">
        <w:rPr>
          <w:rFonts w:ascii="Arial" w:hAnsi="Arial" w:cs="Arial"/>
          <w:sz w:val="20"/>
          <w:szCs w:val="20"/>
        </w:rPr>
        <w:t xml:space="preserve"> </w:t>
      </w:r>
      <w:r w:rsidR="00454940">
        <w:rPr>
          <w:rFonts w:ascii="Arial" w:hAnsi="Arial" w:cs="Arial"/>
          <w:sz w:val="20"/>
          <w:szCs w:val="20"/>
        </w:rPr>
        <w:t>v</w:t>
      </w:r>
      <w:r w:rsidR="009E557A">
        <w:rPr>
          <w:rFonts w:ascii="Arial" w:hAnsi="Arial" w:cs="Arial"/>
          <w:sz w:val="20"/>
          <w:szCs w:val="20"/>
        </w:rPr>
        <w:t xml:space="preserve">šechna tato pracoviště </w:t>
      </w:r>
      <w:r w:rsidR="002011D4">
        <w:rPr>
          <w:rFonts w:ascii="Arial" w:hAnsi="Arial" w:cs="Arial"/>
          <w:sz w:val="20"/>
          <w:szCs w:val="20"/>
        </w:rPr>
        <w:t>spadají pod</w:t>
      </w:r>
      <w:r w:rsidR="009E557A">
        <w:rPr>
          <w:rFonts w:ascii="Arial" w:hAnsi="Arial" w:cs="Arial"/>
          <w:sz w:val="20"/>
          <w:szCs w:val="20"/>
        </w:rPr>
        <w:t xml:space="preserve"> AV ČR.</w:t>
      </w:r>
    </w:p>
    <w:p w14:paraId="22892C21" w14:textId="5801857A" w:rsidR="009E557A" w:rsidRDefault="009E557A" w:rsidP="00A7180F">
      <w:pPr>
        <w:spacing w:after="120" w:line="288" w:lineRule="auto"/>
        <w:jc w:val="both"/>
        <w:rPr>
          <w:rFonts w:ascii="Arial" w:hAnsi="Arial" w:cs="Arial"/>
          <w:sz w:val="20"/>
          <w:szCs w:val="20"/>
        </w:rPr>
      </w:pPr>
      <w:r>
        <w:rPr>
          <w:rFonts w:ascii="Arial" w:hAnsi="Arial" w:cs="Arial"/>
          <w:sz w:val="20"/>
          <w:szCs w:val="20"/>
        </w:rPr>
        <w:t>V případě regionálního rozdělení</w:t>
      </w:r>
      <w:r w:rsidR="009C6FC2">
        <w:rPr>
          <w:rFonts w:ascii="Arial" w:hAnsi="Arial" w:cs="Arial"/>
          <w:sz w:val="20"/>
          <w:szCs w:val="20"/>
        </w:rPr>
        <w:t xml:space="preserve"> výdajů na </w:t>
      </w:r>
      <w:proofErr w:type="spellStart"/>
      <w:r w:rsidR="009C6FC2">
        <w:rPr>
          <w:rFonts w:ascii="Arial" w:hAnsi="Arial" w:cs="Arial"/>
          <w:sz w:val="20"/>
          <w:szCs w:val="20"/>
        </w:rPr>
        <w:t>VaV</w:t>
      </w:r>
      <w:proofErr w:type="spellEnd"/>
      <w:r w:rsidR="002011D4">
        <w:rPr>
          <w:rFonts w:ascii="Arial" w:hAnsi="Arial" w:cs="Arial"/>
          <w:sz w:val="20"/>
          <w:szCs w:val="20"/>
        </w:rPr>
        <w:t xml:space="preserve"> vládního sektoru</w:t>
      </w:r>
      <w:r w:rsidR="009C6FC2">
        <w:rPr>
          <w:rFonts w:ascii="Arial" w:hAnsi="Arial" w:cs="Arial"/>
          <w:sz w:val="20"/>
          <w:szCs w:val="20"/>
        </w:rPr>
        <w:t xml:space="preserve"> je dominantní hlavní město Praha. Z 211 výzkumných pracovišť v roce 202</w:t>
      </w:r>
      <w:r w:rsidR="004231C9">
        <w:rPr>
          <w:rFonts w:ascii="Arial" w:hAnsi="Arial" w:cs="Arial"/>
          <w:sz w:val="20"/>
          <w:szCs w:val="20"/>
        </w:rPr>
        <w:t>2</w:t>
      </w:r>
      <w:r w:rsidR="009C6FC2">
        <w:rPr>
          <w:rFonts w:ascii="Arial" w:hAnsi="Arial" w:cs="Arial"/>
          <w:sz w:val="20"/>
          <w:szCs w:val="20"/>
        </w:rPr>
        <w:t xml:space="preserve"> se jich v Praze nalézalo 9</w:t>
      </w:r>
      <w:r w:rsidR="004231C9">
        <w:rPr>
          <w:rFonts w:ascii="Arial" w:hAnsi="Arial" w:cs="Arial"/>
          <w:sz w:val="20"/>
          <w:szCs w:val="20"/>
        </w:rPr>
        <w:t>8</w:t>
      </w:r>
      <w:r w:rsidR="00CC2B7D">
        <w:rPr>
          <w:rFonts w:ascii="Arial" w:hAnsi="Arial" w:cs="Arial"/>
          <w:sz w:val="20"/>
          <w:szCs w:val="20"/>
        </w:rPr>
        <w:t>, z toho 37 bylo pracovišť AV ČR</w:t>
      </w:r>
      <w:r w:rsidR="009C6FC2">
        <w:rPr>
          <w:rFonts w:ascii="Arial" w:hAnsi="Arial" w:cs="Arial"/>
          <w:sz w:val="20"/>
          <w:szCs w:val="20"/>
        </w:rPr>
        <w:t xml:space="preserve">. </w:t>
      </w:r>
      <w:r w:rsidR="00CB397B">
        <w:rPr>
          <w:rFonts w:ascii="Arial" w:hAnsi="Arial" w:cs="Arial"/>
          <w:sz w:val="20"/>
          <w:szCs w:val="20"/>
        </w:rPr>
        <w:t>Druhý nejvyšší počet pracovišť</w:t>
      </w:r>
      <w:r w:rsidR="00CC2B7D">
        <w:rPr>
          <w:rFonts w:ascii="Arial" w:hAnsi="Arial" w:cs="Arial"/>
          <w:sz w:val="20"/>
          <w:szCs w:val="20"/>
        </w:rPr>
        <w:t xml:space="preserve"> byl v</w:t>
      </w:r>
      <w:r w:rsidR="00931EE6">
        <w:rPr>
          <w:rFonts w:ascii="Arial" w:hAnsi="Arial" w:cs="Arial"/>
          <w:sz w:val="20"/>
          <w:szCs w:val="20"/>
        </w:rPr>
        <w:t> Jihomoravském kraji</w:t>
      </w:r>
      <w:r w:rsidR="007E1812">
        <w:rPr>
          <w:rFonts w:ascii="Arial" w:hAnsi="Arial" w:cs="Arial"/>
          <w:sz w:val="20"/>
          <w:szCs w:val="20"/>
        </w:rPr>
        <w:t xml:space="preserve"> (28)</w:t>
      </w:r>
      <w:r w:rsidR="00CC2B7D">
        <w:rPr>
          <w:rFonts w:ascii="Arial" w:hAnsi="Arial" w:cs="Arial"/>
          <w:sz w:val="20"/>
          <w:szCs w:val="20"/>
        </w:rPr>
        <w:t xml:space="preserve">. Více než 10 pracovišť </w:t>
      </w:r>
      <w:proofErr w:type="spellStart"/>
      <w:r w:rsidR="00CC2B7D">
        <w:rPr>
          <w:rFonts w:ascii="Arial" w:hAnsi="Arial" w:cs="Arial"/>
          <w:sz w:val="20"/>
          <w:szCs w:val="20"/>
        </w:rPr>
        <w:t>VaV</w:t>
      </w:r>
      <w:proofErr w:type="spellEnd"/>
      <w:r w:rsidR="00CC2B7D">
        <w:rPr>
          <w:rFonts w:ascii="Arial" w:hAnsi="Arial" w:cs="Arial"/>
          <w:sz w:val="20"/>
          <w:szCs w:val="20"/>
        </w:rPr>
        <w:t xml:space="preserve"> vládního sektoru bylo již jen ve Středočeském a Ústeckém kraji. V případě výše vynaložených výdajů na </w:t>
      </w:r>
      <w:proofErr w:type="spellStart"/>
      <w:r w:rsidR="00CC2B7D">
        <w:rPr>
          <w:rFonts w:ascii="Arial" w:hAnsi="Arial" w:cs="Arial"/>
          <w:sz w:val="20"/>
          <w:szCs w:val="20"/>
        </w:rPr>
        <w:t>VaV</w:t>
      </w:r>
      <w:proofErr w:type="spellEnd"/>
      <w:r w:rsidR="00CC2B7D">
        <w:rPr>
          <w:rFonts w:ascii="Arial" w:hAnsi="Arial" w:cs="Arial"/>
          <w:sz w:val="20"/>
          <w:szCs w:val="20"/>
        </w:rPr>
        <w:t xml:space="preserve"> je dominance Prahy ještě zřetelnější. V roce 202</w:t>
      </w:r>
      <w:r w:rsidR="00D74EF2">
        <w:rPr>
          <w:rFonts w:ascii="Arial" w:hAnsi="Arial" w:cs="Arial"/>
          <w:sz w:val="20"/>
          <w:szCs w:val="20"/>
        </w:rPr>
        <w:t>2</w:t>
      </w:r>
      <w:r w:rsidR="00CC2B7D">
        <w:rPr>
          <w:rFonts w:ascii="Arial" w:hAnsi="Arial" w:cs="Arial"/>
          <w:sz w:val="20"/>
          <w:szCs w:val="20"/>
        </w:rPr>
        <w:t xml:space="preserve"> na hlavní město připadaly celé 2/3 výdajů na </w:t>
      </w:r>
      <w:proofErr w:type="spellStart"/>
      <w:r w:rsidR="00CC2B7D">
        <w:rPr>
          <w:rFonts w:ascii="Arial" w:hAnsi="Arial" w:cs="Arial"/>
          <w:sz w:val="20"/>
          <w:szCs w:val="20"/>
        </w:rPr>
        <w:t>VaV</w:t>
      </w:r>
      <w:proofErr w:type="spellEnd"/>
      <w:r w:rsidR="00CC2B7D">
        <w:rPr>
          <w:rFonts w:ascii="Arial" w:hAnsi="Arial" w:cs="Arial"/>
          <w:sz w:val="20"/>
          <w:szCs w:val="20"/>
        </w:rPr>
        <w:t xml:space="preserve"> vládního sektoru. S velkým odstupem následoval z</w:t>
      </w:r>
      <w:r w:rsidR="00931EE6">
        <w:rPr>
          <w:rFonts w:ascii="Arial" w:hAnsi="Arial" w:cs="Arial"/>
          <w:sz w:val="20"/>
          <w:szCs w:val="20"/>
        </w:rPr>
        <w:t>a</w:t>
      </w:r>
      <w:r w:rsidR="00CC2B7D">
        <w:rPr>
          <w:rFonts w:ascii="Arial" w:hAnsi="Arial" w:cs="Arial"/>
          <w:sz w:val="20"/>
          <w:szCs w:val="20"/>
        </w:rPr>
        <w:t xml:space="preserve"> Prahou </w:t>
      </w:r>
      <w:r w:rsidR="0032094B">
        <w:rPr>
          <w:rFonts w:ascii="Arial" w:hAnsi="Arial" w:cs="Arial"/>
          <w:sz w:val="20"/>
          <w:szCs w:val="20"/>
        </w:rPr>
        <w:t>Středočeský kraj s 3,5</w:t>
      </w:r>
      <w:r w:rsidR="00203440">
        <w:rPr>
          <w:rFonts w:ascii="Arial" w:hAnsi="Arial" w:cs="Arial"/>
          <w:sz w:val="20"/>
          <w:szCs w:val="20"/>
        </w:rPr>
        <w:t xml:space="preserve"> mld. </w:t>
      </w:r>
      <w:r w:rsidR="0032094B">
        <w:rPr>
          <w:rFonts w:ascii="Arial" w:hAnsi="Arial" w:cs="Arial"/>
          <w:sz w:val="20"/>
          <w:szCs w:val="20"/>
        </w:rPr>
        <w:t>Kč (17</w:t>
      </w:r>
      <w:r w:rsidR="00931EE6">
        <w:rPr>
          <w:rFonts w:ascii="Arial" w:hAnsi="Arial" w:cs="Arial"/>
          <w:sz w:val="20"/>
          <w:szCs w:val="20"/>
        </w:rPr>
        <w:t xml:space="preserve"> % vládního sektoru). Ve S</w:t>
      </w:r>
      <w:r w:rsidR="00203440">
        <w:rPr>
          <w:rFonts w:ascii="Arial" w:hAnsi="Arial" w:cs="Arial"/>
          <w:sz w:val="20"/>
          <w:szCs w:val="20"/>
        </w:rPr>
        <w:t xml:space="preserve">tředočeském kraji se nachází několik pracovišť AV ČR včetně nově vybudovaných </w:t>
      </w:r>
      <w:proofErr w:type="spellStart"/>
      <w:r w:rsidR="00203440">
        <w:rPr>
          <w:rFonts w:ascii="Arial" w:hAnsi="Arial" w:cs="Arial"/>
          <w:sz w:val="20"/>
          <w:szCs w:val="20"/>
        </w:rPr>
        <w:t>VaV</w:t>
      </w:r>
      <w:proofErr w:type="spellEnd"/>
      <w:r w:rsidR="00203440">
        <w:rPr>
          <w:rFonts w:ascii="Arial" w:hAnsi="Arial" w:cs="Arial"/>
          <w:sz w:val="20"/>
          <w:szCs w:val="20"/>
        </w:rPr>
        <w:t xml:space="preserve"> center vzniklých s podporou EU</w:t>
      </w:r>
      <w:r w:rsidR="00DE37DF">
        <w:rPr>
          <w:rFonts w:ascii="Arial" w:hAnsi="Arial" w:cs="Arial"/>
          <w:sz w:val="20"/>
          <w:szCs w:val="20"/>
        </w:rPr>
        <w:t>27</w:t>
      </w:r>
      <w:r w:rsidR="00203440">
        <w:rPr>
          <w:rFonts w:ascii="Arial" w:hAnsi="Arial" w:cs="Arial"/>
          <w:sz w:val="20"/>
          <w:szCs w:val="20"/>
        </w:rPr>
        <w:t xml:space="preserve">. Na třetím místě je Jihomoravský kraj, v němž se na </w:t>
      </w:r>
      <w:proofErr w:type="spellStart"/>
      <w:r w:rsidR="00203440">
        <w:rPr>
          <w:rFonts w:ascii="Arial" w:hAnsi="Arial" w:cs="Arial"/>
          <w:sz w:val="20"/>
          <w:szCs w:val="20"/>
        </w:rPr>
        <w:t>VaV</w:t>
      </w:r>
      <w:proofErr w:type="spellEnd"/>
      <w:r w:rsidR="00203440">
        <w:rPr>
          <w:rFonts w:ascii="Arial" w:hAnsi="Arial" w:cs="Arial"/>
          <w:sz w:val="20"/>
          <w:szCs w:val="20"/>
        </w:rPr>
        <w:t xml:space="preserve"> ve vládním sektoru vynakládá okolo 2 mld. Kč ročně.</w:t>
      </w:r>
      <w:r w:rsidR="0032094B">
        <w:rPr>
          <w:rFonts w:ascii="Arial" w:hAnsi="Arial" w:cs="Arial"/>
          <w:sz w:val="20"/>
          <w:szCs w:val="20"/>
        </w:rPr>
        <w:t xml:space="preserve"> V roce 2022</w:t>
      </w:r>
      <w:r w:rsidR="00203440">
        <w:rPr>
          <w:rFonts w:ascii="Arial" w:hAnsi="Arial" w:cs="Arial"/>
          <w:sz w:val="20"/>
          <w:szCs w:val="20"/>
        </w:rPr>
        <w:t xml:space="preserve"> to by</w:t>
      </w:r>
      <w:r w:rsidR="0032094B">
        <w:rPr>
          <w:rFonts w:ascii="Arial" w:hAnsi="Arial" w:cs="Arial"/>
          <w:sz w:val="20"/>
          <w:szCs w:val="20"/>
        </w:rPr>
        <w:t>lo 2,2 mld. Kč, což znamenalo 10</w:t>
      </w:r>
      <w:r w:rsidR="00203440">
        <w:rPr>
          <w:rFonts w:ascii="Arial" w:hAnsi="Arial" w:cs="Arial"/>
          <w:sz w:val="20"/>
          <w:szCs w:val="20"/>
        </w:rPr>
        <w:t xml:space="preserve"> % vládního sektoru. V Jihomoravské kraji působí několik ústavů AV ČR a některé další veřejné výzkumné instituce. V Brně též nalezneme několik muzeí či </w:t>
      </w:r>
      <w:r w:rsidR="00931EE6">
        <w:rPr>
          <w:rFonts w:ascii="Arial" w:hAnsi="Arial" w:cs="Arial"/>
          <w:sz w:val="20"/>
          <w:szCs w:val="20"/>
        </w:rPr>
        <w:t xml:space="preserve">velkou </w:t>
      </w:r>
      <w:r w:rsidR="00203440">
        <w:rPr>
          <w:rFonts w:ascii="Arial" w:hAnsi="Arial" w:cs="Arial"/>
          <w:sz w:val="20"/>
          <w:szCs w:val="20"/>
        </w:rPr>
        <w:t xml:space="preserve">knihovnu provádějící </w:t>
      </w:r>
      <w:proofErr w:type="spellStart"/>
      <w:r w:rsidR="00203440">
        <w:rPr>
          <w:rFonts w:ascii="Arial" w:hAnsi="Arial" w:cs="Arial"/>
          <w:sz w:val="20"/>
          <w:szCs w:val="20"/>
        </w:rPr>
        <w:t>VaV</w:t>
      </w:r>
      <w:proofErr w:type="spellEnd"/>
      <w:r w:rsidR="00203440">
        <w:rPr>
          <w:rFonts w:ascii="Arial" w:hAnsi="Arial" w:cs="Arial"/>
          <w:sz w:val="20"/>
          <w:szCs w:val="20"/>
        </w:rPr>
        <w:t xml:space="preserve"> činnost. Významný je </w:t>
      </w:r>
      <w:proofErr w:type="spellStart"/>
      <w:r w:rsidR="00203440">
        <w:rPr>
          <w:rFonts w:ascii="Arial" w:hAnsi="Arial" w:cs="Arial"/>
          <w:sz w:val="20"/>
          <w:szCs w:val="20"/>
        </w:rPr>
        <w:t>VaV</w:t>
      </w:r>
      <w:proofErr w:type="spellEnd"/>
      <w:r w:rsidR="00203440">
        <w:rPr>
          <w:rFonts w:ascii="Arial" w:hAnsi="Arial" w:cs="Arial"/>
          <w:sz w:val="20"/>
          <w:szCs w:val="20"/>
        </w:rPr>
        <w:t xml:space="preserve"> ve vládním sektoru v Jihočeském kraji, kde působí Biolo</w:t>
      </w:r>
      <w:r w:rsidR="0032094B">
        <w:rPr>
          <w:rFonts w:ascii="Arial" w:hAnsi="Arial" w:cs="Arial"/>
          <w:sz w:val="20"/>
          <w:szCs w:val="20"/>
        </w:rPr>
        <w:t>gické centrum AV ČR. V roce 2022</w:t>
      </w:r>
      <w:r w:rsidR="00203440">
        <w:rPr>
          <w:rFonts w:ascii="Arial" w:hAnsi="Arial" w:cs="Arial"/>
          <w:sz w:val="20"/>
          <w:szCs w:val="20"/>
        </w:rPr>
        <w:t xml:space="preserve"> byly výdaje na </w:t>
      </w:r>
      <w:proofErr w:type="spellStart"/>
      <w:r w:rsidR="00203440">
        <w:rPr>
          <w:rFonts w:ascii="Arial" w:hAnsi="Arial" w:cs="Arial"/>
          <w:sz w:val="20"/>
          <w:szCs w:val="20"/>
        </w:rPr>
        <w:t>VaV</w:t>
      </w:r>
      <w:proofErr w:type="spellEnd"/>
      <w:r w:rsidR="00203440">
        <w:rPr>
          <w:rFonts w:ascii="Arial" w:hAnsi="Arial" w:cs="Arial"/>
          <w:sz w:val="20"/>
          <w:szCs w:val="20"/>
        </w:rPr>
        <w:t xml:space="preserve"> ve vládním sektoru v tomto kraji </w:t>
      </w:r>
      <w:r w:rsidR="0032094B">
        <w:rPr>
          <w:rFonts w:ascii="Arial" w:hAnsi="Arial" w:cs="Arial"/>
          <w:sz w:val="20"/>
          <w:szCs w:val="20"/>
        </w:rPr>
        <w:t>1</w:t>
      </w:r>
      <w:r w:rsidR="00203440">
        <w:rPr>
          <w:rFonts w:ascii="Arial" w:hAnsi="Arial" w:cs="Arial"/>
          <w:sz w:val="20"/>
          <w:szCs w:val="20"/>
        </w:rPr>
        <w:t xml:space="preserve"> mld. Kč.</w:t>
      </w:r>
      <w:r w:rsidR="004569CF">
        <w:rPr>
          <w:rFonts w:ascii="Arial" w:hAnsi="Arial" w:cs="Arial"/>
          <w:sz w:val="20"/>
          <w:szCs w:val="20"/>
        </w:rPr>
        <w:t xml:space="preserve"> Ve zbylých deseti krajích </w:t>
      </w:r>
      <w:r w:rsidR="0032094B">
        <w:rPr>
          <w:rFonts w:ascii="Arial" w:hAnsi="Arial" w:cs="Arial"/>
          <w:sz w:val="20"/>
          <w:szCs w:val="20"/>
        </w:rPr>
        <w:t>Česka dohromady byly v roce 2022</w:t>
      </w:r>
      <w:r w:rsidR="004569CF">
        <w:rPr>
          <w:rFonts w:ascii="Arial" w:hAnsi="Arial" w:cs="Arial"/>
          <w:sz w:val="20"/>
          <w:szCs w:val="20"/>
        </w:rPr>
        <w:t xml:space="preserve"> výdaje na </w:t>
      </w:r>
      <w:proofErr w:type="spellStart"/>
      <w:r w:rsidR="004569CF">
        <w:rPr>
          <w:rFonts w:ascii="Arial" w:hAnsi="Arial" w:cs="Arial"/>
          <w:sz w:val="20"/>
          <w:szCs w:val="20"/>
        </w:rPr>
        <w:t>VaV</w:t>
      </w:r>
      <w:proofErr w:type="spellEnd"/>
      <w:r w:rsidR="004569CF">
        <w:rPr>
          <w:rFonts w:ascii="Arial" w:hAnsi="Arial" w:cs="Arial"/>
          <w:sz w:val="20"/>
          <w:szCs w:val="20"/>
        </w:rPr>
        <w:t xml:space="preserve"> vládního sektoru </w:t>
      </w:r>
      <w:r w:rsidR="00931EE6">
        <w:rPr>
          <w:rFonts w:ascii="Arial" w:hAnsi="Arial" w:cs="Arial"/>
          <w:sz w:val="20"/>
          <w:szCs w:val="20"/>
        </w:rPr>
        <w:t xml:space="preserve">celkem </w:t>
      </w:r>
      <w:r w:rsidR="004569CF">
        <w:rPr>
          <w:rFonts w:ascii="Arial" w:hAnsi="Arial" w:cs="Arial"/>
          <w:sz w:val="20"/>
          <w:szCs w:val="20"/>
        </w:rPr>
        <w:t>0,5 mld.</w:t>
      </w:r>
      <w:r w:rsidR="007E1812">
        <w:rPr>
          <w:rFonts w:ascii="Arial" w:hAnsi="Arial" w:cs="Arial"/>
          <w:sz w:val="20"/>
          <w:szCs w:val="20"/>
        </w:rPr>
        <w:t> </w:t>
      </w:r>
      <w:r w:rsidR="004569CF">
        <w:rPr>
          <w:rFonts w:ascii="Arial" w:hAnsi="Arial" w:cs="Arial"/>
          <w:sz w:val="20"/>
          <w:szCs w:val="20"/>
        </w:rPr>
        <w:t>Kč.</w:t>
      </w:r>
    </w:p>
    <w:p w14:paraId="7C9D9BDF" w14:textId="359A51F8" w:rsidR="00E042A4" w:rsidRDefault="00456DCA" w:rsidP="00A7180F">
      <w:pPr>
        <w:spacing w:after="120" w:line="288" w:lineRule="auto"/>
        <w:jc w:val="both"/>
        <w:rPr>
          <w:rFonts w:ascii="Arial" w:hAnsi="Arial" w:cs="Arial"/>
          <w:b/>
          <w:sz w:val="20"/>
          <w:szCs w:val="20"/>
        </w:rPr>
      </w:pPr>
      <w:r w:rsidRPr="00C67BA8">
        <w:rPr>
          <w:rFonts w:ascii="Arial" w:hAnsi="Arial" w:cs="Arial"/>
          <w:b/>
          <w:sz w:val="20"/>
          <w:szCs w:val="20"/>
        </w:rPr>
        <w:t>Kartogram</w:t>
      </w:r>
      <w:r>
        <w:rPr>
          <w:rFonts w:ascii="Arial" w:hAnsi="Arial" w:cs="Arial"/>
          <w:b/>
          <w:sz w:val="20"/>
          <w:szCs w:val="20"/>
        </w:rPr>
        <w:t xml:space="preserve"> 3. Výdaje na výzkum a vývoj ve vládním</w:t>
      </w:r>
      <w:r w:rsidR="00E042A4">
        <w:rPr>
          <w:rFonts w:ascii="Arial" w:hAnsi="Arial" w:cs="Arial"/>
          <w:b/>
          <w:sz w:val="20"/>
          <w:szCs w:val="20"/>
        </w:rPr>
        <w:t xml:space="preserve"> sektoru podle krajů v roce 2022</w:t>
      </w:r>
      <w:r>
        <w:rPr>
          <w:rFonts w:ascii="Arial" w:hAnsi="Arial" w:cs="Arial"/>
          <w:b/>
          <w:sz w:val="20"/>
          <w:szCs w:val="20"/>
        </w:rPr>
        <w:t xml:space="preserve"> (mil. Kč)</w:t>
      </w:r>
    </w:p>
    <w:p w14:paraId="3905B040" w14:textId="195568AE" w:rsidR="00456DCA" w:rsidRDefault="00E042A4" w:rsidP="00A7180F">
      <w:pPr>
        <w:spacing w:after="120" w:line="288" w:lineRule="auto"/>
        <w:jc w:val="both"/>
        <w:rPr>
          <w:rFonts w:ascii="Arial" w:hAnsi="Arial" w:cs="Arial"/>
          <w:b/>
          <w:sz w:val="20"/>
          <w:szCs w:val="20"/>
        </w:rPr>
      </w:pPr>
      <w:r w:rsidRPr="00E042A4">
        <w:rPr>
          <w:rFonts w:ascii="Arial" w:hAnsi="Arial" w:cs="Arial"/>
          <w:b/>
          <w:noProof/>
          <w:sz w:val="20"/>
          <w:szCs w:val="20"/>
          <w:lang w:eastAsia="cs-CZ"/>
        </w:rPr>
        <w:drawing>
          <wp:inline distT="0" distB="0" distL="0" distR="0" wp14:anchorId="1A468D15" wp14:editId="6D5CB9EB">
            <wp:extent cx="6119422" cy="3832225"/>
            <wp:effectExtent l="0" t="0" r="0" b="0"/>
            <wp:docPr id="104" name="Obrázek 104" descr="C:\Users\stampach16510\VTR\web stranky CSU_vyzkum a vyvoj\2022\kartogramy\mapy_podklady\Marek_20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mpach16510\VTR\web stranky CSU_vyzkum a vyvoj\2022\kartogramy\mapy_podklady\Marek_2022\25.pn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11445"/>
                    <a:stretch/>
                  </pic:blipFill>
                  <pic:spPr bwMode="auto">
                    <a:xfrm>
                      <a:off x="0" y="0"/>
                      <a:ext cx="6120130" cy="3832669"/>
                    </a:xfrm>
                    <a:prstGeom prst="rect">
                      <a:avLst/>
                    </a:prstGeom>
                    <a:noFill/>
                    <a:ln>
                      <a:noFill/>
                    </a:ln>
                    <a:extLst>
                      <a:ext uri="{53640926-AAD7-44D8-BBD7-CCE9431645EC}">
                        <a14:shadowObscured xmlns:a14="http://schemas.microsoft.com/office/drawing/2010/main"/>
                      </a:ext>
                    </a:extLst>
                  </pic:spPr>
                </pic:pic>
              </a:graphicData>
            </a:graphic>
          </wp:inline>
        </w:drawing>
      </w:r>
    </w:p>
    <w:p w14:paraId="103C0C3E" w14:textId="39486430" w:rsidR="00456DCA" w:rsidRPr="00456DCA" w:rsidRDefault="00456DCA" w:rsidP="00456DCA">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41E3ABA2" w14:textId="37E1A3D0" w:rsidR="006A3936" w:rsidRDefault="00BA098E" w:rsidP="00A7180F">
      <w:pPr>
        <w:spacing w:after="120" w:line="288" w:lineRule="auto"/>
        <w:jc w:val="both"/>
        <w:rPr>
          <w:rFonts w:ascii="Arial" w:hAnsi="Arial" w:cs="Arial"/>
          <w:sz w:val="20"/>
          <w:szCs w:val="20"/>
        </w:rPr>
      </w:pPr>
      <w:r>
        <w:rPr>
          <w:rFonts w:ascii="Arial" w:hAnsi="Arial" w:cs="Arial"/>
          <w:sz w:val="20"/>
          <w:szCs w:val="20"/>
        </w:rPr>
        <w:t xml:space="preserve">Od roku 2019 je počet pracovníků </w:t>
      </w:r>
      <w:proofErr w:type="spellStart"/>
      <w:r>
        <w:rPr>
          <w:rFonts w:ascii="Arial" w:hAnsi="Arial" w:cs="Arial"/>
          <w:sz w:val="20"/>
          <w:szCs w:val="20"/>
        </w:rPr>
        <w:t>VaV</w:t>
      </w:r>
      <w:proofErr w:type="spellEnd"/>
      <w:r>
        <w:rPr>
          <w:rFonts w:ascii="Arial" w:hAnsi="Arial" w:cs="Arial"/>
          <w:sz w:val="20"/>
          <w:szCs w:val="20"/>
        </w:rPr>
        <w:t xml:space="preserve"> ve vládním sektoru konstantní. Pohybuje se okolo 19</w:t>
      </w:r>
      <w:r w:rsidR="00634566">
        <w:rPr>
          <w:rFonts w:ascii="Arial" w:hAnsi="Arial" w:cs="Arial"/>
          <w:sz w:val="20"/>
          <w:szCs w:val="20"/>
        </w:rPr>
        <w:t> </w:t>
      </w:r>
      <w:r>
        <w:rPr>
          <w:rFonts w:ascii="Arial" w:hAnsi="Arial" w:cs="Arial"/>
          <w:sz w:val="20"/>
          <w:szCs w:val="20"/>
        </w:rPr>
        <w:t xml:space="preserve">tisíc fyzických a 14,5 tisíc přepočtených osob. S ohledem na nárůst pracovníků v jiných sektorech se podíl vládního sektoru na celkovém počtu pracovníků </w:t>
      </w:r>
      <w:proofErr w:type="spellStart"/>
      <w:r>
        <w:rPr>
          <w:rFonts w:ascii="Arial" w:hAnsi="Arial" w:cs="Arial"/>
          <w:sz w:val="20"/>
          <w:szCs w:val="20"/>
        </w:rPr>
        <w:t>VaV</w:t>
      </w:r>
      <w:proofErr w:type="spellEnd"/>
      <w:r>
        <w:rPr>
          <w:rFonts w:ascii="Arial" w:hAnsi="Arial" w:cs="Arial"/>
          <w:sz w:val="20"/>
          <w:szCs w:val="20"/>
        </w:rPr>
        <w:t xml:space="preserve"> postupně snižuje, a to z 20 % v roce 2016 na 1</w:t>
      </w:r>
      <w:r w:rsidR="0032094B">
        <w:rPr>
          <w:rFonts w:ascii="Arial" w:hAnsi="Arial" w:cs="Arial"/>
          <w:sz w:val="20"/>
          <w:szCs w:val="20"/>
        </w:rPr>
        <w:t>7 % v roce 2022</w:t>
      </w:r>
      <w:r>
        <w:rPr>
          <w:rFonts w:ascii="Arial" w:hAnsi="Arial" w:cs="Arial"/>
          <w:sz w:val="20"/>
          <w:szCs w:val="20"/>
        </w:rPr>
        <w:t>. Přesto jde o nadprůměrné zastoupení ve srovnání s ostatními stá</w:t>
      </w:r>
      <w:r w:rsidR="0032094B">
        <w:rPr>
          <w:rFonts w:ascii="Arial" w:hAnsi="Arial" w:cs="Arial"/>
          <w:sz w:val="20"/>
          <w:szCs w:val="20"/>
        </w:rPr>
        <w:t>ty EU</w:t>
      </w:r>
      <w:r w:rsidR="00DE37DF">
        <w:rPr>
          <w:rFonts w:ascii="Arial" w:hAnsi="Arial" w:cs="Arial"/>
          <w:sz w:val="20"/>
          <w:szCs w:val="20"/>
        </w:rPr>
        <w:t>27</w:t>
      </w:r>
      <w:r w:rsidR="0032094B">
        <w:rPr>
          <w:rFonts w:ascii="Arial" w:hAnsi="Arial" w:cs="Arial"/>
          <w:sz w:val="20"/>
          <w:szCs w:val="20"/>
        </w:rPr>
        <w:t>. Průměr EU</w:t>
      </w:r>
      <w:r w:rsidR="00DE37DF">
        <w:rPr>
          <w:rFonts w:ascii="Arial" w:hAnsi="Arial" w:cs="Arial"/>
          <w:sz w:val="20"/>
          <w:szCs w:val="20"/>
        </w:rPr>
        <w:t>27</w:t>
      </w:r>
      <w:r w:rsidR="0032094B">
        <w:rPr>
          <w:rFonts w:ascii="Arial" w:hAnsi="Arial" w:cs="Arial"/>
          <w:sz w:val="20"/>
          <w:szCs w:val="20"/>
        </w:rPr>
        <w:t xml:space="preserve"> byl v roce 2022 v tomto ukazateli 11</w:t>
      </w:r>
      <w:r>
        <w:rPr>
          <w:rFonts w:ascii="Arial" w:hAnsi="Arial" w:cs="Arial"/>
          <w:sz w:val="20"/>
          <w:szCs w:val="20"/>
        </w:rPr>
        <w:t xml:space="preserve"> %.</w:t>
      </w:r>
      <w:r w:rsidR="006A60C5">
        <w:rPr>
          <w:rFonts w:ascii="Arial" w:hAnsi="Arial" w:cs="Arial"/>
          <w:sz w:val="20"/>
          <w:szCs w:val="20"/>
        </w:rPr>
        <w:t xml:space="preserve"> Obdobný podíl vládního sektoru na pracovnících </w:t>
      </w:r>
      <w:proofErr w:type="spellStart"/>
      <w:r w:rsidR="006A60C5">
        <w:rPr>
          <w:rFonts w:ascii="Arial" w:hAnsi="Arial" w:cs="Arial"/>
          <w:sz w:val="20"/>
          <w:szCs w:val="20"/>
        </w:rPr>
        <w:t>VaV</w:t>
      </w:r>
      <w:proofErr w:type="spellEnd"/>
      <w:r w:rsidR="006A60C5">
        <w:rPr>
          <w:rFonts w:ascii="Arial" w:hAnsi="Arial" w:cs="Arial"/>
          <w:sz w:val="20"/>
          <w:szCs w:val="20"/>
        </w:rPr>
        <w:t xml:space="preserve"> jako v Česku je i na Slovensku a v Maďarsku. Trochu nižší je v Německu, kde byl v roce </w:t>
      </w:r>
      <w:r w:rsidR="00C715D8">
        <w:rPr>
          <w:rFonts w:ascii="Arial" w:hAnsi="Arial" w:cs="Arial"/>
          <w:sz w:val="20"/>
          <w:szCs w:val="20"/>
        </w:rPr>
        <w:t>2022 13</w:t>
      </w:r>
      <w:r w:rsidR="006A60C5">
        <w:rPr>
          <w:rFonts w:ascii="Arial" w:hAnsi="Arial" w:cs="Arial"/>
          <w:sz w:val="20"/>
          <w:szCs w:val="20"/>
        </w:rPr>
        <w:t xml:space="preserve"> %. N</w:t>
      </w:r>
      <w:r w:rsidR="00244503">
        <w:rPr>
          <w:rFonts w:ascii="Arial" w:hAnsi="Arial" w:cs="Arial"/>
          <w:sz w:val="20"/>
          <w:szCs w:val="20"/>
        </w:rPr>
        <w:t>aopak výrazn</w:t>
      </w:r>
      <w:r w:rsidR="00C715D8">
        <w:rPr>
          <w:rFonts w:ascii="Arial" w:hAnsi="Arial" w:cs="Arial"/>
          <w:sz w:val="20"/>
          <w:szCs w:val="20"/>
        </w:rPr>
        <w:t>ě menší zastoupení má vládní sektor v Rakousku a v Polsku.</w:t>
      </w:r>
      <w:r w:rsidR="006A3936">
        <w:rPr>
          <w:rFonts w:ascii="Arial" w:hAnsi="Arial" w:cs="Arial"/>
          <w:sz w:val="20"/>
          <w:szCs w:val="20"/>
        </w:rPr>
        <w:t xml:space="preserve"> V absolutních číslech pracovalo ve vládním sektoru výrazně více osob (FTE) než v Česku pouze ve velkých státech Německu, Francii, Španělsku a Itálii. Jediný další stát EU, kde pracuje ve vládním </w:t>
      </w:r>
      <w:proofErr w:type="spellStart"/>
      <w:r w:rsidR="006A3936">
        <w:rPr>
          <w:rFonts w:ascii="Arial" w:hAnsi="Arial" w:cs="Arial"/>
          <w:sz w:val="20"/>
          <w:szCs w:val="20"/>
        </w:rPr>
        <w:t>VaV</w:t>
      </w:r>
      <w:proofErr w:type="spellEnd"/>
      <w:r w:rsidR="006A3936">
        <w:rPr>
          <w:rFonts w:ascii="Arial" w:hAnsi="Arial" w:cs="Arial"/>
          <w:sz w:val="20"/>
          <w:szCs w:val="20"/>
        </w:rPr>
        <w:t xml:space="preserve"> více osob než v Česku je Řecko</w:t>
      </w:r>
      <w:r w:rsidR="006A60C5">
        <w:rPr>
          <w:rFonts w:ascii="Arial" w:hAnsi="Arial" w:cs="Arial"/>
          <w:sz w:val="20"/>
          <w:szCs w:val="20"/>
        </w:rPr>
        <w:t>.</w:t>
      </w:r>
    </w:p>
    <w:p w14:paraId="109C5E95" w14:textId="11A9541F" w:rsidR="006A3936" w:rsidRDefault="006A3936" w:rsidP="00A7180F">
      <w:pPr>
        <w:spacing w:after="120" w:line="288" w:lineRule="auto"/>
        <w:jc w:val="both"/>
        <w:rPr>
          <w:rFonts w:ascii="Arial" w:hAnsi="Arial" w:cs="Arial"/>
          <w:sz w:val="20"/>
          <w:szCs w:val="20"/>
        </w:rPr>
      </w:pPr>
      <w:r>
        <w:rPr>
          <w:rFonts w:ascii="Arial" w:hAnsi="Arial" w:cs="Arial"/>
          <w:sz w:val="20"/>
          <w:szCs w:val="20"/>
        </w:rPr>
        <w:lastRenderedPageBreak/>
        <w:t>Obdobně</w:t>
      </w:r>
      <w:r w:rsidR="006C43EF">
        <w:rPr>
          <w:rFonts w:ascii="Arial" w:hAnsi="Arial" w:cs="Arial"/>
          <w:sz w:val="20"/>
          <w:szCs w:val="20"/>
        </w:rPr>
        <w:t>,</w:t>
      </w:r>
      <w:r>
        <w:rPr>
          <w:rFonts w:ascii="Arial" w:hAnsi="Arial" w:cs="Arial"/>
          <w:sz w:val="20"/>
          <w:szCs w:val="20"/>
        </w:rPr>
        <w:t xml:space="preserve"> jako stagnuje počet celkové</w:t>
      </w:r>
      <w:r w:rsidR="007729C0">
        <w:rPr>
          <w:rFonts w:ascii="Arial" w:hAnsi="Arial" w:cs="Arial"/>
          <w:sz w:val="20"/>
          <w:szCs w:val="20"/>
        </w:rPr>
        <w:t>ho</w:t>
      </w:r>
      <w:r>
        <w:rPr>
          <w:rFonts w:ascii="Arial" w:hAnsi="Arial" w:cs="Arial"/>
          <w:sz w:val="20"/>
          <w:szCs w:val="20"/>
        </w:rPr>
        <w:t xml:space="preserve"> počtu pracovníků</w:t>
      </w:r>
      <w:r w:rsidR="007729C0">
        <w:rPr>
          <w:rFonts w:ascii="Arial" w:hAnsi="Arial" w:cs="Arial"/>
          <w:sz w:val="20"/>
          <w:szCs w:val="20"/>
        </w:rPr>
        <w:t xml:space="preserve"> </w:t>
      </w:r>
      <w:proofErr w:type="spellStart"/>
      <w:r w:rsidR="007729C0">
        <w:rPr>
          <w:rFonts w:ascii="Arial" w:hAnsi="Arial" w:cs="Arial"/>
          <w:sz w:val="20"/>
          <w:szCs w:val="20"/>
        </w:rPr>
        <w:t>VaV</w:t>
      </w:r>
      <w:proofErr w:type="spellEnd"/>
      <w:r w:rsidR="007729C0">
        <w:rPr>
          <w:rFonts w:ascii="Arial" w:hAnsi="Arial" w:cs="Arial"/>
          <w:sz w:val="20"/>
          <w:szCs w:val="20"/>
        </w:rPr>
        <w:t xml:space="preserve"> ve vládním sektoru, stagnuje i počet </w:t>
      </w:r>
      <w:r w:rsidR="006C43EF">
        <w:rPr>
          <w:rFonts w:ascii="Arial" w:hAnsi="Arial" w:cs="Arial"/>
          <w:sz w:val="20"/>
          <w:szCs w:val="20"/>
        </w:rPr>
        <w:t xml:space="preserve">zde zaměstnaných </w:t>
      </w:r>
      <w:r w:rsidR="007729C0">
        <w:rPr>
          <w:rFonts w:ascii="Arial" w:hAnsi="Arial" w:cs="Arial"/>
          <w:sz w:val="20"/>
          <w:szCs w:val="20"/>
        </w:rPr>
        <w:t>žen</w:t>
      </w:r>
      <w:r w:rsidR="006C43EF">
        <w:rPr>
          <w:rFonts w:ascii="Arial" w:hAnsi="Arial" w:cs="Arial"/>
          <w:sz w:val="20"/>
          <w:szCs w:val="20"/>
        </w:rPr>
        <w:t>.</w:t>
      </w:r>
      <w:r w:rsidR="007729C0">
        <w:rPr>
          <w:rFonts w:ascii="Arial" w:hAnsi="Arial" w:cs="Arial"/>
          <w:sz w:val="20"/>
          <w:szCs w:val="20"/>
        </w:rPr>
        <w:t xml:space="preserve"> V posledních letech se počet žen pracujících ve </w:t>
      </w:r>
      <w:proofErr w:type="spellStart"/>
      <w:r w:rsidR="007729C0">
        <w:rPr>
          <w:rFonts w:ascii="Arial" w:hAnsi="Arial" w:cs="Arial"/>
          <w:sz w:val="20"/>
          <w:szCs w:val="20"/>
        </w:rPr>
        <w:t>VaV</w:t>
      </w:r>
      <w:proofErr w:type="spellEnd"/>
      <w:r w:rsidR="007729C0">
        <w:rPr>
          <w:rFonts w:ascii="Arial" w:hAnsi="Arial" w:cs="Arial"/>
          <w:sz w:val="20"/>
          <w:szCs w:val="20"/>
        </w:rPr>
        <w:t xml:space="preserve"> v </w:t>
      </w:r>
      <w:r w:rsidR="000C20B7">
        <w:rPr>
          <w:rFonts w:ascii="Arial" w:hAnsi="Arial" w:cs="Arial"/>
          <w:sz w:val="20"/>
          <w:szCs w:val="20"/>
        </w:rPr>
        <w:t>tomto sektoru pohybuje okolo 9,</w:t>
      </w:r>
      <w:r w:rsidR="0013614C">
        <w:rPr>
          <w:rFonts w:ascii="Arial" w:hAnsi="Arial" w:cs="Arial"/>
          <w:sz w:val="20"/>
          <w:szCs w:val="20"/>
        </w:rPr>
        <w:t>4 </w:t>
      </w:r>
      <w:r w:rsidR="007729C0">
        <w:rPr>
          <w:rFonts w:ascii="Arial" w:hAnsi="Arial" w:cs="Arial"/>
          <w:sz w:val="20"/>
          <w:szCs w:val="20"/>
        </w:rPr>
        <w:t>tisíc osob, v ukazateli přepočtených osob je to přibližně 7 tisíc osob ročně. Podíl žen na celkovém počtu pracovní</w:t>
      </w:r>
      <w:r w:rsidR="000C20B7">
        <w:rPr>
          <w:rFonts w:ascii="Arial" w:hAnsi="Arial" w:cs="Arial"/>
          <w:sz w:val="20"/>
          <w:szCs w:val="20"/>
        </w:rPr>
        <w:t xml:space="preserve">ků </w:t>
      </w:r>
      <w:proofErr w:type="spellStart"/>
      <w:r w:rsidR="000C20B7">
        <w:rPr>
          <w:rFonts w:ascii="Arial" w:hAnsi="Arial" w:cs="Arial"/>
          <w:sz w:val="20"/>
          <w:szCs w:val="20"/>
        </w:rPr>
        <w:t>VaV</w:t>
      </w:r>
      <w:proofErr w:type="spellEnd"/>
      <w:r w:rsidR="000C20B7">
        <w:rPr>
          <w:rFonts w:ascii="Arial" w:hAnsi="Arial" w:cs="Arial"/>
          <w:sz w:val="20"/>
          <w:szCs w:val="20"/>
        </w:rPr>
        <w:t xml:space="preserve"> (FTE)</w:t>
      </w:r>
      <w:r w:rsidR="00CB397B">
        <w:rPr>
          <w:rFonts w:ascii="Arial" w:hAnsi="Arial" w:cs="Arial"/>
          <w:sz w:val="20"/>
          <w:szCs w:val="20"/>
        </w:rPr>
        <w:t xml:space="preserve"> vládního</w:t>
      </w:r>
      <w:r w:rsidR="000C20B7">
        <w:rPr>
          <w:rFonts w:ascii="Arial" w:hAnsi="Arial" w:cs="Arial"/>
          <w:sz w:val="20"/>
          <w:szCs w:val="20"/>
        </w:rPr>
        <w:t xml:space="preserve"> sektoru v roce 2022</w:t>
      </w:r>
      <w:r w:rsidR="007729C0">
        <w:rPr>
          <w:rFonts w:ascii="Arial" w:hAnsi="Arial" w:cs="Arial"/>
          <w:sz w:val="20"/>
          <w:szCs w:val="20"/>
        </w:rPr>
        <w:t xml:space="preserve"> činil 48 %. Vládní sektor tak vykazuje nejvyšší podíl žen ze všech sektorů provádění. Ve většině států EU</w:t>
      </w:r>
      <w:r w:rsidR="0013614C">
        <w:rPr>
          <w:rFonts w:ascii="Arial" w:hAnsi="Arial" w:cs="Arial"/>
          <w:sz w:val="20"/>
          <w:szCs w:val="20"/>
        </w:rPr>
        <w:t>27</w:t>
      </w:r>
      <w:r w:rsidR="007729C0">
        <w:rPr>
          <w:rFonts w:ascii="Arial" w:hAnsi="Arial" w:cs="Arial"/>
          <w:sz w:val="20"/>
          <w:szCs w:val="20"/>
        </w:rPr>
        <w:t xml:space="preserve"> se podíl žen ve </w:t>
      </w:r>
      <w:proofErr w:type="spellStart"/>
      <w:r w:rsidR="007729C0">
        <w:rPr>
          <w:rFonts w:ascii="Arial" w:hAnsi="Arial" w:cs="Arial"/>
          <w:sz w:val="20"/>
          <w:szCs w:val="20"/>
        </w:rPr>
        <w:t>VaV</w:t>
      </w:r>
      <w:proofErr w:type="spellEnd"/>
      <w:r w:rsidR="007729C0">
        <w:rPr>
          <w:rFonts w:ascii="Arial" w:hAnsi="Arial" w:cs="Arial"/>
          <w:sz w:val="20"/>
          <w:szCs w:val="20"/>
        </w:rPr>
        <w:t xml:space="preserve"> v tomto sektoru pohybuje v rozmezí 40 až 60 %. Nejvíce je to</w:t>
      </w:r>
      <w:r w:rsidR="000C20B7">
        <w:rPr>
          <w:rFonts w:ascii="Arial" w:hAnsi="Arial" w:cs="Arial"/>
          <w:sz w:val="20"/>
          <w:szCs w:val="20"/>
        </w:rPr>
        <w:t xml:space="preserve"> </w:t>
      </w:r>
      <w:r w:rsidR="00CB397B">
        <w:rPr>
          <w:rFonts w:ascii="Arial" w:hAnsi="Arial" w:cs="Arial"/>
          <w:sz w:val="20"/>
          <w:szCs w:val="20"/>
        </w:rPr>
        <w:t>v Estonsku, kde ženy v roce 2021</w:t>
      </w:r>
      <w:r w:rsidR="000C20B7">
        <w:rPr>
          <w:rFonts w:ascii="Arial" w:hAnsi="Arial" w:cs="Arial"/>
          <w:sz w:val="20"/>
          <w:szCs w:val="20"/>
        </w:rPr>
        <w:t xml:space="preserve"> zaujímaly dokonce 68</w:t>
      </w:r>
      <w:r w:rsidR="007729C0">
        <w:rPr>
          <w:rFonts w:ascii="Arial" w:hAnsi="Arial" w:cs="Arial"/>
          <w:sz w:val="20"/>
          <w:szCs w:val="20"/>
        </w:rPr>
        <w:t>% podíl, následovalo Portugalsko</w:t>
      </w:r>
      <w:r w:rsidR="00931EE6">
        <w:rPr>
          <w:rFonts w:ascii="Arial" w:hAnsi="Arial" w:cs="Arial"/>
          <w:sz w:val="20"/>
          <w:szCs w:val="20"/>
        </w:rPr>
        <w:t xml:space="preserve"> s 61% podílem a Chorvatsko s 60</w:t>
      </w:r>
      <w:r w:rsidR="007729C0">
        <w:rPr>
          <w:rFonts w:ascii="Arial" w:hAnsi="Arial" w:cs="Arial"/>
          <w:sz w:val="20"/>
          <w:szCs w:val="20"/>
        </w:rPr>
        <w:t>% podílem žen. Naopak méně než 40%</w:t>
      </w:r>
      <w:r w:rsidR="00931EE6">
        <w:rPr>
          <w:rFonts w:ascii="Arial" w:hAnsi="Arial" w:cs="Arial"/>
          <w:sz w:val="20"/>
          <w:szCs w:val="20"/>
        </w:rPr>
        <w:t xml:space="preserve"> zastoupení</w:t>
      </w:r>
      <w:r w:rsidR="007729C0">
        <w:rPr>
          <w:rFonts w:ascii="Arial" w:hAnsi="Arial" w:cs="Arial"/>
          <w:sz w:val="20"/>
          <w:szCs w:val="20"/>
        </w:rPr>
        <w:t xml:space="preserve"> </w:t>
      </w:r>
      <w:r w:rsidR="000C20B7">
        <w:rPr>
          <w:rFonts w:ascii="Arial" w:hAnsi="Arial" w:cs="Arial"/>
          <w:sz w:val="20"/>
          <w:szCs w:val="20"/>
        </w:rPr>
        <w:t xml:space="preserve">žen </w:t>
      </w:r>
      <w:r w:rsidR="00931EE6">
        <w:rPr>
          <w:rFonts w:ascii="Arial" w:hAnsi="Arial" w:cs="Arial"/>
          <w:sz w:val="20"/>
          <w:szCs w:val="20"/>
        </w:rPr>
        <w:t xml:space="preserve">ve vládním sektoru </w:t>
      </w:r>
      <w:r w:rsidR="000C20B7">
        <w:rPr>
          <w:rFonts w:ascii="Arial" w:hAnsi="Arial" w:cs="Arial"/>
          <w:sz w:val="20"/>
          <w:szCs w:val="20"/>
        </w:rPr>
        <w:t>bylo pouze</w:t>
      </w:r>
      <w:r w:rsidR="007729C0">
        <w:rPr>
          <w:rFonts w:ascii="Arial" w:hAnsi="Arial" w:cs="Arial"/>
          <w:sz w:val="20"/>
          <w:szCs w:val="20"/>
        </w:rPr>
        <w:t xml:space="preserve"> v Belgii.</w:t>
      </w:r>
    </w:p>
    <w:p w14:paraId="2F4AD94D" w14:textId="336CD450" w:rsidR="00456DCA" w:rsidRPr="00E66D3A" w:rsidRDefault="00456DCA" w:rsidP="00456DCA">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22</w:t>
      </w:r>
      <w:r w:rsidRPr="00E66D3A">
        <w:rPr>
          <w:rFonts w:ascii="Arial" w:hAnsi="Arial" w:cs="Arial"/>
          <w:b/>
          <w:sz w:val="20"/>
          <w:szCs w:val="20"/>
        </w:rPr>
        <w:t xml:space="preserve">. </w:t>
      </w:r>
      <w:r w:rsidRPr="00E95F4B">
        <w:rPr>
          <w:rFonts w:ascii="Arial" w:hAnsi="Arial" w:cs="Arial"/>
          <w:b/>
          <w:sz w:val="20"/>
          <w:szCs w:val="20"/>
        </w:rPr>
        <w:t xml:space="preserve">Pracovníci ve </w:t>
      </w:r>
      <w:proofErr w:type="spellStart"/>
      <w:r w:rsidRPr="00E95F4B">
        <w:rPr>
          <w:rFonts w:ascii="Arial" w:hAnsi="Arial" w:cs="Arial"/>
          <w:b/>
          <w:sz w:val="20"/>
          <w:szCs w:val="20"/>
        </w:rPr>
        <w:t>VaV</w:t>
      </w:r>
      <w:proofErr w:type="spellEnd"/>
      <w:r w:rsidRPr="00E95F4B">
        <w:rPr>
          <w:rFonts w:ascii="Arial" w:hAnsi="Arial" w:cs="Arial"/>
          <w:b/>
          <w:sz w:val="20"/>
          <w:szCs w:val="20"/>
        </w:rPr>
        <w:t xml:space="preserve"> (FTE)* ve vládním sektoru v ČR </w:t>
      </w:r>
      <w:r w:rsidRPr="00E66D3A">
        <w:rPr>
          <w:rFonts w:ascii="Arial" w:hAnsi="Arial" w:cs="Arial"/>
          <w:b/>
          <w:sz w:val="20"/>
          <w:szCs w:val="20"/>
        </w:rPr>
        <w:t xml:space="preserve">podle </w:t>
      </w:r>
      <w:r>
        <w:rPr>
          <w:rFonts w:ascii="Arial" w:hAnsi="Arial" w:cs="Arial"/>
          <w:b/>
          <w:sz w:val="20"/>
          <w:szCs w:val="20"/>
        </w:rPr>
        <w:t xml:space="preserve">druhu subjektů a krajů </w:t>
      </w:r>
      <w:r w:rsidRPr="00E66D3A">
        <w:rPr>
          <w:rFonts w:ascii="Arial" w:hAnsi="Arial" w:cs="Arial"/>
          <w:b/>
          <w:sz w:val="20"/>
          <w:szCs w:val="20"/>
        </w:rPr>
        <w:t>(</w:t>
      </w:r>
      <w:r>
        <w:rPr>
          <w:rFonts w:ascii="Arial" w:hAnsi="Arial" w:cs="Arial"/>
          <w:b/>
          <w:sz w:val="20"/>
          <w:szCs w:val="20"/>
        </w:rPr>
        <w:t>%</w:t>
      </w:r>
      <w:r w:rsidRPr="00E66D3A">
        <w:rPr>
          <w:rFonts w:ascii="Arial" w:hAnsi="Arial" w:cs="Arial"/>
          <w:b/>
          <w:sz w:val="20"/>
          <w:szCs w:val="20"/>
        </w:rPr>
        <w:t>)</w:t>
      </w:r>
    </w:p>
    <w:p w14:paraId="657F1E96" w14:textId="4ED2FD96" w:rsidR="00456DCA" w:rsidRDefault="00456DCA" w:rsidP="00456DCA">
      <w:pPr>
        <w:tabs>
          <w:tab w:val="left" w:pos="567"/>
          <w:tab w:val="left" w:pos="5103"/>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w:t>
      </w:r>
      <w:r>
        <w:rPr>
          <w:rFonts w:ascii="Arial" w:hAnsi="Arial" w:cs="Arial"/>
          <w:b/>
          <w:i/>
          <w:sz w:val="18"/>
          <w:szCs w:val="20"/>
        </w:rPr>
        <w:t>subjektu</w:t>
      </w:r>
      <w:r w:rsidRPr="00C67BA8">
        <w:rPr>
          <w:rFonts w:ascii="Arial" w:hAnsi="Arial" w:cs="Arial"/>
          <w:b/>
          <w:i/>
          <w:sz w:val="18"/>
          <w:szCs w:val="20"/>
        </w:rPr>
        <w:t xml:space="preserve"> </w:t>
      </w:r>
      <w:r w:rsidRPr="00C67BA8">
        <w:rPr>
          <w:rFonts w:ascii="Arial" w:hAnsi="Arial" w:cs="Arial"/>
          <w:b/>
          <w:i/>
          <w:sz w:val="18"/>
          <w:szCs w:val="20"/>
        </w:rPr>
        <w:tab/>
        <w:t xml:space="preserve">b) podle </w:t>
      </w:r>
      <w:r>
        <w:rPr>
          <w:rFonts w:ascii="Arial" w:hAnsi="Arial" w:cs="Arial"/>
          <w:b/>
          <w:i/>
          <w:sz w:val="18"/>
          <w:szCs w:val="20"/>
        </w:rPr>
        <w:t>krajů</w:t>
      </w:r>
      <w:r w:rsidRPr="00C67BA8">
        <w:rPr>
          <w:rFonts w:ascii="Arial" w:hAnsi="Arial" w:cs="Arial"/>
          <w:b/>
          <w:i/>
          <w:sz w:val="18"/>
          <w:szCs w:val="20"/>
        </w:rPr>
        <w:t xml:space="preserve"> </w:t>
      </w:r>
      <w:r w:rsidRPr="00C67BA8">
        <w:rPr>
          <w:rFonts w:ascii="Arial" w:hAnsi="Arial" w:cs="Arial"/>
          <w:b/>
          <w:i/>
          <w:sz w:val="18"/>
          <w:szCs w:val="20"/>
        </w:rPr>
        <w:tab/>
      </w:r>
    </w:p>
    <w:p w14:paraId="2294F275" w14:textId="299FA63B" w:rsidR="00456DCA" w:rsidRDefault="00D51DCF" w:rsidP="00456DCA">
      <w:pPr>
        <w:tabs>
          <w:tab w:val="left" w:pos="567"/>
          <w:tab w:val="left" w:pos="5103"/>
        </w:tabs>
        <w:spacing w:after="0" w:line="288" w:lineRule="auto"/>
        <w:jc w:val="both"/>
        <w:rPr>
          <w:rFonts w:ascii="Arial" w:hAnsi="Arial" w:cs="Arial"/>
          <w:b/>
          <w:i/>
          <w:sz w:val="18"/>
          <w:szCs w:val="20"/>
        </w:rPr>
      </w:pPr>
      <w:r>
        <w:rPr>
          <w:noProof/>
          <w:lang w:eastAsia="cs-CZ"/>
        </w:rPr>
        <w:drawing>
          <wp:inline distT="0" distB="0" distL="0" distR="0" wp14:anchorId="08288333" wp14:editId="735F2656">
            <wp:extent cx="2714400" cy="2160000"/>
            <wp:effectExtent l="0" t="0" r="0" b="0"/>
            <wp:docPr id="105" name="Graf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456DCA">
        <w:rPr>
          <w:rFonts w:ascii="Arial" w:hAnsi="Arial" w:cs="Arial"/>
          <w:b/>
          <w:i/>
          <w:sz w:val="18"/>
          <w:szCs w:val="20"/>
        </w:rPr>
        <w:t xml:space="preserve">            </w:t>
      </w:r>
      <w:r>
        <w:rPr>
          <w:noProof/>
          <w:lang w:eastAsia="cs-CZ"/>
        </w:rPr>
        <w:drawing>
          <wp:inline distT="0" distB="0" distL="0" distR="0" wp14:anchorId="6CB8FF7F" wp14:editId="244EA36F">
            <wp:extent cx="2514600" cy="2160000"/>
            <wp:effectExtent l="0" t="0" r="0" b="0"/>
            <wp:docPr id="106" name="Graf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67B5BE8" w14:textId="77777777" w:rsidR="00456DCA" w:rsidRDefault="00456DCA" w:rsidP="00456DCA">
      <w:pPr>
        <w:spacing w:after="0" w:line="288" w:lineRule="auto"/>
        <w:rPr>
          <w:rFonts w:ascii="Arial" w:hAnsi="Arial" w:cs="Arial"/>
          <w:sz w:val="18"/>
          <w:szCs w:val="20"/>
        </w:rPr>
      </w:pPr>
      <w:r w:rsidRPr="00C67BA8">
        <w:rPr>
          <w:noProof/>
          <w:lang w:eastAsia="cs-CZ"/>
        </w:rPr>
        <w:t xml:space="preserve"> </w:t>
      </w:r>
      <w:r w:rsidRPr="00FA568E">
        <w:rPr>
          <w:noProof/>
          <w:lang w:eastAsia="cs-CZ"/>
        </w:rPr>
        <w:t xml:space="preserve">  </w:t>
      </w:r>
      <w:r w:rsidRPr="00C67BA8">
        <w:rPr>
          <w:noProof/>
          <w:lang w:eastAsia="cs-CZ"/>
        </w:rPr>
        <w:t xml:space="preserve"> </w:t>
      </w:r>
      <w:r>
        <w:rPr>
          <w:rFonts w:ascii="Arial" w:hAnsi="Arial" w:cs="Arial"/>
          <w:sz w:val="18"/>
          <w:szCs w:val="20"/>
        </w:rPr>
        <w:t>*</w:t>
      </w:r>
      <w:r w:rsidRPr="000B0A9C">
        <w:rPr>
          <w:rFonts w:ascii="Arial" w:hAnsi="Arial" w:cs="Arial"/>
          <w:sz w:val="18"/>
          <w:szCs w:val="20"/>
        </w:rPr>
        <w:t>přepočtené osoby na plnou pracovní dobu věnovanou výzkumným a vývojovým činnostem (FTE)</w:t>
      </w:r>
    </w:p>
    <w:p w14:paraId="7880A413" w14:textId="458196F1" w:rsidR="00456DCA" w:rsidRPr="00456DCA" w:rsidRDefault="00456DCA" w:rsidP="00456DCA">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233A1C23" w14:textId="77777777" w:rsidR="00456DCA" w:rsidRPr="00C67BA8" w:rsidRDefault="00456DCA" w:rsidP="00456DCA">
      <w:pPr>
        <w:tabs>
          <w:tab w:val="left" w:pos="567"/>
          <w:tab w:val="left" w:pos="5103"/>
        </w:tabs>
        <w:spacing w:after="0" w:line="288" w:lineRule="auto"/>
        <w:jc w:val="both"/>
        <w:rPr>
          <w:rFonts w:ascii="Arial" w:hAnsi="Arial" w:cs="Arial"/>
          <w:b/>
          <w:i/>
          <w:sz w:val="18"/>
          <w:szCs w:val="20"/>
        </w:rPr>
      </w:pPr>
    </w:p>
    <w:p w14:paraId="28209AE3" w14:textId="07B695A5" w:rsidR="007729C0" w:rsidRDefault="000C20B7" w:rsidP="00A7180F">
      <w:pPr>
        <w:spacing w:after="120" w:line="288" w:lineRule="auto"/>
        <w:jc w:val="both"/>
        <w:rPr>
          <w:rFonts w:ascii="Arial" w:hAnsi="Arial" w:cs="Arial"/>
          <w:sz w:val="20"/>
          <w:szCs w:val="20"/>
        </w:rPr>
      </w:pPr>
      <w:r>
        <w:rPr>
          <w:rFonts w:ascii="Arial" w:hAnsi="Arial" w:cs="Arial"/>
          <w:sz w:val="20"/>
          <w:szCs w:val="20"/>
        </w:rPr>
        <w:t>Na přírodní vědy v roce 2022</w:t>
      </w:r>
      <w:r w:rsidR="00C44D28">
        <w:rPr>
          <w:rFonts w:ascii="Arial" w:hAnsi="Arial" w:cs="Arial"/>
          <w:sz w:val="20"/>
          <w:szCs w:val="20"/>
        </w:rPr>
        <w:t xml:space="preserve"> připadalo celkem 62 % pra</w:t>
      </w:r>
      <w:r w:rsidR="003319E6">
        <w:rPr>
          <w:rFonts w:ascii="Arial" w:hAnsi="Arial" w:cs="Arial"/>
          <w:sz w:val="20"/>
          <w:szCs w:val="20"/>
        </w:rPr>
        <w:t xml:space="preserve">covníků </w:t>
      </w:r>
      <w:proofErr w:type="spellStart"/>
      <w:r w:rsidR="003319E6">
        <w:rPr>
          <w:rFonts w:ascii="Arial" w:hAnsi="Arial" w:cs="Arial"/>
          <w:sz w:val="20"/>
          <w:szCs w:val="20"/>
        </w:rPr>
        <w:t>VaV</w:t>
      </w:r>
      <w:proofErr w:type="spellEnd"/>
      <w:r w:rsidR="003319E6">
        <w:rPr>
          <w:rFonts w:ascii="Arial" w:hAnsi="Arial" w:cs="Arial"/>
          <w:sz w:val="20"/>
          <w:szCs w:val="20"/>
        </w:rPr>
        <w:t xml:space="preserve"> vládního</w:t>
      </w:r>
      <w:r w:rsidR="00C44D28">
        <w:rPr>
          <w:rFonts w:ascii="Arial" w:hAnsi="Arial" w:cs="Arial"/>
          <w:sz w:val="20"/>
          <w:szCs w:val="20"/>
        </w:rPr>
        <w:t xml:space="preserve"> sektoru. Pětina pracovníků </w:t>
      </w:r>
      <w:proofErr w:type="spellStart"/>
      <w:r w:rsidR="00C44D28">
        <w:rPr>
          <w:rFonts w:ascii="Arial" w:hAnsi="Arial" w:cs="Arial"/>
          <w:sz w:val="20"/>
          <w:szCs w:val="20"/>
        </w:rPr>
        <w:t>VaV</w:t>
      </w:r>
      <w:proofErr w:type="spellEnd"/>
      <w:r w:rsidR="00C44D28">
        <w:rPr>
          <w:rFonts w:ascii="Arial" w:hAnsi="Arial" w:cs="Arial"/>
          <w:sz w:val="20"/>
          <w:szCs w:val="20"/>
        </w:rPr>
        <w:t xml:space="preserve"> vládního sektoru připadala na sociální a humanitní vědy. Ve vládním sektoru v Česku jsou jen nepatrně zastoupeny technické vědy. Vyšší zastoupení žen ve vládním sektoru souvisí právě i se skladbou oborů, v nichž se v tomto sektoru bádá. </w:t>
      </w:r>
      <w:r w:rsidR="003319E6">
        <w:rPr>
          <w:rFonts w:ascii="Arial" w:hAnsi="Arial" w:cs="Arial"/>
          <w:sz w:val="20"/>
          <w:szCs w:val="20"/>
        </w:rPr>
        <w:t>V nejvýznamnějším přírodovědném výzkumu v</w:t>
      </w:r>
      <w:r>
        <w:rPr>
          <w:rFonts w:ascii="Arial" w:hAnsi="Arial" w:cs="Arial"/>
          <w:sz w:val="20"/>
          <w:szCs w:val="20"/>
        </w:rPr>
        <w:t>ládního sektoru bylo v roce 2022</w:t>
      </w:r>
      <w:r w:rsidR="003319E6">
        <w:rPr>
          <w:rFonts w:ascii="Arial" w:hAnsi="Arial" w:cs="Arial"/>
          <w:sz w:val="20"/>
          <w:szCs w:val="20"/>
        </w:rPr>
        <w:t xml:space="preserve"> zastoupení žen 44</w:t>
      </w:r>
      <w:r w:rsidR="0050575E">
        <w:rPr>
          <w:rFonts w:ascii="Arial" w:hAnsi="Arial" w:cs="Arial"/>
          <w:sz w:val="20"/>
          <w:szCs w:val="20"/>
        </w:rPr>
        <w:t> </w:t>
      </w:r>
      <w:r w:rsidR="003319E6">
        <w:rPr>
          <w:rFonts w:ascii="Arial" w:hAnsi="Arial" w:cs="Arial"/>
          <w:sz w:val="20"/>
          <w:szCs w:val="20"/>
        </w:rPr>
        <w:t>%. Nadpoloviční podíl žen byl ve čtyřech vědních oborech, v lékařských, zemědělských, sociálních a humanitních. Naopak v technických vědách byl podíl žen jen třetinový.</w:t>
      </w:r>
    </w:p>
    <w:p w14:paraId="4E65C073" w14:textId="407110A6" w:rsidR="00456DCA" w:rsidRPr="00E66D3A" w:rsidRDefault="00456DCA" w:rsidP="00456DCA">
      <w:pPr>
        <w:spacing w:after="120" w:line="288" w:lineRule="auto"/>
        <w:jc w:val="both"/>
        <w:rPr>
          <w:rFonts w:ascii="Arial" w:hAnsi="Arial" w:cs="Arial"/>
          <w:b/>
          <w:sz w:val="20"/>
          <w:szCs w:val="20"/>
        </w:rPr>
      </w:pPr>
      <w:r w:rsidRPr="00E66D3A">
        <w:rPr>
          <w:rFonts w:ascii="Arial" w:hAnsi="Arial" w:cs="Arial"/>
          <w:b/>
          <w:sz w:val="20"/>
          <w:szCs w:val="20"/>
        </w:rPr>
        <w:t xml:space="preserve">Graf </w:t>
      </w:r>
      <w:r w:rsidR="003E6964">
        <w:rPr>
          <w:rFonts w:ascii="Arial" w:hAnsi="Arial" w:cs="Arial"/>
          <w:b/>
          <w:sz w:val="20"/>
          <w:szCs w:val="20"/>
        </w:rPr>
        <w:t>23</w:t>
      </w:r>
      <w:r w:rsidRPr="00E66D3A">
        <w:rPr>
          <w:rFonts w:ascii="Arial" w:hAnsi="Arial" w:cs="Arial"/>
          <w:b/>
          <w:sz w:val="20"/>
          <w:szCs w:val="20"/>
        </w:rPr>
        <w:t xml:space="preserve">. </w:t>
      </w:r>
      <w:r w:rsidRPr="00786824">
        <w:rPr>
          <w:rFonts w:ascii="Arial" w:hAnsi="Arial" w:cs="Arial"/>
          <w:b/>
          <w:sz w:val="20"/>
          <w:szCs w:val="20"/>
        </w:rPr>
        <w:t>Prac</w:t>
      </w:r>
      <w:r>
        <w:rPr>
          <w:rFonts w:ascii="Arial" w:hAnsi="Arial" w:cs="Arial"/>
          <w:b/>
          <w:sz w:val="20"/>
          <w:szCs w:val="20"/>
        </w:rPr>
        <w:t xml:space="preserve">ovníci </w:t>
      </w:r>
      <w:r w:rsidRPr="00786824">
        <w:rPr>
          <w:rFonts w:ascii="Arial" w:hAnsi="Arial" w:cs="Arial"/>
          <w:b/>
          <w:sz w:val="20"/>
          <w:szCs w:val="20"/>
        </w:rPr>
        <w:t xml:space="preserve">ve </w:t>
      </w:r>
      <w:proofErr w:type="spellStart"/>
      <w:r>
        <w:rPr>
          <w:rFonts w:ascii="Arial" w:hAnsi="Arial" w:cs="Arial"/>
          <w:b/>
          <w:sz w:val="20"/>
          <w:szCs w:val="20"/>
        </w:rPr>
        <w:t>VaV</w:t>
      </w:r>
      <w:proofErr w:type="spellEnd"/>
      <w:r>
        <w:rPr>
          <w:rFonts w:ascii="Arial" w:hAnsi="Arial" w:cs="Arial"/>
          <w:b/>
          <w:sz w:val="20"/>
          <w:szCs w:val="20"/>
        </w:rPr>
        <w:t xml:space="preserve"> </w:t>
      </w:r>
      <w:r w:rsidRPr="00786824">
        <w:rPr>
          <w:rFonts w:ascii="Arial" w:hAnsi="Arial" w:cs="Arial"/>
          <w:b/>
          <w:sz w:val="20"/>
          <w:szCs w:val="20"/>
        </w:rPr>
        <w:t>(FTE</w:t>
      </w:r>
      <w:r>
        <w:rPr>
          <w:rFonts w:ascii="Arial" w:hAnsi="Arial" w:cs="Arial"/>
          <w:b/>
          <w:sz w:val="20"/>
          <w:szCs w:val="20"/>
        </w:rPr>
        <w:t>)* ve vládním sektoru v ČR podl</w:t>
      </w:r>
      <w:r w:rsidR="00D51DCF">
        <w:rPr>
          <w:rFonts w:ascii="Arial" w:hAnsi="Arial" w:cs="Arial"/>
          <w:b/>
          <w:sz w:val="20"/>
          <w:szCs w:val="20"/>
        </w:rPr>
        <w:t>e vybraných charakteristik; 2022</w:t>
      </w:r>
      <w:r w:rsidRPr="00786824">
        <w:rPr>
          <w:rFonts w:ascii="Arial" w:hAnsi="Arial" w:cs="Arial"/>
          <w:b/>
          <w:sz w:val="20"/>
          <w:szCs w:val="20"/>
        </w:rPr>
        <w:t xml:space="preserve"> (%)</w:t>
      </w:r>
    </w:p>
    <w:p w14:paraId="3094EC8C" w14:textId="77777777" w:rsidR="00456DCA" w:rsidRPr="00C67BA8" w:rsidRDefault="00456DCA" w:rsidP="00456DCA">
      <w:pPr>
        <w:tabs>
          <w:tab w:val="left" w:pos="851"/>
          <w:tab w:val="left" w:pos="3544"/>
          <w:tab w:val="left" w:pos="6663"/>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w:t>
      </w:r>
      <w:r>
        <w:rPr>
          <w:rFonts w:ascii="Arial" w:hAnsi="Arial" w:cs="Arial"/>
          <w:b/>
          <w:i/>
          <w:sz w:val="18"/>
          <w:szCs w:val="20"/>
        </w:rPr>
        <w:t>pohlaví</w:t>
      </w:r>
      <w:r w:rsidRPr="00C67BA8">
        <w:rPr>
          <w:rFonts w:ascii="Arial" w:hAnsi="Arial" w:cs="Arial"/>
          <w:b/>
          <w:i/>
          <w:sz w:val="18"/>
          <w:szCs w:val="20"/>
        </w:rPr>
        <w:t xml:space="preserve"> </w:t>
      </w:r>
      <w:r w:rsidRPr="00C67BA8">
        <w:rPr>
          <w:rFonts w:ascii="Arial" w:hAnsi="Arial" w:cs="Arial"/>
          <w:b/>
          <w:i/>
          <w:sz w:val="18"/>
          <w:szCs w:val="20"/>
        </w:rPr>
        <w:tab/>
      </w:r>
      <w:r>
        <w:rPr>
          <w:rFonts w:ascii="Arial" w:hAnsi="Arial" w:cs="Arial"/>
          <w:b/>
          <w:i/>
          <w:sz w:val="18"/>
          <w:szCs w:val="20"/>
        </w:rPr>
        <w:t>b</w:t>
      </w:r>
      <w:r w:rsidRPr="008172FB">
        <w:rPr>
          <w:rFonts w:ascii="Arial" w:hAnsi="Arial" w:cs="Arial"/>
          <w:b/>
          <w:i/>
          <w:sz w:val="18"/>
          <w:szCs w:val="20"/>
        </w:rPr>
        <w:t xml:space="preserve">) podle </w:t>
      </w:r>
      <w:r>
        <w:rPr>
          <w:rFonts w:ascii="Arial" w:hAnsi="Arial" w:cs="Arial"/>
          <w:b/>
          <w:i/>
          <w:sz w:val="18"/>
          <w:szCs w:val="20"/>
        </w:rPr>
        <w:t xml:space="preserve">typu </w:t>
      </w:r>
      <w:proofErr w:type="spellStart"/>
      <w:r>
        <w:rPr>
          <w:rFonts w:ascii="Arial" w:hAnsi="Arial" w:cs="Arial"/>
          <w:b/>
          <w:i/>
          <w:sz w:val="18"/>
          <w:szCs w:val="20"/>
        </w:rPr>
        <w:t>VaV</w:t>
      </w:r>
      <w:proofErr w:type="spellEnd"/>
      <w:r>
        <w:rPr>
          <w:rFonts w:ascii="Arial" w:hAnsi="Arial" w:cs="Arial"/>
          <w:b/>
          <w:i/>
          <w:sz w:val="18"/>
          <w:szCs w:val="20"/>
        </w:rPr>
        <w:t xml:space="preserve"> pracovníků</w:t>
      </w:r>
      <w:r>
        <w:rPr>
          <w:rFonts w:ascii="Arial" w:hAnsi="Arial" w:cs="Arial"/>
          <w:b/>
          <w:i/>
          <w:sz w:val="18"/>
          <w:szCs w:val="20"/>
        </w:rPr>
        <w:tab/>
        <w:t>c) podle převažující vědní oblasti</w:t>
      </w:r>
      <w:r w:rsidRPr="00C67BA8">
        <w:rPr>
          <w:rFonts w:ascii="Arial" w:hAnsi="Arial" w:cs="Arial"/>
          <w:b/>
          <w:i/>
          <w:sz w:val="18"/>
          <w:szCs w:val="20"/>
        </w:rPr>
        <w:t xml:space="preserve"> </w:t>
      </w:r>
    </w:p>
    <w:p w14:paraId="398E140B" w14:textId="4FD5ACC4" w:rsidR="00456DCA" w:rsidRDefault="00D51DCF" w:rsidP="00A7180F">
      <w:pPr>
        <w:spacing w:after="120" w:line="288" w:lineRule="auto"/>
        <w:jc w:val="both"/>
        <w:rPr>
          <w:noProof/>
          <w:lang w:eastAsia="cs-CZ"/>
        </w:rPr>
      </w:pPr>
      <w:r>
        <w:rPr>
          <w:noProof/>
          <w:lang w:eastAsia="cs-CZ"/>
        </w:rPr>
        <w:drawing>
          <wp:inline distT="0" distB="0" distL="0" distR="0" wp14:anchorId="5BC98430" wp14:editId="60648223">
            <wp:extent cx="1800000" cy="2160000"/>
            <wp:effectExtent l="0" t="0" r="0" b="0"/>
            <wp:docPr id="107" name="Graf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3E6964">
        <w:rPr>
          <w:noProof/>
          <w:lang w:eastAsia="cs-CZ"/>
        </w:rPr>
        <w:t xml:space="preserve">   </w:t>
      </w:r>
      <w:r w:rsidR="00456DCA" w:rsidRPr="00456DCA">
        <w:rPr>
          <w:noProof/>
          <w:lang w:eastAsia="cs-CZ"/>
        </w:rPr>
        <w:t xml:space="preserve"> </w:t>
      </w:r>
      <w:r>
        <w:rPr>
          <w:noProof/>
          <w:lang w:eastAsia="cs-CZ"/>
        </w:rPr>
        <w:drawing>
          <wp:inline distT="0" distB="0" distL="0" distR="0" wp14:anchorId="3FBA9E12" wp14:editId="3CD1C454">
            <wp:extent cx="1800000" cy="2160000"/>
            <wp:effectExtent l="0" t="0" r="0" b="0"/>
            <wp:docPr id="108" name="Graf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3E6964" w:rsidRPr="003E6964">
        <w:rPr>
          <w:noProof/>
          <w:lang w:eastAsia="cs-CZ"/>
        </w:rPr>
        <w:t xml:space="preserve"> </w:t>
      </w:r>
      <w:r w:rsidR="003E6964">
        <w:rPr>
          <w:noProof/>
          <w:lang w:eastAsia="cs-CZ"/>
        </w:rPr>
        <w:t xml:space="preserve">  </w:t>
      </w:r>
      <w:r>
        <w:rPr>
          <w:noProof/>
          <w:lang w:eastAsia="cs-CZ"/>
        </w:rPr>
        <w:drawing>
          <wp:inline distT="0" distB="0" distL="0" distR="0" wp14:anchorId="5351C12E" wp14:editId="481362F2">
            <wp:extent cx="2340000" cy="2160000"/>
            <wp:effectExtent l="0" t="0" r="3175" b="0"/>
            <wp:docPr id="109" name="Graf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004F67E" w14:textId="77777777" w:rsidR="003E6964" w:rsidRDefault="003E6964" w:rsidP="003E6964">
      <w:pPr>
        <w:spacing w:after="40" w:line="288" w:lineRule="auto"/>
        <w:rPr>
          <w:rFonts w:ascii="Arial" w:hAnsi="Arial" w:cs="Arial"/>
          <w:sz w:val="18"/>
          <w:szCs w:val="20"/>
        </w:rPr>
      </w:pPr>
      <w:r>
        <w:rPr>
          <w:rFonts w:ascii="Arial" w:hAnsi="Arial" w:cs="Arial"/>
          <w:sz w:val="18"/>
          <w:szCs w:val="20"/>
        </w:rPr>
        <w:t>*</w:t>
      </w:r>
      <w:r w:rsidRPr="000B0A9C">
        <w:rPr>
          <w:rFonts w:ascii="Arial" w:hAnsi="Arial" w:cs="Arial"/>
          <w:sz w:val="18"/>
          <w:szCs w:val="20"/>
        </w:rPr>
        <w:t>přepočtené osoby na plnou pracovní dobu věnovanou výzkumným a vývojovým činnostem (FTE)</w:t>
      </w:r>
    </w:p>
    <w:p w14:paraId="64BF10DF" w14:textId="6922B3C3" w:rsidR="009E557A" w:rsidRPr="003E6964" w:rsidRDefault="003E6964" w:rsidP="003E6964">
      <w:pPr>
        <w:spacing w:after="120" w:line="288" w:lineRule="auto"/>
        <w:jc w:val="right"/>
        <w:rPr>
          <w:rFonts w:ascii="Arial" w:hAnsi="Arial" w:cs="Arial"/>
          <w:i/>
          <w:sz w:val="18"/>
          <w:szCs w:val="20"/>
        </w:rPr>
      </w:pPr>
      <w:r w:rsidRPr="003E6964">
        <w:rPr>
          <w:rFonts w:ascii="Arial" w:hAnsi="Arial" w:cs="Arial"/>
          <w:i/>
          <w:sz w:val="18"/>
          <w:szCs w:val="20"/>
        </w:rPr>
        <w:t>Zdroj: ČSÚ; Roční zjišťování o výzkumu a vývoji VTR 5-01</w:t>
      </w:r>
    </w:p>
    <w:p w14:paraId="5A1129DD" w14:textId="2EA50438" w:rsidR="00963004" w:rsidRPr="00456552" w:rsidRDefault="00963004" w:rsidP="00DB3518">
      <w:pPr>
        <w:pageBreakBefore/>
        <w:spacing w:after="120" w:line="288" w:lineRule="auto"/>
        <w:jc w:val="both"/>
        <w:rPr>
          <w:rFonts w:ascii="Arial" w:hAnsi="Arial" w:cs="Arial"/>
          <w:b/>
          <w:color w:val="009BB4"/>
          <w:sz w:val="24"/>
          <w:szCs w:val="24"/>
        </w:rPr>
      </w:pPr>
      <w:r>
        <w:rPr>
          <w:rFonts w:ascii="Arial" w:hAnsi="Arial" w:cs="Arial"/>
          <w:b/>
          <w:color w:val="009BB4"/>
          <w:sz w:val="24"/>
          <w:szCs w:val="24"/>
        </w:rPr>
        <w:lastRenderedPageBreak/>
        <w:t>Výzkum a vývoj prováděný ve vysokoškolském sektoru</w:t>
      </w:r>
    </w:p>
    <w:p w14:paraId="2C06DCAF" w14:textId="65C9E5FF" w:rsidR="00D4262D" w:rsidRDefault="00963004" w:rsidP="001A67C4">
      <w:pPr>
        <w:spacing w:after="120" w:line="288" w:lineRule="auto"/>
        <w:jc w:val="both"/>
        <w:rPr>
          <w:rFonts w:ascii="Arial" w:hAnsi="Arial" w:cs="Arial"/>
          <w:sz w:val="20"/>
          <w:szCs w:val="20"/>
        </w:rPr>
      </w:pPr>
      <w:r w:rsidRPr="000D62BD">
        <w:rPr>
          <w:rFonts w:ascii="Arial" w:hAnsi="Arial" w:cs="Arial"/>
          <w:sz w:val="20"/>
          <w:szCs w:val="20"/>
        </w:rPr>
        <w:t xml:space="preserve">Výdaje na </w:t>
      </w:r>
      <w:proofErr w:type="spellStart"/>
      <w:r w:rsidRPr="000D62BD">
        <w:rPr>
          <w:rFonts w:ascii="Arial" w:hAnsi="Arial" w:cs="Arial"/>
          <w:sz w:val="20"/>
          <w:szCs w:val="20"/>
        </w:rPr>
        <w:t>VaV</w:t>
      </w:r>
      <w:proofErr w:type="spellEnd"/>
      <w:r w:rsidRPr="000D62BD">
        <w:rPr>
          <w:rFonts w:ascii="Arial" w:hAnsi="Arial" w:cs="Arial"/>
          <w:sz w:val="20"/>
          <w:szCs w:val="20"/>
        </w:rPr>
        <w:t xml:space="preserve"> ve v</w:t>
      </w:r>
      <w:r w:rsidR="00926C9B">
        <w:rPr>
          <w:rFonts w:ascii="Arial" w:hAnsi="Arial" w:cs="Arial"/>
          <w:sz w:val="20"/>
          <w:szCs w:val="20"/>
        </w:rPr>
        <w:t xml:space="preserve">ysokoškolském </w:t>
      </w:r>
      <w:r w:rsidR="00600970">
        <w:rPr>
          <w:rFonts w:ascii="Arial" w:hAnsi="Arial" w:cs="Arial"/>
          <w:sz w:val="20"/>
          <w:szCs w:val="20"/>
        </w:rPr>
        <w:t>sektoru meziročně vzrostly o 5</w:t>
      </w:r>
      <w:r w:rsidRPr="000D62BD">
        <w:rPr>
          <w:rFonts w:ascii="Arial" w:hAnsi="Arial" w:cs="Arial"/>
          <w:sz w:val="20"/>
          <w:szCs w:val="20"/>
        </w:rPr>
        <w:t xml:space="preserve"> % a dosáhly </w:t>
      </w:r>
      <w:r w:rsidR="00600970">
        <w:rPr>
          <w:rFonts w:ascii="Arial" w:hAnsi="Arial" w:cs="Arial"/>
          <w:sz w:val="20"/>
          <w:szCs w:val="20"/>
        </w:rPr>
        <w:t>25</w:t>
      </w:r>
      <w:r>
        <w:rPr>
          <w:rFonts w:ascii="Arial" w:hAnsi="Arial" w:cs="Arial"/>
          <w:sz w:val="20"/>
          <w:szCs w:val="20"/>
        </w:rPr>
        <w:t>,</w:t>
      </w:r>
      <w:r w:rsidR="00600970">
        <w:rPr>
          <w:rFonts w:ascii="Arial" w:hAnsi="Arial" w:cs="Arial"/>
          <w:sz w:val="20"/>
          <w:szCs w:val="20"/>
        </w:rPr>
        <w:t>9</w:t>
      </w:r>
      <w:r>
        <w:rPr>
          <w:rFonts w:ascii="Arial" w:hAnsi="Arial" w:cs="Arial"/>
          <w:sz w:val="20"/>
          <w:szCs w:val="20"/>
        </w:rPr>
        <w:t xml:space="preserve"> mld. Kč. </w:t>
      </w:r>
      <w:r w:rsidR="00600970">
        <w:rPr>
          <w:rFonts w:ascii="Arial" w:hAnsi="Arial" w:cs="Arial"/>
          <w:sz w:val="20"/>
          <w:szCs w:val="20"/>
        </w:rPr>
        <w:t>Jednalo se o největší meziroční nárůst od roku 2019. Po</w:t>
      </w:r>
      <w:r w:rsidR="003319E6">
        <w:rPr>
          <w:rFonts w:ascii="Arial" w:hAnsi="Arial" w:cs="Arial"/>
          <w:sz w:val="20"/>
          <w:szCs w:val="20"/>
        </w:rPr>
        <w:t xml:space="preserve"> ro</w:t>
      </w:r>
      <w:r w:rsidR="00600970">
        <w:rPr>
          <w:rFonts w:ascii="Arial" w:hAnsi="Arial" w:cs="Arial"/>
          <w:sz w:val="20"/>
          <w:szCs w:val="20"/>
        </w:rPr>
        <w:t>ce</w:t>
      </w:r>
      <w:r w:rsidR="003319E6">
        <w:rPr>
          <w:rFonts w:ascii="Arial" w:hAnsi="Arial" w:cs="Arial"/>
          <w:sz w:val="20"/>
          <w:szCs w:val="20"/>
        </w:rPr>
        <w:t xml:space="preserve"> 2019 výdaje na </w:t>
      </w:r>
      <w:proofErr w:type="spellStart"/>
      <w:r w:rsidR="003319E6">
        <w:rPr>
          <w:rFonts w:ascii="Arial" w:hAnsi="Arial" w:cs="Arial"/>
          <w:sz w:val="20"/>
          <w:szCs w:val="20"/>
        </w:rPr>
        <w:t>VaV</w:t>
      </w:r>
      <w:proofErr w:type="spellEnd"/>
      <w:r w:rsidR="003319E6">
        <w:rPr>
          <w:rFonts w:ascii="Arial" w:hAnsi="Arial" w:cs="Arial"/>
          <w:sz w:val="20"/>
          <w:szCs w:val="20"/>
        </w:rPr>
        <w:t xml:space="preserve"> ve vysokoškolském sektoru stagn</w:t>
      </w:r>
      <w:r w:rsidR="00600970">
        <w:rPr>
          <w:rFonts w:ascii="Arial" w:hAnsi="Arial" w:cs="Arial"/>
          <w:sz w:val="20"/>
          <w:szCs w:val="20"/>
        </w:rPr>
        <w:t>ovaly</w:t>
      </w:r>
      <w:r w:rsidR="003319E6">
        <w:rPr>
          <w:rFonts w:ascii="Arial" w:hAnsi="Arial" w:cs="Arial"/>
          <w:sz w:val="20"/>
          <w:szCs w:val="20"/>
        </w:rPr>
        <w:t>. V průběhu dvou let se navýšily</w:t>
      </w:r>
      <w:r w:rsidR="002B69DA">
        <w:rPr>
          <w:rFonts w:ascii="Arial" w:hAnsi="Arial" w:cs="Arial"/>
          <w:sz w:val="20"/>
          <w:szCs w:val="20"/>
        </w:rPr>
        <w:t xml:space="preserve"> jen</w:t>
      </w:r>
      <w:r w:rsidR="003319E6">
        <w:rPr>
          <w:rFonts w:ascii="Arial" w:hAnsi="Arial" w:cs="Arial"/>
          <w:sz w:val="20"/>
          <w:szCs w:val="20"/>
        </w:rPr>
        <w:t xml:space="preserve"> o 0,4 mld. Kč, nejméně ze tří hlavních sektorů. </w:t>
      </w:r>
      <w:r w:rsidR="00600970">
        <w:rPr>
          <w:rFonts w:ascii="Arial" w:hAnsi="Arial" w:cs="Arial"/>
          <w:sz w:val="20"/>
          <w:szCs w:val="20"/>
        </w:rPr>
        <w:t>V roce 2022 došlo k meziročnímu navýšení o 1,2 mld. Kč</w:t>
      </w:r>
      <w:r w:rsidR="00FD2F59">
        <w:rPr>
          <w:rFonts w:ascii="Arial" w:hAnsi="Arial" w:cs="Arial"/>
          <w:sz w:val="20"/>
          <w:szCs w:val="20"/>
        </w:rPr>
        <w:t xml:space="preserve"> a</w:t>
      </w:r>
      <w:r w:rsidR="00600970">
        <w:rPr>
          <w:rFonts w:ascii="Arial" w:hAnsi="Arial" w:cs="Arial"/>
          <w:sz w:val="20"/>
          <w:szCs w:val="20"/>
        </w:rPr>
        <w:t xml:space="preserve"> </w:t>
      </w:r>
      <w:r w:rsidR="00BC2B26">
        <w:rPr>
          <w:rFonts w:ascii="Arial" w:hAnsi="Arial" w:cs="Arial"/>
          <w:sz w:val="20"/>
          <w:szCs w:val="20"/>
        </w:rPr>
        <w:t>p</w:t>
      </w:r>
      <w:r w:rsidR="005236DC">
        <w:rPr>
          <w:rFonts w:ascii="Arial" w:hAnsi="Arial" w:cs="Arial"/>
          <w:sz w:val="20"/>
          <w:szCs w:val="20"/>
        </w:rPr>
        <w:t xml:space="preserve">odíl vysokoškolského sektoru na celkových výdajích na </w:t>
      </w:r>
      <w:proofErr w:type="spellStart"/>
      <w:r w:rsidR="005236DC">
        <w:rPr>
          <w:rFonts w:ascii="Arial" w:hAnsi="Arial" w:cs="Arial"/>
          <w:sz w:val="20"/>
          <w:szCs w:val="20"/>
        </w:rPr>
        <w:t>VaV</w:t>
      </w:r>
      <w:proofErr w:type="spellEnd"/>
      <w:r w:rsidR="00FD2F59">
        <w:rPr>
          <w:rFonts w:ascii="Arial" w:hAnsi="Arial" w:cs="Arial"/>
          <w:sz w:val="20"/>
          <w:szCs w:val="20"/>
        </w:rPr>
        <w:t xml:space="preserve"> činil 19</w:t>
      </w:r>
      <w:r w:rsidR="001C359E">
        <w:rPr>
          <w:rFonts w:ascii="Arial" w:hAnsi="Arial" w:cs="Arial"/>
          <w:sz w:val="20"/>
          <w:szCs w:val="20"/>
        </w:rPr>
        <w:t> </w:t>
      </w:r>
      <w:r w:rsidR="005236DC">
        <w:rPr>
          <w:rFonts w:ascii="Arial" w:hAnsi="Arial" w:cs="Arial"/>
          <w:sz w:val="20"/>
          <w:szCs w:val="20"/>
        </w:rPr>
        <w:t>%. Jedná se o podíl lehce pod průměrem EU</w:t>
      </w:r>
      <w:r w:rsidR="001C359E">
        <w:rPr>
          <w:rFonts w:ascii="Arial" w:hAnsi="Arial" w:cs="Arial"/>
          <w:sz w:val="20"/>
          <w:szCs w:val="20"/>
        </w:rPr>
        <w:t>27</w:t>
      </w:r>
      <w:r w:rsidR="005236DC">
        <w:rPr>
          <w:rFonts w:ascii="Arial" w:hAnsi="Arial" w:cs="Arial"/>
          <w:sz w:val="20"/>
          <w:szCs w:val="20"/>
        </w:rPr>
        <w:t>, který byl v</w:t>
      </w:r>
      <w:r w:rsidR="00BC2B26">
        <w:rPr>
          <w:rFonts w:ascii="Arial" w:hAnsi="Arial" w:cs="Arial"/>
          <w:sz w:val="20"/>
          <w:szCs w:val="20"/>
        </w:rPr>
        <w:t>e stejném</w:t>
      </w:r>
      <w:r w:rsidR="005236DC">
        <w:rPr>
          <w:rFonts w:ascii="Arial" w:hAnsi="Arial" w:cs="Arial"/>
          <w:sz w:val="20"/>
          <w:szCs w:val="20"/>
        </w:rPr>
        <w:t> roce 22</w:t>
      </w:r>
      <w:r w:rsidR="001C359E">
        <w:rPr>
          <w:rFonts w:ascii="Arial" w:hAnsi="Arial" w:cs="Arial"/>
          <w:sz w:val="20"/>
          <w:szCs w:val="20"/>
        </w:rPr>
        <w:t> </w:t>
      </w:r>
      <w:r w:rsidR="005236DC">
        <w:rPr>
          <w:rFonts w:ascii="Arial" w:hAnsi="Arial" w:cs="Arial"/>
          <w:sz w:val="20"/>
          <w:szCs w:val="20"/>
        </w:rPr>
        <w:t>%.</w:t>
      </w:r>
      <w:r w:rsidR="00A00711">
        <w:rPr>
          <w:rFonts w:ascii="Arial" w:hAnsi="Arial" w:cs="Arial"/>
          <w:sz w:val="20"/>
          <w:szCs w:val="20"/>
        </w:rPr>
        <w:t xml:space="preserve"> </w:t>
      </w:r>
      <w:r w:rsidR="005236DC">
        <w:rPr>
          <w:rFonts w:ascii="Arial" w:hAnsi="Arial" w:cs="Arial"/>
          <w:sz w:val="20"/>
          <w:szCs w:val="20"/>
        </w:rPr>
        <w:t>V </w:t>
      </w:r>
      <w:r w:rsidR="00FD2F59">
        <w:rPr>
          <w:rFonts w:ascii="Arial" w:hAnsi="Arial" w:cs="Arial"/>
          <w:sz w:val="20"/>
          <w:szCs w:val="20"/>
        </w:rPr>
        <w:t>osmi</w:t>
      </w:r>
      <w:r w:rsidR="005236DC">
        <w:rPr>
          <w:rFonts w:ascii="Arial" w:hAnsi="Arial" w:cs="Arial"/>
          <w:sz w:val="20"/>
          <w:szCs w:val="20"/>
        </w:rPr>
        <w:t xml:space="preserve"> státech EU</w:t>
      </w:r>
      <w:r w:rsidR="001C359E">
        <w:rPr>
          <w:rFonts w:ascii="Arial" w:hAnsi="Arial" w:cs="Arial"/>
          <w:sz w:val="20"/>
          <w:szCs w:val="20"/>
        </w:rPr>
        <w:t>27</w:t>
      </w:r>
      <w:r w:rsidR="005236DC">
        <w:rPr>
          <w:rFonts w:ascii="Arial" w:hAnsi="Arial" w:cs="Arial"/>
          <w:sz w:val="20"/>
          <w:szCs w:val="20"/>
        </w:rPr>
        <w:t xml:space="preserve"> zaujímal </w:t>
      </w:r>
      <w:r w:rsidR="00317B4A">
        <w:rPr>
          <w:rFonts w:ascii="Arial" w:hAnsi="Arial" w:cs="Arial"/>
          <w:sz w:val="20"/>
          <w:szCs w:val="20"/>
        </w:rPr>
        <w:t>vysokoškolský</w:t>
      </w:r>
      <w:r w:rsidR="005236DC">
        <w:rPr>
          <w:rFonts w:ascii="Arial" w:hAnsi="Arial" w:cs="Arial"/>
          <w:sz w:val="20"/>
          <w:szCs w:val="20"/>
        </w:rPr>
        <w:t xml:space="preserve"> sektor více než 30% podíl. V Lotyšsku </w:t>
      </w:r>
      <w:r w:rsidR="00317B4A">
        <w:rPr>
          <w:rFonts w:ascii="Arial" w:hAnsi="Arial" w:cs="Arial"/>
          <w:sz w:val="20"/>
          <w:szCs w:val="20"/>
        </w:rPr>
        <w:t>jako jediném státu EU</w:t>
      </w:r>
      <w:r w:rsidR="001C359E">
        <w:rPr>
          <w:rFonts w:ascii="Arial" w:hAnsi="Arial" w:cs="Arial"/>
          <w:sz w:val="20"/>
          <w:szCs w:val="20"/>
        </w:rPr>
        <w:t>27</w:t>
      </w:r>
      <w:r w:rsidR="00317B4A">
        <w:rPr>
          <w:rFonts w:ascii="Arial" w:hAnsi="Arial" w:cs="Arial"/>
          <w:sz w:val="20"/>
          <w:szCs w:val="20"/>
        </w:rPr>
        <w:t xml:space="preserve"> má vysokoškolský sektor dlouhodobě více než 40% podíl na celkových výdajích na </w:t>
      </w:r>
      <w:proofErr w:type="spellStart"/>
      <w:r w:rsidR="00317B4A">
        <w:rPr>
          <w:rFonts w:ascii="Arial" w:hAnsi="Arial" w:cs="Arial"/>
          <w:sz w:val="20"/>
          <w:szCs w:val="20"/>
        </w:rPr>
        <w:t>VaV</w:t>
      </w:r>
      <w:proofErr w:type="spellEnd"/>
      <w:r w:rsidR="00317B4A">
        <w:rPr>
          <w:rFonts w:ascii="Arial" w:hAnsi="Arial" w:cs="Arial"/>
          <w:sz w:val="20"/>
          <w:szCs w:val="20"/>
        </w:rPr>
        <w:t>.</w:t>
      </w:r>
    </w:p>
    <w:p w14:paraId="74DEFC10" w14:textId="5B55DA42" w:rsidR="003E6964" w:rsidRDefault="003E6964" w:rsidP="003E6964">
      <w:pPr>
        <w:spacing w:after="0" w:line="288" w:lineRule="auto"/>
        <w:jc w:val="both"/>
        <w:rPr>
          <w:rFonts w:ascii="Arial" w:hAnsi="Arial" w:cs="Arial"/>
          <w:b/>
          <w:sz w:val="20"/>
          <w:szCs w:val="20"/>
        </w:rPr>
      </w:pPr>
      <w:r w:rsidRPr="00253397">
        <w:rPr>
          <w:rFonts w:ascii="Arial" w:hAnsi="Arial" w:cs="Arial"/>
          <w:b/>
          <w:sz w:val="20"/>
          <w:szCs w:val="20"/>
        </w:rPr>
        <w:t xml:space="preserve">Graf </w:t>
      </w:r>
      <w:r>
        <w:rPr>
          <w:rFonts w:ascii="Arial" w:hAnsi="Arial" w:cs="Arial"/>
          <w:b/>
          <w:sz w:val="20"/>
          <w:szCs w:val="20"/>
        </w:rPr>
        <w:t>24</w:t>
      </w:r>
      <w:r w:rsidRPr="00253397">
        <w:rPr>
          <w:rFonts w:ascii="Arial" w:hAnsi="Arial" w:cs="Arial"/>
          <w:b/>
          <w:sz w:val="20"/>
          <w:szCs w:val="20"/>
        </w:rPr>
        <w:t xml:space="preserve">. </w:t>
      </w:r>
      <w:r>
        <w:rPr>
          <w:rFonts w:ascii="Arial" w:hAnsi="Arial" w:cs="Arial"/>
          <w:b/>
          <w:sz w:val="20"/>
          <w:szCs w:val="20"/>
        </w:rPr>
        <w:t>Výzkum a vývoj ve vysokoškolském sektoru v Česku – základní ukazatele</w:t>
      </w:r>
    </w:p>
    <w:p w14:paraId="07A30446" w14:textId="3D3B65A6" w:rsidR="003E6964" w:rsidRDefault="008B12BA" w:rsidP="003E6964">
      <w:pPr>
        <w:spacing w:after="0" w:line="288" w:lineRule="auto"/>
        <w:jc w:val="both"/>
        <w:rPr>
          <w:rFonts w:ascii="Arial" w:hAnsi="Arial" w:cs="Arial"/>
          <w:b/>
          <w:sz w:val="20"/>
          <w:szCs w:val="20"/>
        </w:rPr>
      </w:pPr>
      <w:r>
        <w:rPr>
          <w:noProof/>
          <w:lang w:eastAsia="cs-CZ"/>
        </w:rPr>
        <w:drawing>
          <wp:inline distT="0" distB="0" distL="0" distR="0" wp14:anchorId="2AB76C1F" wp14:editId="16611DFC">
            <wp:extent cx="6036945" cy="2695575"/>
            <wp:effectExtent l="0" t="0" r="1905" b="0"/>
            <wp:docPr id="110" name="Graf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B6844C4" w14:textId="0C25A15D" w:rsidR="003E6964" w:rsidRPr="003E6964" w:rsidRDefault="003E6964" w:rsidP="003E6964">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5CCEAB17" w14:textId="682879E4" w:rsidR="0003455D" w:rsidRDefault="00C72BAC" w:rsidP="001A67C4">
      <w:pPr>
        <w:spacing w:after="120" w:line="288" w:lineRule="auto"/>
        <w:jc w:val="both"/>
        <w:rPr>
          <w:rFonts w:ascii="Arial" w:hAnsi="Arial" w:cs="Arial"/>
          <w:sz w:val="20"/>
          <w:szCs w:val="20"/>
        </w:rPr>
      </w:pPr>
      <w:r>
        <w:rPr>
          <w:rFonts w:ascii="Arial" w:hAnsi="Arial" w:cs="Arial"/>
          <w:sz w:val="20"/>
          <w:szCs w:val="20"/>
        </w:rPr>
        <w:t xml:space="preserve">V podílovém ukazateli výdajů na </w:t>
      </w:r>
      <w:proofErr w:type="spellStart"/>
      <w:r>
        <w:rPr>
          <w:rFonts w:ascii="Arial" w:hAnsi="Arial" w:cs="Arial"/>
          <w:sz w:val="20"/>
          <w:szCs w:val="20"/>
        </w:rPr>
        <w:t>VaV</w:t>
      </w:r>
      <w:proofErr w:type="spellEnd"/>
      <w:r>
        <w:rPr>
          <w:rFonts w:ascii="Arial" w:hAnsi="Arial" w:cs="Arial"/>
          <w:sz w:val="20"/>
          <w:szCs w:val="20"/>
        </w:rPr>
        <w:t xml:space="preserve"> na HDP, vysokoškolský sektor v Česku </w:t>
      </w:r>
      <w:r w:rsidR="00FD2F59">
        <w:rPr>
          <w:rFonts w:ascii="Arial" w:hAnsi="Arial" w:cs="Arial"/>
          <w:sz w:val="20"/>
          <w:szCs w:val="20"/>
        </w:rPr>
        <w:t>poprvé od roku 2017 klesl pod 0,4 %. V roce 2022 to bylo 0,38</w:t>
      </w:r>
      <w:r>
        <w:rPr>
          <w:rFonts w:ascii="Arial" w:hAnsi="Arial" w:cs="Arial"/>
          <w:sz w:val="20"/>
          <w:szCs w:val="20"/>
        </w:rPr>
        <w:t xml:space="preserve"> % HDP. To je přibližně o 0,1 procentního bodu méně než v letech 2012 až 2015, kdy se tento podíl pohyboval okolo 0,5 % HDP. Česko v posledních letech v tomto ukazateli zaostává za pr</w:t>
      </w:r>
      <w:r w:rsidR="00FD2F59">
        <w:rPr>
          <w:rFonts w:ascii="Arial" w:hAnsi="Arial" w:cs="Arial"/>
          <w:sz w:val="20"/>
          <w:szCs w:val="20"/>
        </w:rPr>
        <w:t>ůměrem EU</w:t>
      </w:r>
      <w:r w:rsidR="00171639">
        <w:rPr>
          <w:rFonts w:ascii="Arial" w:hAnsi="Arial" w:cs="Arial"/>
          <w:sz w:val="20"/>
          <w:szCs w:val="20"/>
        </w:rPr>
        <w:t>27</w:t>
      </w:r>
      <w:r w:rsidR="00FD2F59">
        <w:rPr>
          <w:rFonts w:ascii="Arial" w:hAnsi="Arial" w:cs="Arial"/>
          <w:sz w:val="20"/>
          <w:szCs w:val="20"/>
        </w:rPr>
        <w:t>, který byl v roce 2022</w:t>
      </w:r>
      <w:r w:rsidR="00367212">
        <w:rPr>
          <w:rFonts w:ascii="Arial" w:hAnsi="Arial" w:cs="Arial"/>
          <w:sz w:val="20"/>
          <w:szCs w:val="20"/>
        </w:rPr>
        <w:t xml:space="preserve"> 0,48</w:t>
      </w:r>
      <w:r>
        <w:rPr>
          <w:rFonts w:ascii="Arial" w:hAnsi="Arial" w:cs="Arial"/>
          <w:sz w:val="20"/>
          <w:szCs w:val="20"/>
        </w:rPr>
        <w:t xml:space="preserve"> % HDP. Lídrem v </w:t>
      </w:r>
      <w:r w:rsidR="00367212">
        <w:rPr>
          <w:rFonts w:ascii="Arial" w:hAnsi="Arial" w:cs="Arial"/>
          <w:sz w:val="20"/>
          <w:szCs w:val="20"/>
        </w:rPr>
        <w:t>tomto ukazateli je Dánsko s více než 0,9</w:t>
      </w:r>
      <w:r>
        <w:rPr>
          <w:rFonts w:ascii="Arial" w:hAnsi="Arial" w:cs="Arial"/>
          <w:sz w:val="20"/>
          <w:szCs w:val="20"/>
        </w:rPr>
        <w:t xml:space="preserve"> % HDP, přičemž v </w:t>
      </w:r>
      <w:r w:rsidR="00367212">
        <w:rPr>
          <w:rFonts w:ascii="Arial" w:hAnsi="Arial" w:cs="Arial"/>
          <w:sz w:val="20"/>
          <w:szCs w:val="20"/>
        </w:rPr>
        <w:t>dřívějších</w:t>
      </w:r>
      <w:r>
        <w:rPr>
          <w:rFonts w:ascii="Arial" w:hAnsi="Arial" w:cs="Arial"/>
          <w:sz w:val="20"/>
          <w:szCs w:val="20"/>
        </w:rPr>
        <w:t xml:space="preserve"> letech přesahovalo i hranici 1 % HDP. Za Dánskem s odstupem následuje Švédsko s 0,</w:t>
      </w:r>
      <w:r w:rsidR="00367212">
        <w:rPr>
          <w:rFonts w:ascii="Arial" w:hAnsi="Arial" w:cs="Arial"/>
          <w:sz w:val="20"/>
          <w:szCs w:val="20"/>
        </w:rPr>
        <w:t>75 %, Rakousko s 0,74 % a</w:t>
      </w:r>
      <w:r>
        <w:rPr>
          <w:rFonts w:ascii="Arial" w:hAnsi="Arial" w:cs="Arial"/>
          <w:sz w:val="20"/>
          <w:szCs w:val="20"/>
        </w:rPr>
        <w:t> Finsk</w:t>
      </w:r>
      <w:r w:rsidR="007012E2">
        <w:rPr>
          <w:rFonts w:ascii="Arial" w:hAnsi="Arial" w:cs="Arial"/>
          <w:sz w:val="20"/>
          <w:szCs w:val="20"/>
        </w:rPr>
        <w:t>o</w:t>
      </w:r>
      <w:r>
        <w:rPr>
          <w:rFonts w:ascii="Arial" w:hAnsi="Arial" w:cs="Arial"/>
          <w:sz w:val="20"/>
          <w:szCs w:val="20"/>
        </w:rPr>
        <w:t xml:space="preserve"> s 0,7</w:t>
      </w:r>
      <w:r w:rsidR="00367212">
        <w:rPr>
          <w:rFonts w:ascii="Arial" w:hAnsi="Arial" w:cs="Arial"/>
          <w:sz w:val="20"/>
          <w:szCs w:val="20"/>
        </w:rPr>
        <w:t>1</w:t>
      </w:r>
      <w:r>
        <w:rPr>
          <w:rFonts w:ascii="Arial" w:hAnsi="Arial" w:cs="Arial"/>
          <w:sz w:val="20"/>
          <w:szCs w:val="20"/>
        </w:rPr>
        <w:t xml:space="preserve"> % HDP</w:t>
      </w:r>
      <w:r w:rsidR="00367212">
        <w:rPr>
          <w:rFonts w:ascii="Arial" w:hAnsi="Arial" w:cs="Arial"/>
          <w:sz w:val="20"/>
          <w:szCs w:val="20"/>
        </w:rPr>
        <w:t xml:space="preserve"> v roce 2022</w:t>
      </w:r>
      <w:r>
        <w:rPr>
          <w:rFonts w:ascii="Arial" w:hAnsi="Arial" w:cs="Arial"/>
          <w:sz w:val="20"/>
          <w:szCs w:val="20"/>
        </w:rPr>
        <w:t xml:space="preserve">. </w:t>
      </w:r>
    </w:p>
    <w:p w14:paraId="75418E33" w14:textId="6421B123" w:rsidR="00170216" w:rsidRDefault="00170216" w:rsidP="00170216">
      <w:pPr>
        <w:spacing w:after="120" w:line="288" w:lineRule="auto"/>
        <w:jc w:val="both"/>
        <w:rPr>
          <w:rFonts w:ascii="Arial" w:hAnsi="Arial" w:cs="Arial"/>
          <w:sz w:val="20"/>
          <w:szCs w:val="20"/>
        </w:rPr>
      </w:pPr>
      <w:r w:rsidRPr="00E66D3A">
        <w:rPr>
          <w:rFonts w:ascii="Arial" w:hAnsi="Arial" w:cs="Arial"/>
          <w:b/>
          <w:sz w:val="20"/>
          <w:szCs w:val="20"/>
        </w:rPr>
        <w:t xml:space="preserve">Graf </w:t>
      </w:r>
      <w:r w:rsidR="00567D88">
        <w:rPr>
          <w:rFonts w:ascii="Arial" w:hAnsi="Arial" w:cs="Arial"/>
          <w:b/>
          <w:sz w:val="20"/>
          <w:szCs w:val="20"/>
        </w:rPr>
        <w:t>25</w:t>
      </w:r>
      <w:r w:rsidRPr="00E66D3A">
        <w:rPr>
          <w:rFonts w:ascii="Arial" w:hAnsi="Arial" w:cs="Arial"/>
          <w:b/>
          <w:sz w:val="20"/>
          <w:szCs w:val="20"/>
        </w:rPr>
        <w:t xml:space="preserve">. </w:t>
      </w:r>
      <w:r>
        <w:rPr>
          <w:rFonts w:ascii="Arial" w:hAnsi="Arial" w:cs="Arial"/>
          <w:b/>
          <w:sz w:val="20"/>
          <w:szCs w:val="20"/>
        </w:rPr>
        <w:t xml:space="preserve">Podíl výdajů na </w:t>
      </w:r>
      <w:proofErr w:type="spellStart"/>
      <w:r>
        <w:rPr>
          <w:rFonts w:ascii="Arial" w:hAnsi="Arial" w:cs="Arial"/>
          <w:b/>
          <w:sz w:val="20"/>
          <w:szCs w:val="20"/>
        </w:rPr>
        <w:t>VaV</w:t>
      </w:r>
      <w:proofErr w:type="spellEnd"/>
      <w:r>
        <w:rPr>
          <w:rFonts w:ascii="Arial" w:hAnsi="Arial" w:cs="Arial"/>
          <w:b/>
          <w:sz w:val="20"/>
          <w:szCs w:val="20"/>
        </w:rPr>
        <w:t xml:space="preserve"> ve vysokoškolském sektoru (HERD) v EU 27 na HDP v roce 2022 (%)</w:t>
      </w:r>
    </w:p>
    <w:p w14:paraId="21BDA0ED" w14:textId="77777777" w:rsidR="00567D88" w:rsidRDefault="00567D88" w:rsidP="00567D88">
      <w:pPr>
        <w:spacing w:after="120" w:line="288" w:lineRule="auto"/>
        <w:rPr>
          <w:rFonts w:ascii="Arial" w:hAnsi="Arial" w:cs="Arial"/>
          <w:i/>
          <w:sz w:val="18"/>
          <w:szCs w:val="20"/>
        </w:rPr>
      </w:pPr>
      <w:r>
        <w:rPr>
          <w:noProof/>
          <w:lang w:eastAsia="cs-CZ"/>
        </w:rPr>
        <w:drawing>
          <wp:inline distT="0" distB="0" distL="0" distR="0" wp14:anchorId="04C7468E" wp14:editId="28309CB3">
            <wp:extent cx="6083935" cy="265747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2D371F4" w14:textId="77777777" w:rsidR="00567D88" w:rsidRPr="00C72BAC" w:rsidRDefault="00567D88" w:rsidP="00567D88">
      <w:pPr>
        <w:spacing w:after="120" w:line="288" w:lineRule="auto"/>
        <w:jc w:val="right"/>
        <w:rPr>
          <w:rFonts w:ascii="Arial" w:hAnsi="Arial" w:cs="Arial"/>
          <w:i/>
          <w:sz w:val="18"/>
          <w:szCs w:val="20"/>
        </w:rPr>
      </w:pPr>
      <w:r w:rsidRPr="006438BD">
        <w:rPr>
          <w:rFonts w:ascii="Arial" w:hAnsi="Arial" w:cs="Arial"/>
          <w:i/>
          <w:sz w:val="18"/>
          <w:szCs w:val="20"/>
        </w:rPr>
        <w:t xml:space="preserve">Zdroj: </w:t>
      </w:r>
      <w:proofErr w:type="spellStart"/>
      <w:r>
        <w:rPr>
          <w:rFonts w:ascii="Arial" w:hAnsi="Arial" w:cs="Arial"/>
          <w:i/>
          <w:sz w:val="18"/>
          <w:szCs w:val="20"/>
        </w:rPr>
        <w:t>Eurostat</w:t>
      </w:r>
      <w:proofErr w:type="spellEnd"/>
    </w:p>
    <w:p w14:paraId="559352E2" w14:textId="77777777" w:rsidR="00567D88" w:rsidRDefault="00567D88" w:rsidP="00567D88">
      <w:pPr>
        <w:spacing w:after="120" w:line="288" w:lineRule="auto"/>
        <w:jc w:val="both"/>
        <w:rPr>
          <w:rFonts w:ascii="Arial" w:hAnsi="Arial" w:cs="Arial"/>
          <w:sz w:val="20"/>
          <w:szCs w:val="20"/>
        </w:rPr>
      </w:pPr>
      <w:r>
        <w:rPr>
          <w:rFonts w:ascii="Arial" w:hAnsi="Arial" w:cs="Arial"/>
          <w:sz w:val="20"/>
          <w:szCs w:val="20"/>
        </w:rPr>
        <w:lastRenderedPageBreak/>
        <w:t xml:space="preserve">V roce 2022 se </w:t>
      </w:r>
      <w:proofErr w:type="spellStart"/>
      <w:r>
        <w:rPr>
          <w:rFonts w:ascii="Arial" w:hAnsi="Arial" w:cs="Arial"/>
          <w:sz w:val="20"/>
          <w:szCs w:val="20"/>
        </w:rPr>
        <w:t>VaV</w:t>
      </w:r>
      <w:proofErr w:type="spellEnd"/>
      <w:r>
        <w:rPr>
          <w:rFonts w:ascii="Arial" w:hAnsi="Arial" w:cs="Arial"/>
          <w:sz w:val="20"/>
          <w:szCs w:val="20"/>
        </w:rPr>
        <w:t xml:space="preserve"> prováděl v 62 institucích vysokoškolského sektoru. Mezi tyto instituce patří především 28 veřejných a státních vysokých škol s jejich více než 180 výzkumnými pracovišti. V roce 2022 se zde na </w:t>
      </w:r>
      <w:proofErr w:type="spellStart"/>
      <w:r>
        <w:rPr>
          <w:rFonts w:ascii="Arial" w:hAnsi="Arial" w:cs="Arial"/>
          <w:sz w:val="20"/>
          <w:szCs w:val="20"/>
        </w:rPr>
        <w:t>VaV</w:t>
      </w:r>
      <w:proofErr w:type="spellEnd"/>
      <w:r>
        <w:rPr>
          <w:rFonts w:ascii="Arial" w:hAnsi="Arial" w:cs="Arial"/>
          <w:sz w:val="20"/>
          <w:szCs w:val="20"/>
        </w:rPr>
        <w:t xml:space="preserve"> vynaložilo celkem 24,3 mld. Kč, což tvořilo 94 % výdajů na </w:t>
      </w:r>
      <w:proofErr w:type="spellStart"/>
      <w:r>
        <w:rPr>
          <w:rFonts w:ascii="Arial" w:hAnsi="Arial" w:cs="Arial"/>
          <w:sz w:val="20"/>
          <w:szCs w:val="20"/>
        </w:rPr>
        <w:t>VaV</w:t>
      </w:r>
      <w:proofErr w:type="spellEnd"/>
      <w:r>
        <w:rPr>
          <w:rFonts w:ascii="Arial" w:hAnsi="Arial" w:cs="Arial"/>
          <w:sz w:val="20"/>
          <w:szCs w:val="20"/>
        </w:rPr>
        <w:t xml:space="preserve"> vysokoškolského sektoru. Do vysokoškolského sektoru řadíme taktéž fakultní nemocnice. Ve 12 fakultních nemocnicích bylo v roce 2022 utraceno za </w:t>
      </w:r>
      <w:proofErr w:type="spellStart"/>
      <w:r>
        <w:rPr>
          <w:rFonts w:ascii="Arial" w:hAnsi="Arial" w:cs="Arial"/>
          <w:sz w:val="20"/>
          <w:szCs w:val="20"/>
        </w:rPr>
        <w:t>VaV</w:t>
      </w:r>
      <w:proofErr w:type="spellEnd"/>
      <w:r>
        <w:rPr>
          <w:rFonts w:ascii="Arial" w:hAnsi="Arial" w:cs="Arial"/>
          <w:sz w:val="20"/>
          <w:szCs w:val="20"/>
        </w:rPr>
        <w:t xml:space="preserve"> celkem 1,3 mld. Kč, tj. 5 % vysokoškolského sektoru. Zanedbatelný je výzkum prováděný v Česku na soukromých vysokých školách, jejichž pracovníci se zabývají převážně pedagogickou činností. Počet soukromých škol provádějících na našem území </w:t>
      </w:r>
      <w:proofErr w:type="spellStart"/>
      <w:r>
        <w:rPr>
          <w:rFonts w:ascii="Arial" w:hAnsi="Arial" w:cs="Arial"/>
          <w:sz w:val="20"/>
          <w:szCs w:val="20"/>
        </w:rPr>
        <w:t>VaV</w:t>
      </w:r>
      <w:proofErr w:type="spellEnd"/>
      <w:r>
        <w:rPr>
          <w:rFonts w:ascii="Arial" w:hAnsi="Arial" w:cs="Arial"/>
          <w:sz w:val="20"/>
          <w:szCs w:val="20"/>
        </w:rPr>
        <w:t xml:space="preserve"> činnost se dlouhodobě pohybuje mezi 20 až 30 školami s celkovými výdaji na </w:t>
      </w:r>
      <w:proofErr w:type="spellStart"/>
      <w:r>
        <w:rPr>
          <w:rFonts w:ascii="Arial" w:hAnsi="Arial" w:cs="Arial"/>
          <w:sz w:val="20"/>
          <w:szCs w:val="20"/>
        </w:rPr>
        <w:t>VaV</w:t>
      </w:r>
      <w:proofErr w:type="spellEnd"/>
      <w:r>
        <w:rPr>
          <w:rFonts w:ascii="Arial" w:hAnsi="Arial" w:cs="Arial"/>
          <w:sz w:val="20"/>
          <w:szCs w:val="20"/>
        </w:rPr>
        <w:t xml:space="preserve"> okolo 0,2 mld. Kč ročně, což odpovídá přibližně 1 % výdajů na </w:t>
      </w:r>
      <w:proofErr w:type="spellStart"/>
      <w:r>
        <w:rPr>
          <w:rFonts w:ascii="Arial" w:hAnsi="Arial" w:cs="Arial"/>
          <w:sz w:val="20"/>
          <w:szCs w:val="20"/>
        </w:rPr>
        <w:t>VaV</w:t>
      </w:r>
      <w:proofErr w:type="spellEnd"/>
      <w:r>
        <w:rPr>
          <w:rFonts w:ascii="Arial" w:hAnsi="Arial" w:cs="Arial"/>
          <w:sz w:val="20"/>
          <w:szCs w:val="20"/>
        </w:rPr>
        <w:t xml:space="preserve"> vysokoškolského sektoru.</w:t>
      </w:r>
    </w:p>
    <w:p w14:paraId="0D023268" w14:textId="5971AC04" w:rsidR="00567D88" w:rsidRPr="00E66D3A" w:rsidRDefault="00567D88" w:rsidP="00567D88">
      <w:pPr>
        <w:spacing w:after="120" w:line="288" w:lineRule="auto"/>
        <w:jc w:val="both"/>
        <w:rPr>
          <w:rFonts w:ascii="Arial" w:hAnsi="Arial" w:cs="Arial"/>
          <w:b/>
          <w:sz w:val="20"/>
          <w:szCs w:val="20"/>
        </w:rPr>
      </w:pPr>
      <w:r w:rsidRPr="00E66D3A">
        <w:rPr>
          <w:rFonts w:ascii="Arial" w:hAnsi="Arial" w:cs="Arial"/>
          <w:b/>
          <w:sz w:val="20"/>
          <w:szCs w:val="20"/>
        </w:rPr>
        <w:t xml:space="preserve">Graf </w:t>
      </w:r>
      <w:r w:rsidR="00A23844">
        <w:rPr>
          <w:rFonts w:ascii="Arial" w:hAnsi="Arial" w:cs="Arial"/>
          <w:b/>
          <w:sz w:val="20"/>
          <w:szCs w:val="20"/>
        </w:rPr>
        <w:t>26</w:t>
      </w:r>
      <w:r w:rsidRPr="00E66D3A">
        <w:rPr>
          <w:rFonts w:ascii="Arial" w:hAnsi="Arial" w:cs="Arial"/>
          <w:b/>
          <w:sz w:val="20"/>
          <w:szCs w:val="20"/>
        </w:rPr>
        <w:t xml:space="preserve">. Výdaje na </w:t>
      </w:r>
      <w:proofErr w:type="spellStart"/>
      <w:r>
        <w:rPr>
          <w:rFonts w:ascii="Arial" w:hAnsi="Arial" w:cs="Arial"/>
          <w:b/>
          <w:sz w:val="20"/>
          <w:szCs w:val="20"/>
        </w:rPr>
        <w:t>VaV</w:t>
      </w:r>
      <w:proofErr w:type="spellEnd"/>
      <w:r w:rsidRPr="00E66D3A">
        <w:rPr>
          <w:rFonts w:ascii="Arial" w:hAnsi="Arial" w:cs="Arial"/>
          <w:b/>
          <w:sz w:val="20"/>
          <w:szCs w:val="20"/>
        </w:rPr>
        <w:t xml:space="preserve"> </w:t>
      </w:r>
      <w:r>
        <w:rPr>
          <w:rFonts w:ascii="Arial" w:hAnsi="Arial" w:cs="Arial"/>
          <w:b/>
          <w:sz w:val="20"/>
          <w:szCs w:val="20"/>
        </w:rPr>
        <w:t xml:space="preserve">ve vysokoškolském sektoru </w:t>
      </w:r>
      <w:r w:rsidRPr="00E66D3A">
        <w:rPr>
          <w:rFonts w:ascii="Arial" w:hAnsi="Arial" w:cs="Arial"/>
          <w:b/>
          <w:sz w:val="20"/>
          <w:szCs w:val="20"/>
        </w:rPr>
        <w:t xml:space="preserve">v Česku podle </w:t>
      </w:r>
      <w:r>
        <w:rPr>
          <w:rFonts w:ascii="Arial" w:hAnsi="Arial" w:cs="Arial"/>
          <w:b/>
          <w:sz w:val="20"/>
          <w:szCs w:val="20"/>
        </w:rPr>
        <w:t xml:space="preserve">druhu subjektů a krajů </w:t>
      </w:r>
      <w:r w:rsidRPr="00E66D3A">
        <w:rPr>
          <w:rFonts w:ascii="Arial" w:hAnsi="Arial" w:cs="Arial"/>
          <w:b/>
          <w:sz w:val="20"/>
          <w:szCs w:val="20"/>
        </w:rPr>
        <w:t>(</w:t>
      </w:r>
      <w:r>
        <w:rPr>
          <w:rFonts w:ascii="Arial" w:hAnsi="Arial" w:cs="Arial"/>
          <w:b/>
          <w:sz w:val="20"/>
          <w:szCs w:val="20"/>
        </w:rPr>
        <w:t>%</w:t>
      </w:r>
      <w:r w:rsidRPr="00E66D3A">
        <w:rPr>
          <w:rFonts w:ascii="Arial" w:hAnsi="Arial" w:cs="Arial"/>
          <w:b/>
          <w:sz w:val="20"/>
          <w:szCs w:val="20"/>
        </w:rPr>
        <w:t>)</w:t>
      </w:r>
    </w:p>
    <w:p w14:paraId="285487B7" w14:textId="77777777" w:rsidR="00567D88" w:rsidRPr="00C67BA8" w:rsidRDefault="00567D88" w:rsidP="00567D88">
      <w:pPr>
        <w:tabs>
          <w:tab w:val="left" w:pos="567"/>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w:t>
      </w:r>
      <w:r>
        <w:rPr>
          <w:rFonts w:ascii="Arial" w:hAnsi="Arial" w:cs="Arial"/>
          <w:b/>
          <w:i/>
          <w:sz w:val="18"/>
          <w:szCs w:val="20"/>
        </w:rPr>
        <w:t>subjektů</w:t>
      </w:r>
      <w:r w:rsidRPr="00C67BA8">
        <w:rPr>
          <w:rFonts w:ascii="Arial" w:hAnsi="Arial" w:cs="Arial"/>
          <w:b/>
          <w:i/>
          <w:sz w:val="18"/>
          <w:szCs w:val="20"/>
        </w:rPr>
        <w:t xml:space="preserve"> </w:t>
      </w:r>
      <w:r>
        <w:rPr>
          <w:rFonts w:ascii="Arial" w:hAnsi="Arial" w:cs="Arial"/>
          <w:b/>
          <w:i/>
          <w:sz w:val="18"/>
          <w:szCs w:val="20"/>
        </w:rPr>
        <w:t xml:space="preserve">                                </w:t>
      </w:r>
      <w:r w:rsidRPr="00C67BA8">
        <w:rPr>
          <w:rFonts w:ascii="Arial" w:hAnsi="Arial" w:cs="Arial"/>
          <w:b/>
          <w:i/>
          <w:sz w:val="18"/>
          <w:szCs w:val="20"/>
        </w:rPr>
        <w:tab/>
        <w:t xml:space="preserve">b) podle </w:t>
      </w:r>
      <w:r>
        <w:rPr>
          <w:rFonts w:ascii="Arial" w:hAnsi="Arial" w:cs="Arial"/>
          <w:b/>
          <w:i/>
          <w:sz w:val="18"/>
          <w:szCs w:val="20"/>
        </w:rPr>
        <w:t>krajů</w:t>
      </w:r>
      <w:r w:rsidRPr="00C67BA8">
        <w:rPr>
          <w:rFonts w:ascii="Arial" w:hAnsi="Arial" w:cs="Arial"/>
          <w:b/>
          <w:i/>
          <w:sz w:val="18"/>
          <w:szCs w:val="20"/>
        </w:rPr>
        <w:t xml:space="preserve"> </w:t>
      </w:r>
      <w:r w:rsidRPr="00C67BA8">
        <w:rPr>
          <w:rFonts w:ascii="Arial" w:hAnsi="Arial" w:cs="Arial"/>
          <w:b/>
          <w:i/>
          <w:sz w:val="18"/>
          <w:szCs w:val="20"/>
        </w:rPr>
        <w:tab/>
      </w:r>
    </w:p>
    <w:p w14:paraId="4DE73958" w14:textId="77777777" w:rsidR="00567D88" w:rsidRDefault="00567D88" w:rsidP="00567D88">
      <w:pPr>
        <w:spacing w:after="120" w:line="288" w:lineRule="auto"/>
        <w:jc w:val="both"/>
        <w:rPr>
          <w:rFonts w:ascii="Arial" w:hAnsi="Arial" w:cs="Arial"/>
          <w:sz w:val="20"/>
          <w:szCs w:val="20"/>
        </w:rPr>
      </w:pPr>
      <w:r>
        <w:rPr>
          <w:noProof/>
          <w:lang w:eastAsia="cs-CZ"/>
        </w:rPr>
        <w:drawing>
          <wp:inline distT="0" distB="0" distL="0" distR="0" wp14:anchorId="35A6933F" wp14:editId="5C3C31DD">
            <wp:extent cx="2514600" cy="21600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Pr>
          <w:rFonts w:ascii="Arial" w:hAnsi="Arial" w:cs="Arial"/>
          <w:sz w:val="20"/>
          <w:szCs w:val="20"/>
        </w:rPr>
        <w:t xml:space="preserve">            </w:t>
      </w:r>
      <w:r>
        <w:rPr>
          <w:noProof/>
          <w:lang w:eastAsia="cs-CZ"/>
        </w:rPr>
        <w:drawing>
          <wp:inline distT="0" distB="0" distL="0" distR="0" wp14:anchorId="06187A92" wp14:editId="38E18457">
            <wp:extent cx="2819400" cy="21600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A8FB1D9" w14:textId="77777777" w:rsidR="00567D88" w:rsidRPr="00C72BAC" w:rsidRDefault="00567D88" w:rsidP="00567D88">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7296E6AC" w14:textId="2B9375BB" w:rsidR="00170216" w:rsidRPr="00413D95" w:rsidRDefault="00567D88" w:rsidP="003E6964">
      <w:pPr>
        <w:spacing w:after="120" w:line="288" w:lineRule="auto"/>
        <w:jc w:val="both"/>
        <w:rPr>
          <w:rFonts w:ascii="Arial" w:hAnsi="Arial" w:cs="Arial"/>
          <w:sz w:val="20"/>
          <w:szCs w:val="20"/>
        </w:rPr>
      </w:pPr>
      <w:r>
        <w:rPr>
          <w:rFonts w:ascii="Arial" w:hAnsi="Arial" w:cs="Arial"/>
          <w:sz w:val="20"/>
          <w:szCs w:val="20"/>
        </w:rPr>
        <w:t xml:space="preserve">Obdobně jako ve vládním sektoru je i vysokoškolský </w:t>
      </w:r>
      <w:proofErr w:type="spellStart"/>
      <w:r>
        <w:rPr>
          <w:rFonts w:ascii="Arial" w:hAnsi="Arial" w:cs="Arial"/>
          <w:sz w:val="20"/>
          <w:szCs w:val="20"/>
        </w:rPr>
        <w:t>VaV</w:t>
      </w:r>
      <w:proofErr w:type="spellEnd"/>
      <w:r>
        <w:rPr>
          <w:rFonts w:ascii="Arial" w:hAnsi="Arial" w:cs="Arial"/>
          <w:sz w:val="20"/>
          <w:szCs w:val="20"/>
        </w:rPr>
        <w:t xml:space="preserve"> financován zvláště z veřejných domácích zdrojů, v roce 2022 to bylo ze 75 %. Český stát podpořil vysokoškolský výzkum celkovou částkou 19,4 mld. Kč. Z celkových veřejných domácích výdajů na </w:t>
      </w:r>
      <w:proofErr w:type="spellStart"/>
      <w:r>
        <w:rPr>
          <w:rFonts w:ascii="Arial" w:hAnsi="Arial" w:cs="Arial"/>
          <w:sz w:val="20"/>
          <w:szCs w:val="20"/>
        </w:rPr>
        <w:t>VaV</w:t>
      </w:r>
      <w:proofErr w:type="spellEnd"/>
      <w:r>
        <w:rPr>
          <w:rFonts w:ascii="Arial" w:hAnsi="Arial" w:cs="Arial"/>
          <w:sz w:val="20"/>
          <w:szCs w:val="20"/>
        </w:rPr>
        <w:t xml:space="preserve"> jich do vysokoškolského sektoru mířila téměř polovina. Obdobně jako v Česku je i v ostatních státech vysokoškolský </w:t>
      </w:r>
      <w:proofErr w:type="spellStart"/>
      <w:r>
        <w:rPr>
          <w:rFonts w:ascii="Arial" w:hAnsi="Arial" w:cs="Arial"/>
          <w:sz w:val="20"/>
          <w:szCs w:val="20"/>
        </w:rPr>
        <w:t>VaV</w:t>
      </w:r>
      <w:proofErr w:type="spellEnd"/>
      <w:r w:rsidRPr="00D912B6">
        <w:rPr>
          <w:rFonts w:ascii="Arial" w:hAnsi="Arial" w:cs="Arial"/>
          <w:sz w:val="20"/>
          <w:szCs w:val="20"/>
        </w:rPr>
        <w:t xml:space="preserve"> </w:t>
      </w:r>
      <w:r>
        <w:rPr>
          <w:rFonts w:ascii="Arial" w:hAnsi="Arial" w:cs="Arial"/>
          <w:sz w:val="20"/>
          <w:szCs w:val="20"/>
        </w:rPr>
        <w:t>financován převážně z veřejných domácích zdrojů. Průměr EU27 převyšuje 75 %, v Rakousku a Německu se pohybuje dokonce okolo 80 %.</w:t>
      </w:r>
    </w:p>
    <w:p w14:paraId="0A2B2412" w14:textId="689F1E09" w:rsidR="003E6964" w:rsidRPr="00E66D3A" w:rsidRDefault="003E6964" w:rsidP="003E6964">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2</w:t>
      </w:r>
      <w:r w:rsidR="00A23844">
        <w:rPr>
          <w:rFonts w:ascii="Arial" w:hAnsi="Arial" w:cs="Arial"/>
          <w:b/>
          <w:sz w:val="20"/>
          <w:szCs w:val="20"/>
        </w:rPr>
        <w:t>7</w:t>
      </w:r>
      <w:r w:rsidRPr="00E66D3A">
        <w:rPr>
          <w:rFonts w:ascii="Arial" w:hAnsi="Arial" w:cs="Arial"/>
          <w:b/>
          <w:sz w:val="20"/>
          <w:szCs w:val="20"/>
        </w:rPr>
        <w:t xml:space="preserve">. Výdaje na </w:t>
      </w:r>
      <w:proofErr w:type="spellStart"/>
      <w:r>
        <w:rPr>
          <w:rFonts w:ascii="Arial" w:hAnsi="Arial" w:cs="Arial"/>
          <w:b/>
          <w:sz w:val="20"/>
          <w:szCs w:val="20"/>
        </w:rPr>
        <w:t>VaV</w:t>
      </w:r>
      <w:proofErr w:type="spellEnd"/>
      <w:r w:rsidRPr="00E66D3A">
        <w:rPr>
          <w:rFonts w:ascii="Arial" w:hAnsi="Arial" w:cs="Arial"/>
          <w:b/>
          <w:sz w:val="20"/>
          <w:szCs w:val="20"/>
        </w:rPr>
        <w:t xml:space="preserve"> </w:t>
      </w:r>
      <w:r>
        <w:rPr>
          <w:rFonts w:ascii="Arial" w:hAnsi="Arial" w:cs="Arial"/>
          <w:b/>
          <w:sz w:val="20"/>
          <w:szCs w:val="20"/>
        </w:rPr>
        <w:t xml:space="preserve">ve vysokoškolském sektoru </w:t>
      </w:r>
      <w:r w:rsidRPr="00E66D3A">
        <w:rPr>
          <w:rFonts w:ascii="Arial" w:hAnsi="Arial" w:cs="Arial"/>
          <w:b/>
          <w:sz w:val="20"/>
          <w:szCs w:val="20"/>
        </w:rPr>
        <w:t>v Č</w:t>
      </w:r>
      <w:r>
        <w:rPr>
          <w:rFonts w:ascii="Arial" w:hAnsi="Arial" w:cs="Arial"/>
          <w:b/>
          <w:sz w:val="20"/>
          <w:szCs w:val="20"/>
        </w:rPr>
        <w:t>R</w:t>
      </w:r>
      <w:r w:rsidRPr="00E66D3A">
        <w:rPr>
          <w:rFonts w:ascii="Arial" w:hAnsi="Arial" w:cs="Arial"/>
          <w:b/>
          <w:sz w:val="20"/>
          <w:szCs w:val="20"/>
        </w:rPr>
        <w:t xml:space="preserve"> podle </w:t>
      </w:r>
      <w:r>
        <w:rPr>
          <w:rFonts w:ascii="Arial" w:hAnsi="Arial" w:cs="Arial"/>
          <w:b/>
          <w:sz w:val="20"/>
          <w:szCs w:val="20"/>
        </w:rPr>
        <w:t xml:space="preserve">druhu výdajů a zdrojů financování </w:t>
      </w:r>
      <w:r w:rsidRPr="00E66D3A">
        <w:rPr>
          <w:rFonts w:ascii="Arial" w:hAnsi="Arial" w:cs="Arial"/>
          <w:b/>
          <w:sz w:val="20"/>
          <w:szCs w:val="20"/>
        </w:rPr>
        <w:t>(</w:t>
      </w:r>
      <w:r>
        <w:rPr>
          <w:rFonts w:ascii="Arial" w:hAnsi="Arial" w:cs="Arial"/>
          <w:b/>
          <w:sz w:val="20"/>
          <w:szCs w:val="20"/>
        </w:rPr>
        <w:t>%</w:t>
      </w:r>
      <w:r w:rsidRPr="00E66D3A">
        <w:rPr>
          <w:rFonts w:ascii="Arial" w:hAnsi="Arial" w:cs="Arial"/>
          <w:b/>
          <w:sz w:val="20"/>
          <w:szCs w:val="20"/>
        </w:rPr>
        <w:t>)</w:t>
      </w:r>
    </w:p>
    <w:p w14:paraId="34136E7A" w14:textId="57457E73" w:rsidR="003E6964" w:rsidRDefault="003E6964" w:rsidP="003E6964">
      <w:pPr>
        <w:tabs>
          <w:tab w:val="left" w:pos="426"/>
          <w:tab w:val="left" w:pos="5245"/>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výdajů </w:t>
      </w:r>
      <w:r w:rsidRPr="00C67BA8">
        <w:rPr>
          <w:rFonts w:ascii="Arial" w:hAnsi="Arial" w:cs="Arial"/>
          <w:b/>
          <w:i/>
          <w:sz w:val="18"/>
          <w:szCs w:val="20"/>
        </w:rPr>
        <w:tab/>
        <w:t xml:space="preserve">b) podle zdrojů financování </w:t>
      </w:r>
      <w:r w:rsidRPr="00C67BA8">
        <w:rPr>
          <w:rFonts w:ascii="Arial" w:hAnsi="Arial" w:cs="Arial"/>
          <w:b/>
          <w:i/>
          <w:sz w:val="18"/>
          <w:szCs w:val="20"/>
        </w:rPr>
        <w:tab/>
      </w:r>
    </w:p>
    <w:p w14:paraId="2010F924" w14:textId="26158D74" w:rsidR="003E6964" w:rsidRDefault="008B12BA" w:rsidP="003E6964">
      <w:pPr>
        <w:tabs>
          <w:tab w:val="left" w:pos="426"/>
          <w:tab w:val="left" w:pos="5245"/>
        </w:tabs>
        <w:spacing w:after="0" w:line="288" w:lineRule="auto"/>
        <w:jc w:val="both"/>
        <w:rPr>
          <w:rFonts w:ascii="Arial" w:hAnsi="Arial" w:cs="Arial"/>
          <w:b/>
          <w:i/>
          <w:sz w:val="18"/>
          <w:szCs w:val="20"/>
        </w:rPr>
      </w:pPr>
      <w:r>
        <w:rPr>
          <w:noProof/>
          <w:lang w:eastAsia="cs-CZ"/>
        </w:rPr>
        <w:drawing>
          <wp:inline distT="0" distB="0" distL="0" distR="0" wp14:anchorId="45A54309" wp14:editId="6D1B34D6">
            <wp:extent cx="1980000" cy="2160000"/>
            <wp:effectExtent l="0" t="0" r="1270" b="0"/>
            <wp:docPr id="111" name="Graf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3E6964">
        <w:rPr>
          <w:rFonts w:ascii="Arial" w:hAnsi="Arial" w:cs="Arial"/>
          <w:b/>
          <w:i/>
          <w:sz w:val="18"/>
          <w:szCs w:val="20"/>
        </w:rPr>
        <w:t xml:space="preserve">                                  </w:t>
      </w:r>
      <w:r>
        <w:rPr>
          <w:noProof/>
          <w:lang w:eastAsia="cs-CZ"/>
        </w:rPr>
        <w:drawing>
          <wp:inline distT="0" distB="0" distL="0" distR="0" wp14:anchorId="23E05909" wp14:editId="3455136D">
            <wp:extent cx="1980000" cy="2160000"/>
            <wp:effectExtent l="0" t="0" r="1270" b="0"/>
            <wp:docPr id="112" name="Graf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9E96B58" w14:textId="1C9E232C" w:rsidR="00567D88" w:rsidRPr="00567D88" w:rsidRDefault="00C72BAC" w:rsidP="00567D88">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23D90C40" w14:textId="247F6C51" w:rsidR="00567D88" w:rsidRPr="00567D88" w:rsidRDefault="00567D88" w:rsidP="00C72BAC">
      <w:pPr>
        <w:spacing w:after="120" w:line="288" w:lineRule="auto"/>
        <w:jc w:val="both"/>
        <w:rPr>
          <w:rFonts w:ascii="Arial" w:hAnsi="Arial" w:cs="Arial"/>
          <w:sz w:val="20"/>
          <w:szCs w:val="20"/>
        </w:rPr>
      </w:pPr>
      <w:r>
        <w:rPr>
          <w:rFonts w:ascii="Arial" w:hAnsi="Arial" w:cs="Arial"/>
          <w:sz w:val="20"/>
          <w:szCs w:val="20"/>
        </w:rPr>
        <w:t xml:space="preserve">Veřejné zahraniční zdroje tvořené zejména prostředky EU27 přinesly vysokým školám od roku 2010 celkovou částku přesahující 50 mld. Kč. Nejvýraznější čerpání evropských dotací probíhalo mezi lety 2012 a 2015. V roce 2013 dosáhly veřejné zahraniční zdroje rekordní výše 7,8 mld. Kč, což tehdy tvořilo 37 % výdajů na </w:t>
      </w:r>
      <w:proofErr w:type="spellStart"/>
      <w:r>
        <w:rPr>
          <w:rFonts w:ascii="Arial" w:hAnsi="Arial" w:cs="Arial"/>
          <w:sz w:val="20"/>
          <w:szCs w:val="20"/>
        </w:rPr>
        <w:t>VaV</w:t>
      </w:r>
      <w:proofErr w:type="spellEnd"/>
      <w:r>
        <w:rPr>
          <w:rFonts w:ascii="Arial" w:hAnsi="Arial" w:cs="Arial"/>
          <w:sz w:val="20"/>
          <w:szCs w:val="20"/>
        </w:rPr>
        <w:t xml:space="preserve"> vysokoškolského sektoru. Prostředky čerpané v posledních letech takto vysokých částek nedosahují, ale </w:t>
      </w:r>
      <w:r>
        <w:rPr>
          <w:rFonts w:ascii="Arial" w:hAnsi="Arial" w:cs="Arial"/>
          <w:sz w:val="20"/>
          <w:szCs w:val="20"/>
        </w:rPr>
        <w:lastRenderedPageBreak/>
        <w:t xml:space="preserve">rozhodně nejsou zanedbatelné. V roce 2022 přispěly veřejné zahraniční zdroje vysokým školám celkovou částkou 3,9 mld. Kč, což tvořilo 15 % výdajů na </w:t>
      </w:r>
      <w:proofErr w:type="spellStart"/>
      <w:r>
        <w:rPr>
          <w:rFonts w:ascii="Arial" w:hAnsi="Arial" w:cs="Arial"/>
          <w:sz w:val="20"/>
          <w:szCs w:val="20"/>
        </w:rPr>
        <w:t>VaV</w:t>
      </w:r>
      <w:proofErr w:type="spellEnd"/>
      <w:r>
        <w:rPr>
          <w:rFonts w:ascii="Arial" w:hAnsi="Arial" w:cs="Arial"/>
          <w:sz w:val="20"/>
          <w:szCs w:val="20"/>
        </w:rPr>
        <w:t xml:space="preserve"> ve vysokoškolském sektoru. V roce 2021 dvanáct států EU27, včetně Česka, uvádělo, že jejich vysokoškolský výzkum je financován ze zdrojů EU27 z více než 10 %. V Litvě a Lotyšsku se tento podíl dlouhodobě pohybuje nad úrovní 20 %. Tento ukazatel však není v případě mnoha států konstantní a jsou evidovány velké výkyvy v souvislosti s různou intenzitou čerpání EU27 dotací v jednotlivých letech.</w:t>
      </w:r>
    </w:p>
    <w:p w14:paraId="10326BFC" w14:textId="18407CB1" w:rsidR="00C72BAC" w:rsidRDefault="00C72BAC" w:rsidP="00C72BAC">
      <w:pPr>
        <w:spacing w:after="120" w:line="288" w:lineRule="auto"/>
        <w:jc w:val="both"/>
        <w:rPr>
          <w:rFonts w:ascii="Arial" w:hAnsi="Arial" w:cs="Arial"/>
          <w:sz w:val="20"/>
          <w:szCs w:val="20"/>
        </w:rPr>
      </w:pPr>
      <w:r>
        <w:rPr>
          <w:rFonts w:ascii="Arial" w:hAnsi="Arial" w:cs="Arial"/>
          <w:sz w:val="20"/>
          <w:szCs w:val="20"/>
        </w:rPr>
        <w:t>Veřejné zahraniční zdroje tvořené zejména prostředky EU</w:t>
      </w:r>
      <w:r w:rsidR="00A72A99">
        <w:rPr>
          <w:rFonts w:ascii="Arial" w:hAnsi="Arial" w:cs="Arial"/>
          <w:sz w:val="20"/>
          <w:szCs w:val="20"/>
        </w:rPr>
        <w:t>27</w:t>
      </w:r>
      <w:r>
        <w:rPr>
          <w:rFonts w:ascii="Arial" w:hAnsi="Arial" w:cs="Arial"/>
          <w:sz w:val="20"/>
          <w:szCs w:val="20"/>
        </w:rPr>
        <w:t xml:space="preserve"> přin</w:t>
      </w:r>
      <w:r w:rsidR="00D912B6">
        <w:rPr>
          <w:rFonts w:ascii="Arial" w:hAnsi="Arial" w:cs="Arial"/>
          <w:sz w:val="20"/>
          <w:szCs w:val="20"/>
        </w:rPr>
        <w:t xml:space="preserve">esly vysokým školám od roku 2010 </w:t>
      </w:r>
      <w:r w:rsidR="007F1FBA">
        <w:rPr>
          <w:rFonts w:ascii="Arial" w:hAnsi="Arial" w:cs="Arial"/>
          <w:sz w:val="20"/>
          <w:szCs w:val="20"/>
        </w:rPr>
        <w:t xml:space="preserve">celkovou částku přesahující </w:t>
      </w:r>
      <w:r>
        <w:rPr>
          <w:rFonts w:ascii="Arial" w:hAnsi="Arial" w:cs="Arial"/>
          <w:sz w:val="20"/>
          <w:szCs w:val="20"/>
        </w:rPr>
        <w:t>50</w:t>
      </w:r>
      <w:r w:rsidR="004763BF">
        <w:rPr>
          <w:rFonts w:ascii="Arial" w:hAnsi="Arial" w:cs="Arial"/>
          <w:sz w:val="20"/>
          <w:szCs w:val="20"/>
        </w:rPr>
        <w:t> </w:t>
      </w:r>
      <w:r>
        <w:rPr>
          <w:rFonts w:ascii="Arial" w:hAnsi="Arial" w:cs="Arial"/>
          <w:sz w:val="20"/>
          <w:szCs w:val="20"/>
        </w:rPr>
        <w:t xml:space="preserve">mld. Kč. Nejvýraznější čerpání </w:t>
      </w:r>
      <w:r w:rsidR="00845BAC">
        <w:rPr>
          <w:rFonts w:ascii="Arial" w:hAnsi="Arial" w:cs="Arial"/>
          <w:sz w:val="20"/>
          <w:szCs w:val="20"/>
        </w:rPr>
        <w:t xml:space="preserve">evropských </w:t>
      </w:r>
      <w:r>
        <w:rPr>
          <w:rFonts w:ascii="Arial" w:hAnsi="Arial" w:cs="Arial"/>
          <w:sz w:val="20"/>
          <w:szCs w:val="20"/>
        </w:rPr>
        <w:t xml:space="preserve">dotací probíhalo mezi lety 2012 a 2015. V roce 2013 dosáhly veřejné zahraniční zdroje rekordní výše 7,8 mld. Kč, což tehdy tvořilo 37 % výdajů na </w:t>
      </w:r>
      <w:proofErr w:type="spellStart"/>
      <w:r>
        <w:rPr>
          <w:rFonts w:ascii="Arial" w:hAnsi="Arial" w:cs="Arial"/>
          <w:sz w:val="20"/>
          <w:szCs w:val="20"/>
        </w:rPr>
        <w:t>VaV</w:t>
      </w:r>
      <w:proofErr w:type="spellEnd"/>
      <w:r>
        <w:rPr>
          <w:rFonts w:ascii="Arial" w:hAnsi="Arial" w:cs="Arial"/>
          <w:sz w:val="20"/>
          <w:szCs w:val="20"/>
        </w:rPr>
        <w:t xml:space="preserve"> vysokoškolského sektoru. Prostředky čerpané v posledních letech takto vysokých částek nedosahují, ale rozhodně </w:t>
      </w:r>
      <w:r w:rsidR="00D912B6">
        <w:rPr>
          <w:rFonts w:ascii="Arial" w:hAnsi="Arial" w:cs="Arial"/>
          <w:sz w:val="20"/>
          <w:szCs w:val="20"/>
        </w:rPr>
        <w:t>nejsou zanedbatelné. V roce 2022</w:t>
      </w:r>
      <w:r>
        <w:rPr>
          <w:rFonts w:ascii="Arial" w:hAnsi="Arial" w:cs="Arial"/>
          <w:sz w:val="20"/>
          <w:szCs w:val="20"/>
        </w:rPr>
        <w:t xml:space="preserve"> přispěly veřejné zahraniční zdroje vys</w:t>
      </w:r>
      <w:r w:rsidR="00D912B6">
        <w:rPr>
          <w:rFonts w:ascii="Arial" w:hAnsi="Arial" w:cs="Arial"/>
          <w:sz w:val="20"/>
          <w:szCs w:val="20"/>
        </w:rPr>
        <w:t>okým školám celkovou částkou 3,9</w:t>
      </w:r>
      <w:r>
        <w:rPr>
          <w:rFonts w:ascii="Arial" w:hAnsi="Arial" w:cs="Arial"/>
          <w:sz w:val="20"/>
          <w:szCs w:val="20"/>
        </w:rPr>
        <w:t xml:space="preserve"> mld. Kč, což tvořilo 15</w:t>
      </w:r>
      <w:r w:rsidR="004763BF">
        <w:rPr>
          <w:rFonts w:ascii="Arial" w:hAnsi="Arial" w:cs="Arial"/>
          <w:sz w:val="20"/>
          <w:szCs w:val="20"/>
        </w:rPr>
        <w:t> </w:t>
      </w:r>
      <w:r>
        <w:rPr>
          <w:rFonts w:ascii="Arial" w:hAnsi="Arial" w:cs="Arial"/>
          <w:sz w:val="20"/>
          <w:szCs w:val="20"/>
        </w:rPr>
        <w:t xml:space="preserve">% výdajů na </w:t>
      </w:r>
      <w:proofErr w:type="spellStart"/>
      <w:r>
        <w:rPr>
          <w:rFonts w:ascii="Arial" w:hAnsi="Arial" w:cs="Arial"/>
          <w:sz w:val="20"/>
          <w:szCs w:val="20"/>
        </w:rPr>
        <w:t>VaV</w:t>
      </w:r>
      <w:proofErr w:type="spellEnd"/>
      <w:r>
        <w:rPr>
          <w:rFonts w:ascii="Arial" w:hAnsi="Arial" w:cs="Arial"/>
          <w:sz w:val="20"/>
          <w:szCs w:val="20"/>
        </w:rPr>
        <w:t xml:space="preserve"> ve vys</w:t>
      </w:r>
      <w:r w:rsidR="00D912B6">
        <w:rPr>
          <w:rFonts w:ascii="Arial" w:hAnsi="Arial" w:cs="Arial"/>
          <w:sz w:val="20"/>
          <w:szCs w:val="20"/>
        </w:rPr>
        <w:t>okoškolském sektoru. V roce 2021</w:t>
      </w:r>
      <w:r>
        <w:rPr>
          <w:rFonts w:ascii="Arial" w:hAnsi="Arial" w:cs="Arial"/>
          <w:sz w:val="20"/>
          <w:szCs w:val="20"/>
        </w:rPr>
        <w:t xml:space="preserve"> </w:t>
      </w:r>
      <w:r w:rsidR="00B4720A">
        <w:rPr>
          <w:rFonts w:ascii="Arial" w:hAnsi="Arial" w:cs="Arial"/>
          <w:sz w:val="20"/>
          <w:szCs w:val="20"/>
        </w:rPr>
        <w:t>dvanáct</w:t>
      </w:r>
      <w:r>
        <w:rPr>
          <w:rFonts w:ascii="Arial" w:hAnsi="Arial" w:cs="Arial"/>
          <w:sz w:val="20"/>
          <w:szCs w:val="20"/>
        </w:rPr>
        <w:t xml:space="preserve"> států EU</w:t>
      </w:r>
      <w:r w:rsidR="00954C52">
        <w:rPr>
          <w:rFonts w:ascii="Arial" w:hAnsi="Arial" w:cs="Arial"/>
          <w:sz w:val="20"/>
          <w:szCs w:val="20"/>
        </w:rPr>
        <w:t>27,</w:t>
      </w:r>
      <w:r>
        <w:rPr>
          <w:rFonts w:ascii="Arial" w:hAnsi="Arial" w:cs="Arial"/>
          <w:sz w:val="20"/>
          <w:szCs w:val="20"/>
        </w:rPr>
        <w:t xml:space="preserve"> včetně Česka</w:t>
      </w:r>
      <w:r w:rsidR="00954C52">
        <w:rPr>
          <w:rFonts w:ascii="Arial" w:hAnsi="Arial" w:cs="Arial"/>
          <w:sz w:val="20"/>
          <w:szCs w:val="20"/>
        </w:rPr>
        <w:t>,</w:t>
      </w:r>
      <w:r>
        <w:rPr>
          <w:rFonts w:ascii="Arial" w:hAnsi="Arial" w:cs="Arial"/>
          <w:sz w:val="20"/>
          <w:szCs w:val="20"/>
        </w:rPr>
        <w:t xml:space="preserve"> uvádělo, že jejich vysokoškolský výzkum je financován ze zdrojů EU</w:t>
      </w:r>
      <w:r w:rsidR="00954C52">
        <w:rPr>
          <w:rFonts w:ascii="Arial" w:hAnsi="Arial" w:cs="Arial"/>
          <w:sz w:val="20"/>
          <w:szCs w:val="20"/>
        </w:rPr>
        <w:t>27</w:t>
      </w:r>
      <w:r>
        <w:rPr>
          <w:rFonts w:ascii="Arial" w:hAnsi="Arial" w:cs="Arial"/>
          <w:sz w:val="20"/>
          <w:szCs w:val="20"/>
        </w:rPr>
        <w:t xml:space="preserve"> z více než 10 %. V Litvě a Lotyšsku se tento podíl dlouhodobě pohybuje nad úrovní </w:t>
      </w:r>
      <w:r w:rsidR="00B4720A">
        <w:rPr>
          <w:rFonts w:ascii="Arial" w:hAnsi="Arial" w:cs="Arial"/>
          <w:sz w:val="20"/>
          <w:szCs w:val="20"/>
        </w:rPr>
        <w:t>20</w:t>
      </w:r>
      <w:r>
        <w:rPr>
          <w:rFonts w:ascii="Arial" w:hAnsi="Arial" w:cs="Arial"/>
          <w:sz w:val="20"/>
          <w:szCs w:val="20"/>
        </w:rPr>
        <w:t xml:space="preserve"> %. Tento ukazatel však není v případě mnoha států konstantní a jsou evidovány velké výkyvy v souvislosti s různou intenzitou čerpání EU</w:t>
      </w:r>
      <w:r w:rsidR="00954C52">
        <w:rPr>
          <w:rFonts w:ascii="Arial" w:hAnsi="Arial" w:cs="Arial"/>
          <w:sz w:val="20"/>
          <w:szCs w:val="20"/>
        </w:rPr>
        <w:t>27</w:t>
      </w:r>
      <w:r>
        <w:rPr>
          <w:rFonts w:ascii="Arial" w:hAnsi="Arial" w:cs="Arial"/>
          <w:sz w:val="20"/>
          <w:szCs w:val="20"/>
        </w:rPr>
        <w:t xml:space="preserve"> dotací v jednotlivých letech.</w:t>
      </w:r>
    </w:p>
    <w:p w14:paraId="640151BE" w14:textId="431D0870" w:rsidR="006F275F" w:rsidRDefault="006F275F" w:rsidP="006F275F">
      <w:pPr>
        <w:spacing w:after="120" w:line="288" w:lineRule="auto"/>
        <w:jc w:val="both"/>
        <w:rPr>
          <w:rFonts w:ascii="Arial" w:hAnsi="Arial" w:cs="Arial"/>
          <w:sz w:val="20"/>
          <w:szCs w:val="20"/>
        </w:rPr>
      </w:pPr>
      <w:r>
        <w:rPr>
          <w:rFonts w:ascii="Arial" w:hAnsi="Arial" w:cs="Arial"/>
          <w:sz w:val="20"/>
          <w:szCs w:val="20"/>
        </w:rPr>
        <w:t>Podnikové zdroje</w:t>
      </w:r>
      <w:r w:rsidR="00342E61">
        <w:rPr>
          <w:rFonts w:ascii="Arial" w:hAnsi="Arial" w:cs="Arial"/>
          <w:sz w:val="20"/>
          <w:szCs w:val="20"/>
        </w:rPr>
        <w:t>, směřující do vysokoškolského výzkumu,</w:t>
      </w:r>
      <w:r>
        <w:rPr>
          <w:rFonts w:ascii="Arial" w:hAnsi="Arial" w:cs="Arial"/>
          <w:sz w:val="20"/>
          <w:szCs w:val="20"/>
        </w:rPr>
        <w:t xml:space="preserve"> se v posledních </w:t>
      </w:r>
      <w:r w:rsidR="00345499">
        <w:rPr>
          <w:rFonts w:ascii="Arial" w:hAnsi="Arial" w:cs="Arial"/>
          <w:sz w:val="20"/>
          <w:szCs w:val="20"/>
        </w:rPr>
        <w:t>osmi</w:t>
      </w:r>
      <w:r>
        <w:rPr>
          <w:rFonts w:ascii="Arial" w:hAnsi="Arial" w:cs="Arial"/>
          <w:sz w:val="20"/>
          <w:szCs w:val="20"/>
        </w:rPr>
        <w:t xml:space="preserve"> letech pohybují </w:t>
      </w:r>
      <w:r w:rsidR="003B4228">
        <w:rPr>
          <w:rFonts w:ascii="Arial" w:hAnsi="Arial" w:cs="Arial"/>
          <w:sz w:val="20"/>
          <w:szCs w:val="20"/>
        </w:rPr>
        <w:t xml:space="preserve">okolo </w:t>
      </w:r>
      <w:r>
        <w:rPr>
          <w:rFonts w:ascii="Arial" w:hAnsi="Arial" w:cs="Arial"/>
          <w:sz w:val="20"/>
          <w:szCs w:val="20"/>
        </w:rPr>
        <w:t>1</w:t>
      </w:r>
      <w:r w:rsidR="003B4228">
        <w:rPr>
          <w:rFonts w:ascii="Arial" w:hAnsi="Arial" w:cs="Arial"/>
          <w:sz w:val="20"/>
          <w:szCs w:val="20"/>
        </w:rPr>
        <w:t> </w:t>
      </w:r>
      <w:r>
        <w:rPr>
          <w:rFonts w:ascii="Arial" w:hAnsi="Arial" w:cs="Arial"/>
          <w:sz w:val="20"/>
          <w:szCs w:val="20"/>
        </w:rPr>
        <w:t>mld.</w:t>
      </w:r>
      <w:r w:rsidR="003B4228">
        <w:rPr>
          <w:rFonts w:ascii="Arial" w:hAnsi="Arial" w:cs="Arial"/>
          <w:sz w:val="20"/>
          <w:szCs w:val="20"/>
        </w:rPr>
        <w:t> </w:t>
      </w:r>
      <w:r>
        <w:rPr>
          <w:rFonts w:ascii="Arial" w:hAnsi="Arial" w:cs="Arial"/>
          <w:sz w:val="20"/>
          <w:szCs w:val="20"/>
        </w:rPr>
        <w:t>Kč ročně, v roce 2</w:t>
      </w:r>
      <w:r w:rsidR="00345499">
        <w:rPr>
          <w:rFonts w:ascii="Arial" w:hAnsi="Arial" w:cs="Arial"/>
          <w:sz w:val="20"/>
          <w:szCs w:val="20"/>
        </w:rPr>
        <w:t>022</w:t>
      </w:r>
      <w:r>
        <w:rPr>
          <w:rFonts w:ascii="Arial" w:hAnsi="Arial" w:cs="Arial"/>
          <w:sz w:val="20"/>
          <w:szCs w:val="20"/>
        </w:rPr>
        <w:t xml:space="preserve"> to bylo 1,1 mld. Kč. Podnikové zdroje na vysokých školách tvoří především příjmy</w:t>
      </w:r>
      <w:r w:rsidR="00345499">
        <w:rPr>
          <w:rFonts w:ascii="Arial" w:hAnsi="Arial" w:cs="Arial"/>
          <w:sz w:val="20"/>
          <w:szCs w:val="20"/>
        </w:rPr>
        <w:t xml:space="preserve"> z prodeje služeb </w:t>
      </w:r>
      <w:proofErr w:type="spellStart"/>
      <w:r w:rsidR="00345499">
        <w:rPr>
          <w:rFonts w:ascii="Arial" w:hAnsi="Arial" w:cs="Arial"/>
          <w:sz w:val="20"/>
          <w:szCs w:val="20"/>
        </w:rPr>
        <w:t>VaV</w:t>
      </w:r>
      <w:proofErr w:type="spellEnd"/>
      <w:r w:rsidR="00345499">
        <w:rPr>
          <w:rFonts w:ascii="Arial" w:hAnsi="Arial" w:cs="Arial"/>
          <w:sz w:val="20"/>
          <w:szCs w:val="20"/>
        </w:rPr>
        <w:t>. Celkem 27</w:t>
      </w:r>
      <w:r>
        <w:rPr>
          <w:rFonts w:ascii="Arial" w:hAnsi="Arial" w:cs="Arial"/>
          <w:sz w:val="20"/>
          <w:szCs w:val="20"/>
        </w:rPr>
        <w:t xml:space="preserve"> subjektů vysokoškolského sektoru provádělo v roce </w:t>
      </w:r>
      <w:r w:rsidR="003B4228">
        <w:rPr>
          <w:rFonts w:ascii="Arial" w:hAnsi="Arial" w:cs="Arial"/>
          <w:sz w:val="20"/>
          <w:szCs w:val="20"/>
        </w:rPr>
        <w:t xml:space="preserve">2022 </w:t>
      </w:r>
      <w:r>
        <w:rPr>
          <w:rFonts w:ascii="Arial" w:hAnsi="Arial" w:cs="Arial"/>
          <w:sz w:val="20"/>
          <w:szCs w:val="20"/>
        </w:rPr>
        <w:t>výzkum na zaká</w:t>
      </w:r>
      <w:r w:rsidR="00345499">
        <w:rPr>
          <w:rFonts w:ascii="Arial" w:hAnsi="Arial" w:cs="Arial"/>
          <w:sz w:val="20"/>
          <w:szCs w:val="20"/>
        </w:rPr>
        <w:t>zku podniků, z toho v případě 13</w:t>
      </w:r>
      <w:r>
        <w:rPr>
          <w:rFonts w:ascii="Arial" w:hAnsi="Arial" w:cs="Arial"/>
          <w:sz w:val="20"/>
          <w:szCs w:val="20"/>
        </w:rPr>
        <w:t xml:space="preserve"> subjektů byla utržená částka vyšší než 10 mil. Kč. Nejvíce peněz </w:t>
      </w:r>
      <w:r w:rsidR="003B4228">
        <w:rPr>
          <w:rFonts w:ascii="Arial" w:hAnsi="Arial" w:cs="Arial"/>
          <w:sz w:val="20"/>
          <w:szCs w:val="20"/>
        </w:rPr>
        <w:t xml:space="preserve">získaly </w:t>
      </w:r>
      <w:r>
        <w:rPr>
          <w:rFonts w:ascii="Arial" w:hAnsi="Arial" w:cs="Arial"/>
          <w:sz w:val="20"/>
          <w:szCs w:val="20"/>
        </w:rPr>
        <w:t>technické školy. Na ČVUT v Pr</w:t>
      </w:r>
      <w:r w:rsidR="00345499">
        <w:rPr>
          <w:rFonts w:ascii="Arial" w:hAnsi="Arial" w:cs="Arial"/>
          <w:sz w:val="20"/>
          <w:szCs w:val="20"/>
        </w:rPr>
        <w:t>aze a VUT v Brně dokonce připadala</w:t>
      </w:r>
      <w:r>
        <w:rPr>
          <w:rFonts w:ascii="Arial" w:hAnsi="Arial" w:cs="Arial"/>
          <w:sz w:val="20"/>
          <w:szCs w:val="20"/>
        </w:rPr>
        <w:t xml:space="preserve"> </w:t>
      </w:r>
      <w:r w:rsidR="00345499">
        <w:rPr>
          <w:rFonts w:ascii="Arial" w:hAnsi="Arial" w:cs="Arial"/>
          <w:sz w:val="20"/>
          <w:szCs w:val="20"/>
        </w:rPr>
        <w:t>přibližně</w:t>
      </w:r>
      <w:r>
        <w:rPr>
          <w:rFonts w:ascii="Arial" w:hAnsi="Arial" w:cs="Arial"/>
          <w:sz w:val="20"/>
          <w:szCs w:val="20"/>
        </w:rPr>
        <w:t xml:space="preserve"> polovina ze všech příjmů z prodejů služeb </w:t>
      </w:r>
      <w:proofErr w:type="spellStart"/>
      <w:r>
        <w:rPr>
          <w:rFonts w:ascii="Arial" w:hAnsi="Arial" w:cs="Arial"/>
          <w:sz w:val="20"/>
          <w:szCs w:val="20"/>
        </w:rPr>
        <w:t>VaV</w:t>
      </w:r>
      <w:proofErr w:type="spellEnd"/>
      <w:r>
        <w:rPr>
          <w:rFonts w:ascii="Arial" w:hAnsi="Arial" w:cs="Arial"/>
          <w:sz w:val="20"/>
          <w:szCs w:val="20"/>
        </w:rPr>
        <w:t xml:space="preserve"> vysokých škol podnikům. Téměř ve všech státech EU</w:t>
      </w:r>
      <w:r w:rsidR="003B4228">
        <w:rPr>
          <w:rFonts w:ascii="Arial" w:hAnsi="Arial" w:cs="Arial"/>
          <w:sz w:val="20"/>
          <w:szCs w:val="20"/>
        </w:rPr>
        <w:t>27</w:t>
      </w:r>
      <w:r>
        <w:rPr>
          <w:rFonts w:ascii="Arial" w:hAnsi="Arial" w:cs="Arial"/>
          <w:sz w:val="20"/>
          <w:szCs w:val="20"/>
        </w:rPr>
        <w:t xml:space="preserve"> se podniky podílejí na financování výdajů na </w:t>
      </w:r>
      <w:proofErr w:type="spellStart"/>
      <w:r>
        <w:rPr>
          <w:rFonts w:ascii="Arial" w:hAnsi="Arial" w:cs="Arial"/>
          <w:sz w:val="20"/>
          <w:szCs w:val="20"/>
        </w:rPr>
        <w:t>VaV</w:t>
      </w:r>
      <w:proofErr w:type="spellEnd"/>
      <w:r>
        <w:rPr>
          <w:rFonts w:ascii="Arial" w:hAnsi="Arial" w:cs="Arial"/>
          <w:sz w:val="20"/>
          <w:szCs w:val="20"/>
        </w:rPr>
        <w:t xml:space="preserve"> vysokoškolského sektoru z méně než 10 %. V České republice je to dlouhodobě kolem 4 %. Ze západoevropských států překonává hranic</w:t>
      </w:r>
      <w:r w:rsidR="00FD4FEE">
        <w:rPr>
          <w:rFonts w:ascii="Arial" w:hAnsi="Arial" w:cs="Arial"/>
          <w:sz w:val="20"/>
          <w:szCs w:val="20"/>
        </w:rPr>
        <w:t>i 10 % pouze Belgie. V roce 2021</w:t>
      </w:r>
      <w:r>
        <w:rPr>
          <w:rFonts w:ascii="Arial" w:hAnsi="Arial" w:cs="Arial"/>
          <w:sz w:val="20"/>
          <w:szCs w:val="20"/>
        </w:rPr>
        <w:t xml:space="preserve"> se jednalo o 12</w:t>
      </w:r>
      <w:r w:rsidR="003B4228">
        <w:rPr>
          <w:rFonts w:ascii="Arial" w:hAnsi="Arial" w:cs="Arial"/>
          <w:sz w:val="20"/>
          <w:szCs w:val="20"/>
        </w:rPr>
        <w:t> </w:t>
      </w:r>
      <w:r>
        <w:rPr>
          <w:rFonts w:ascii="Arial" w:hAnsi="Arial" w:cs="Arial"/>
          <w:sz w:val="20"/>
          <w:szCs w:val="20"/>
        </w:rPr>
        <w:t>%. Ze všech států EU</w:t>
      </w:r>
      <w:r w:rsidR="003B4228">
        <w:rPr>
          <w:rFonts w:ascii="Arial" w:hAnsi="Arial" w:cs="Arial"/>
          <w:sz w:val="20"/>
          <w:szCs w:val="20"/>
        </w:rPr>
        <w:t>27</w:t>
      </w:r>
      <w:r>
        <w:rPr>
          <w:rFonts w:ascii="Arial" w:hAnsi="Arial" w:cs="Arial"/>
          <w:sz w:val="20"/>
          <w:szCs w:val="20"/>
        </w:rPr>
        <w:t xml:space="preserve"> se na financování vysokoškolského výzkumu podílí podniky více než v Belgii již jen v Bulharsku. V roce 202</w:t>
      </w:r>
      <w:r w:rsidR="00FD4FEE">
        <w:rPr>
          <w:rFonts w:ascii="Arial" w:hAnsi="Arial" w:cs="Arial"/>
          <w:sz w:val="20"/>
          <w:szCs w:val="20"/>
        </w:rPr>
        <w:t>1</w:t>
      </w:r>
      <w:r>
        <w:rPr>
          <w:rFonts w:ascii="Arial" w:hAnsi="Arial" w:cs="Arial"/>
          <w:sz w:val="20"/>
          <w:szCs w:val="20"/>
        </w:rPr>
        <w:t xml:space="preserve"> to bylo dokonce z</w:t>
      </w:r>
      <w:r w:rsidR="00FD4FEE">
        <w:rPr>
          <w:rFonts w:ascii="Arial" w:hAnsi="Arial" w:cs="Arial"/>
          <w:sz w:val="20"/>
          <w:szCs w:val="20"/>
        </w:rPr>
        <w:t>e 17</w:t>
      </w:r>
      <w:r>
        <w:rPr>
          <w:rFonts w:ascii="Arial" w:hAnsi="Arial" w:cs="Arial"/>
          <w:sz w:val="20"/>
          <w:szCs w:val="20"/>
        </w:rPr>
        <w:t xml:space="preserve"> %. Je však třeba podotknout, že celkové výdaje na </w:t>
      </w:r>
      <w:proofErr w:type="spellStart"/>
      <w:r>
        <w:rPr>
          <w:rFonts w:ascii="Arial" w:hAnsi="Arial" w:cs="Arial"/>
          <w:sz w:val="20"/>
          <w:szCs w:val="20"/>
        </w:rPr>
        <w:t>VaV</w:t>
      </w:r>
      <w:proofErr w:type="spellEnd"/>
      <w:r>
        <w:rPr>
          <w:rFonts w:ascii="Arial" w:hAnsi="Arial" w:cs="Arial"/>
          <w:sz w:val="20"/>
          <w:szCs w:val="20"/>
        </w:rPr>
        <w:t xml:space="preserve"> ve vysokoškolském sektoru byly v</w:t>
      </w:r>
      <w:r w:rsidR="00FD4FEE">
        <w:rPr>
          <w:rFonts w:ascii="Arial" w:hAnsi="Arial" w:cs="Arial"/>
          <w:sz w:val="20"/>
          <w:szCs w:val="20"/>
        </w:rPr>
        <w:t> </w:t>
      </w:r>
      <w:r>
        <w:rPr>
          <w:rFonts w:ascii="Arial" w:hAnsi="Arial" w:cs="Arial"/>
          <w:sz w:val="20"/>
          <w:szCs w:val="20"/>
        </w:rPr>
        <w:t>Bulharsku</w:t>
      </w:r>
      <w:r w:rsidR="00FD4FEE">
        <w:rPr>
          <w:rFonts w:ascii="Arial" w:hAnsi="Arial" w:cs="Arial"/>
          <w:sz w:val="20"/>
          <w:szCs w:val="20"/>
        </w:rPr>
        <w:t xml:space="preserve"> v roce 2022 pouhých 40</w:t>
      </w:r>
      <w:r>
        <w:rPr>
          <w:rFonts w:ascii="Arial" w:hAnsi="Arial" w:cs="Arial"/>
          <w:sz w:val="20"/>
          <w:szCs w:val="20"/>
        </w:rPr>
        <w:t xml:space="preserve"> mil. Eur. Pro srovnání v Česku to bylo ve stejném roce </w:t>
      </w:r>
      <w:r w:rsidR="00FD4FEE">
        <w:rPr>
          <w:rFonts w:ascii="Arial" w:hAnsi="Arial" w:cs="Arial"/>
          <w:sz w:val="20"/>
          <w:szCs w:val="20"/>
        </w:rPr>
        <w:t>1 054</w:t>
      </w:r>
      <w:r>
        <w:rPr>
          <w:rFonts w:ascii="Arial" w:hAnsi="Arial" w:cs="Arial"/>
          <w:sz w:val="20"/>
          <w:szCs w:val="20"/>
        </w:rPr>
        <w:t xml:space="preserve"> mil. Eur.</w:t>
      </w:r>
    </w:p>
    <w:p w14:paraId="3A1F16F9" w14:textId="0F46E627" w:rsidR="00567D88" w:rsidRDefault="00567D88" w:rsidP="00567D88">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2</w:t>
      </w:r>
      <w:r w:rsidR="00A23844">
        <w:rPr>
          <w:rFonts w:ascii="Arial" w:hAnsi="Arial" w:cs="Arial"/>
          <w:b/>
          <w:sz w:val="20"/>
          <w:szCs w:val="20"/>
        </w:rPr>
        <w:t>8</w:t>
      </w:r>
      <w:r w:rsidRPr="00E66D3A">
        <w:rPr>
          <w:rFonts w:ascii="Arial" w:hAnsi="Arial" w:cs="Arial"/>
          <w:b/>
          <w:sz w:val="20"/>
          <w:szCs w:val="20"/>
        </w:rPr>
        <w:t xml:space="preserve">. </w:t>
      </w:r>
      <w:r w:rsidRPr="008A248B">
        <w:rPr>
          <w:rFonts w:ascii="Arial" w:hAnsi="Arial" w:cs="Arial"/>
          <w:b/>
          <w:sz w:val="20"/>
          <w:szCs w:val="20"/>
        </w:rPr>
        <w:t xml:space="preserve">Neinvestiční výdaje na </w:t>
      </w:r>
      <w:proofErr w:type="spellStart"/>
      <w:r w:rsidRPr="008A248B">
        <w:rPr>
          <w:rFonts w:ascii="Arial" w:hAnsi="Arial" w:cs="Arial"/>
          <w:b/>
          <w:sz w:val="20"/>
          <w:szCs w:val="20"/>
        </w:rPr>
        <w:t>VaV</w:t>
      </w:r>
      <w:proofErr w:type="spellEnd"/>
      <w:r w:rsidRPr="008A248B">
        <w:rPr>
          <w:rFonts w:ascii="Arial" w:hAnsi="Arial" w:cs="Arial"/>
          <w:b/>
          <w:sz w:val="20"/>
          <w:szCs w:val="20"/>
        </w:rPr>
        <w:t xml:space="preserve"> ve v</w:t>
      </w:r>
      <w:r>
        <w:rPr>
          <w:rFonts w:ascii="Arial" w:hAnsi="Arial" w:cs="Arial"/>
          <w:b/>
          <w:sz w:val="20"/>
          <w:szCs w:val="20"/>
        </w:rPr>
        <w:t xml:space="preserve">ysokoškolském </w:t>
      </w:r>
      <w:r w:rsidRPr="008A248B">
        <w:rPr>
          <w:rFonts w:ascii="Arial" w:hAnsi="Arial" w:cs="Arial"/>
          <w:b/>
          <w:sz w:val="20"/>
          <w:szCs w:val="20"/>
        </w:rPr>
        <w:t>sektoru v Č</w:t>
      </w:r>
      <w:r>
        <w:rPr>
          <w:rFonts w:ascii="Arial" w:hAnsi="Arial" w:cs="Arial"/>
          <w:b/>
          <w:sz w:val="20"/>
          <w:szCs w:val="20"/>
        </w:rPr>
        <w:t>R</w:t>
      </w:r>
      <w:r w:rsidRPr="008A248B">
        <w:rPr>
          <w:rFonts w:ascii="Arial" w:hAnsi="Arial" w:cs="Arial"/>
          <w:b/>
          <w:sz w:val="20"/>
          <w:szCs w:val="20"/>
        </w:rPr>
        <w:t xml:space="preserve"> podle převažující vědní oblast</w:t>
      </w:r>
      <w:r>
        <w:rPr>
          <w:rFonts w:ascii="Arial" w:hAnsi="Arial" w:cs="Arial"/>
          <w:b/>
          <w:sz w:val="20"/>
          <w:szCs w:val="20"/>
        </w:rPr>
        <w:t>i</w:t>
      </w:r>
    </w:p>
    <w:p w14:paraId="55C11902" w14:textId="77777777" w:rsidR="00567D88" w:rsidRDefault="00567D88" w:rsidP="00567D88">
      <w:pPr>
        <w:spacing w:after="120" w:line="288" w:lineRule="auto"/>
        <w:jc w:val="both"/>
        <w:rPr>
          <w:noProof/>
          <w:lang w:eastAsia="cs-CZ"/>
        </w:rPr>
      </w:pPr>
      <w:r>
        <w:rPr>
          <w:noProof/>
          <w:lang w:eastAsia="cs-CZ"/>
        </w:rPr>
        <w:drawing>
          <wp:inline distT="0" distB="0" distL="0" distR="0" wp14:anchorId="71D4EAD9" wp14:editId="0945BFE2">
            <wp:extent cx="3877450" cy="2160000"/>
            <wp:effectExtent l="0" t="0" r="889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72BAC">
        <w:rPr>
          <w:noProof/>
          <w:lang w:eastAsia="cs-CZ"/>
        </w:rPr>
        <w:t xml:space="preserve"> </w:t>
      </w:r>
      <w:r>
        <w:rPr>
          <w:noProof/>
          <w:lang w:eastAsia="cs-CZ"/>
        </w:rPr>
        <w:drawing>
          <wp:inline distT="0" distB="0" distL="0" distR="0" wp14:anchorId="6194096A" wp14:editId="2D0E8FC8">
            <wp:extent cx="1980000" cy="2160000"/>
            <wp:effectExtent l="0" t="0" r="127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2BDEE35" w14:textId="57935055" w:rsidR="00567D88" w:rsidRPr="00567D88" w:rsidRDefault="00567D88" w:rsidP="00567D88">
      <w:pPr>
        <w:spacing w:after="120" w:line="288" w:lineRule="auto"/>
        <w:jc w:val="right"/>
        <w:rPr>
          <w:rFonts w:ascii="Arial" w:hAnsi="Arial" w:cs="Arial"/>
          <w:i/>
          <w:sz w:val="18"/>
          <w:szCs w:val="20"/>
        </w:rPr>
      </w:pPr>
      <w:r w:rsidRPr="008D75B1">
        <w:rPr>
          <w:rFonts w:ascii="Arial" w:hAnsi="Arial" w:cs="Arial"/>
          <w:i/>
          <w:sz w:val="18"/>
          <w:szCs w:val="20"/>
        </w:rPr>
        <w:t>Zdroj: ČSÚ; Roční zjišťování o výzkumu a vývoji VTR 5-01</w:t>
      </w:r>
    </w:p>
    <w:p w14:paraId="6870B4FE" w14:textId="61A443BC" w:rsidR="00DB6829" w:rsidRDefault="00DB6829" w:rsidP="001A67C4">
      <w:pPr>
        <w:spacing w:after="120" w:line="288" w:lineRule="auto"/>
        <w:jc w:val="both"/>
        <w:rPr>
          <w:rFonts w:ascii="Arial" w:hAnsi="Arial" w:cs="Arial"/>
          <w:sz w:val="20"/>
          <w:szCs w:val="20"/>
        </w:rPr>
      </w:pPr>
      <w:r>
        <w:rPr>
          <w:rFonts w:ascii="Arial" w:hAnsi="Arial" w:cs="Arial"/>
          <w:sz w:val="20"/>
          <w:szCs w:val="20"/>
        </w:rPr>
        <w:t xml:space="preserve">Nejvíce prostředků na </w:t>
      </w:r>
      <w:proofErr w:type="spellStart"/>
      <w:r>
        <w:rPr>
          <w:rFonts w:ascii="Arial" w:hAnsi="Arial" w:cs="Arial"/>
          <w:sz w:val="20"/>
          <w:szCs w:val="20"/>
        </w:rPr>
        <w:t>VaV</w:t>
      </w:r>
      <w:proofErr w:type="spellEnd"/>
      <w:r>
        <w:rPr>
          <w:rFonts w:ascii="Arial" w:hAnsi="Arial" w:cs="Arial"/>
          <w:sz w:val="20"/>
          <w:szCs w:val="20"/>
        </w:rPr>
        <w:t xml:space="preserve"> na vysokých školách se vynakládá v přírodních a technických vědách, které dohromady v roce 2022 zaujímaly téměř dvoutřetinový podíl. Do roku 2018 se </w:t>
      </w:r>
      <w:r w:rsidR="00A35EC2">
        <w:rPr>
          <w:rFonts w:ascii="Arial" w:hAnsi="Arial" w:cs="Arial"/>
          <w:sz w:val="20"/>
          <w:szCs w:val="20"/>
        </w:rPr>
        <w:t>spotřebovávaly srovnatelné částky v přírodních i technických vědách. Po roce 2018</w:t>
      </w:r>
      <w:r>
        <w:rPr>
          <w:rFonts w:ascii="Arial" w:hAnsi="Arial" w:cs="Arial"/>
          <w:sz w:val="20"/>
          <w:szCs w:val="20"/>
        </w:rPr>
        <w:t xml:space="preserve"> však výdaje na </w:t>
      </w:r>
      <w:proofErr w:type="spellStart"/>
      <w:r>
        <w:rPr>
          <w:rFonts w:ascii="Arial" w:hAnsi="Arial" w:cs="Arial"/>
          <w:sz w:val="20"/>
          <w:szCs w:val="20"/>
        </w:rPr>
        <w:t>VaV</w:t>
      </w:r>
      <w:proofErr w:type="spellEnd"/>
      <w:r>
        <w:rPr>
          <w:rFonts w:ascii="Arial" w:hAnsi="Arial" w:cs="Arial"/>
          <w:sz w:val="20"/>
          <w:szCs w:val="20"/>
        </w:rPr>
        <w:t xml:space="preserve"> v technických vědách stagnují </w:t>
      </w:r>
      <w:r w:rsidR="00A35EC2">
        <w:rPr>
          <w:rFonts w:ascii="Arial" w:hAnsi="Arial" w:cs="Arial"/>
          <w:sz w:val="20"/>
          <w:szCs w:val="20"/>
        </w:rPr>
        <w:t>a přírodní vědy jim odskočily.</w:t>
      </w:r>
      <w:r w:rsidR="00894664">
        <w:rPr>
          <w:rFonts w:ascii="Arial" w:hAnsi="Arial" w:cs="Arial"/>
          <w:sz w:val="20"/>
          <w:szCs w:val="20"/>
        </w:rPr>
        <w:t xml:space="preserve"> Okolo 15% podílu mají dlouhodobě jak sociální a humanitní vědy, tak lékařské vědy. Vyšší podíl lékařských věd je zapříčiněný začleněním fakultních nemocnic do vysokoškolského sektoru.</w:t>
      </w:r>
    </w:p>
    <w:p w14:paraId="554FC981" w14:textId="716C727A" w:rsidR="00C17D62" w:rsidRDefault="00E4634A" w:rsidP="001A67C4">
      <w:pPr>
        <w:spacing w:after="120" w:line="288" w:lineRule="auto"/>
        <w:jc w:val="both"/>
        <w:rPr>
          <w:rFonts w:ascii="Arial" w:hAnsi="Arial" w:cs="Arial"/>
          <w:sz w:val="20"/>
          <w:szCs w:val="20"/>
        </w:rPr>
      </w:pPr>
      <w:r>
        <w:rPr>
          <w:rFonts w:ascii="Arial" w:hAnsi="Arial" w:cs="Arial"/>
          <w:sz w:val="20"/>
          <w:szCs w:val="20"/>
        </w:rPr>
        <w:lastRenderedPageBreak/>
        <w:t xml:space="preserve">Jako v ostatních sektorech i na vysokých školách z nákladových položek nejvíce rostou mzdy, které několik let tvoří více než 50 % výdajů na </w:t>
      </w:r>
      <w:proofErr w:type="spellStart"/>
      <w:r>
        <w:rPr>
          <w:rFonts w:ascii="Arial" w:hAnsi="Arial" w:cs="Arial"/>
          <w:sz w:val="20"/>
          <w:szCs w:val="20"/>
        </w:rPr>
        <w:t>VaV</w:t>
      </w:r>
      <w:proofErr w:type="spellEnd"/>
      <w:r w:rsidR="008066EA">
        <w:rPr>
          <w:rFonts w:ascii="Arial" w:hAnsi="Arial" w:cs="Arial"/>
          <w:sz w:val="20"/>
          <w:szCs w:val="20"/>
        </w:rPr>
        <w:t xml:space="preserve"> sektoru. Od roku 2010 do roku </w:t>
      </w:r>
      <w:r w:rsidR="0050547B">
        <w:rPr>
          <w:rFonts w:ascii="Arial" w:hAnsi="Arial" w:cs="Arial"/>
          <w:sz w:val="20"/>
          <w:szCs w:val="20"/>
        </w:rPr>
        <w:t xml:space="preserve">2022 </w:t>
      </w:r>
      <w:r>
        <w:rPr>
          <w:rFonts w:ascii="Arial" w:hAnsi="Arial" w:cs="Arial"/>
          <w:sz w:val="20"/>
          <w:szCs w:val="20"/>
        </w:rPr>
        <w:t>se mzdové náklady navýšily z</w:t>
      </w:r>
      <w:r w:rsidR="00A14801">
        <w:rPr>
          <w:rFonts w:ascii="Arial" w:hAnsi="Arial" w:cs="Arial"/>
          <w:sz w:val="20"/>
          <w:szCs w:val="20"/>
        </w:rPr>
        <w:t>e</w:t>
      </w:r>
      <w:r w:rsidR="008066EA">
        <w:rPr>
          <w:rFonts w:ascii="Arial" w:hAnsi="Arial" w:cs="Arial"/>
          <w:sz w:val="20"/>
          <w:szCs w:val="20"/>
        </w:rPr>
        <w:t> 4,9</w:t>
      </w:r>
      <w:r w:rsidR="0057477E">
        <w:rPr>
          <w:rFonts w:ascii="Arial" w:hAnsi="Arial" w:cs="Arial"/>
          <w:sz w:val="20"/>
          <w:szCs w:val="20"/>
        </w:rPr>
        <w:t> </w:t>
      </w:r>
      <w:r>
        <w:rPr>
          <w:rFonts w:ascii="Arial" w:hAnsi="Arial" w:cs="Arial"/>
          <w:sz w:val="20"/>
          <w:szCs w:val="20"/>
        </w:rPr>
        <w:t xml:space="preserve">mld. Kč na </w:t>
      </w:r>
      <w:r w:rsidR="008066EA">
        <w:rPr>
          <w:rFonts w:ascii="Arial" w:hAnsi="Arial" w:cs="Arial"/>
          <w:sz w:val="20"/>
          <w:szCs w:val="20"/>
        </w:rPr>
        <w:t>14,1</w:t>
      </w:r>
      <w:r w:rsidR="00B228C0">
        <w:rPr>
          <w:rFonts w:ascii="Arial" w:hAnsi="Arial" w:cs="Arial"/>
          <w:sz w:val="20"/>
          <w:szCs w:val="20"/>
        </w:rPr>
        <w:t xml:space="preserve"> mld. Kč a jejich podíl na celkových výdajích na </w:t>
      </w:r>
      <w:proofErr w:type="spellStart"/>
      <w:r w:rsidR="00B228C0">
        <w:rPr>
          <w:rFonts w:ascii="Arial" w:hAnsi="Arial" w:cs="Arial"/>
          <w:sz w:val="20"/>
          <w:szCs w:val="20"/>
        </w:rPr>
        <w:t>VaV</w:t>
      </w:r>
      <w:proofErr w:type="spellEnd"/>
      <w:r w:rsidR="00B228C0">
        <w:rPr>
          <w:rFonts w:ascii="Arial" w:hAnsi="Arial" w:cs="Arial"/>
          <w:sz w:val="20"/>
          <w:szCs w:val="20"/>
        </w:rPr>
        <w:t xml:space="preserve"> vyso</w:t>
      </w:r>
      <w:r w:rsidR="008066EA">
        <w:rPr>
          <w:rFonts w:ascii="Arial" w:hAnsi="Arial" w:cs="Arial"/>
          <w:sz w:val="20"/>
          <w:szCs w:val="20"/>
        </w:rPr>
        <w:t>koškolského sektoru vzrostl ze 45</w:t>
      </w:r>
      <w:r w:rsidR="00B228C0">
        <w:rPr>
          <w:rFonts w:ascii="Arial" w:hAnsi="Arial" w:cs="Arial"/>
          <w:sz w:val="20"/>
          <w:szCs w:val="20"/>
        </w:rPr>
        <w:t xml:space="preserve"> na 55 %.</w:t>
      </w:r>
      <w:r w:rsidR="00F24B3B">
        <w:rPr>
          <w:rFonts w:ascii="Arial" w:hAnsi="Arial" w:cs="Arial"/>
          <w:sz w:val="20"/>
          <w:szCs w:val="20"/>
        </w:rPr>
        <w:t xml:space="preserve"> Investi</w:t>
      </w:r>
      <w:r w:rsidR="00C17D62">
        <w:rPr>
          <w:rFonts w:ascii="Arial" w:hAnsi="Arial" w:cs="Arial"/>
          <w:sz w:val="20"/>
          <w:szCs w:val="20"/>
        </w:rPr>
        <w:t>ční náklady měly svůj vrchol ve stejném období jako ve vládním sektoru</w:t>
      </w:r>
      <w:r w:rsidR="002301B3">
        <w:rPr>
          <w:rFonts w:ascii="Arial" w:hAnsi="Arial" w:cs="Arial"/>
          <w:sz w:val="20"/>
          <w:szCs w:val="20"/>
        </w:rPr>
        <w:t>, který souvisel</w:t>
      </w:r>
      <w:r w:rsidR="00C17D62">
        <w:rPr>
          <w:rFonts w:ascii="Arial" w:hAnsi="Arial" w:cs="Arial"/>
          <w:sz w:val="20"/>
          <w:szCs w:val="20"/>
        </w:rPr>
        <w:t xml:space="preserve"> s intenzivním čerpáním EU dotací na výstavbu nových výzkumných center. Na investice šlo ve vysokoškolském sektoru mezi lety 2012 a 2015 25 mld. Kč, tzn. více než 6 mld. Kč ročně. </w:t>
      </w:r>
      <w:r w:rsidR="008066EA">
        <w:rPr>
          <w:rFonts w:ascii="Arial" w:hAnsi="Arial" w:cs="Arial"/>
          <w:sz w:val="20"/>
          <w:szCs w:val="20"/>
        </w:rPr>
        <w:t>Mezi lety 2018 a 2021 se jejich výše pohybovala</w:t>
      </w:r>
      <w:r w:rsidR="00C17D62">
        <w:rPr>
          <w:rFonts w:ascii="Arial" w:hAnsi="Arial" w:cs="Arial"/>
          <w:sz w:val="20"/>
          <w:szCs w:val="20"/>
        </w:rPr>
        <w:t xml:space="preserve"> okolo 2 mld. Kč ročně, </w:t>
      </w:r>
      <w:r w:rsidR="008066EA">
        <w:rPr>
          <w:rFonts w:ascii="Arial" w:hAnsi="Arial" w:cs="Arial"/>
          <w:sz w:val="20"/>
          <w:szCs w:val="20"/>
        </w:rPr>
        <w:t>a v roce 2022 to bylo jen 1,4</w:t>
      </w:r>
      <w:r w:rsidR="00C17D62">
        <w:rPr>
          <w:rFonts w:ascii="Arial" w:hAnsi="Arial" w:cs="Arial"/>
          <w:sz w:val="20"/>
          <w:szCs w:val="20"/>
        </w:rPr>
        <w:t xml:space="preserve"> mld. Kč, </w:t>
      </w:r>
      <w:r w:rsidR="008066EA">
        <w:rPr>
          <w:rFonts w:ascii="Arial" w:hAnsi="Arial" w:cs="Arial"/>
          <w:sz w:val="20"/>
          <w:szCs w:val="20"/>
        </w:rPr>
        <w:t xml:space="preserve">přibližně 5 </w:t>
      </w:r>
      <w:r w:rsidR="00C17D62">
        <w:rPr>
          <w:rFonts w:ascii="Arial" w:hAnsi="Arial" w:cs="Arial"/>
          <w:sz w:val="20"/>
          <w:szCs w:val="20"/>
        </w:rPr>
        <w:t>% výdajů</w:t>
      </w:r>
      <w:r w:rsidR="008066EA">
        <w:rPr>
          <w:rFonts w:ascii="Arial" w:hAnsi="Arial" w:cs="Arial"/>
          <w:sz w:val="20"/>
          <w:szCs w:val="20"/>
        </w:rPr>
        <w:t xml:space="preserve"> na </w:t>
      </w:r>
      <w:proofErr w:type="spellStart"/>
      <w:r w:rsidR="008066EA">
        <w:rPr>
          <w:rFonts w:ascii="Arial" w:hAnsi="Arial" w:cs="Arial"/>
          <w:sz w:val="20"/>
          <w:szCs w:val="20"/>
        </w:rPr>
        <w:t>VaV</w:t>
      </w:r>
      <w:proofErr w:type="spellEnd"/>
      <w:r w:rsidR="008066EA">
        <w:rPr>
          <w:rFonts w:ascii="Arial" w:hAnsi="Arial" w:cs="Arial"/>
          <w:sz w:val="20"/>
          <w:szCs w:val="20"/>
        </w:rPr>
        <w:t xml:space="preserve"> vysokoškolského sektoru</w:t>
      </w:r>
    </w:p>
    <w:p w14:paraId="19E201DD" w14:textId="39C9789A" w:rsidR="00EA6825" w:rsidRDefault="00072009" w:rsidP="001A67C4">
      <w:pPr>
        <w:spacing w:after="120" w:line="288" w:lineRule="auto"/>
        <w:jc w:val="both"/>
        <w:rPr>
          <w:rFonts w:ascii="Arial" w:hAnsi="Arial" w:cs="Arial"/>
          <w:sz w:val="20"/>
          <w:szCs w:val="20"/>
        </w:rPr>
      </w:pPr>
      <w:r>
        <w:rPr>
          <w:rFonts w:ascii="Arial" w:hAnsi="Arial" w:cs="Arial"/>
          <w:sz w:val="20"/>
          <w:szCs w:val="20"/>
        </w:rPr>
        <w:t>Na sedmi univerzitách se v roce 202</w:t>
      </w:r>
      <w:r w:rsidR="00897C38">
        <w:rPr>
          <w:rFonts w:ascii="Arial" w:hAnsi="Arial" w:cs="Arial"/>
          <w:sz w:val="20"/>
          <w:szCs w:val="20"/>
        </w:rPr>
        <w:t>2</w:t>
      </w:r>
      <w:r>
        <w:rPr>
          <w:rFonts w:ascii="Arial" w:hAnsi="Arial" w:cs="Arial"/>
          <w:sz w:val="20"/>
          <w:szCs w:val="20"/>
        </w:rPr>
        <w:t xml:space="preserve"> vynaložila na </w:t>
      </w:r>
      <w:proofErr w:type="spellStart"/>
      <w:r>
        <w:rPr>
          <w:rFonts w:ascii="Arial" w:hAnsi="Arial" w:cs="Arial"/>
          <w:sz w:val="20"/>
          <w:szCs w:val="20"/>
        </w:rPr>
        <w:t>VaV</w:t>
      </w:r>
      <w:proofErr w:type="spellEnd"/>
      <w:r>
        <w:rPr>
          <w:rFonts w:ascii="Arial" w:hAnsi="Arial" w:cs="Arial"/>
          <w:sz w:val="20"/>
          <w:szCs w:val="20"/>
        </w:rPr>
        <w:t xml:space="preserve"> více než 1 mld. Kč. Dalších pět veřejných vysokých škol vykázalo výdaje na </w:t>
      </w:r>
      <w:proofErr w:type="spellStart"/>
      <w:r>
        <w:rPr>
          <w:rFonts w:ascii="Arial" w:hAnsi="Arial" w:cs="Arial"/>
          <w:sz w:val="20"/>
          <w:szCs w:val="20"/>
        </w:rPr>
        <w:t>VaV</w:t>
      </w:r>
      <w:proofErr w:type="spellEnd"/>
      <w:r>
        <w:rPr>
          <w:rFonts w:ascii="Arial" w:hAnsi="Arial" w:cs="Arial"/>
          <w:sz w:val="20"/>
          <w:szCs w:val="20"/>
        </w:rPr>
        <w:t xml:space="preserve"> vyšší než 500 mil. Kč a na dalších devíti to bylo více než 100 mil. Kč. Šest fakultních nemocnic z dvanácti mělo v roce 202</w:t>
      </w:r>
      <w:r w:rsidR="00897C38">
        <w:rPr>
          <w:rFonts w:ascii="Arial" w:hAnsi="Arial" w:cs="Arial"/>
          <w:sz w:val="20"/>
          <w:szCs w:val="20"/>
        </w:rPr>
        <w:t>2</w:t>
      </w:r>
      <w:r>
        <w:rPr>
          <w:rFonts w:ascii="Arial" w:hAnsi="Arial" w:cs="Arial"/>
          <w:sz w:val="20"/>
          <w:szCs w:val="20"/>
        </w:rPr>
        <w:t xml:space="preserve"> výdaje na </w:t>
      </w:r>
      <w:proofErr w:type="spellStart"/>
      <w:r>
        <w:rPr>
          <w:rFonts w:ascii="Arial" w:hAnsi="Arial" w:cs="Arial"/>
          <w:sz w:val="20"/>
          <w:szCs w:val="20"/>
        </w:rPr>
        <w:t>VaV</w:t>
      </w:r>
      <w:proofErr w:type="spellEnd"/>
      <w:r>
        <w:rPr>
          <w:rFonts w:ascii="Arial" w:hAnsi="Arial" w:cs="Arial"/>
          <w:sz w:val="20"/>
          <w:szCs w:val="20"/>
        </w:rPr>
        <w:t xml:space="preserve"> vyšší než 100 mil. Kč. V případě soukromých vysokých škol jsou částky vynakládané n</w:t>
      </w:r>
      <w:r w:rsidR="002301B3">
        <w:rPr>
          <w:rFonts w:ascii="Arial" w:hAnsi="Arial" w:cs="Arial"/>
          <w:sz w:val="20"/>
          <w:szCs w:val="20"/>
        </w:rPr>
        <w:t xml:space="preserve">a </w:t>
      </w:r>
      <w:proofErr w:type="spellStart"/>
      <w:r w:rsidR="002301B3">
        <w:rPr>
          <w:rFonts w:ascii="Arial" w:hAnsi="Arial" w:cs="Arial"/>
          <w:sz w:val="20"/>
          <w:szCs w:val="20"/>
        </w:rPr>
        <w:t>VaV</w:t>
      </w:r>
      <w:proofErr w:type="spellEnd"/>
      <w:r w:rsidR="002301B3">
        <w:rPr>
          <w:rFonts w:ascii="Arial" w:hAnsi="Arial" w:cs="Arial"/>
          <w:sz w:val="20"/>
          <w:szCs w:val="20"/>
        </w:rPr>
        <w:t xml:space="preserve"> podstatně nižší. </w:t>
      </w:r>
      <w:r w:rsidR="00897C38">
        <w:rPr>
          <w:rFonts w:ascii="Arial" w:hAnsi="Arial" w:cs="Arial"/>
          <w:sz w:val="20"/>
          <w:szCs w:val="20"/>
        </w:rPr>
        <w:t>Sedmnáct</w:t>
      </w:r>
      <w:r w:rsidR="002301B3">
        <w:rPr>
          <w:rFonts w:ascii="Arial" w:hAnsi="Arial" w:cs="Arial"/>
          <w:sz w:val="20"/>
          <w:szCs w:val="20"/>
        </w:rPr>
        <w:t xml:space="preserve"> z</w:t>
      </w:r>
      <w:r w:rsidR="00897C38">
        <w:rPr>
          <w:rFonts w:ascii="Arial" w:hAnsi="Arial" w:cs="Arial"/>
          <w:sz w:val="20"/>
          <w:szCs w:val="20"/>
        </w:rPr>
        <w:t xml:space="preserve"> 22</w:t>
      </w:r>
      <w:r>
        <w:rPr>
          <w:rFonts w:ascii="Arial" w:hAnsi="Arial" w:cs="Arial"/>
          <w:sz w:val="20"/>
          <w:szCs w:val="20"/>
        </w:rPr>
        <w:t xml:space="preserve"> soukromých vysokýc</w:t>
      </w:r>
      <w:r w:rsidR="00897C38">
        <w:rPr>
          <w:rFonts w:ascii="Arial" w:hAnsi="Arial" w:cs="Arial"/>
          <w:sz w:val="20"/>
          <w:szCs w:val="20"/>
        </w:rPr>
        <w:t>h škol provádějících v roce 2022</w:t>
      </w:r>
      <w:r w:rsidR="002301B3">
        <w:rPr>
          <w:rFonts w:ascii="Arial" w:hAnsi="Arial" w:cs="Arial"/>
          <w:sz w:val="20"/>
          <w:szCs w:val="20"/>
        </w:rPr>
        <w:t xml:space="preserve"> v Česku</w:t>
      </w:r>
      <w:r>
        <w:rPr>
          <w:rFonts w:ascii="Arial" w:hAnsi="Arial" w:cs="Arial"/>
          <w:sz w:val="20"/>
          <w:szCs w:val="20"/>
        </w:rPr>
        <w:t xml:space="preserve"> </w:t>
      </w:r>
      <w:proofErr w:type="spellStart"/>
      <w:r>
        <w:rPr>
          <w:rFonts w:ascii="Arial" w:hAnsi="Arial" w:cs="Arial"/>
          <w:sz w:val="20"/>
          <w:szCs w:val="20"/>
        </w:rPr>
        <w:t>VaV</w:t>
      </w:r>
      <w:proofErr w:type="spellEnd"/>
      <w:r>
        <w:rPr>
          <w:rFonts w:ascii="Arial" w:hAnsi="Arial" w:cs="Arial"/>
          <w:sz w:val="20"/>
          <w:szCs w:val="20"/>
        </w:rPr>
        <w:t xml:space="preserve"> </w:t>
      </w:r>
      <w:r w:rsidR="0057477E">
        <w:rPr>
          <w:rFonts w:ascii="Arial" w:hAnsi="Arial" w:cs="Arial"/>
          <w:sz w:val="20"/>
          <w:szCs w:val="20"/>
        </w:rPr>
        <w:t>utratilo za</w:t>
      </w:r>
      <w:r>
        <w:rPr>
          <w:rFonts w:ascii="Arial" w:hAnsi="Arial" w:cs="Arial"/>
          <w:sz w:val="20"/>
          <w:szCs w:val="20"/>
        </w:rPr>
        <w:t xml:space="preserve"> tuto činnost dokonce méně než 10 mil. Kč.</w:t>
      </w:r>
    </w:p>
    <w:p w14:paraId="72E1FF4F" w14:textId="1CB3C33C" w:rsidR="006F275F" w:rsidRDefault="006F275F" w:rsidP="006F275F">
      <w:pPr>
        <w:spacing w:after="120" w:line="288" w:lineRule="auto"/>
        <w:jc w:val="both"/>
        <w:rPr>
          <w:rFonts w:ascii="Arial" w:hAnsi="Arial" w:cs="Arial"/>
          <w:sz w:val="20"/>
          <w:szCs w:val="20"/>
        </w:rPr>
      </w:pPr>
      <w:r>
        <w:rPr>
          <w:rFonts w:ascii="Arial" w:hAnsi="Arial" w:cs="Arial"/>
          <w:sz w:val="20"/>
          <w:szCs w:val="20"/>
        </w:rPr>
        <w:t>Nejvíce vysokých škol i fakultních nemocnic se nachází ve dvou největších městech</w:t>
      </w:r>
      <w:r w:rsidR="00795F63">
        <w:rPr>
          <w:rFonts w:ascii="Arial" w:hAnsi="Arial" w:cs="Arial"/>
          <w:sz w:val="20"/>
          <w:szCs w:val="20"/>
        </w:rPr>
        <w:t>,</w:t>
      </w:r>
      <w:r>
        <w:rPr>
          <w:rFonts w:ascii="Arial" w:hAnsi="Arial" w:cs="Arial"/>
          <w:sz w:val="20"/>
          <w:szCs w:val="20"/>
        </w:rPr>
        <w:t xml:space="preserve"> </w:t>
      </w:r>
      <w:r w:rsidR="00795F63">
        <w:rPr>
          <w:rFonts w:ascii="Arial" w:hAnsi="Arial" w:cs="Arial"/>
          <w:sz w:val="20"/>
          <w:szCs w:val="20"/>
        </w:rPr>
        <w:t xml:space="preserve">v </w:t>
      </w:r>
      <w:r>
        <w:rPr>
          <w:rFonts w:ascii="Arial" w:hAnsi="Arial" w:cs="Arial"/>
          <w:sz w:val="20"/>
          <w:szCs w:val="20"/>
        </w:rPr>
        <w:t>Praze a</w:t>
      </w:r>
      <w:r w:rsidR="00795F63">
        <w:rPr>
          <w:rFonts w:ascii="Arial" w:hAnsi="Arial" w:cs="Arial"/>
          <w:sz w:val="20"/>
          <w:szCs w:val="20"/>
        </w:rPr>
        <w:t xml:space="preserve"> v</w:t>
      </w:r>
      <w:r>
        <w:rPr>
          <w:rFonts w:ascii="Arial" w:hAnsi="Arial" w:cs="Arial"/>
          <w:sz w:val="20"/>
          <w:szCs w:val="20"/>
        </w:rPr>
        <w:t xml:space="preserve"> Brně. Jejich převaha nad zbytkem r</w:t>
      </w:r>
      <w:r w:rsidR="007E7FDD">
        <w:rPr>
          <w:rFonts w:ascii="Arial" w:hAnsi="Arial" w:cs="Arial"/>
          <w:sz w:val="20"/>
          <w:szCs w:val="20"/>
        </w:rPr>
        <w:t>epubliku je výrazná, v roce 2022</w:t>
      </w:r>
      <w:r>
        <w:rPr>
          <w:rFonts w:ascii="Arial" w:hAnsi="Arial" w:cs="Arial"/>
          <w:sz w:val="20"/>
          <w:szCs w:val="20"/>
        </w:rPr>
        <w:t xml:space="preserve"> </w:t>
      </w:r>
      <w:r w:rsidR="00795F63">
        <w:rPr>
          <w:rFonts w:ascii="Arial" w:hAnsi="Arial" w:cs="Arial"/>
          <w:sz w:val="20"/>
          <w:szCs w:val="20"/>
        </w:rPr>
        <w:t xml:space="preserve">připadaly </w:t>
      </w:r>
      <w:r>
        <w:rPr>
          <w:rFonts w:ascii="Arial" w:hAnsi="Arial" w:cs="Arial"/>
          <w:sz w:val="20"/>
          <w:szCs w:val="20"/>
        </w:rPr>
        <w:t xml:space="preserve">na Prahu a Jihomoravský kraj 2/3 výdajů na </w:t>
      </w:r>
      <w:proofErr w:type="spellStart"/>
      <w:r>
        <w:rPr>
          <w:rFonts w:ascii="Arial" w:hAnsi="Arial" w:cs="Arial"/>
          <w:sz w:val="20"/>
          <w:szCs w:val="20"/>
        </w:rPr>
        <w:t>VaV</w:t>
      </w:r>
      <w:proofErr w:type="spellEnd"/>
      <w:r>
        <w:rPr>
          <w:rFonts w:ascii="Arial" w:hAnsi="Arial" w:cs="Arial"/>
          <w:sz w:val="20"/>
          <w:szCs w:val="20"/>
        </w:rPr>
        <w:t xml:space="preserve"> vysokoškolského sektoru. Ve vedo</w:t>
      </w:r>
      <w:r w:rsidR="00C76881">
        <w:rPr>
          <w:rFonts w:ascii="Arial" w:hAnsi="Arial" w:cs="Arial"/>
          <w:sz w:val="20"/>
          <w:szCs w:val="20"/>
        </w:rPr>
        <w:t>ucí Praze to bylo 10,5</w:t>
      </w:r>
      <w:r>
        <w:rPr>
          <w:rFonts w:ascii="Arial" w:hAnsi="Arial" w:cs="Arial"/>
          <w:sz w:val="20"/>
          <w:szCs w:val="20"/>
        </w:rPr>
        <w:t xml:space="preserve"> mld</w:t>
      </w:r>
      <w:r w:rsidR="00C76881">
        <w:rPr>
          <w:rFonts w:ascii="Arial" w:hAnsi="Arial" w:cs="Arial"/>
          <w:sz w:val="20"/>
          <w:szCs w:val="20"/>
        </w:rPr>
        <w:t>. Kč a v Jihomoravském kraji 6,9</w:t>
      </w:r>
      <w:r w:rsidR="00795F63">
        <w:rPr>
          <w:rFonts w:ascii="Arial" w:hAnsi="Arial" w:cs="Arial"/>
          <w:sz w:val="20"/>
          <w:szCs w:val="20"/>
        </w:rPr>
        <w:t> </w:t>
      </w:r>
      <w:r>
        <w:rPr>
          <w:rFonts w:ascii="Arial" w:hAnsi="Arial" w:cs="Arial"/>
          <w:sz w:val="20"/>
          <w:szCs w:val="20"/>
        </w:rPr>
        <w:t>mld.</w:t>
      </w:r>
      <w:r w:rsidR="00795F63">
        <w:rPr>
          <w:rFonts w:ascii="Arial" w:hAnsi="Arial" w:cs="Arial"/>
          <w:sz w:val="20"/>
          <w:szCs w:val="20"/>
        </w:rPr>
        <w:t> </w:t>
      </w:r>
      <w:r>
        <w:rPr>
          <w:rFonts w:ascii="Arial" w:hAnsi="Arial" w:cs="Arial"/>
          <w:sz w:val="20"/>
          <w:szCs w:val="20"/>
        </w:rPr>
        <w:t>Kč. V ostatních regio</w:t>
      </w:r>
      <w:r w:rsidR="00C76881">
        <w:rPr>
          <w:rFonts w:ascii="Arial" w:hAnsi="Arial" w:cs="Arial"/>
          <w:sz w:val="20"/>
          <w:szCs w:val="20"/>
        </w:rPr>
        <w:t>nech Česka to bylo dohromady 8,5</w:t>
      </w:r>
      <w:r>
        <w:rPr>
          <w:rFonts w:ascii="Arial" w:hAnsi="Arial" w:cs="Arial"/>
          <w:sz w:val="20"/>
          <w:szCs w:val="20"/>
        </w:rPr>
        <w:t xml:space="preserve"> mld. Kč. Na třetím místě s </w:t>
      </w:r>
      <w:r w:rsidR="00B23FE2">
        <w:rPr>
          <w:rFonts w:ascii="Arial" w:hAnsi="Arial" w:cs="Arial"/>
          <w:sz w:val="20"/>
          <w:szCs w:val="20"/>
        </w:rPr>
        <w:t>2 </w:t>
      </w:r>
      <w:r>
        <w:rPr>
          <w:rFonts w:ascii="Arial" w:hAnsi="Arial" w:cs="Arial"/>
          <w:sz w:val="20"/>
          <w:szCs w:val="20"/>
        </w:rPr>
        <w:t>mld.</w:t>
      </w:r>
      <w:r w:rsidR="00B23FE2">
        <w:rPr>
          <w:rFonts w:ascii="Arial" w:hAnsi="Arial" w:cs="Arial"/>
          <w:sz w:val="20"/>
          <w:szCs w:val="20"/>
        </w:rPr>
        <w:t> </w:t>
      </w:r>
      <w:r>
        <w:rPr>
          <w:rFonts w:ascii="Arial" w:hAnsi="Arial" w:cs="Arial"/>
          <w:sz w:val="20"/>
          <w:szCs w:val="20"/>
        </w:rPr>
        <w:t xml:space="preserve">Kč byl Moravskoslezský kraj, v němž sídlí tři univerzity. </w:t>
      </w:r>
      <w:r w:rsidR="00B23FE2">
        <w:rPr>
          <w:rFonts w:ascii="Arial" w:hAnsi="Arial" w:cs="Arial"/>
          <w:sz w:val="20"/>
          <w:szCs w:val="20"/>
        </w:rPr>
        <w:t>Následoval</w:t>
      </w:r>
      <w:r>
        <w:rPr>
          <w:rFonts w:ascii="Arial" w:hAnsi="Arial" w:cs="Arial"/>
          <w:sz w:val="20"/>
          <w:szCs w:val="20"/>
        </w:rPr>
        <w:t xml:space="preserve"> Olomoucký kraj</w:t>
      </w:r>
      <w:r w:rsidR="00C76881">
        <w:rPr>
          <w:rFonts w:ascii="Arial" w:hAnsi="Arial" w:cs="Arial"/>
          <w:sz w:val="20"/>
          <w:szCs w:val="20"/>
        </w:rPr>
        <w:t>, kde bylo vynaloženo 1,9</w:t>
      </w:r>
      <w:r>
        <w:rPr>
          <w:rFonts w:ascii="Arial" w:hAnsi="Arial" w:cs="Arial"/>
          <w:sz w:val="20"/>
          <w:szCs w:val="20"/>
        </w:rPr>
        <w:t xml:space="preserve"> mld. Kč. Okolo 1 mld. Kč se na </w:t>
      </w:r>
      <w:proofErr w:type="spellStart"/>
      <w:r>
        <w:rPr>
          <w:rFonts w:ascii="Arial" w:hAnsi="Arial" w:cs="Arial"/>
          <w:sz w:val="20"/>
          <w:szCs w:val="20"/>
        </w:rPr>
        <w:t>VaV</w:t>
      </w:r>
      <w:proofErr w:type="spellEnd"/>
      <w:r>
        <w:rPr>
          <w:rFonts w:ascii="Arial" w:hAnsi="Arial" w:cs="Arial"/>
          <w:sz w:val="20"/>
          <w:szCs w:val="20"/>
        </w:rPr>
        <w:t xml:space="preserve"> ve vysokoškolském sektoru vynakládá v Plzeňském kraji. V nejmenším Karlovarském kraji se nenachází ani jeden subjekt vysokoškolského sektoru provádějící výzkumnou činnost.</w:t>
      </w:r>
      <w:r w:rsidR="0050547B">
        <w:rPr>
          <w:rFonts w:ascii="Arial" w:hAnsi="Arial" w:cs="Arial"/>
          <w:sz w:val="20"/>
          <w:szCs w:val="20"/>
        </w:rPr>
        <w:t xml:space="preserve"> V tomto kraji</w:t>
      </w:r>
      <w:r w:rsidR="00B7647C">
        <w:rPr>
          <w:rFonts w:ascii="Arial" w:hAnsi="Arial" w:cs="Arial"/>
          <w:sz w:val="20"/>
          <w:szCs w:val="20"/>
        </w:rPr>
        <w:t xml:space="preserve"> aktuálně</w:t>
      </w:r>
      <w:r w:rsidR="0050547B">
        <w:rPr>
          <w:rFonts w:ascii="Arial" w:hAnsi="Arial" w:cs="Arial"/>
          <w:sz w:val="20"/>
          <w:szCs w:val="20"/>
        </w:rPr>
        <w:t xml:space="preserve"> nesídlí žádná vysoká škola</w:t>
      </w:r>
      <w:r w:rsidR="00B7647C">
        <w:rPr>
          <w:rFonts w:ascii="Arial" w:hAnsi="Arial" w:cs="Arial"/>
          <w:sz w:val="20"/>
          <w:szCs w:val="20"/>
        </w:rPr>
        <w:t xml:space="preserve">, pouze zde nalezneme pobočky dvou vysokých škol, </w:t>
      </w:r>
    </w:p>
    <w:p w14:paraId="2AB09E1C" w14:textId="66235747" w:rsidR="006F275F" w:rsidRPr="00E66D3A" w:rsidRDefault="006F275F" w:rsidP="006F275F">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29</w:t>
      </w:r>
      <w:r w:rsidRPr="00E66D3A">
        <w:rPr>
          <w:rFonts w:ascii="Arial" w:hAnsi="Arial" w:cs="Arial"/>
          <w:b/>
          <w:sz w:val="20"/>
          <w:szCs w:val="20"/>
        </w:rPr>
        <w:t xml:space="preserve">. </w:t>
      </w:r>
      <w:r w:rsidRPr="00E95F4B">
        <w:rPr>
          <w:rFonts w:ascii="Arial" w:hAnsi="Arial" w:cs="Arial"/>
          <w:b/>
          <w:sz w:val="20"/>
          <w:szCs w:val="20"/>
        </w:rPr>
        <w:t xml:space="preserve">Pracovníci ve </w:t>
      </w:r>
      <w:proofErr w:type="spellStart"/>
      <w:r w:rsidRPr="00E95F4B">
        <w:rPr>
          <w:rFonts w:ascii="Arial" w:hAnsi="Arial" w:cs="Arial"/>
          <w:b/>
          <w:sz w:val="20"/>
          <w:szCs w:val="20"/>
        </w:rPr>
        <w:t>VaV</w:t>
      </w:r>
      <w:proofErr w:type="spellEnd"/>
      <w:r w:rsidRPr="00E95F4B">
        <w:rPr>
          <w:rFonts w:ascii="Arial" w:hAnsi="Arial" w:cs="Arial"/>
          <w:b/>
          <w:sz w:val="20"/>
          <w:szCs w:val="20"/>
        </w:rPr>
        <w:t xml:space="preserve"> (FTE)* ve </w:t>
      </w:r>
      <w:r>
        <w:rPr>
          <w:rFonts w:ascii="Arial" w:hAnsi="Arial" w:cs="Arial"/>
          <w:b/>
          <w:sz w:val="20"/>
          <w:szCs w:val="20"/>
        </w:rPr>
        <w:t xml:space="preserve">vysokoškolském sektoru </w:t>
      </w:r>
      <w:r w:rsidRPr="00E95F4B">
        <w:rPr>
          <w:rFonts w:ascii="Arial" w:hAnsi="Arial" w:cs="Arial"/>
          <w:b/>
          <w:sz w:val="20"/>
          <w:szCs w:val="20"/>
        </w:rPr>
        <w:t xml:space="preserve">v ČR </w:t>
      </w:r>
      <w:r w:rsidRPr="00E66D3A">
        <w:rPr>
          <w:rFonts w:ascii="Arial" w:hAnsi="Arial" w:cs="Arial"/>
          <w:b/>
          <w:sz w:val="20"/>
          <w:szCs w:val="20"/>
        </w:rPr>
        <w:t xml:space="preserve">podle </w:t>
      </w:r>
      <w:r>
        <w:rPr>
          <w:rFonts w:ascii="Arial" w:hAnsi="Arial" w:cs="Arial"/>
          <w:b/>
          <w:sz w:val="20"/>
          <w:szCs w:val="20"/>
        </w:rPr>
        <w:t xml:space="preserve">druhu subjektů a krajů </w:t>
      </w:r>
      <w:r w:rsidRPr="00E66D3A">
        <w:rPr>
          <w:rFonts w:ascii="Arial" w:hAnsi="Arial" w:cs="Arial"/>
          <w:b/>
          <w:sz w:val="20"/>
          <w:szCs w:val="20"/>
        </w:rPr>
        <w:t>(</w:t>
      </w:r>
      <w:r>
        <w:rPr>
          <w:rFonts w:ascii="Arial" w:hAnsi="Arial" w:cs="Arial"/>
          <w:b/>
          <w:sz w:val="20"/>
          <w:szCs w:val="20"/>
        </w:rPr>
        <w:t>%</w:t>
      </w:r>
      <w:r w:rsidRPr="00E66D3A">
        <w:rPr>
          <w:rFonts w:ascii="Arial" w:hAnsi="Arial" w:cs="Arial"/>
          <w:b/>
          <w:sz w:val="20"/>
          <w:szCs w:val="20"/>
        </w:rPr>
        <w:t>)</w:t>
      </w:r>
    </w:p>
    <w:p w14:paraId="54AE5217" w14:textId="77777777" w:rsidR="006F275F" w:rsidRPr="00C67BA8" w:rsidRDefault="006F275F" w:rsidP="006F275F">
      <w:pPr>
        <w:tabs>
          <w:tab w:val="left" w:pos="567"/>
          <w:tab w:val="left" w:pos="5103"/>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druhu </w:t>
      </w:r>
      <w:r>
        <w:rPr>
          <w:rFonts w:ascii="Arial" w:hAnsi="Arial" w:cs="Arial"/>
          <w:b/>
          <w:i/>
          <w:sz w:val="18"/>
          <w:szCs w:val="20"/>
        </w:rPr>
        <w:t>subjektů</w:t>
      </w:r>
      <w:r w:rsidRPr="00C67BA8">
        <w:rPr>
          <w:rFonts w:ascii="Arial" w:hAnsi="Arial" w:cs="Arial"/>
          <w:b/>
          <w:i/>
          <w:sz w:val="18"/>
          <w:szCs w:val="20"/>
        </w:rPr>
        <w:t xml:space="preserve"> </w:t>
      </w:r>
      <w:r w:rsidRPr="00C67BA8">
        <w:rPr>
          <w:rFonts w:ascii="Arial" w:hAnsi="Arial" w:cs="Arial"/>
          <w:b/>
          <w:i/>
          <w:sz w:val="18"/>
          <w:szCs w:val="20"/>
        </w:rPr>
        <w:tab/>
        <w:t xml:space="preserve">b) podle </w:t>
      </w:r>
      <w:r>
        <w:rPr>
          <w:rFonts w:ascii="Arial" w:hAnsi="Arial" w:cs="Arial"/>
          <w:b/>
          <w:i/>
          <w:sz w:val="18"/>
          <w:szCs w:val="20"/>
        </w:rPr>
        <w:t>krajů</w:t>
      </w:r>
      <w:r w:rsidRPr="00C67BA8">
        <w:rPr>
          <w:rFonts w:ascii="Arial" w:hAnsi="Arial" w:cs="Arial"/>
          <w:b/>
          <w:i/>
          <w:sz w:val="18"/>
          <w:szCs w:val="20"/>
        </w:rPr>
        <w:t xml:space="preserve"> </w:t>
      </w:r>
      <w:r w:rsidRPr="00C67BA8">
        <w:rPr>
          <w:rFonts w:ascii="Arial" w:hAnsi="Arial" w:cs="Arial"/>
          <w:b/>
          <w:i/>
          <w:sz w:val="18"/>
          <w:szCs w:val="20"/>
        </w:rPr>
        <w:tab/>
      </w:r>
    </w:p>
    <w:p w14:paraId="6C40D79E" w14:textId="60BF1BA8" w:rsidR="006F275F" w:rsidRDefault="007839CB" w:rsidP="006F275F">
      <w:pPr>
        <w:spacing w:after="120" w:line="288" w:lineRule="auto"/>
        <w:jc w:val="both"/>
        <w:rPr>
          <w:rFonts w:ascii="Arial" w:hAnsi="Arial" w:cs="Arial"/>
          <w:sz w:val="20"/>
          <w:szCs w:val="20"/>
        </w:rPr>
      </w:pPr>
      <w:r>
        <w:rPr>
          <w:noProof/>
          <w:lang w:eastAsia="cs-CZ"/>
        </w:rPr>
        <w:drawing>
          <wp:inline distT="0" distB="0" distL="0" distR="0" wp14:anchorId="18780015" wp14:editId="36FA48BE">
            <wp:extent cx="2880000" cy="2160000"/>
            <wp:effectExtent l="0" t="0" r="0" b="0"/>
            <wp:docPr id="119" name="Graf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6F275F">
        <w:rPr>
          <w:rFonts w:ascii="Arial" w:hAnsi="Arial" w:cs="Arial"/>
          <w:sz w:val="20"/>
          <w:szCs w:val="20"/>
        </w:rPr>
        <w:t xml:space="preserve">          </w:t>
      </w:r>
      <w:r>
        <w:rPr>
          <w:noProof/>
          <w:lang w:eastAsia="cs-CZ"/>
        </w:rPr>
        <w:drawing>
          <wp:inline distT="0" distB="0" distL="0" distR="0" wp14:anchorId="1E94EC0D" wp14:editId="373CA7FB">
            <wp:extent cx="2880000" cy="2160000"/>
            <wp:effectExtent l="0" t="0" r="0" b="0"/>
            <wp:docPr id="120" name="Graf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6BE1B26" w14:textId="77777777" w:rsidR="00CA39D0" w:rsidRDefault="00CA39D0" w:rsidP="00CA39D0">
      <w:pPr>
        <w:spacing w:after="40" w:line="288" w:lineRule="auto"/>
        <w:rPr>
          <w:rFonts w:ascii="Arial" w:hAnsi="Arial" w:cs="Arial"/>
          <w:sz w:val="18"/>
          <w:szCs w:val="20"/>
        </w:rPr>
      </w:pPr>
      <w:r>
        <w:rPr>
          <w:rFonts w:ascii="Arial" w:hAnsi="Arial" w:cs="Arial"/>
          <w:sz w:val="18"/>
          <w:szCs w:val="20"/>
        </w:rPr>
        <w:t>*</w:t>
      </w:r>
      <w:r w:rsidRPr="000B0A9C">
        <w:rPr>
          <w:rFonts w:ascii="Arial" w:hAnsi="Arial" w:cs="Arial"/>
          <w:sz w:val="18"/>
          <w:szCs w:val="20"/>
        </w:rPr>
        <w:t>přepočtené osoby na plnou pracovní dobu věnovanou výzkumným a vývojovým činnostem (FTE)</w:t>
      </w:r>
    </w:p>
    <w:p w14:paraId="420C64F6" w14:textId="7EC53CEE" w:rsidR="006F275F" w:rsidRPr="00894664" w:rsidRDefault="00CA39D0" w:rsidP="00894664">
      <w:pPr>
        <w:spacing w:after="120" w:line="288" w:lineRule="auto"/>
        <w:jc w:val="right"/>
        <w:rPr>
          <w:rFonts w:ascii="Arial" w:hAnsi="Arial" w:cs="Arial"/>
          <w:i/>
          <w:sz w:val="20"/>
          <w:szCs w:val="20"/>
        </w:rPr>
      </w:pPr>
      <w:r w:rsidRPr="00CA39D0">
        <w:rPr>
          <w:rFonts w:ascii="Arial" w:hAnsi="Arial" w:cs="Arial"/>
          <w:i/>
          <w:sz w:val="18"/>
          <w:szCs w:val="20"/>
        </w:rPr>
        <w:t>Zdroj: ČSÚ; Roční zjišťování o výzkumu a vývoji VTR 5-01</w:t>
      </w:r>
      <w:r w:rsidRPr="00CA39D0">
        <w:rPr>
          <w:rFonts w:ascii="Arial" w:hAnsi="Arial" w:cs="Arial"/>
          <w:i/>
          <w:sz w:val="20"/>
          <w:szCs w:val="20"/>
        </w:rPr>
        <w:t xml:space="preserve"> </w:t>
      </w:r>
    </w:p>
    <w:p w14:paraId="1A006ABC" w14:textId="77777777" w:rsidR="00894664" w:rsidRDefault="00894664" w:rsidP="00894664">
      <w:pPr>
        <w:spacing w:after="120" w:line="288" w:lineRule="auto"/>
        <w:jc w:val="both"/>
        <w:rPr>
          <w:rFonts w:ascii="Arial" w:hAnsi="Arial" w:cs="Arial"/>
          <w:sz w:val="20"/>
          <w:szCs w:val="20"/>
        </w:rPr>
      </w:pPr>
      <w:r>
        <w:rPr>
          <w:rFonts w:ascii="Arial" w:hAnsi="Arial" w:cs="Arial"/>
          <w:sz w:val="20"/>
          <w:szCs w:val="20"/>
        </w:rPr>
        <w:t xml:space="preserve">Ve vysokoškolském sektoru pracovalo v roce 2022 ve výzkumu a vývoji 38,1 tis. osob. V ukazateli přepočtených osob se jednalo o 20,8 tis. osob. Přibližně poloviční počet přepočtených osob ve vztahu k fyzickým osobám lze vysvětlit tím, že na vysokých školách se akademičtí pracovníci nezabývají výlučně </w:t>
      </w:r>
      <w:proofErr w:type="spellStart"/>
      <w:r>
        <w:rPr>
          <w:rFonts w:ascii="Arial" w:hAnsi="Arial" w:cs="Arial"/>
          <w:sz w:val="20"/>
          <w:szCs w:val="20"/>
        </w:rPr>
        <w:t>VaV</w:t>
      </w:r>
      <w:proofErr w:type="spellEnd"/>
      <w:r>
        <w:rPr>
          <w:rFonts w:ascii="Arial" w:hAnsi="Arial" w:cs="Arial"/>
          <w:sz w:val="20"/>
          <w:szCs w:val="20"/>
        </w:rPr>
        <w:t xml:space="preserve"> činností, ale mají samozřejmě i pedagogické povinnosti. Na vysokých školách najdeme též mnoho pracovníků zaměstnaných jen na částečný úvazek. Na celkovém počtu pracovníků </w:t>
      </w:r>
      <w:proofErr w:type="spellStart"/>
      <w:r>
        <w:rPr>
          <w:rFonts w:ascii="Arial" w:hAnsi="Arial" w:cs="Arial"/>
          <w:sz w:val="20"/>
          <w:szCs w:val="20"/>
        </w:rPr>
        <w:t>VaV</w:t>
      </w:r>
      <w:proofErr w:type="spellEnd"/>
      <w:r>
        <w:rPr>
          <w:rFonts w:ascii="Arial" w:hAnsi="Arial" w:cs="Arial"/>
          <w:sz w:val="20"/>
          <w:szCs w:val="20"/>
        </w:rPr>
        <w:t xml:space="preserve"> (FTE) zaujímal VŠ sektor 24% podíl. Ve většině států západní Evropy se tento podíl pohybuje mezi 20 a 25 %. Naopak v případě východní Evropy je v mnoha státech přesahován i 40% podíl.  </w:t>
      </w:r>
    </w:p>
    <w:p w14:paraId="6AF033F6" w14:textId="3EAACAAF" w:rsidR="006F275F" w:rsidRDefault="006F275F" w:rsidP="006F275F">
      <w:pPr>
        <w:spacing w:after="120" w:line="288" w:lineRule="auto"/>
        <w:jc w:val="both"/>
        <w:rPr>
          <w:rFonts w:ascii="Arial" w:hAnsi="Arial" w:cs="Arial"/>
          <w:sz w:val="20"/>
          <w:szCs w:val="20"/>
        </w:rPr>
      </w:pPr>
      <w:r>
        <w:rPr>
          <w:rFonts w:ascii="Arial" w:hAnsi="Arial" w:cs="Arial"/>
          <w:sz w:val="20"/>
          <w:szCs w:val="20"/>
        </w:rPr>
        <w:t>Ve vysokoškolsk</w:t>
      </w:r>
      <w:r w:rsidR="002251C0">
        <w:rPr>
          <w:rFonts w:ascii="Arial" w:hAnsi="Arial" w:cs="Arial"/>
          <w:sz w:val="20"/>
          <w:szCs w:val="20"/>
        </w:rPr>
        <w:t>ém sektoru pracovalo v roce 2022</w:t>
      </w:r>
      <w:r>
        <w:rPr>
          <w:rFonts w:ascii="Arial" w:hAnsi="Arial" w:cs="Arial"/>
          <w:sz w:val="20"/>
          <w:szCs w:val="20"/>
        </w:rPr>
        <w:t xml:space="preserve"> ve výzkumu a vývoji </w:t>
      </w:r>
      <w:r w:rsidR="002251C0">
        <w:rPr>
          <w:rFonts w:ascii="Arial" w:hAnsi="Arial" w:cs="Arial"/>
          <w:sz w:val="20"/>
          <w:szCs w:val="20"/>
        </w:rPr>
        <w:t>38,1</w:t>
      </w:r>
      <w:r>
        <w:rPr>
          <w:rFonts w:ascii="Arial" w:hAnsi="Arial" w:cs="Arial"/>
          <w:sz w:val="20"/>
          <w:szCs w:val="20"/>
        </w:rPr>
        <w:t xml:space="preserve"> tis</w:t>
      </w:r>
      <w:r w:rsidR="002251C0">
        <w:rPr>
          <w:rFonts w:ascii="Arial" w:hAnsi="Arial" w:cs="Arial"/>
          <w:sz w:val="20"/>
          <w:szCs w:val="20"/>
        </w:rPr>
        <w:t>.</w:t>
      </w:r>
      <w:r>
        <w:rPr>
          <w:rFonts w:ascii="Arial" w:hAnsi="Arial" w:cs="Arial"/>
          <w:sz w:val="20"/>
          <w:szCs w:val="20"/>
        </w:rPr>
        <w:t xml:space="preserve"> osob. V ukazateli pře</w:t>
      </w:r>
      <w:r w:rsidR="002251C0">
        <w:rPr>
          <w:rFonts w:ascii="Arial" w:hAnsi="Arial" w:cs="Arial"/>
          <w:sz w:val="20"/>
          <w:szCs w:val="20"/>
        </w:rPr>
        <w:t>počtených osob se jednalo o 20,8</w:t>
      </w:r>
      <w:r>
        <w:rPr>
          <w:rFonts w:ascii="Arial" w:hAnsi="Arial" w:cs="Arial"/>
          <w:sz w:val="20"/>
          <w:szCs w:val="20"/>
        </w:rPr>
        <w:t xml:space="preserve"> tis. osob. Přibližně poloviční počet přepočtených osob ve vztahu k fyzickým osobám lze vysvětlit tím, že na vysokých školách se akademičtí pracovníci nezabývají výlučně </w:t>
      </w:r>
      <w:proofErr w:type="spellStart"/>
      <w:r>
        <w:rPr>
          <w:rFonts w:ascii="Arial" w:hAnsi="Arial" w:cs="Arial"/>
          <w:sz w:val="20"/>
          <w:szCs w:val="20"/>
        </w:rPr>
        <w:t>VaV</w:t>
      </w:r>
      <w:proofErr w:type="spellEnd"/>
      <w:r>
        <w:rPr>
          <w:rFonts w:ascii="Arial" w:hAnsi="Arial" w:cs="Arial"/>
          <w:sz w:val="20"/>
          <w:szCs w:val="20"/>
        </w:rPr>
        <w:t xml:space="preserve"> činností, ale mají samozřejmě i pedagogické povinnosti. Na vysokých školách najdeme též mnoho pracovníků </w:t>
      </w:r>
      <w:r>
        <w:rPr>
          <w:rFonts w:ascii="Arial" w:hAnsi="Arial" w:cs="Arial"/>
          <w:sz w:val="20"/>
          <w:szCs w:val="20"/>
        </w:rPr>
        <w:lastRenderedPageBreak/>
        <w:t>zaměstnaných jen na částečný úvazek. Na celkovém po</w:t>
      </w:r>
      <w:r w:rsidR="002251C0">
        <w:rPr>
          <w:rFonts w:ascii="Arial" w:hAnsi="Arial" w:cs="Arial"/>
          <w:sz w:val="20"/>
          <w:szCs w:val="20"/>
        </w:rPr>
        <w:t xml:space="preserve">čtu pracovníků </w:t>
      </w:r>
      <w:proofErr w:type="spellStart"/>
      <w:r w:rsidR="002251C0">
        <w:rPr>
          <w:rFonts w:ascii="Arial" w:hAnsi="Arial" w:cs="Arial"/>
          <w:sz w:val="20"/>
          <w:szCs w:val="20"/>
        </w:rPr>
        <w:t>VaV</w:t>
      </w:r>
      <w:proofErr w:type="spellEnd"/>
      <w:r w:rsidR="002251C0">
        <w:rPr>
          <w:rFonts w:ascii="Arial" w:hAnsi="Arial" w:cs="Arial"/>
          <w:sz w:val="20"/>
          <w:szCs w:val="20"/>
        </w:rPr>
        <w:t xml:space="preserve"> (FTE) zaujímal VŠ sektor 24</w:t>
      </w:r>
      <w:r>
        <w:rPr>
          <w:rFonts w:ascii="Arial" w:hAnsi="Arial" w:cs="Arial"/>
          <w:sz w:val="20"/>
          <w:szCs w:val="20"/>
        </w:rPr>
        <w:t xml:space="preserve">% podíl. Ve většině států západní Evropy se tento podíl pohybuje mezi 20 a 25 %. Naopak v případě východní Evropy je v mnoha státech přesahován i 40% podíl.  </w:t>
      </w:r>
    </w:p>
    <w:p w14:paraId="56053D8C" w14:textId="47274BFF" w:rsidR="00967061" w:rsidRDefault="00367633">
      <w:pPr>
        <w:spacing w:after="120" w:line="288" w:lineRule="auto"/>
        <w:jc w:val="both"/>
        <w:rPr>
          <w:rFonts w:ascii="Arial" w:hAnsi="Arial" w:cs="Arial"/>
          <w:sz w:val="20"/>
          <w:szCs w:val="20"/>
        </w:rPr>
      </w:pPr>
      <w:r>
        <w:rPr>
          <w:rFonts w:ascii="Arial" w:hAnsi="Arial" w:cs="Arial"/>
          <w:sz w:val="20"/>
          <w:szCs w:val="20"/>
        </w:rPr>
        <w:t>Podíl žen ve vysokoškolském výzkumu se v Česku dlouhodobě pohybuje okolo 40 %. Je tedy nižší než v případě vládního sektoru</w:t>
      </w:r>
      <w:r w:rsidR="00891D92">
        <w:rPr>
          <w:rFonts w:ascii="Arial" w:hAnsi="Arial" w:cs="Arial"/>
          <w:sz w:val="20"/>
          <w:szCs w:val="20"/>
        </w:rPr>
        <w:t xml:space="preserve"> a v průběhu posledního desetiletí se tento podíl navýšil jen nepatrně.</w:t>
      </w:r>
      <w:r w:rsidR="00E0171D">
        <w:rPr>
          <w:rFonts w:ascii="Arial" w:hAnsi="Arial" w:cs="Arial"/>
          <w:sz w:val="20"/>
          <w:szCs w:val="20"/>
        </w:rPr>
        <w:t xml:space="preserve"> </w:t>
      </w:r>
      <w:r w:rsidR="00891D92">
        <w:rPr>
          <w:rFonts w:ascii="Arial" w:hAnsi="Arial" w:cs="Arial"/>
          <w:sz w:val="20"/>
          <w:szCs w:val="20"/>
        </w:rPr>
        <w:t>Z</w:t>
      </w:r>
      <w:r w:rsidR="00E0171D">
        <w:rPr>
          <w:rFonts w:ascii="Arial" w:hAnsi="Arial" w:cs="Arial"/>
          <w:sz w:val="20"/>
          <w:szCs w:val="20"/>
        </w:rPr>
        <w:t>astoupení žen</w:t>
      </w:r>
      <w:r w:rsidR="00967061">
        <w:rPr>
          <w:rFonts w:ascii="Arial" w:hAnsi="Arial" w:cs="Arial"/>
          <w:sz w:val="20"/>
          <w:szCs w:val="20"/>
        </w:rPr>
        <w:t xml:space="preserve"> ve VŠ výzkumu</w:t>
      </w:r>
      <w:r w:rsidR="00891D92">
        <w:rPr>
          <w:rFonts w:ascii="Arial" w:hAnsi="Arial" w:cs="Arial"/>
          <w:sz w:val="20"/>
          <w:szCs w:val="20"/>
        </w:rPr>
        <w:t xml:space="preserve"> je v Česku</w:t>
      </w:r>
      <w:r w:rsidR="00967061">
        <w:rPr>
          <w:rFonts w:ascii="Arial" w:hAnsi="Arial" w:cs="Arial"/>
          <w:sz w:val="20"/>
          <w:szCs w:val="20"/>
        </w:rPr>
        <w:t xml:space="preserve"> jedno z nejnižších v rámci celé EU</w:t>
      </w:r>
      <w:r w:rsidR="009E1911">
        <w:rPr>
          <w:rFonts w:ascii="Arial" w:hAnsi="Arial" w:cs="Arial"/>
          <w:sz w:val="20"/>
          <w:szCs w:val="20"/>
        </w:rPr>
        <w:t>27</w:t>
      </w:r>
      <w:r w:rsidR="00967061">
        <w:rPr>
          <w:rFonts w:ascii="Arial" w:hAnsi="Arial" w:cs="Arial"/>
          <w:sz w:val="20"/>
          <w:szCs w:val="20"/>
        </w:rPr>
        <w:t>.</w:t>
      </w:r>
      <w:r w:rsidR="00891D92">
        <w:rPr>
          <w:rFonts w:ascii="Arial" w:hAnsi="Arial" w:cs="Arial"/>
          <w:sz w:val="20"/>
          <w:szCs w:val="20"/>
        </w:rPr>
        <w:t xml:space="preserve"> Nižší než 40 % bylo v roce 2021</w:t>
      </w:r>
      <w:r w:rsidR="005B52A9">
        <w:rPr>
          <w:rFonts w:ascii="Arial" w:hAnsi="Arial" w:cs="Arial"/>
          <w:sz w:val="20"/>
          <w:szCs w:val="20"/>
        </w:rPr>
        <w:t xml:space="preserve"> </w:t>
      </w:r>
      <w:r w:rsidR="00967061">
        <w:rPr>
          <w:rFonts w:ascii="Arial" w:hAnsi="Arial" w:cs="Arial"/>
          <w:sz w:val="20"/>
          <w:szCs w:val="20"/>
        </w:rPr>
        <w:t xml:space="preserve">pouze </w:t>
      </w:r>
      <w:r w:rsidR="00891D92">
        <w:rPr>
          <w:rFonts w:ascii="Arial" w:hAnsi="Arial" w:cs="Arial"/>
          <w:sz w:val="20"/>
          <w:szCs w:val="20"/>
        </w:rPr>
        <w:t xml:space="preserve">na Maltě a </w:t>
      </w:r>
      <w:r w:rsidR="00967061">
        <w:rPr>
          <w:rFonts w:ascii="Arial" w:hAnsi="Arial" w:cs="Arial"/>
          <w:sz w:val="20"/>
          <w:szCs w:val="20"/>
        </w:rPr>
        <w:t xml:space="preserve">v Lucembursku. </w:t>
      </w:r>
      <w:r w:rsidR="00AE3B9B">
        <w:rPr>
          <w:rFonts w:ascii="Arial" w:hAnsi="Arial" w:cs="Arial"/>
          <w:sz w:val="20"/>
          <w:szCs w:val="20"/>
        </w:rPr>
        <w:t>Nejvíce</w:t>
      </w:r>
      <w:r w:rsidR="00967061">
        <w:rPr>
          <w:rFonts w:ascii="Arial" w:hAnsi="Arial" w:cs="Arial"/>
          <w:sz w:val="20"/>
          <w:szCs w:val="20"/>
        </w:rPr>
        <w:t xml:space="preserve"> států v</w:t>
      </w:r>
      <w:r w:rsidR="00AE3B9B">
        <w:rPr>
          <w:rFonts w:ascii="Arial" w:hAnsi="Arial" w:cs="Arial"/>
          <w:sz w:val="20"/>
          <w:szCs w:val="20"/>
        </w:rPr>
        <w:t>ykazovalo podíl žen v rozme</w:t>
      </w:r>
      <w:bookmarkStart w:id="0" w:name="_GoBack"/>
      <w:bookmarkEnd w:id="0"/>
      <w:r w:rsidR="00AE3B9B">
        <w:rPr>
          <w:rFonts w:ascii="Arial" w:hAnsi="Arial" w:cs="Arial"/>
          <w:sz w:val="20"/>
          <w:szCs w:val="20"/>
        </w:rPr>
        <w:t>zí 45</w:t>
      </w:r>
      <w:r w:rsidR="00967061">
        <w:rPr>
          <w:rFonts w:ascii="Arial" w:hAnsi="Arial" w:cs="Arial"/>
          <w:sz w:val="20"/>
          <w:szCs w:val="20"/>
        </w:rPr>
        <w:t xml:space="preserve"> až 50 %. Nadpoloviční zastoupení žen ve vysokoškolském výzkumu bylo v </w:t>
      </w:r>
      <w:r w:rsidR="00AE3B9B">
        <w:rPr>
          <w:rFonts w:ascii="Arial" w:hAnsi="Arial" w:cs="Arial"/>
          <w:sz w:val="20"/>
          <w:szCs w:val="20"/>
        </w:rPr>
        <w:t>šest</w:t>
      </w:r>
      <w:r w:rsidR="00967061">
        <w:rPr>
          <w:rFonts w:ascii="Arial" w:hAnsi="Arial" w:cs="Arial"/>
          <w:sz w:val="20"/>
          <w:szCs w:val="20"/>
        </w:rPr>
        <w:t xml:space="preserve">i státech EU, </w:t>
      </w:r>
      <w:r w:rsidR="005B52A9">
        <w:rPr>
          <w:rFonts w:ascii="Arial" w:hAnsi="Arial" w:cs="Arial"/>
          <w:sz w:val="20"/>
          <w:szCs w:val="20"/>
        </w:rPr>
        <w:t xml:space="preserve">přičemž nejvíce to bylo </w:t>
      </w:r>
      <w:r w:rsidR="00967061">
        <w:rPr>
          <w:rFonts w:ascii="Arial" w:hAnsi="Arial" w:cs="Arial"/>
          <w:sz w:val="20"/>
          <w:szCs w:val="20"/>
        </w:rPr>
        <w:t>v</w:t>
      </w:r>
      <w:r w:rsidR="005B52A9">
        <w:rPr>
          <w:rFonts w:ascii="Arial" w:hAnsi="Arial" w:cs="Arial"/>
          <w:sz w:val="20"/>
          <w:szCs w:val="20"/>
        </w:rPr>
        <w:t> </w:t>
      </w:r>
      <w:r w:rsidR="00967061">
        <w:rPr>
          <w:rFonts w:ascii="Arial" w:hAnsi="Arial" w:cs="Arial"/>
          <w:sz w:val="20"/>
          <w:szCs w:val="20"/>
        </w:rPr>
        <w:t>Lotyšsku</w:t>
      </w:r>
      <w:r w:rsidR="005B52A9">
        <w:rPr>
          <w:rFonts w:ascii="Arial" w:hAnsi="Arial" w:cs="Arial"/>
          <w:sz w:val="20"/>
          <w:szCs w:val="20"/>
        </w:rPr>
        <w:t xml:space="preserve"> (</w:t>
      </w:r>
      <w:r w:rsidR="00AE3B9B">
        <w:rPr>
          <w:rFonts w:ascii="Arial" w:hAnsi="Arial" w:cs="Arial"/>
          <w:sz w:val="20"/>
          <w:szCs w:val="20"/>
        </w:rPr>
        <w:t>60</w:t>
      </w:r>
      <w:r w:rsidR="00DA73BC">
        <w:rPr>
          <w:rFonts w:ascii="Arial" w:hAnsi="Arial" w:cs="Arial"/>
          <w:sz w:val="20"/>
          <w:szCs w:val="20"/>
        </w:rPr>
        <w:t> </w:t>
      </w:r>
      <w:r w:rsidR="005B52A9">
        <w:rPr>
          <w:rFonts w:ascii="Arial" w:hAnsi="Arial" w:cs="Arial"/>
          <w:sz w:val="20"/>
          <w:szCs w:val="20"/>
        </w:rPr>
        <w:t>%)</w:t>
      </w:r>
      <w:r w:rsidR="00967061">
        <w:rPr>
          <w:rFonts w:ascii="Arial" w:hAnsi="Arial" w:cs="Arial"/>
          <w:sz w:val="20"/>
          <w:szCs w:val="20"/>
        </w:rPr>
        <w:t>.</w:t>
      </w:r>
    </w:p>
    <w:p w14:paraId="69E398E6" w14:textId="0C67E9AB" w:rsidR="00CA39D0" w:rsidRPr="00E66D3A" w:rsidRDefault="00CA39D0" w:rsidP="00CA39D0">
      <w:pPr>
        <w:spacing w:after="120" w:line="288" w:lineRule="auto"/>
        <w:jc w:val="both"/>
        <w:rPr>
          <w:rFonts w:ascii="Arial" w:hAnsi="Arial" w:cs="Arial"/>
          <w:b/>
          <w:sz w:val="20"/>
          <w:szCs w:val="20"/>
        </w:rPr>
      </w:pPr>
      <w:r w:rsidRPr="00E66D3A">
        <w:rPr>
          <w:rFonts w:ascii="Arial" w:hAnsi="Arial" w:cs="Arial"/>
          <w:b/>
          <w:sz w:val="20"/>
          <w:szCs w:val="20"/>
        </w:rPr>
        <w:t xml:space="preserve">Graf </w:t>
      </w:r>
      <w:r>
        <w:rPr>
          <w:rFonts w:ascii="Arial" w:hAnsi="Arial" w:cs="Arial"/>
          <w:b/>
          <w:sz w:val="20"/>
          <w:szCs w:val="20"/>
        </w:rPr>
        <w:t>30</w:t>
      </w:r>
      <w:r w:rsidRPr="00E66D3A">
        <w:rPr>
          <w:rFonts w:ascii="Arial" w:hAnsi="Arial" w:cs="Arial"/>
          <w:b/>
          <w:sz w:val="20"/>
          <w:szCs w:val="20"/>
        </w:rPr>
        <w:t xml:space="preserve">. </w:t>
      </w:r>
      <w:r w:rsidRPr="00786824">
        <w:rPr>
          <w:rFonts w:ascii="Arial" w:hAnsi="Arial" w:cs="Arial"/>
          <w:b/>
          <w:sz w:val="20"/>
          <w:szCs w:val="20"/>
        </w:rPr>
        <w:t>Prac</w:t>
      </w:r>
      <w:r>
        <w:rPr>
          <w:rFonts w:ascii="Arial" w:hAnsi="Arial" w:cs="Arial"/>
          <w:b/>
          <w:sz w:val="20"/>
          <w:szCs w:val="20"/>
        </w:rPr>
        <w:t xml:space="preserve">ovníci </w:t>
      </w:r>
      <w:r w:rsidRPr="00786824">
        <w:rPr>
          <w:rFonts w:ascii="Arial" w:hAnsi="Arial" w:cs="Arial"/>
          <w:b/>
          <w:sz w:val="20"/>
          <w:szCs w:val="20"/>
        </w:rPr>
        <w:t xml:space="preserve">ve </w:t>
      </w:r>
      <w:r>
        <w:rPr>
          <w:rFonts w:ascii="Arial" w:hAnsi="Arial" w:cs="Arial"/>
          <w:b/>
          <w:sz w:val="20"/>
          <w:szCs w:val="20"/>
        </w:rPr>
        <w:t xml:space="preserve">vysokoškolském výzkumu </w:t>
      </w:r>
      <w:r w:rsidRPr="00786824">
        <w:rPr>
          <w:rFonts w:ascii="Arial" w:hAnsi="Arial" w:cs="Arial"/>
          <w:b/>
          <w:sz w:val="20"/>
          <w:szCs w:val="20"/>
        </w:rPr>
        <w:t>(FTE</w:t>
      </w:r>
      <w:r>
        <w:rPr>
          <w:rFonts w:ascii="Arial" w:hAnsi="Arial" w:cs="Arial"/>
          <w:b/>
          <w:sz w:val="20"/>
          <w:szCs w:val="20"/>
        </w:rPr>
        <w:t>)* v ČR podl</w:t>
      </w:r>
      <w:r w:rsidR="00912F37">
        <w:rPr>
          <w:rFonts w:ascii="Arial" w:hAnsi="Arial" w:cs="Arial"/>
          <w:b/>
          <w:sz w:val="20"/>
          <w:szCs w:val="20"/>
        </w:rPr>
        <w:t>e vybraných charakteristik; 2022</w:t>
      </w:r>
      <w:r w:rsidRPr="00786824">
        <w:rPr>
          <w:rFonts w:ascii="Arial" w:hAnsi="Arial" w:cs="Arial"/>
          <w:b/>
          <w:sz w:val="20"/>
          <w:szCs w:val="20"/>
        </w:rPr>
        <w:t xml:space="preserve"> (%)</w:t>
      </w:r>
    </w:p>
    <w:p w14:paraId="5B6DB035" w14:textId="77777777" w:rsidR="00CA39D0" w:rsidRPr="00C67BA8" w:rsidRDefault="00CA39D0" w:rsidP="00CA39D0">
      <w:pPr>
        <w:tabs>
          <w:tab w:val="left" w:pos="851"/>
          <w:tab w:val="left" w:pos="3544"/>
          <w:tab w:val="left" w:pos="6663"/>
        </w:tabs>
        <w:spacing w:after="0" w:line="288" w:lineRule="auto"/>
        <w:jc w:val="both"/>
        <w:rPr>
          <w:rFonts w:ascii="Arial" w:hAnsi="Arial" w:cs="Arial"/>
          <w:b/>
          <w:i/>
          <w:sz w:val="18"/>
          <w:szCs w:val="20"/>
        </w:rPr>
      </w:pPr>
      <w:r>
        <w:rPr>
          <w:rFonts w:ascii="Arial" w:hAnsi="Arial" w:cs="Arial"/>
          <w:b/>
          <w:i/>
          <w:sz w:val="18"/>
          <w:szCs w:val="20"/>
        </w:rPr>
        <w:tab/>
      </w:r>
      <w:r w:rsidRPr="00C67BA8">
        <w:rPr>
          <w:rFonts w:ascii="Arial" w:hAnsi="Arial" w:cs="Arial"/>
          <w:b/>
          <w:i/>
          <w:sz w:val="18"/>
          <w:szCs w:val="20"/>
        </w:rPr>
        <w:t>a)</w:t>
      </w:r>
      <w:r>
        <w:rPr>
          <w:rFonts w:ascii="Arial" w:hAnsi="Arial" w:cs="Arial"/>
          <w:b/>
          <w:i/>
          <w:sz w:val="18"/>
          <w:szCs w:val="20"/>
        </w:rPr>
        <w:t xml:space="preserve"> </w:t>
      </w:r>
      <w:r w:rsidRPr="00C67BA8">
        <w:rPr>
          <w:rFonts w:ascii="Arial" w:hAnsi="Arial" w:cs="Arial"/>
          <w:b/>
          <w:i/>
          <w:sz w:val="18"/>
          <w:szCs w:val="20"/>
        </w:rPr>
        <w:t xml:space="preserve">podle </w:t>
      </w:r>
      <w:r>
        <w:rPr>
          <w:rFonts w:ascii="Arial" w:hAnsi="Arial" w:cs="Arial"/>
          <w:b/>
          <w:i/>
          <w:sz w:val="18"/>
          <w:szCs w:val="20"/>
        </w:rPr>
        <w:t>pohlaví</w:t>
      </w:r>
      <w:r w:rsidRPr="00C67BA8">
        <w:rPr>
          <w:rFonts w:ascii="Arial" w:hAnsi="Arial" w:cs="Arial"/>
          <w:b/>
          <w:i/>
          <w:sz w:val="18"/>
          <w:szCs w:val="20"/>
        </w:rPr>
        <w:t xml:space="preserve"> </w:t>
      </w:r>
      <w:r w:rsidRPr="00C67BA8">
        <w:rPr>
          <w:rFonts w:ascii="Arial" w:hAnsi="Arial" w:cs="Arial"/>
          <w:b/>
          <w:i/>
          <w:sz w:val="18"/>
          <w:szCs w:val="20"/>
        </w:rPr>
        <w:tab/>
      </w:r>
      <w:r>
        <w:rPr>
          <w:rFonts w:ascii="Arial" w:hAnsi="Arial" w:cs="Arial"/>
          <w:b/>
          <w:i/>
          <w:sz w:val="18"/>
          <w:szCs w:val="20"/>
        </w:rPr>
        <w:t>b</w:t>
      </w:r>
      <w:r w:rsidRPr="008172FB">
        <w:rPr>
          <w:rFonts w:ascii="Arial" w:hAnsi="Arial" w:cs="Arial"/>
          <w:b/>
          <w:i/>
          <w:sz w:val="18"/>
          <w:szCs w:val="20"/>
        </w:rPr>
        <w:t xml:space="preserve">) podle </w:t>
      </w:r>
      <w:r>
        <w:rPr>
          <w:rFonts w:ascii="Arial" w:hAnsi="Arial" w:cs="Arial"/>
          <w:b/>
          <w:i/>
          <w:sz w:val="18"/>
          <w:szCs w:val="20"/>
        </w:rPr>
        <w:t xml:space="preserve">typu </w:t>
      </w:r>
      <w:proofErr w:type="spellStart"/>
      <w:r>
        <w:rPr>
          <w:rFonts w:ascii="Arial" w:hAnsi="Arial" w:cs="Arial"/>
          <w:b/>
          <w:i/>
          <w:sz w:val="18"/>
          <w:szCs w:val="20"/>
        </w:rPr>
        <w:t>VaV</w:t>
      </w:r>
      <w:proofErr w:type="spellEnd"/>
      <w:r>
        <w:rPr>
          <w:rFonts w:ascii="Arial" w:hAnsi="Arial" w:cs="Arial"/>
          <w:b/>
          <w:i/>
          <w:sz w:val="18"/>
          <w:szCs w:val="20"/>
        </w:rPr>
        <w:t xml:space="preserve"> pracovníků</w:t>
      </w:r>
      <w:r>
        <w:rPr>
          <w:rFonts w:ascii="Arial" w:hAnsi="Arial" w:cs="Arial"/>
          <w:b/>
          <w:i/>
          <w:sz w:val="18"/>
          <w:szCs w:val="20"/>
        </w:rPr>
        <w:tab/>
        <w:t>c) podle převažující vědní oblasti</w:t>
      </w:r>
      <w:r w:rsidRPr="00C67BA8">
        <w:rPr>
          <w:rFonts w:ascii="Arial" w:hAnsi="Arial" w:cs="Arial"/>
          <w:b/>
          <w:i/>
          <w:sz w:val="18"/>
          <w:szCs w:val="20"/>
        </w:rPr>
        <w:t xml:space="preserve"> </w:t>
      </w:r>
    </w:p>
    <w:p w14:paraId="1B1A418A" w14:textId="6B4AF3FE" w:rsidR="00CA39D0" w:rsidRDefault="00912F37">
      <w:pPr>
        <w:spacing w:after="120" w:line="288" w:lineRule="auto"/>
        <w:jc w:val="both"/>
        <w:rPr>
          <w:noProof/>
          <w:lang w:eastAsia="cs-CZ"/>
        </w:rPr>
      </w:pPr>
      <w:r>
        <w:rPr>
          <w:noProof/>
          <w:lang w:eastAsia="cs-CZ"/>
        </w:rPr>
        <w:drawing>
          <wp:inline distT="0" distB="0" distL="0" distR="0" wp14:anchorId="0E94DF4D" wp14:editId="10F27150">
            <wp:extent cx="1800000" cy="2333650"/>
            <wp:effectExtent l="0" t="0" r="0" b="0"/>
            <wp:docPr id="122" name="Graf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CA39D0">
        <w:rPr>
          <w:noProof/>
          <w:lang w:eastAsia="cs-CZ"/>
        </w:rPr>
        <w:t xml:space="preserve">     </w:t>
      </w:r>
      <w:r w:rsidR="00CA39D0" w:rsidRPr="00CA39D0">
        <w:rPr>
          <w:noProof/>
          <w:lang w:eastAsia="cs-CZ"/>
        </w:rPr>
        <w:t xml:space="preserve"> </w:t>
      </w:r>
      <w:r>
        <w:rPr>
          <w:noProof/>
          <w:lang w:eastAsia="cs-CZ"/>
        </w:rPr>
        <w:drawing>
          <wp:inline distT="0" distB="0" distL="0" distR="0" wp14:anchorId="60FAE0A2" wp14:editId="3FF1B2D3">
            <wp:extent cx="1800000" cy="2333650"/>
            <wp:effectExtent l="0" t="0" r="0" b="0"/>
            <wp:docPr id="123" name="Graf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00CA39D0" w:rsidRPr="00CA39D0">
        <w:rPr>
          <w:noProof/>
          <w:lang w:eastAsia="cs-CZ"/>
        </w:rPr>
        <w:t xml:space="preserve"> </w:t>
      </w:r>
      <w:r>
        <w:rPr>
          <w:noProof/>
          <w:lang w:eastAsia="cs-CZ"/>
        </w:rPr>
        <w:drawing>
          <wp:inline distT="0" distB="0" distL="0" distR="0" wp14:anchorId="357F4964" wp14:editId="6383EA5B">
            <wp:extent cx="2340000" cy="2327300"/>
            <wp:effectExtent l="0" t="0" r="3175" b="0"/>
            <wp:docPr id="124" name="Graf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F10EEDE" w14:textId="77777777" w:rsidR="00CA39D0" w:rsidRDefault="00CA39D0" w:rsidP="00CA39D0">
      <w:pPr>
        <w:spacing w:after="40" w:line="288" w:lineRule="auto"/>
        <w:rPr>
          <w:rFonts w:ascii="Arial" w:hAnsi="Arial" w:cs="Arial"/>
          <w:sz w:val="18"/>
          <w:szCs w:val="20"/>
        </w:rPr>
      </w:pPr>
      <w:r>
        <w:rPr>
          <w:rFonts w:ascii="Arial" w:hAnsi="Arial" w:cs="Arial"/>
          <w:sz w:val="18"/>
          <w:szCs w:val="20"/>
        </w:rPr>
        <w:t>*</w:t>
      </w:r>
      <w:r w:rsidRPr="000B0A9C">
        <w:rPr>
          <w:rFonts w:ascii="Arial" w:hAnsi="Arial" w:cs="Arial"/>
          <w:sz w:val="18"/>
          <w:szCs w:val="20"/>
        </w:rPr>
        <w:t>přepočtené osoby na plnou pracovní dobu věnovanou výzkumným a vývojovým činnostem (FTE)</w:t>
      </w:r>
    </w:p>
    <w:p w14:paraId="07280A75" w14:textId="7719E048" w:rsidR="00CA39D0" w:rsidRPr="00CA39D0" w:rsidRDefault="00CA39D0" w:rsidP="00CA39D0">
      <w:pPr>
        <w:spacing w:after="120" w:line="288" w:lineRule="auto"/>
        <w:jc w:val="right"/>
        <w:rPr>
          <w:rFonts w:ascii="Arial" w:hAnsi="Arial" w:cs="Arial"/>
          <w:i/>
          <w:sz w:val="20"/>
          <w:szCs w:val="20"/>
        </w:rPr>
      </w:pPr>
      <w:r w:rsidRPr="00CA39D0">
        <w:rPr>
          <w:rFonts w:ascii="Arial" w:hAnsi="Arial" w:cs="Arial"/>
          <w:i/>
          <w:sz w:val="18"/>
          <w:szCs w:val="20"/>
        </w:rPr>
        <w:t>Zdroj: ČSÚ; Roční zjišťování o výzkumu a vývoji VTR 5-01</w:t>
      </w:r>
      <w:r w:rsidRPr="00CA39D0">
        <w:rPr>
          <w:rFonts w:ascii="Arial" w:hAnsi="Arial" w:cs="Arial"/>
          <w:i/>
          <w:sz w:val="20"/>
          <w:szCs w:val="20"/>
        </w:rPr>
        <w:t xml:space="preserve"> </w:t>
      </w:r>
    </w:p>
    <w:p w14:paraId="27F364CE" w14:textId="00F1C7BD" w:rsidR="002301B3" w:rsidRDefault="00967061">
      <w:pPr>
        <w:spacing w:after="120" w:line="288" w:lineRule="auto"/>
        <w:jc w:val="both"/>
        <w:rPr>
          <w:rFonts w:ascii="Arial" w:hAnsi="Arial" w:cs="Arial"/>
          <w:sz w:val="20"/>
          <w:szCs w:val="20"/>
        </w:rPr>
      </w:pPr>
      <w:r>
        <w:rPr>
          <w:rFonts w:ascii="Arial" w:hAnsi="Arial" w:cs="Arial"/>
          <w:sz w:val="20"/>
          <w:szCs w:val="20"/>
        </w:rPr>
        <w:t xml:space="preserve">Ve srovnání s vládním sektorem jsou ve vysokoškolském </w:t>
      </w:r>
      <w:r w:rsidR="00984CE4">
        <w:rPr>
          <w:rFonts w:ascii="Arial" w:hAnsi="Arial" w:cs="Arial"/>
          <w:sz w:val="20"/>
          <w:szCs w:val="20"/>
        </w:rPr>
        <w:t>výzkumu</w:t>
      </w:r>
      <w:r>
        <w:rPr>
          <w:rFonts w:ascii="Arial" w:hAnsi="Arial" w:cs="Arial"/>
          <w:sz w:val="20"/>
          <w:szCs w:val="20"/>
        </w:rPr>
        <w:t xml:space="preserve"> u nás rovnoměrněji zastoupeny jednotlivé vědní obory, i když i zde se nejvíce osob věnuje přírodovědnému </w:t>
      </w:r>
      <w:r w:rsidR="00984CE4">
        <w:rPr>
          <w:rFonts w:ascii="Arial" w:hAnsi="Arial" w:cs="Arial"/>
          <w:sz w:val="20"/>
          <w:szCs w:val="20"/>
        </w:rPr>
        <w:t xml:space="preserve">bádání. Počet vysokoškolských pracovníků </w:t>
      </w:r>
      <w:proofErr w:type="spellStart"/>
      <w:r w:rsidR="00984CE4">
        <w:rPr>
          <w:rFonts w:ascii="Arial" w:hAnsi="Arial" w:cs="Arial"/>
          <w:sz w:val="20"/>
          <w:szCs w:val="20"/>
        </w:rPr>
        <w:t>VaV</w:t>
      </w:r>
      <w:proofErr w:type="spellEnd"/>
      <w:r>
        <w:rPr>
          <w:rFonts w:ascii="Arial" w:hAnsi="Arial" w:cs="Arial"/>
          <w:sz w:val="20"/>
          <w:szCs w:val="20"/>
        </w:rPr>
        <w:t xml:space="preserve"> </w:t>
      </w:r>
      <w:r w:rsidR="00984CE4">
        <w:rPr>
          <w:rFonts w:ascii="Arial" w:hAnsi="Arial" w:cs="Arial"/>
          <w:sz w:val="20"/>
          <w:szCs w:val="20"/>
        </w:rPr>
        <w:t>v přírodních se zvýšil ze 4 tis. osob</w:t>
      </w:r>
      <w:r w:rsidR="00AE3B9B">
        <w:rPr>
          <w:rFonts w:ascii="Arial" w:hAnsi="Arial" w:cs="Arial"/>
          <w:sz w:val="20"/>
          <w:szCs w:val="20"/>
        </w:rPr>
        <w:t xml:space="preserve"> v roce 2012</w:t>
      </w:r>
      <w:r w:rsidR="00984CE4">
        <w:rPr>
          <w:rFonts w:ascii="Arial" w:hAnsi="Arial" w:cs="Arial"/>
          <w:sz w:val="20"/>
          <w:szCs w:val="20"/>
        </w:rPr>
        <w:t xml:space="preserve"> na 6</w:t>
      </w:r>
      <w:r w:rsidR="006F045A">
        <w:rPr>
          <w:rFonts w:ascii="Arial" w:hAnsi="Arial" w:cs="Arial"/>
          <w:sz w:val="20"/>
          <w:szCs w:val="20"/>
        </w:rPr>
        <w:t>,2</w:t>
      </w:r>
      <w:r w:rsidR="00AE3B9B">
        <w:rPr>
          <w:rFonts w:ascii="Arial" w:hAnsi="Arial" w:cs="Arial"/>
          <w:sz w:val="20"/>
          <w:szCs w:val="20"/>
        </w:rPr>
        <w:t xml:space="preserve"> </w:t>
      </w:r>
      <w:r w:rsidR="00984CE4">
        <w:rPr>
          <w:rFonts w:ascii="Arial" w:hAnsi="Arial" w:cs="Arial"/>
          <w:sz w:val="20"/>
          <w:szCs w:val="20"/>
        </w:rPr>
        <w:t>tis. osob (FTE)</w:t>
      </w:r>
      <w:r w:rsidR="005B52A9">
        <w:rPr>
          <w:rFonts w:ascii="Arial" w:hAnsi="Arial" w:cs="Arial"/>
          <w:sz w:val="20"/>
          <w:szCs w:val="20"/>
        </w:rPr>
        <w:t xml:space="preserve"> v roce 202</w:t>
      </w:r>
      <w:r w:rsidR="006F045A">
        <w:rPr>
          <w:rFonts w:ascii="Arial" w:hAnsi="Arial" w:cs="Arial"/>
          <w:sz w:val="20"/>
          <w:szCs w:val="20"/>
        </w:rPr>
        <w:t>2</w:t>
      </w:r>
      <w:r w:rsidR="00984CE4">
        <w:rPr>
          <w:rFonts w:ascii="Arial" w:hAnsi="Arial" w:cs="Arial"/>
          <w:sz w:val="20"/>
          <w:szCs w:val="20"/>
        </w:rPr>
        <w:t>.</w:t>
      </w:r>
      <w:r w:rsidR="005559FA">
        <w:rPr>
          <w:rFonts w:ascii="Arial" w:hAnsi="Arial" w:cs="Arial"/>
          <w:sz w:val="20"/>
          <w:szCs w:val="20"/>
        </w:rPr>
        <w:t xml:space="preserve"> </w:t>
      </w:r>
      <w:r w:rsidR="00984CE4">
        <w:rPr>
          <w:rFonts w:ascii="Arial" w:hAnsi="Arial" w:cs="Arial"/>
          <w:sz w:val="20"/>
          <w:szCs w:val="20"/>
        </w:rPr>
        <w:t>Podíl přírodních věd tak ve vysokoškolském sektoru výrazně vzrostl</w:t>
      </w:r>
      <w:r w:rsidR="00835148">
        <w:rPr>
          <w:rFonts w:ascii="Arial" w:hAnsi="Arial" w:cs="Arial"/>
          <w:sz w:val="20"/>
          <w:szCs w:val="20"/>
        </w:rPr>
        <w:t xml:space="preserve"> z 25 na 30</w:t>
      </w:r>
      <w:r w:rsidR="006552FA">
        <w:rPr>
          <w:rFonts w:ascii="Arial" w:hAnsi="Arial" w:cs="Arial"/>
          <w:sz w:val="20"/>
          <w:szCs w:val="20"/>
        </w:rPr>
        <w:t> </w:t>
      </w:r>
      <w:r w:rsidR="00984CE4">
        <w:rPr>
          <w:rFonts w:ascii="Arial" w:hAnsi="Arial" w:cs="Arial"/>
          <w:sz w:val="20"/>
          <w:szCs w:val="20"/>
        </w:rPr>
        <w:t xml:space="preserve">%. Dříve nejvýznamnější technické vědy zaznamenávají </w:t>
      </w:r>
      <w:r w:rsidR="00835148">
        <w:rPr>
          <w:rFonts w:ascii="Arial" w:hAnsi="Arial" w:cs="Arial"/>
          <w:sz w:val="20"/>
          <w:szCs w:val="20"/>
        </w:rPr>
        <w:t xml:space="preserve">několikaletou </w:t>
      </w:r>
      <w:r w:rsidR="00984CE4">
        <w:rPr>
          <w:rFonts w:ascii="Arial" w:hAnsi="Arial" w:cs="Arial"/>
          <w:sz w:val="20"/>
          <w:szCs w:val="20"/>
        </w:rPr>
        <w:t xml:space="preserve">stagnaci </w:t>
      </w:r>
      <w:r w:rsidR="00835148">
        <w:rPr>
          <w:rFonts w:ascii="Arial" w:hAnsi="Arial" w:cs="Arial"/>
          <w:sz w:val="20"/>
          <w:szCs w:val="20"/>
        </w:rPr>
        <w:t>v rozmezí</w:t>
      </w:r>
      <w:r w:rsidR="00984CE4">
        <w:rPr>
          <w:rFonts w:ascii="Arial" w:hAnsi="Arial" w:cs="Arial"/>
          <w:sz w:val="20"/>
          <w:szCs w:val="20"/>
        </w:rPr>
        <w:t xml:space="preserve"> 5</w:t>
      </w:r>
      <w:r w:rsidR="00835148">
        <w:rPr>
          <w:rFonts w:ascii="Arial" w:hAnsi="Arial" w:cs="Arial"/>
          <w:sz w:val="20"/>
          <w:szCs w:val="20"/>
        </w:rPr>
        <w:t xml:space="preserve"> a 5,5</w:t>
      </w:r>
      <w:r w:rsidR="00984CE4">
        <w:rPr>
          <w:rFonts w:ascii="Arial" w:hAnsi="Arial" w:cs="Arial"/>
          <w:sz w:val="20"/>
          <w:szCs w:val="20"/>
        </w:rPr>
        <w:t xml:space="preserve"> tis. osob</w:t>
      </w:r>
      <w:r w:rsidR="00835148">
        <w:rPr>
          <w:rFonts w:ascii="Arial" w:hAnsi="Arial" w:cs="Arial"/>
          <w:sz w:val="20"/>
          <w:szCs w:val="20"/>
        </w:rPr>
        <w:t xml:space="preserve"> (FTE)</w:t>
      </w:r>
      <w:r w:rsidR="00984CE4">
        <w:rPr>
          <w:rFonts w:ascii="Arial" w:hAnsi="Arial" w:cs="Arial"/>
          <w:sz w:val="20"/>
          <w:szCs w:val="20"/>
        </w:rPr>
        <w:t>. V roce 202</w:t>
      </w:r>
      <w:r w:rsidR="0093386D">
        <w:rPr>
          <w:rFonts w:ascii="Arial" w:hAnsi="Arial" w:cs="Arial"/>
          <w:sz w:val="20"/>
          <w:szCs w:val="20"/>
        </w:rPr>
        <w:t>2 to bylo 5,4</w:t>
      </w:r>
      <w:r w:rsidR="00984CE4">
        <w:rPr>
          <w:rFonts w:ascii="Arial" w:hAnsi="Arial" w:cs="Arial"/>
          <w:sz w:val="20"/>
          <w:szCs w:val="20"/>
        </w:rPr>
        <w:t xml:space="preserve"> tis. osob (FTE) a podíl technických vě</w:t>
      </w:r>
      <w:r w:rsidR="00003F9D">
        <w:rPr>
          <w:rFonts w:ascii="Arial" w:hAnsi="Arial" w:cs="Arial"/>
          <w:sz w:val="20"/>
          <w:szCs w:val="20"/>
        </w:rPr>
        <w:t>d klesl z 34 % v roce 2012 na 26 % v roce 2022</w:t>
      </w:r>
      <w:r w:rsidR="00984CE4">
        <w:rPr>
          <w:rFonts w:ascii="Arial" w:hAnsi="Arial" w:cs="Arial"/>
          <w:sz w:val="20"/>
          <w:szCs w:val="20"/>
        </w:rPr>
        <w:t xml:space="preserve">. V lékařských vědách provádělo </w:t>
      </w:r>
      <w:proofErr w:type="spellStart"/>
      <w:r w:rsidR="00984CE4">
        <w:rPr>
          <w:rFonts w:ascii="Arial" w:hAnsi="Arial" w:cs="Arial"/>
          <w:sz w:val="20"/>
          <w:szCs w:val="20"/>
        </w:rPr>
        <w:t>VaV</w:t>
      </w:r>
      <w:proofErr w:type="spellEnd"/>
      <w:r w:rsidR="00984CE4">
        <w:rPr>
          <w:rFonts w:ascii="Arial" w:hAnsi="Arial" w:cs="Arial"/>
          <w:sz w:val="20"/>
          <w:szCs w:val="20"/>
        </w:rPr>
        <w:t xml:space="preserve"> ve vy</w:t>
      </w:r>
      <w:r w:rsidR="00003F9D">
        <w:rPr>
          <w:rFonts w:ascii="Arial" w:hAnsi="Arial" w:cs="Arial"/>
          <w:sz w:val="20"/>
          <w:szCs w:val="20"/>
        </w:rPr>
        <w:t>sokoškolském sektoru v roce 2022</w:t>
      </w:r>
      <w:r w:rsidR="00984CE4">
        <w:rPr>
          <w:rFonts w:ascii="Arial" w:hAnsi="Arial" w:cs="Arial"/>
          <w:sz w:val="20"/>
          <w:szCs w:val="20"/>
        </w:rPr>
        <w:t xml:space="preserve"> více než 3 tis. osob, v zemědělských a sociálních vědách okolo 2 tis. osob a v humanitních vědách 1,6 tis. osob. </w:t>
      </w:r>
      <w:r w:rsidR="00CE0F38">
        <w:rPr>
          <w:rFonts w:ascii="Arial" w:hAnsi="Arial" w:cs="Arial"/>
          <w:sz w:val="20"/>
          <w:szCs w:val="20"/>
        </w:rPr>
        <w:t xml:space="preserve">V lékařských a zemědělských vědách je mezi vysokoškolskými pracovníky </w:t>
      </w:r>
      <w:proofErr w:type="spellStart"/>
      <w:r w:rsidR="00CE0F38">
        <w:rPr>
          <w:rFonts w:ascii="Arial" w:hAnsi="Arial" w:cs="Arial"/>
          <w:sz w:val="20"/>
          <w:szCs w:val="20"/>
        </w:rPr>
        <w:t>VaV</w:t>
      </w:r>
      <w:proofErr w:type="spellEnd"/>
      <w:r w:rsidR="00CE0F38">
        <w:rPr>
          <w:rFonts w:ascii="Arial" w:hAnsi="Arial" w:cs="Arial"/>
          <w:sz w:val="20"/>
          <w:szCs w:val="20"/>
        </w:rPr>
        <w:t xml:space="preserve"> nadpoloviční zastoupení žen, v</w:t>
      </w:r>
      <w:r w:rsidR="00094173">
        <w:rPr>
          <w:rFonts w:ascii="Arial" w:hAnsi="Arial" w:cs="Arial"/>
          <w:sz w:val="20"/>
          <w:szCs w:val="20"/>
        </w:rPr>
        <w:t> sociálních a humanitních vědách se zastoupení žen dlouhodobě pohybuje mezi 40 a 50 %. Podílové zastoupení žen je ni</w:t>
      </w:r>
      <w:r w:rsidR="00003F9D">
        <w:rPr>
          <w:rFonts w:ascii="Arial" w:hAnsi="Arial" w:cs="Arial"/>
          <w:sz w:val="20"/>
          <w:szCs w:val="20"/>
        </w:rPr>
        <w:t>žší v případě přírodních věd (35 % v roce 2022</w:t>
      </w:r>
      <w:r w:rsidR="00094173">
        <w:rPr>
          <w:rFonts w:ascii="Arial" w:hAnsi="Arial" w:cs="Arial"/>
          <w:sz w:val="20"/>
          <w:szCs w:val="20"/>
        </w:rPr>
        <w:t>) a vůbec nejméně je tomu v případě tech</w:t>
      </w:r>
      <w:r w:rsidR="00003F9D">
        <w:rPr>
          <w:rFonts w:ascii="Arial" w:hAnsi="Arial" w:cs="Arial"/>
          <w:sz w:val="20"/>
          <w:szCs w:val="20"/>
        </w:rPr>
        <w:t>nických věd (30</w:t>
      </w:r>
      <w:r w:rsidR="00915586">
        <w:rPr>
          <w:rFonts w:ascii="Arial" w:hAnsi="Arial" w:cs="Arial"/>
          <w:sz w:val="20"/>
          <w:szCs w:val="20"/>
        </w:rPr>
        <w:t> </w:t>
      </w:r>
      <w:r w:rsidR="00003F9D">
        <w:rPr>
          <w:rFonts w:ascii="Arial" w:hAnsi="Arial" w:cs="Arial"/>
          <w:sz w:val="20"/>
          <w:szCs w:val="20"/>
        </w:rPr>
        <w:t>% v roce 2022</w:t>
      </w:r>
      <w:r w:rsidR="002301B3">
        <w:rPr>
          <w:rFonts w:ascii="Arial" w:hAnsi="Arial" w:cs="Arial"/>
          <w:sz w:val="20"/>
          <w:szCs w:val="20"/>
        </w:rPr>
        <w:t>).</w:t>
      </w:r>
    </w:p>
    <w:sectPr w:rsidR="002301B3" w:rsidSect="00456552">
      <w:pgSz w:w="11906" w:h="16838"/>
      <w:pgMar w:top="1134"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15"/>
    <w:multiLevelType w:val="hybridMultilevel"/>
    <w:tmpl w:val="59A20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B0B8E"/>
    <w:multiLevelType w:val="hybridMultilevel"/>
    <w:tmpl w:val="E4D66CFA"/>
    <w:lvl w:ilvl="0" w:tplc="AF500688">
      <w:start w:val="1"/>
      <w:numFmt w:val="lowerLetter"/>
      <w:lvlText w:val="%1)"/>
      <w:lvlJc w:val="left"/>
      <w:pPr>
        <w:ind w:left="640" w:hanging="36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2" w15:restartNumberingAfterBreak="0">
    <w:nsid w:val="09FA68DB"/>
    <w:multiLevelType w:val="hybridMultilevel"/>
    <w:tmpl w:val="A2D2FC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63CC3"/>
    <w:multiLevelType w:val="hybridMultilevel"/>
    <w:tmpl w:val="EF10DAC0"/>
    <w:lvl w:ilvl="0" w:tplc="75549F54">
      <w:start w:val="1"/>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B93044"/>
    <w:multiLevelType w:val="hybridMultilevel"/>
    <w:tmpl w:val="E72E8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242D7B"/>
    <w:multiLevelType w:val="hybridMultilevel"/>
    <w:tmpl w:val="F22C1DC6"/>
    <w:lvl w:ilvl="0" w:tplc="2B549C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4B840E7"/>
    <w:multiLevelType w:val="hybridMultilevel"/>
    <w:tmpl w:val="C6FEAB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7E60ED"/>
    <w:multiLevelType w:val="hybridMultilevel"/>
    <w:tmpl w:val="3934FE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CE3EC0"/>
    <w:multiLevelType w:val="hybridMultilevel"/>
    <w:tmpl w:val="004E0E0C"/>
    <w:lvl w:ilvl="0" w:tplc="B142C278">
      <w:start w:val="1"/>
      <w:numFmt w:val="lowerLetter"/>
      <w:lvlText w:val="%1)"/>
      <w:lvlJc w:val="left"/>
      <w:pPr>
        <w:ind w:left="640" w:hanging="36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9" w15:restartNumberingAfterBreak="0">
    <w:nsid w:val="68D1637E"/>
    <w:multiLevelType w:val="hybridMultilevel"/>
    <w:tmpl w:val="E8246D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1F7282"/>
    <w:multiLevelType w:val="hybridMultilevel"/>
    <w:tmpl w:val="1130CC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6"/>
  </w:num>
  <w:num w:numId="6">
    <w:abstractNumId w:val="1"/>
  </w:num>
  <w:num w:numId="7">
    <w:abstractNumId w:val="2"/>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E5"/>
    <w:rsid w:val="00000B2F"/>
    <w:rsid w:val="00002C31"/>
    <w:rsid w:val="00003F9D"/>
    <w:rsid w:val="000054EA"/>
    <w:rsid w:val="00006C34"/>
    <w:rsid w:val="0001095A"/>
    <w:rsid w:val="000130FC"/>
    <w:rsid w:val="00013DD7"/>
    <w:rsid w:val="000140F1"/>
    <w:rsid w:val="00014476"/>
    <w:rsid w:val="00016348"/>
    <w:rsid w:val="000165CB"/>
    <w:rsid w:val="00016DBC"/>
    <w:rsid w:val="00016EE1"/>
    <w:rsid w:val="000170CA"/>
    <w:rsid w:val="000174F0"/>
    <w:rsid w:val="00020B74"/>
    <w:rsid w:val="00020F15"/>
    <w:rsid w:val="000212E5"/>
    <w:rsid w:val="00023B33"/>
    <w:rsid w:val="000278F5"/>
    <w:rsid w:val="00032DBF"/>
    <w:rsid w:val="000338A1"/>
    <w:rsid w:val="00033AAE"/>
    <w:rsid w:val="0003455D"/>
    <w:rsid w:val="000352AF"/>
    <w:rsid w:val="00035A5C"/>
    <w:rsid w:val="00042B24"/>
    <w:rsid w:val="00043FA4"/>
    <w:rsid w:val="000463A0"/>
    <w:rsid w:val="000467E4"/>
    <w:rsid w:val="00050D01"/>
    <w:rsid w:val="0005167C"/>
    <w:rsid w:val="00053C1A"/>
    <w:rsid w:val="0005449D"/>
    <w:rsid w:val="00054688"/>
    <w:rsid w:val="00054C59"/>
    <w:rsid w:val="00055174"/>
    <w:rsid w:val="00060E77"/>
    <w:rsid w:val="0006374B"/>
    <w:rsid w:val="00063BDD"/>
    <w:rsid w:val="000642EA"/>
    <w:rsid w:val="000719F8"/>
    <w:rsid w:val="00072009"/>
    <w:rsid w:val="00074173"/>
    <w:rsid w:val="00075B10"/>
    <w:rsid w:val="00080781"/>
    <w:rsid w:val="000837FE"/>
    <w:rsid w:val="00084361"/>
    <w:rsid w:val="0008467C"/>
    <w:rsid w:val="00084CE7"/>
    <w:rsid w:val="000860AE"/>
    <w:rsid w:val="00086C99"/>
    <w:rsid w:val="0008755C"/>
    <w:rsid w:val="00091ED7"/>
    <w:rsid w:val="00094173"/>
    <w:rsid w:val="0009738A"/>
    <w:rsid w:val="000A0CDB"/>
    <w:rsid w:val="000A1146"/>
    <w:rsid w:val="000A4B8F"/>
    <w:rsid w:val="000A4DF3"/>
    <w:rsid w:val="000A57E2"/>
    <w:rsid w:val="000A58B7"/>
    <w:rsid w:val="000B0076"/>
    <w:rsid w:val="000B0A9C"/>
    <w:rsid w:val="000B1936"/>
    <w:rsid w:val="000B1E8D"/>
    <w:rsid w:val="000B4812"/>
    <w:rsid w:val="000C2032"/>
    <w:rsid w:val="000C20B7"/>
    <w:rsid w:val="000C21EC"/>
    <w:rsid w:val="000C23A6"/>
    <w:rsid w:val="000C3548"/>
    <w:rsid w:val="000C58F7"/>
    <w:rsid w:val="000C68D4"/>
    <w:rsid w:val="000D156A"/>
    <w:rsid w:val="000D15B6"/>
    <w:rsid w:val="000D186E"/>
    <w:rsid w:val="000D1F72"/>
    <w:rsid w:val="000D2581"/>
    <w:rsid w:val="000D3254"/>
    <w:rsid w:val="000D3310"/>
    <w:rsid w:val="000D5B2A"/>
    <w:rsid w:val="000D62BD"/>
    <w:rsid w:val="000D644A"/>
    <w:rsid w:val="000D77E5"/>
    <w:rsid w:val="000E04FB"/>
    <w:rsid w:val="000E16A8"/>
    <w:rsid w:val="000E27F7"/>
    <w:rsid w:val="000E27FB"/>
    <w:rsid w:val="000E2FD1"/>
    <w:rsid w:val="000E3C07"/>
    <w:rsid w:val="000E4309"/>
    <w:rsid w:val="000E4661"/>
    <w:rsid w:val="000E5284"/>
    <w:rsid w:val="000E70A6"/>
    <w:rsid w:val="000E7A2E"/>
    <w:rsid w:val="000E7ED4"/>
    <w:rsid w:val="000F4385"/>
    <w:rsid w:val="000F4BB7"/>
    <w:rsid w:val="000F554C"/>
    <w:rsid w:val="000F62ED"/>
    <w:rsid w:val="000F764C"/>
    <w:rsid w:val="0010180C"/>
    <w:rsid w:val="00104843"/>
    <w:rsid w:val="0010543B"/>
    <w:rsid w:val="00113178"/>
    <w:rsid w:val="001210A2"/>
    <w:rsid w:val="00122DF7"/>
    <w:rsid w:val="0013185B"/>
    <w:rsid w:val="00133BD2"/>
    <w:rsid w:val="00133E0F"/>
    <w:rsid w:val="0013614C"/>
    <w:rsid w:val="0013699C"/>
    <w:rsid w:val="0013773B"/>
    <w:rsid w:val="0014214F"/>
    <w:rsid w:val="00142429"/>
    <w:rsid w:val="00142860"/>
    <w:rsid w:val="00144E8B"/>
    <w:rsid w:val="00147D96"/>
    <w:rsid w:val="00153767"/>
    <w:rsid w:val="00154648"/>
    <w:rsid w:val="00157195"/>
    <w:rsid w:val="00166242"/>
    <w:rsid w:val="001672B2"/>
    <w:rsid w:val="00167AF5"/>
    <w:rsid w:val="00170216"/>
    <w:rsid w:val="00171639"/>
    <w:rsid w:val="00172EFB"/>
    <w:rsid w:val="0017364D"/>
    <w:rsid w:val="00173B82"/>
    <w:rsid w:val="0017595D"/>
    <w:rsid w:val="001808D6"/>
    <w:rsid w:val="00183555"/>
    <w:rsid w:val="00185531"/>
    <w:rsid w:val="001908C9"/>
    <w:rsid w:val="00190EF1"/>
    <w:rsid w:val="0019141D"/>
    <w:rsid w:val="00192FAE"/>
    <w:rsid w:val="00192FC8"/>
    <w:rsid w:val="0019340C"/>
    <w:rsid w:val="0019672D"/>
    <w:rsid w:val="001968E6"/>
    <w:rsid w:val="001A182A"/>
    <w:rsid w:val="001A26B3"/>
    <w:rsid w:val="001A4BD3"/>
    <w:rsid w:val="001A5F2E"/>
    <w:rsid w:val="001A67C4"/>
    <w:rsid w:val="001B1012"/>
    <w:rsid w:val="001B2223"/>
    <w:rsid w:val="001B4658"/>
    <w:rsid w:val="001B52AB"/>
    <w:rsid w:val="001C2B6D"/>
    <w:rsid w:val="001C359E"/>
    <w:rsid w:val="001C3B3F"/>
    <w:rsid w:val="001C3F76"/>
    <w:rsid w:val="001C5497"/>
    <w:rsid w:val="001D01CF"/>
    <w:rsid w:val="001D06BF"/>
    <w:rsid w:val="001D0C5D"/>
    <w:rsid w:val="001D1DD8"/>
    <w:rsid w:val="001D4BA5"/>
    <w:rsid w:val="001D4DB3"/>
    <w:rsid w:val="001D53CA"/>
    <w:rsid w:val="001D618F"/>
    <w:rsid w:val="001D690A"/>
    <w:rsid w:val="001D76AA"/>
    <w:rsid w:val="001E3A86"/>
    <w:rsid w:val="001F1247"/>
    <w:rsid w:val="001F25CA"/>
    <w:rsid w:val="001F3865"/>
    <w:rsid w:val="001F5ED0"/>
    <w:rsid w:val="001F74A5"/>
    <w:rsid w:val="00200398"/>
    <w:rsid w:val="00200412"/>
    <w:rsid w:val="002011D4"/>
    <w:rsid w:val="002014DC"/>
    <w:rsid w:val="0020261D"/>
    <w:rsid w:val="00202E34"/>
    <w:rsid w:val="00203440"/>
    <w:rsid w:val="00207CE1"/>
    <w:rsid w:val="002102BE"/>
    <w:rsid w:val="00211EEC"/>
    <w:rsid w:val="0021255B"/>
    <w:rsid w:val="00212869"/>
    <w:rsid w:val="002129AF"/>
    <w:rsid w:val="00212E77"/>
    <w:rsid w:val="002138B8"/>
    <w:rsid w:val="0021668F"/>
    <w:rsid w:val="00217F47"/>
    <w:rsid w:val="002222C9"/>
    <w:rsid w:val="002244AA"/>
    <w:rsid w:val="002251C0"/>
    <w:rsid w:val="0022649E"/>
    <w:rsid w:val="002301B3"/>
    <w:rsid w:val="002335ED"/>
    <w:rsid w:val="0023593B"/>
    <w:rsid w:val="00235ADC"/>
    <w:rsid w:val="00235F98"/>
    <w:rsid w:val="00241719"/>
    <w:rsid w:val="0024253C"/>
    <w:rsid w:val="00243F9E"/>
    <w:rsid w:val="00244017"/>
    <w:rsid w:val="00244503"/>
    <w:rsid w:val="00245D17"/>
    <w:rsid w:val="0024616B"/>
    <w:rsid w:val="00246355"/>
    <w:rsid w:val="00246BC9"/>
    <w:rsid w:val="00247707"/>
    <w:rsid w:val="00251035"/>
    <w:rsid w:val="00251933"/>
    <w:rsid w:val="00252899"/>
    <w:rsid w:val="00253397"/>
    <w:rsid w:val="002563E6"/>
    <w:rsid w:val="00257C9B"/>
    <w:rsid w:val="00260F15"/>
    <w:rsid w:val="00266EAB"/>
    <w:rsid w:val="00266FC7"/>
    <w:rsid w:val="002670AD"/>
    <w:rsid w:val="00270786"/>
    <w:rsid w:val="002708C5"/>
    <w:rsid w:val="002717BA"/>
    <w:rsid w:val="00271E4D"/>
    <w:rsid w:val="00272F53"/>
    <w:rsid w:val="00274226"/>
    <w:rsid w:val="00275189"/>
    <w:rsid w:val="002759BA"/>
    <w:rsid w:val="00275F9B"/>
    <w:rsid w:val="002764A8"/>
    <w:rsid w:val="00281DAB"/>
    <w:rsid w:val="002853D6"/>
    <w:rsid w:val="00285661"/>
    <w:rsid w:val="00285C21"/>
    <w:rsid w:val="0028617E"/>
    <w:rsid w:val="00290B83"/>
    <w:rsid w:val="00290D97"/>
    <w:rsid w:val="002968AB"/>
    <w:rsid w:val="00297CD3"/>
    <w:rsid w:val="002A10F5"/>
    <w:rsid w:val="002A2C21"/>
    <w:rsid w:val="002A5A40"/>
    <w:rsid w:val="002A5BB5"/>
    <w:rsid w:val="002A6777"/>
    <w:rsid w:val="002B1288"/>
    <w:rsid w:val="002B6057"/>
    <w:rsid w:val="002B6362"/>
    <w:rsid w:val="002B69DA"/>
    <w:rsid w:val="002B75B3"/>
    <w:rsid w:val="002C17C9"/>
    <w:rsid w:val="002C2150"/>
    <w:rsid w:val="002C3C6D"/>
    <w:rsid w:val="002C3DA2"/>
    <w:rsid w:val="002C5B6C"/>
    <w:rsid w:val="002D194C"/>
    <w:rsid w:val="002D2035"/>
    <w:rsid w:val="002D322A"/>
    <w:rsid w:val="002D402D"/>
    <w:rsid w:val="002D4899"/>
    <w:rsid w:val="002D4B7A"/>
    <w:rsid w:val="002D72F8"/>
    <w:rsid w:val="002E0963"/>
    <w:rsid w:val="002E5197"/>
    <w:rsid w:val="002E5BD7"/>
    <w:rsid w:val="002E5E6E"/>
    <w:rsid w:val="002E79D0"/>
    <w:rsid w:val="002E7D50"/>
    <w:rsid w:val="002F0D12"/>
    <w:rsid w:val="002F215A"/>
    <w:rsid w:val="002F2DEB"/>
    <w:rsid w:val="002F4FAA"/>
    <w:rsid w:val="003003D4"/>
    <w:rsid w:val="00302E57"/>
    <w:rsid w:val="003031E6"/>
    <w:rsid w:val="00304216"/>
    <w:rsid w:val="00304332"/>
    <w:rsid w:val="00305BD7"/>
    <w:rsid w:val="0030665D"/>
    <w:rsid w:val="00310198"/>
    <w:rsid w:val="003115C7"/>
    <w:rsid w:val="00316617"/>
    <w:rsid w:val="0031734F"/>
    <w:rsid w:val="00317B4A"/>
    <w:rsid w:val="00320705"/>
    <w:rsid w:val="0032094B"/>
    <w:rsid w:val="00320E36"/>
    <w:rsid w:val="00321002"/>
    <w:rsid w:val="003218DA"/>
    <w:rsid w:val="0032210F"/>
    <w:rsid w:val="00323136"/>
    <w:rsid w:val="003251D5"/>
    <w:rsid w:val="00325859"/>
    <w:rsid w:val="00330D20"/>
    <w:rsid w:val="003318AC"/>
    <w:rsid w:val="003319E6"/>
    <w:rsid w:val="00333A85"/>
    <w:rsid w:val="00333AD8"/>
    <w:rsid w:val="00335AB6"/>
    <w:rsid w:val="00340C62"/>
    <w:rsid w:val="0034242F"/>
    <w:rsid w:val="00342E61"/>
    <w:rsid w:val="00344458"/>
    <w:rsid w:val="0034458E"/>
    <w:rsid w:val="00344E41"/>
    <w:rsid w:val="00345499"/>
    <w:rsid w:val="00345C9D"/>
    <w:rsid w:val="00345F14"/>
    <w:rsid w:val="00350D54"/>
    <w:rsid w:val="003510CF"/>
    <w:rsid w:val="00351CF2"/>
    <w:rsid w:val="003526D6"/>
    <w:rsid w:val="00353239"/>
    <w:rsid w:val="00353347"/>
    <w:rsid w:val="003540AA"/>
    <w:rsid w:val="00354ECC"/>
    <w:rsid w:val="00355925"/>
    <w:rsid w:val="003579D3"/>
    <w:rsid w:val="00360FDA"/>
    <w:rsid w:val="0036199C"/>
    <w:rsid w:val="00362222"/>
    <w:rsid w:val="00362BF6"/>
    <w:rsid w:val="00362E3D"/>
    <w:rsid w:val="00363211"/>
    <w:rsid w:val="003638D1"/>
    <w:rsid w:val="00363FFE"/>
    <w:rsid w:val="00364975"/>
    <w:rsid w:val="00367212"/>
    <w:rsid w:val="00367633"/>
    <w:rsid w:val="003709DA"/>
    <w:rsid w:val="00370D57"/>
    <w:rsid w:val="003729E6"/>
    <w:rsid w:val="0037343A"/>
    <w:rsid w:val="00376605"/>
    <w:rsid w:val="00377888"/>
    <w:rsid w:val="00377EED"/>
    <w:rsid w:val="00377F18"/>
    <w:rsid w:val="0038013E"/>
    <w:rsid w:val="00380CE0"/>
    <w:rsid w:val="00380D6C"/>
    <w:rsid w:val="00382664"/>
    <w:rsid w:val="00384178"/>
    <w:rsid w:val="00384615"/>
    <w:rsid w:val="00384E70"/>
    <w:rsid w:val="003851B8"/>
    <w:rsid w:val="003866CA"/>
    <w:rsid w:val="00386C72"/>
    <w:rsid w:val="00391925"/>
    <w:rsid w:val="003957A1"/>
    <w:rsid w:val="003A2982"/>
    <w:rsid w:val="003A3B1A"/>
    <w:rsid w:val="003A4CAC"/>
    <w:rsid w:val="003A578B"/>
    <w:rsid w:val="003A646A"/>
    <w:rsid w:val="003B0B56"/>
    <w:rsid w:val="003B1373"/>
    <w:rsid w:val="003B4228"/>
    <w:rsid w:val="003B66BE"/>
    <w:rsid w:val="003B6843"/>
    <w:rsid w:val="003B6E79"/>
    <w:rsid w:val="003C4505"/>
    <w:rsid w:val="003C4712"/>
    <w:rsid w:val="003C4F0E"/>
    <w:rsid w:val="003D1EC0"/>
    <w:rsid w:val="003D2B99"/>
    <w:rsid w:val="003D363A"/>
    <w:rsid w:val="003D37EB"/>
    <w:rsid w:val="003D3954"/>
    <w:rsid w:val="003D5A42"/>
    <w:rsid w:val="003D5DA1"/>
    <w:rsid w:val="003D60EF"/>
    <w:rsid w:val="003D7888"/>
    <w:rsid w:val="003E05BF"/>
    <w:rsid w:val="003E3D18"/>
    <w:rsid w:val="003E5074"/>
    <w:rsid w:val="003E6964"/>
    <w:rsid w:val="003E7105"/>
    <w:rsid w:val="003F019C"/>
    <w:rsid w:val="003F15E5"/>
    <w:rsid w:val="003F2220"/>
    <w:rsid w:val="003F2796"/>
    <w:rsid w:val="003F283F"/>
    <w:rsid w:val="003F60FD"/>
    <w:rsid w:val="003F7B25"/>
    <w:rsid w:val="004004D2"/>
    <w:rsid w:val="004019D8"/>
    <w:rsid w:val="00402AE7"/>
    <w:rsid w:val="004033B6"/>
    <w:rsid w:val="00403E5E"/>
    <w:rsid w:val="00405739"/>
    <w:rsid w:val="00407CD4"/>
    <w:rsid w:val="00410B96"/>
    <w:rsid w:val="00412DA1"/>
    <w:rsid w:val="00412DBA"/>
    <w:rsid w:val="00413D95"/>
    <w:rsid w:val="004154E0"/>
    <w:rsid w:val="0041627E"/>
    <w:rsid w:val="00417FA4"/>
    <w:rsid w:val="004231C9"/>
    <w:rsid w:val="00425A42"/>
    <w:rsid w:val="004262D9"/>
    <w:rsid w:val="004300EB"/>
    <w:rsid w:val="0043043B"/>
    <w:rsid w:val="00431726"/>
    <w:rsid w:val="00432E78"/>
    <w:rsid w:val="00432F7B"/>
    <w:rsid w:val="00434204"/>
    <w:rsid w:val="00435C1A"/>
    <w:rsid w:val="00436435"/>
    <w:rsid w:val="00440B5F"/>
    <w:rsid w:val="004410EE"/>
    <w:rsid w:val="004444A0"/>
    <w:rsid w:val="00444836"/>
    <w:rsid w:val="0044621F"/>
    <w:rsid w:val="004513F8"/>
    <w:rsid w:val="00452ED0"/>
    <w:rsid w:val="00454940"/>
    <w:rsid w:val="004549AD"/>
    <w:rsid w:val="00456552"/>
    <w:rsid w:val="004569CF"/>
    <w:rsid w:val="00456DCA"/>
    <w:rsid w:val="00460518"/>
    <w:rsid w:val="00461F39"/>
    <w:rsid w:val="004626F7"/>
    <w:rsid w:val="0046440D"/>
    <w:rsid w:val="00464977"/>
    <w:rsid w:val="004664D5"/>
    <w:rsid w:val="00466903"/>
    <w:rsid w:val="00466FF4"/>
    <w:rsid w:val="00467B7F"/>
    <w:rsid w:val="004737FA"/>
    <w:rsid w:val="00476135"/>
    <w:rsid w:val="004763BF"/>
    <w:rsid w:val="00476C41"/>
    <w:rsid w:val="00480ECE"/>
    <w:rsid w:val="00481E74"/>
    <w:rsid w:val="00482BB3"/>
    <w:rsid w:val="00483A19"/>
    <w:rsid w:val="00484D48"/>
    <w:rsid w:val="00485123"/>
    <w:rsid w:val="00486978"/>
    <w:rsid w:val="00490FAA"/>
    <w:rsid w:val="004912E1"/>
    <w:rsid w:val="00491610"/>
    <w:rsid w:val="004920C4"/>
    <w:rsid w:val="0049210C"/>
    <w:rsid w:val="004943AA"/>
    <w:rsid w:val="004970EE"/>
    <w:rsid w:val="00497532"/>
    <w:rsid w:val="004979E5"/>
    <w:rsid w:val="004A0789"/>
    <w:rsid w:val="004A1886"/>
    <w:rsid w:val="004A24DE"/>
    <w:rsid w:val="004A402C"/>
    <w:rsid w:val="004A6732"/>
    <w:rsid w:val="004A6CF1"/>
    <w:rsid w:val="004B3F0A"/>
    <w:rsid w:val="004B5336"/>
    <w:rsid w:val="004B5D4B"/>
    <w:rsid w:val="004C08E5"/>
    <w:rsid w:val="004C103D"/>
    <w:rsid w:val="004C1C36"/>
    <w:rsid w:val="004C7EB8"/>
    <w:rsid w:val="004D37C9"/>
    <w:rsid w:val="004D4D98"/>
    <w:rsid w:val="004D5812"/>
    <w:rsid w:val="004D619F"/>
    <w:rsid w:val="004E0434"/>
    <w:rsid w:val="004E4B23"/>
    <w:rsid w:val="004E6B0A"/>
    <w:rsid w:val="004E71E2"/>
    <w:rsid w:val="004F16E7"/>
    <w:rsid w:val="004F229C"/>
    <w:rsid w:val="004F42C1"/>
    <w:rsid w:val="004F4C11"/>
    <w:rsid w:val="004F52A9"/>
    <w:rsid w:val="004F5D6A"/>
    <w:rsid w:val="004F6E50"/>
    <w:rsid w:val="00502413"/>
    <w:rsid w:val="005030C9"/>
    <w:rsid w:val="00503293"/>
    <w:rsid w:val="0050547B"/>
    <w:rsid w:val="0050575E"/>
    <w:rsid w:val="00507FC4"/>
    <w:rsid w:val="005118C7"/>
    <w:rsid w:val="00511F15"/>
    <w:rsid w:val="00513845"/>
    <w:rsid w:val="00514E29"/>
    <w:rsid w:val="00515E96"/>
    <w:rsid w:val="00516399"/>
    <w:rsid w:val="00521228"/>
    <w:rsid w:val="0052147A"/>
    <w:rsid w:val="0052155B"/>
    <w:rsid w:val="00522AE4"/>
    <w:rsid w:val="005236DC"/>
    <w:rsid w:val="0052450B"/>
    <w:rsid w:val="005250DB"/>
    <w:rsid w:val="0053013A"/>
    <w:rsid w:val="005344D1"/>
    <w:rsid w:val="0053456A"/>
    <w:rsid w:val="00535BC5"/>
    <w:rsid w:val="005403BD"/>
    <w:rsid w:val="005429DB"/>
    <w:rsid w:val="00542ED9"/>
    <w:rsid w:val="00544C9F"/>
    <w:rsid w:val="005524CA"/>
    <w:rsid w:val="00555062"/>
    <w:rsid w:val="00555117"/>
    <w:rsid w:val="005559FA"/>
    <w:rsid w:val="0055619C"/>
    <w:rsid w:val="00560ABA"/>
    <w:rsid w:val="005615D2"/>
    <w:rsid w:val="00562F28"/>
    <w:rsid w:val="00563EAB"/>
    <w:rsid w:val="00564A3C"/>
    <w:rsid w:val="00566F46"/>
    <w:rsid w:val="00566FE0"/>
    <w:rsid w:val="0056732E"/>
    <w:rsid w:val="00567D88"/>
    <w:rsid w:val="0057055F"/>
    <w:rsid w:val="00572FEE"/>
    <w:rsid w:val="0057477E"/>
    <w:rsid w:val="005766DB"/>
    <w:rsid w:val="00576788"/>
    <w:rsid w:val="005775B9"/>
    <w:rsid w:val="005811F8"/>
    <w:rsid w:val="00582584"/>
    <w:rsid w:val="005835AF"/>
    <w:rsid w:val="00583A6B"/>
    <w:rsid w:val="0058710A"/>
    <w:rsid w:val="0059129A"/>
    <w:rsid w:val="005918AB"/>
    <w:rsid w:val="00593297"/>
    <w:rsid w:val="0059448F"/>
    <w:rsid w:val="005944F0"/>
    <w:rsid w:val="00595A84"/>
    <w:rsid w:val="005A1D5D"/>
    <w:rsid w:val="005A1EEE"/>
    <w:rsid w:val="005A3A21"/>
    <w:rsid w:val="005A4E2B"/>
    <w:rsid w:val="005A6887"/>
    <w:rsid w:val="005A7210"/>
    <w:rsid w:val="005B251C"/>
    <w:rsid w:val="005B3F59"/>
    <w:rsid w:val="005B52A9"/>
    <w:rsid w:val="005B7472"/>
    <w:rsid w:val="005C06A8"/>
    <w:rsid w:val="005C4151"/>
    <w:rsid w:val="005C7444"/>
    <w:rsid w:val="005C7C3A"/>
    <w:rsid w:val="005D0CC5"/>
    <w:rsid w:val="005D19DF"/>
    <w:rsid w:val="005D25C8"/>
    <w:rsid w:val="005D38CE"/>
    <w:rsid w:val="005D46E7"/>
    <w:rsid w:val="005D78D2"/>
    <w:rsid w:val="005E04B4"/>
    <w:rsid w:val="005E1E5F"/>
    <w:rsid w:val="005E237D"/>
    <w:rsid w:val="005E23F5"/>
    <w:rsid w:val="005E2680"/>
    <w:rsid w:val="005E4B8C"/>
    <w:rsid w:val="005E5AAB"/>
    <w:rsid w:val="005E6332"/>
    <w:rsid w:val="005F12CD"/>
    <w:rsid w:val="005F3AD9"/>
    <w:rsid w:val="005F3CB8"/>
    <w:rsid w:val="005F716D"/>
    <w:rsid w:val="006001CA"/>
    <w:rsid w:val="00600970"/>
    <w:rsid w:val="00600A0C"/>
    <w:rsid w:val="00601546"/>
    <w:rsid w:val="006017E9"/>
    <w:rsid w:val="00603C8C"/>
    <w:rsid w:val="00604527"/>
    <w:rsid w:val="00604F6E"/>
    <w:rsid w:val="006066F0"/>
    <w:rsid w:val="00610AB5"/>
    <w:rsid w:val="00611053"/>
    <w:rsid w:val="00614D75"/>
    <w:rsid w:val="006161CC"/>
    <w:rsid w:val="006176C0"/>
    <w:rsid w:val="006204D5"/>
    <w:rsid w:val="00622B9B"/>
    <w:rsid w:val="006268B9"/>
    <w:rsid w:val="00627C5B"/>
    <w:rsid w:val="00630A85"/>
    <w:rsid w:val="0063257F"/>
    <w:rsid w:val="00634566"/>
    <w:rsid w:val="00636547"/>
    <w:rsid w:val="006368F3"/>
    <w:rsid w:val="0063690D"/>
    <w:rsid w:val="00636C2A"/>
    <w:rsid w:val="00637627"/>
    <w:rsid w:val="00637882"/>
    <w:rsid w:val="00637C1B"/>
    <w:rsid w:val="006400B1"/>
    <w:rsid w:val="00640C4E"/>
    <w:rsid w:val="006413DB"/>
    <w:rsid w:val="00641F0F"/>
    <w:rsid w:val="006438BD"/>
    <w:rsid w:val="00646032"/>
    <w:rsid w:val="00646187"/>
    <w:rsid w:val="00646E32"/>
    <w:rsid w:val="00650AB4"/>
    <w:rsid w:val="0065111B"/>
    <w:rsid w:val="00651B88"/>
    <w:rsid w:val="0065267B"/>
    <w:rsid w:val="0065281E"/>
    <w:rsid w:val="00652DE7"/>
    <w:rsid w:val="00652FDB"/>
    <w:rsid w:val="006552FA"/>
    <w:rsid w:val="00655677"/>
    <w:rsid w:val="00655986"/>
    <w:rsid w:val="006610B0"/>
    <w:rsid w:val="00661893"/>
    <w:rsid w:val="00667F9E"/>
    <w:rsid w:val="006721CE"/>
    <w:rsid w:val="00677122"/>
    <w:rsid w:val="00681A7D"/>
    <w:rsid w:val="00681C6A"/>
    <w:rsid w:val="00682887"/>
    <w:rsid w:val="00683DB9"/>
    <w:rsid w:val="0068580E"/>
    <w:rsid w:val="00685AF9"/>
    <w:rsid w:val="00685E5B"/>
    <w:rsid w:val="00691B0E"/>
    <w:rsid w:val="006934D9"/>
    <w:rsid w:val="006936AB"/>
    <w:rsid w:val="00697C36"/>
    <w:rsid w:val="006A1270"/>
    <w:rsid w:val="006A1550"/>
    <w:rsid w:val="006A1664"/>
    <w:rsid w:val="006A262A"/>
    <w:rsid w:val="006A283B"/>
    <w:rsid w:val="006A28C1"/>
    <w:rsid w:val="006A3936"/>
    <w:rsid w:val="006A4CB7"/>
    <w:rsid w:val="006A60C5"/>
    <w:rsid w:val="006A6221"/>
    <w:rsid w:val="006A63FD"/>
    <w:rsid w:val="006B0158"/>
    <w:rsid w:val="006B061E"/>
    <w:rsid w:val="006B0F6E"/>
    <w:rsid w:val="006B1D97"/>
    <w:rsid w:val="006C0093"/>
    <w:rsid w:val="006C0E9C"/>
    <w:rsid w:val="006C2F33"/>
    <w:rsid w:val="006C43EF"/>
    <w:rsid w:val="006C4F4A"/>
    <w:rsid w:val="006C640C"/>
    <w:rsid w:val="006C752D"/>
    <w:rsid w:val="006C7D27"/>
    <w:rsid w:val="006D1956"/>
    <w:rsid w:val="006D19CE"/>
    <w:rsid w:val="006D391F"/>
    <w:rsid w:val="006D4D91"/>
    <w:rsid w:val="006D7976"/>
    <w:rsid w:val="006E38E6"/>
    <w:rsid w:val="006E3A91"/>
    <w:rsid w:val="006E4203"/>
    <w:rsid w:val="006F045A"/>
    <w:rsid w:val="006F0AD2"/>
    <w:rsid w:val="006F275F"/>
    <w:rsid w:val="006F3D7D"/>
    <w:rsid w:val="006F49C6"/>
    <w:rsid w:val="006F57A4"/>
    <w:rsid w:val="006F5B17"/>
    <w:rsid w:val="006F6D52"/>
    <w:rsid w:val="006F7BC2"/>
    <w:rsid w:val="00701168"/>
    <w:rsid w:val="00701192"/>
    <w:rsid w:val="007012E2"/>
    <w:rsid w:val="007028E5"/>
    <w:rsid w:val="00703CDD"/>
    <w:rsid w:val="00704408"/>
    <w:rsid w:val="007143AB"/>
    <w:rsid w:val="00715D0C"/>
    <w:rsid w:val="00721B34"/>
    <w:rsid w:val="007239ED"/>
    <w:rsid w:val="007248FC"/>
    <w:rsid w:val="00724A7B"/>
    <w:rsid w:val="00726C95"/>
    <w:rsid w:val="0072726F"/>
    <w:rsid w:val="007272A6"/>
    <w:rsid w:val="00731071"/>
    <w:rsid w:val="007345B8"/>
    <w:rsid w:val="00740D71"/>
    <w:rsid w:val="00740E90"/>
    <w:rsid w:val="00746408"/>
    <w:rsid w:val="007466AA"/>
    <w:rsid w:val="00750165"/>
    <w:rsid w:val="00750D00"/>
    <w:rsid w:val="007530CC"/>
    <w:rsid w:val="00753CEF"/>
    <w:rsid w:val="00757C3A"/>
    <w:rsid w:val="007607BB"/>
    <w:rsid w:val="00763D0A"/>
    <w:rsid w:val="007640ED"/>
    <w:rsid w:val="00770DE5"/>
    <w:rsid w:val="007715DC"/>
    <w:rsid w:val="007725DA"/>
    <w:rsid w:val="007729C0"/>
    <w:rsid w:val="007820B8"/>
    <w:rsid w:val="007839CB"/>
    <w:rsid w:val="00784B9C"/>
    <w:rsid w:val="00784D2D"/>
    <w:rsid w:val="00785E5C"/>
    <w:rsid w:val="00786824"/>
    <w:rsid w:val="0079063D"/>
    <w:rsid w:val="00790859"/>
    <w:rsid w:val="00793608"/>
    <w:rsid w:val="00793DD5"/>
    <w:rsid w:val="007952F9"/>
    <w:rsid w:val="00795CE0"/>
    <w:rsid w:val="00795F63"/>
    <w:rsid w:val="007971DF"/>
    <w:rsid w:val="00797D7D"/>
    <w:rsid w:val="007A29B4"/>
    <w:rsid w:val="007A2D7A"/>
    <w:rsid w:val="007A50FB"/>
    <w:rsid w:val="007A5C8E"/>
    <w:rsid w:val="007A6896"/>
    <w:rsid w:val="007A6DE7"/>
    <w:rsid w:val="007B082B"/>
    <w:rsid w:val="007B2E32"/>
    <w:rsid w:val="007B4F17"/>
    <w:rsid w:val="007B6D4C"/>
    <w:rsid w:val="007C182E"/>
    <w:rsid w:val="007C3509"/>
    <w:rsid w:val="007C4355"/>
    <w:rsid w:val="007C6840"/>
    <w:rsid w:val="007C7178"/>
    <w:rsid w:val="007C775E"/>
    <w:rsid w:val="007C7933"/>
    <w:rsid w:val="007D122E"/>
    <w:rsid w:val="007D17C1"/>
    <w:rsid w:val="007D1ED0"/>
    <w:rsid w:val="007D714D"/>
    <w:rsid w:val="007E02C7"/>
    <w:rsid w:val="007E0646"/>
    <w:rsid w:val="007E1812"/>
    <w:rsid w:val="007E18FC"/>
    <w:rsid w:val="007E3730"/>
    <w:rsid w:val="007E48AC"/>
    <w:rsid w:val="007E77C6"/>
    <w:rsid w:val="007E7DC1"/>
    <w:rsid w:val="007E7FDD"/>
    <w:rsid w:val="007F1FBA"/>
    <w:rsid w:val="007F2966"/>
    <w:rsid w:val="007F3A86"/>
    <w:rsid w:val="007F451C"/>
    <w:rsid w:val="007F4FC6"/>
    <w:rsid w:val="007F7599"/>
    <w:rsid w:val="007F7702"/>
    <w:rsid w:val="007F7B06"/>
    <w:rsid w:val="008015A7"/>
    <w:rsid w:val="00802719"/>
    <w:rsid w:val="00802788"/>
    <w:rsid w:val="0080461D"/>
    <w:rsid w:val="008066EA"/>
    <w:rsid w:val="0080765A"/>
    <w:rsid w:val="00810927"/>
    <w:rsid w:val="008109E6"/>
    <w:rsid w:val="00813AFB"/>
    <w:rsid w:val="00814002"/>
    <w:rsid w:val="0081506A"/>
    <w:rsid w:val="008172FB"/>
    <w:rsid w:val="008246E5"/>
    <w:rsid w:val="0082480D"/>
    <w:rsid w:val="00824EC9"/>
    <w:rsid w:val="008268F8"/>
    <w:rsid w:val="00827195"/>
    <w:rsid w:val="00827EF2"/>
    <w:rsid w:val="00830A1D"/>
    <w:rsid w:val="00831178"/>
    <w:rsid w:val="00831407"/>
    <w:rsid w:val="00831472"/>
    <w:rsid w:val="008314DB"/>
    <w:rsid w:val="00835148"/>
    <w:rsid w:val="00836297"/>
    <w:rsid w:val="00837B42"/>
    <w:rsid w:val="0084099F"/>
    <w:rsid w:val="00842921"/>
    <w:rsid w:val="0084369C"/>
    <w:rsid w:val="00843783"/>
    <w:rsid w:val="00845BAC"/>
    <w:rsid w:val="0084737A"/>
    <w:rsid w:val="0084752C"/>
    <w:rsid w:val="00850EE9"/>
    <w:rsid w:val="0085247C"/>
    <w:rsid w:val="0085569C"/>
    <w:rsid w:val="00860E20"/>
    <w:rsid w:val="00861B24"/>
    <w:rsid w:val="00862F03"/>
    <w:rsid w:val="00863713"/>
    <w:rsid w:val="008642F2"/>
    <w:rsid w:val="00867AD5"/>
    <w:rsid w:val="00870396"/>
    <w:rsid w:val="008755C4"/>
    <w:rsid w:val="00876875"/>
    <w:rsid w:val="008813FE"/>
    <w:rsid w:val="008830DE"/>
    <w:rsid w:val="00883917"/>
    <w:rsid w:val="008863DD"/>
    <w:rsid w:val="0088681C"/>
    <w:rsid w:val="00886945"/>
    <w:rsid w:val="00887B4D"/>
    <w:rsid w:val="00890CF3"/>
    <w:rsid w:val="00890D15"/>
    <w:rsid w:val="00891D92"/>
    <w:rsid w:val="00892DD6"/>
    <w:rsid w:val="00894664"/>
    <w:rsid w:val="008969EC"/>
    <w:rsid w:val="00897C38"/>
    <w:rsid w:val="008A1B90"/>
    <w:rsid w:val="008A248B"/>
    <w:rsid w:val="008A3209"/>
    <w:rsid w:val="008A34FF"/>
    <w:rsid w:val="008A3C27"/>
    <w:rsid w:val="008A6CA2"/>
    <w:rsid w:val="008B12BA"/>
    <w:rsid w:val="008B398E"/>
    <w:rsid w:val="008B5309"/>
    <w:rsid w:val="008B7DB6"/>
    <w:rsid w:val="008C2658"/>
    <w:rsid w:val="008C537E"/>
    <w:rsid w:val="008D0D7D"/>
    <w:rsid w:val="008D1C37"/>
    <w:rsid w:val="008D3728"/>
    <w:rsid w:val="008D3EBA"/>
    <w:rsid w:val="008D66EE"/>
    <w:rsid w:val="008D75B1"/>
    <w:rsid w:val="008D7A90"/>
    <w:rsid w:val="008E1EEF"/>
    <w:rsid w:val="008E2191"/>
    <w:rsid w:val="008E2725"/>
    <w:rsid w:val="008E57DA"/>
    <w:rsid w:val="008E5C4D"/>
    <w:rsid w:val="008E5D27"/>
    <w:rsid w:val="008E6AED"/>
    <w:rsid w:val="008F0452"/>
    <w:rsid w:val="008F1320"/>
    <w:rsid w:val="008F378A"/>
    <w:rsid w:val="008F39DB"/>
    <w:rsid w:val="008F5B73"/>
    <w:rsid w:val="008F5EDF"/>
    <w:rsid w:val="008F60DA"/>
    <w:rsid w:val="008F768C"/>
    <w:rsid w:val="009015C5"/>
    <w:rsid w:val="00901C6B"/>
    <w:rsid w:val="00902368"/>
    <w:rsid w:val="00902736"/>
    <w:rsid w:val="009030D4"/>
    <w:rsid w:val="009067D4"/>
    <w:rsid w:val="009105DD"/>
    <w:rsid w:val="00911866"/>
    <w:rsid w:val="009126B1"/>
    <w:rsid w:val="00912AF8"/>
    <w:rsid w:val="00912F37"/>
    <w:rsid w:val="00913726"/>
    <w:rsid w:val="0091383E"/>
    <w:rsid w:val="00914792"/>
    <w:rsid w:val="00915586"/>
    <w:rsid w:val="00917815"/>
    <w:rsid w:val="0092065C"/>
    <w:rsid w:val="009211F2"/>
    <w:rsid w:val="00921496"/>
    <w:rsid w:val="0092300A"/>
    <w:rsid w:val="00926C9B"/>
    <w:rsid w:val="00931679"/>
    <w:rsid w:val="00931EE6"/>
    <w:rsid w:val="0093386D"/>
    <w:rsid w:val="009343A4"/>
    <w:rsid w:val="0093474D"/>
    <w:rsid w:val="009401E4"/>
    <w:rsid w:val="00943148"/>
    <w:rsid w:val="00943A35"/>
    <w:rsid w:val="00943C20"/>
    <w:rsid w:val="00944765"/>
    <w:rsid w:val="0094507E"/>
    <w:rsid w:val="00950097"/>
    <w:rsid w:val="009501FC"/>
    <w:rsid w:val="00950B10"/>
    <w:rsid w:val="00951712"/>
    <w:rsid w:val="0095227A"/>
    <w:rsid w:val="00953670"/>
    <w:rsid w:val="00954BFB"/>
    <w:rsid w:val="00954C52"/>
    <w:rsid w:val="00957492"/>
    <w:rsid w:val="009603A6"/>
    <w:rsid w:val="00960616"/>
    <w:rsid w:val="00961D14"/>
    <w:rsid w:val="00963004"/>
    <w:rsid w:val="0096693E"/>
    <w:rsid w:val="00967061"/>
    <w:rsid w:val="009704BA"/>
    <w:rsid w:val="0097464D"/>
    <w:rsid w:val="00976429"/>
    <w:rsid w:val="00976B70"/>
    <w:rsid w:val="00977103"/>
    <w:rsid w:val="00980722"/>
    <w:rsid w:val="00983EF6"/>
    <w:rsid w:val="00984289"/>
    <w:rsid w:val="009849A0"/>
    <w:rsid w:val="00984CE4"/>
    <w:rsid w:val="00984DA3"/>
    <w:rsid w:val="0098656A"/>
    <w:rsid w:val="009873F0"/>
    <w:rsid w:val="0099038A"/>
    <w:rsid w:val="00992788"/>
    <w:rsid w:val="0099417D"/>
    <w:rsid w:val="009978BD"/>
    <w:rsid w:val="009A1129"/>
    <w:rsid w:val="009A29FD"/>
    <w:rsid w:val="009A50F0"/>
    <w:rsid w:val="009A6451"/>
    <w:rsid w:val="009A7969"/>
    <w:rsid w:val="009B22AE"/>
    <w:rsid w:val="009B289E"/>
    <w:rsid w:val="009B37F7"/>
    <w:rsid w:val="009B43A8"/>
    <w:rsid w:val="009B52FC"/>
    <w:rsid w:val="009B757E"/>
    <w:rsid w:val="009C1BE4"/>
    <w:rsid w:val="009C4DD1"/>
    <w:rsid w:val="009C6772"/>
    <w:rsid w:val="009C6912"/>
    <w:rsid w:val="009C6FC2"/>
    <w:rsid w:val="009C7B92"/>
    <w:rsid w:val="009D1918"/>
    <w:rsid w:val="009D19FB"/>
    <w:rsid w:val="009D2689"/>
    <w:rsid w:val="009D324F"/>
    <w:rsid w:val="009D3B0A"/>
    <w:rsid w:val="009D507C"/>
    <w:rsid w:val="009D681C"/>
    <w:rsid w:val="009D79B6"/>
    <w:rsid w:val="009E1911"/>
    <w:rsid w:val="009E557A"/>
    <w:rsid w:val="009E706F"/>
    <w:rsid w:val="009E7FCC"/>
    <w:rsid w:val="009F14C6"/>
    <w:rsid w:val="009F2292"/>
    <w:rsid w:val="009F2B53"/>
    <w:rsid w:val="009F6387"/>
    <w:rsid w:val="009F65CC"/>
    <w:rsid w:val="009F6F4A"/>
    <w:rsid w:val="009F77AB"/>
    <w:rsid w:val="009F7E43"/>
    <w:rsid w:val="00A00711"/>
    <w:rsid w:val="00A00C31"/>
    <w:rsid w:val="00A01377"/>
    <w:rsid w:val="00A03747"/>
    <w:rsid w:val="00A0379F"/>
    <w:rsid w:val="00A0394A"/>
    <w:rsid w:val="00A053EC"/>
    <w:rsid w:val="00A06582"/>
    <w:rsid w:val="00A0748A"/>
    <w:rsid w:val="00A11EDF"/>
    <w:rsid w:val="00A11EE2"/>
    <w:rsid w:val="00A1322D"/>
    <w:rsid w:val="00A134CF"/>
    <w:rsid w:val="00A1402A"/>
    <w:rsid w:val="00A14801"/>
    <w:rsid w:val="00A14921"/>
    <w:rsid w:val="00A14C97"/>
    <w:rsid w:val="00A157A6"/>
    <w:rsid w:val="00A202AA"/>
    <w:rsid w:val="00A226AA"/>
    <w:rsid w:val="00A23844"/>
    <w:rsid w:val="00A240F8"/>
    <w:rsid w:val="00A24D87"/>
    <w:rsid w:val="00A3100A"/>
    <w:rsid w:val="00A32B24"/>
    <w:rsid w:val="00A35EC2"/>
    <w:rsid w:val="00A36C70"/>
    <w:rsid w:val="00A375E7"/>
    <w:rsid w:val="00A42408"/>
    <w:rsid w:val="00A47A50"/>
    <w:rsid w:val="00A51245"/>
    <w:rsid w:val="00A51E12"/>
    <w:rsid w:val="00A5349D"/>
    <w:rsid w:val="00A55739"/>
    <w:rsid w:val="00A57F71"/>
    <w:rsid w:val="00A611BE"/>
    <w:rsid w:val="00A6228A"/>
    <w:rsid w:val="00A62A1E"/>
    <w:rsid w:val="00A6338D"/>
    <w:rsid w:val="00A6476A"/>
    <w:rsid w:val="00A6541D"/>
    <w:rsid w:val="00A7180F"/>
    <w:rsid w:val="00A71ECF"/>
    <w:rsid w:val="00A72098"/>
    <w:rsid w:val="00A72A99"/>
    <w:rsid w:val="00A75866"/>
    <w:rsid w:val="00A75C9D"/>
    <w:rsid w:val="00A76FD5"/>
    <w:rsid w:val="00A846BA"/>
    <w:rsid w:val="00A85042"/>
    <w:rsid w:val="00A85564"/>
    <w:rsid w:val="00A85D5A"/>
    <w:rsid w:val="00A87967"/>
    <w:rsid w:val="00A94862"/>
    <w:rsid w:val="00A96835"/>
    <w:rsid w:val="00A97579"/>
    <w:rsid w:val="00A97F4C"/>
    <w:rsid w:val="00AA26EF"/>
    <w:rsid w:val="00AA4374"/>
    <w:rsid w:val="00AA55AE"/>
    <w:rsid w:val="00AA58E0"/>
    <w:rsid w:val="00AA6585"/>
    <w:rsid w:val="00AB1381"/>
    <w:rsid w:val="00AB4D6D"/>
    <w:rsid w:val="00AB4F3E"/>
    <w:rsid w:val="00AB531F"/>
    <w:rsid w:val="00AB58FF"/>
    <w:rsid w:val="00AB671B"/>
    <w:rsid w:val="00AB6B13"/>
    <w:rsid w:val="00AC03AD"/>
    <w:rsid w:val="00AC214F"/>
    <w:rsid w:val="00AC2A2F"/>
    <w:rsid w:val="00AC2CE8"/>
    <w:rsid w:val="00AC38F8"/>
    <w:rsid w:val="00AC3AD2"/>
    <w:rsid w:val="00AC3FDB"/>
    <w:rsid w:val="00AC5F33"/>
    <w:rsid w:val="00AD085C"/>
    <w:rsid w:val="00AD1737"/>
    <w:rsid w:val="00AD1B36"/>
    <w:rsid w:val="00AD4165"/>
    <w:rsid w:val="00AD6394"/>
    <w:rsid w:val="00AD77E0"/>
    <w:rsid w:val="00AE0D4A"/>
    <w:rsid w:val="00AE1C26"/>
    <w:rsid w:val="00AE24ED"/>
    <w:rsid w:val="00AE3B9B"/>
    <w:rsid w:val="00AE4CF5"/>
    <w:rsid w:val="00AE4DE7"/>
    <w:rsid w:val="00AE74C4"/>
    <w:rsid w:val="00AF0F24"/>
    <w:rsid w:val="00AF398A"/>
    <w:rsid w:val="00AF50EB"/>
    <w:rsid w:val="00AF563E"/>
    <w:rsid w:val="00AF6FFC"/>
    <w:rsid w:val="00AF76CB"/>
    <w:rsid w:val="00B03F4D"/>
    <w:rsid w:val="00B04C11"/>
    <w:rsid w:val="00B05FC1"/>
    <w:rsid w:val="00B07D57"/>
    <w:rsid w:val="00B10982"/>
    <w:rsid w:val="00B11C89"/>
    <w:rsid w:val="00B11E96"/>
    <w:rsid w:val="00B13189"/>
    <w:rsid w:val="00B136C8"/>
    <w:rsid w:val="00B1555D"/>
    <w:rsid w:val="00B16977"/>
    <w:rsid w:val="00B16E33"/>
    <w:rsid w:val="00B210C4"/>
    <w:rsid w:val="00B228C0"/>
    <w:rsid w:val="00B2362E"/>
    <w:rsid w:val="00B23FE2"/>
    <w:rsid w:val="00B2672B"/>
    <w:rsid w:val="00B32088"/>
    <w:rsid w:val="00B340DE"/>
    <w:rsid w:val="00B34859"/>
    <w:rsid w:val="00B36BD2"/>
    <w:rsid w:val="00B40C78"/>
    <w:rsid w:val="00B41494"/>
    <w:rsid w:val="00B4277E"/>
    <w:rsid w:val="00B444BE"/>
    <w:rsid w:val="00B4720A"/>
    <w:rsid w:val="00B506A7"/>
    <w:rsid w:val="00B51181"/>
    <w:rsid w:val="00B5118E"/>
    <w:rsid w:val="00B51703"/>
    <w:rsid w:val="00B5546A"/>
    <w:rsid w:val="00B55DD0"/>
    <w:rsid w:val="00B619AC"/>
    <w:rsid w:val="00B65BDA"/>
    <w:rsid w:val="00B65F7E"/>
    <w:rsid w:val="00B6605A"/>
    <w:rsid w:val="00B66F3E"/>
    <w:rsid w:val="00B71A92"/>
    <w:rsid w:val="00B741F2"/>
    <w:rsid w:val="00B76344"/>
    <w:rsid w:val="00B7647C"/>
    <w:rsid w:val="00B77BF0"/>
    <w:rsid w:val="00B8108F"/>
    <w:rsid w:val="00B813EF"/>
    <w:rsid w:val="00B82539"/>
    <w:rsid w:val="00B83F14"/>
    <w:rsid w:val="00B85A65"/>
    <w:rsid w:val="00B85D7C"/>
    <w:rsid w:val="00B90558"/>
    <w:rsid w:val="00B9440C"/>
    <w:rsid w:val="00B955B4"/>
    <w:rsid w:val="00B96743"/>
    <w:rsid w:val="00BA098E"/>
    <w:rsid w:val="00BA2A55"/>
    <w:rsid w:val="00BA4033"/>
    <w:rsid w:val="00BA4AA3"/>
    <w:rsid w:val="00BA50D0"/>
    <w:rsid w:val="00BA5631"/>
    <w:rsid w:val="00BB0B36"/>
    <w:rsid w:val="00BB12CA"/>
    <w:rsid w:val="00BB354B"/>
    <w:rsid w:val="00BB3A54"/>
    <w:rsid w:val="00BB683E"/>
    <w:rsid w:val="00BC2359"/>
    <w:rsid w:val="00BC2B26"/>
    <w:rsid w:val="00BC65E3"/>
    <w:rsid w:val="00BD615F"/>
    <w:rsid w:val="00BE3BFE"/>
    <w:rsid w:val="00BE40F6"/>
    <w:rsid w:val="00BE7DA2"/>
    <w:rsid w:val="00BF0097"/>
    <w:rsid w:val="00BF0F85"/>
    <w:rsid w:val="00BF11CC"/>
    <w:rsid w:val="00BF35F4"/>
    <w:rsid w:val="00BF4AA3"/>
    <w:rsid w:val="00BF4C7D"/>
    <w:rsid w:val="00BF68BA"/>
    <w:rsid w:val="00C00BB0"/>
    <w:rsid w:val="00C01456"/>
    <w:rsid w:val="00C05624"/>
    <w:rsid w:val="00C06777"/>
    <w:rsid w:val="00C07C86"/>
    <w:rsid w:val="00C106DF"/>
    <w:rsid w:val="00C10806"/>
    <w:rsid w:val="00C11A9D"/>
    <w:rsid w:val="00C12343"/>
    <w:rsid w:val="00C13820"/>
    <w:rsid w:val="00C1462C"/>
    <w:rsid w:val="00C15A57"/>
    <w:rsid w:val="00C17D62"/>
    <w:rsid w:val="00C2007A"/>
    <w:rsid w:val="00C2163A"/>
    <w:rsid w:val="00C253E7"/>
    <w:rsid w:val="00C268C1"/>
    <w:rsid w:val="00C30EAE"/>
    <w:rsid w:val="00C337A1"/>
    <w:rsid w:val="00C354B2"/>
    <w:rsid w:val="00C4091F"/>
    <w:rsid w:val="00C44D28"/>
    <w:rsid w:val="00C45CCD"/>
    <w:rsid w:val="00C4685A"/>
    <w:rsid w:val="00C47270"/>
    <w:rsid w:val="00C47CD4"/>
    <w:rsid w:val="00C5042B"/>
    <w:rsid w:val="00C51465"/>
    <w:rsid w:val="00C51EE5"/>
    <w:rsid w:val="00C5584F"/>
    <w:rsid w:val="00C563C7"/>
    <w:rsid w:val="00C578E3"/>
    <w:rsid w:val="00C57A91"/>
    <w:rsid w:val="00C611CB"/>
    <w:rsid w:val="00C61D25"/>
    <w:rsid w:val="00C630F5"/>
    <w:rsid w:val="00C63783"/>
    <w:rsid w:val="00C64647"/>
    <w:rsid w:val="00C65435"/>
    <w:rsid w:val="00C6550A"/>
    <w:rsid w:val="00C66A8A"/>
    <w:rsid w:val="00C67BA8"/>
    <w:rsid w:val="00C70F14"/>
    <w:rsid w:val="00C71240"/>
    <w:rsid w:val="00C715D8"/>
    <w:rsid w:val="00C72104"/>
    <w:rsid w:val="00C726A8"/>
    <w:rsid w:val="00C72BAC"/>
    <w:rsid w:val="00C74A0E"/>
    <w:rsid w:val="00C7567B"/>
    <w:rsid w:val="00C76881"/>
    <w:rsid w:val="00C772EF"/>
    <w:rsid w:val="00C77471"/>
    <w:rsid w:val="00C831D8"/>
    <w:rsid w:val="00C86924"/>
    <w:rsid w:val="00C9002B"/>
    <w:rsid w:val="00C90B98"/>
    <w:rsid w:val="00CA007C"/>
    <w:rsid w:val="00CA1DB4"/>
    <w:rsid w:val="00CA39D0"/>
    <w:rsid w:val="00CA4E1F"/>
    <w:rsid w:val="00CA553D"/>
    <w:rsid w:val="00CA5DD3"/>
    <w:rsid w:val="00CA64D2"/>
    <w:rsid w:val="00CA6DB1"/>
    <w:rsid w:val="00CB2006"/>
    <w:rsid w:val="00CB397B"/>
    <w:rsid w:val="00CB6E7B"/>
    <w:rsid w:val="00CC0360"/>
    <w:rsid w:val="00CC2B7D"/>
    <w:rsid w:val="00CC3807"/>
    <w:rsid w:val="00CC3949"/>
    <w:rsid w:val="00CC696B"/>
    <w:rsid w:val="00CC6BC7"/>
    <w:rsid w:val="00CD0798"/>
    <w:rsid w:val="00CD368B"/>
    <w:rsid w:val="00CD428F"/>
    <w:rsid w:val="00CD4EA2"/>
    <w:rsid w:val="00CD6079"/>
    <w:rsid w:val="00CE016D"/>
    <w:rsid w:val="00CE0813"/>
    <w:rsid w:val="00CE0F38"/>
    <w:rsid w:val="00CE32E1"/>
    <w:rsid w:val="00CF03D3"/>
    <w:rsid w:val="00CF22CC"/>
    <w:rsid w:val="00CF3979"/>
    <w:rsid w:val="00CF58AC"/>
    <w:rsid w:val="00CF5D0D"/>
    <w:rsid w:val="00CF6A82"/>
    <w:rsid w:val="00CF6ECD"/>
    <w:rsid w:val="00D00506"/>
    <w:rsid w:val="00D02246"/>
    <w:rsid w:val="00D026E8"/>
    <w:rsid w:val="00D0408E"/>
    <w:rsid w:val="00D07790"/>
    <w:rsid w:val="00D1044D"/>
    <w:rsid w:val="00D12152"/>
    <w:rsid w:val="00D125A5"/>
    <w:rsid w:val="00D151D6"/>
    <w:rsid w:val="00D1523B"/>
    <w:rsid w:val="00D160DB"/>
    <w:rsid w:val="00D16151"/>
    <w:rsid w:val="00D170E3"/>
    <w:rsid w:val="00D210AD"/>
    <w:rsid w:val="00D22014"/>
    <w:rsid w:val="00D255F6"/>
    <w:rsid w:val="00D25A91"/>
    <w:rsid w:val="00D32E25"/>
    <w:rsid w:val="00D32E8B"/>
    <w:rsid w:val="00D33290"/>
    <w:rsid w:val="00D35AEC"/>
    <w:rsid w:val="00D375C8"/>
    <w:rsid w:val="00D4262D"/>
    <w:rsid w:val="00D436CC"/>
    <w:rsid w:val="00D44C61"/>
    <w:rsid w:val="00D45269"/>
    <w:rsid w:val="00D458B7"/>
    <w:rsid w:val="00D50C6E"/>
    <w:rsid w:val="00D51DCF"/>
    <w:rsid w:val="00D576C8"/>
    <w:rsid w:val="00D604E5"/>
    <w:rsid w:val="00D6143B"/>
    <w:rsid w:val="00D6225D"/>
    <w:rsid w:val="00D6467B"/>
    <w:rsid w:val="00D651E5"/>
    <w:rsid w:val="00D65B3D"/>
    <w:rsid w:val="00D67AF4"/>
    <w:rsid w:val="00D67C85"/>
    <w:rsid w:val="00D72116"/>
    <w:rsid w:val="00D72628"/>
    <w:rsid w:val="00D7335D"/>
    <w:rsid w:val="00D74283"/>
    <w:rsid w:val="00D74EF2"/>
    <w:rsid w:val="00D77ED2"/>
    <w:rsid w:val="00D811AE"/>
    <w:rsid w:val="00D84287"/>
    <w:rsid w:val="00D8589C"/>
    <w:rsid w:val="00D87122"/>
    <w:rsid w:val="00D90AC0"/>
    <w:rsid w:val="00D912B6"/>
    <w:rsid w:val="00D918FC"/>
    <w:rsid w:val="00D93E11"/>
    <w:rsid w:val="00D95139"/>
    <w:rsid w:val="00D9698C"/>
    <w:rsid w:val="00D972AF"/>
    <w:rsid w:val="00DA1CE7"/>
    <w:rsid w:val="00DA2883"/>
    <w:rsid w:val="00DA3914"/>
    <w:rsid w:val="00DA73BC"/>
    <w:rsid w:val="00DB302F"/>
    <w:rsid w:val="00DB3518"/>
    <w:rsid w:val="00DB4778"/>
    <w:rsid w:val="00DB4CD0"/>
    <w:rsid w:val="00DB6829"/>
    <w:rsid w:val="00DB7958"/>
    <w:rsid w:val="00DB7F88"/>
    <w:rsid w:val="00DC1E2D"/>
    <w:rsid w:val="00DC41F1"/>
    <w:rsid w:val="00DC7A27"/>
    <w:rsid w:val="00DD0973"/>
    <w:rsid w:val="00DD44D9"/>
    <w:rsid w:val="00DD4F07"/>
    <w:rsid w:val="00DD5DBE"/>
    <w:rsid w:val="00DD637B"/>
    <w:rsid w:val="00DE059B"/>
    <w:rsid w:val="00DE075F"/>
    <w:rsid w:val="00DE0DB1"/>
    <w:rsid w:val="00DE3064"/>
    <w:rsid w:val="00DE37DF"/>
    <w:rsid w:val="00DE60BB"/>
    <w:rsid w:val="00DE6458"/>
    <w:rsid w:val="00DE7878"/>
    <w:rsid w:val="00DE7E59"/>
    <w:rsid w:val="00DF1B71"/>
    <w:rsid w:val="00DF36FA"/>
    <w:rsid w:val="00DF3887"/>
    <w:rsid w:val="00DF6A53"/>
    <w:rsid w:val="00DF700E"/>
    <w:rsid w:val="00DF710F"/>
    <w:rsid w:val="00DF7444"/>
    <w:rsid w:val="00DF7C0A"/>
    <w:rsid w:val="00E00A3C"/>
    <w:rsid w:val="00E0171D"/>
    <w:rsid w:val="00E0240E"/>
    <w:rsid w:val="00E02B3A"/>
    <w:rsid w:val="00E038FD"/>
    <w:rsid w:val="00E0400F"/>
    <w:rsid w:val="00E042A4"/>
    <w:rsid w:val="00E05572"/>
    <w:rsid w:val="00E1080E"/>
    <w:rsid w:val="00E11FC7"/>
    <w:rsid w:val="00E13511"/>
    <w:rsid w:val="00E14BEF"/>
    <w:rsid w:val="00E15F7F"/>
    <w:rsid w:val="00E21A5D"/>
    <w:rsid w:val="00E21C42"/>
    <w:rsid w:val="00E22577"/>
    <w:rsid w:val="00E225BF"/>
    <w:rsid w:val="00E23D55"/>
    <w:rsid w:val="00E25458"/>
    <w:rsid w:val="00E26113"/>
    <w:rsid w:val="00E275F9"/>
    <w:rsid w:val="00E3038D"/>
    <w:rsid w:val="00E307AD"/>
    <w:rsid w:val="00E32D89"/>
    <w:rsid w:val="00E3628A"/>
    <w:rsid w:val="00E41AFF"/>
    <w:rsid w:val="00E4325B"/>
    <w:rsid w:val="00E437B5"/>
    <w:rsid w:val="00E4634A"/>
    <w:rsid w:val="00E51E35"/>
    <w:rsid w:val="00E51FF4"/>
    <w:rsid w:val="00E52D7B"/>
    <w:rsid w:val="00E554F5"/>
    <w:rsid w:val="00E55506"/>
    <w:rsid w:val="00E60BC7"/>
    <w:rsid w:val="00E65F80"/>
    <w:rsid w:val="00E66959"/>
    <w:rsid w:val="00E7130F"/>
    <w:rsid w:val="00E715DD"/>
    <w:rsid w:val="00E73018"/>
    <w:rsid w:val="00E731E7"/>
    <w:rsid w:val="00E7448A"/>
    <w:rsid w:val="00E7583F"/>
    <w:rsid w:val="00E76270"/>
    <w:rsid w:val="00E815C7"/>
    <w:rsid w:val="00E85069"/>
    <w:rsid w:val="00E92037"/>
    <w:rsid w:val="00E921A0"/>
    <w:rsid w:val="00E92EAB"/>
    <w:rsid w:val="00E934B0"/>
    <w:rsid w:val="00E95F4B"/>
    <w:rsid w:val="00EA020F"/>
    <w:rsid w:val="00EA089B"/>
    <w:rsid w:val="00EA5471"/>
    <w:rsid w:val="00EA66BC"/>
    <w:rsid w:val="00EA6825"/>
    <w:rsid w:val="00EA7B95"/>
    <w:rsid w:val="00EA7E05"/>
    <w:rsid w:val="00EB1598"/>
    <w:rsid w:val="00EB3042"/>
    <w:rsid w:val="00EB7B27"/>
    <w:rsid w:val="00EC3481"/>
    <w:rsid w:val="00EC3D93"/>
    <w:rsid w:val="00EC4B16"/>
    <w:rsid w:val="00EC6607"/>
    <w:rsid w:val="00ED3A22"/>
    <w:rsid w:val="00ED51A9"/>
    <w:rsid w:val="00ED69BE"/>
    <w:rsid w:val="00EE010D"/>
    <w:rsid w:val="00EE0C48"/>
    <w:rsid w:val="00EE3EC0"/>
    <w:rsid w:val="00EE6079"/>
    <w:rsid w:val="00EF1220"/>
    <w:rsid w:val="00EF29C3"/>
    <w:rsid w:val="00EF4D30"/>
    <w:rsid w:val="00EF59EF"/>
    <w:rsid w:val="00EF6F9D"/>
    <w:rsid w:val="00F03185"/>
    <w:rsid w:val="00F043CA"/>
    <w:rsid w:val="00F045B2"/>
    <w:rsid w:val="00F04F2C"/>
    <w:rsid w:val="00F051FC"/>
    <w:rsid w:val="00F07142"/>
    <w:rsid w:val="00F101EE"/>
    <w:rsid w:val="00F10522"/>
    <w:rsid w:val="00F13035"/>
    <w:rsid w:val="00F14EBF"/>
    <w:rsid w:val="00F156F5"/>
    <w:rsid w:val="00F17AEA"/>
    <w:rsid w:val="00F20F45"/>
    <w:rsid w:val="00F214F7"/>
    <w:rsid w:val="00F21AE7"/>
    <w:rsid w:val="00F2230B"/>
    <w:rsid w:val="00F24B3B"/>
    <w:rsid w:val="00F26B2A"/>
    <w:rsid w:val="00F30C21"/>
    <w:rsid w:val="00F318E8"/>
    <w:rsid w:val="00F31945"/>
    <w:rsid w:val="00F31EDE"/>
    <w:rsid w:val="00F329E2"/>
    <w:rsid w:val="00F33A6A"/>
    <w:rsid w:val="00F34E0D"/>
    <w:rsid w:val="00F359D6"/>
    <w:rsid w:val="00F377A6"/>
    <w:rsid w:val="00F4049B"/>
    <w:rsid w:val="00F4232A"/>
    <w:rsid w:val="00F42CA7"/>
    <w:rsid w:val="00F43100"/>
    <w:rsid w:val="00F445D6"/>
    <w:rsid w:val="00F44C80"/>
    <w:rsid w:val="00F45D19"/>
    <w:rsid w:val="00F4652E"/>
    <w:rsid w:val="00F46BF7"/>
    <w:rsid w:val="00F51CEE"/>
    <w:rsid w:val="00F5350C"/>
    <w:rsid w:val="00F536C0"/>
    <w:rsid w:val="00F55803"/>
    <w:rsid w:val="00F56369"/>
    <w:rsid w:val="00F5664F"/>
    <w:rsid w:val="00F60B32"/>
    <w:rsid w:val="00F6185D"/>
    <w:rsid w:val="00F62514"/>
    <w:rsid w:val="00F64297"/>
    <w:rsid w:val="00F646FD"/>
    <w:rsid w:val="00F64CDC"/>
    <w:rsid w:val="00F65404"/>
    <w:rsid w:val="00F65A77"/>
    <w:rsid w:val="00F6731D"/>
    <w:rsid w:val="00F706F2"/>
    <w:rsid w:val="00F73AB0"/>
    <w:rsid w:val="00F81E40"/>
    <w:rsid w:val="00F833E5"/>
    <w:rsid w:val="00F83BCC"/>
    <w:rsid w:val="00F83C47"/>
    <w:rsid w:val="00F8532B"/>
    <w:rsid w:val="00F8647D"/>
    <w:rsid w:val="00F864AE"/>
    <w:rsid w:val="00F87435"/>
    <w:rsid w:val="00F8773A"/>
    <w:rsid w:val="00F92C63"/>
    <w:rsid w:val="00F93005"/>
    <w:rsid w:val="00F93AC4"/>
    <w:rsid w:val="00F95A20"/>
    <w:rsid w:val="00F96D72"/>
    <w:rsid w:val="00F97939"/>
    <w:rsid w:val="00F97E4C"/>
    <w:rsid w:val="00FA2003"/>
    <w:rsid w:val="00FA3705"/>
    <w:rsid w:val="00FA4998"/>
    <w:rsid w:val="00FA568E"/>
    <w:rsid w:val="00FA5BDF"/>
    <w:rsid w:val="00FB1808"/>
    <w:rsid w:val="00FB27B4"/>
    <w:rsid w:val="00FB5735"/>
    <w:rsid w:val="00FB604A"/>
    <w:rsid w:val="00FC02C2"/>
    <w:rsid w:val="00FC2F5B"/>
    <w:rsid w:val="00FC5257"/>
    <w:rsid w:val="00FC54E7"/>
    <w:rsid w:val="00FD05B0"/>
    <w:rsid w:val="00FD2F59"/>
    <w:rsid w:val="00FD43CE"/>
    <w:rsid w:val="00FD49FD"/>
    <w:rsid w:val="00FD4FEE"/>
    <w:rsid w:val="00FE1963"/>
    <w:rsid w:val="00FE3756"/>
    <w:rsid w:val="00FE405A"/>
    <w:rsid w:val="00FE4F5B"/>
    <w:rsid w:val="00FE71AA"/>
    <w:rsid w:val="00FF238C"/>
    <w:rsid w:val="00FF2E67"/>
    <w:rsid w:val="00FF3AC1"/>
    <w:rsid w:val="00FF631C"/>
    <w:rsid w:val="00FF6A2E"/>
    <w:rsid w:val="00FF70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B20F"/>
  <w15:docId w15:val="{E3A144DD-DE3E-4B1A-9359-3267D777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4F17"/>
    <w:pPr>
      <w:spacing w:after="0" w:line="240" w:lineRule="auto"/>
    </w:pPr>
    <w:rPr>
      <w:rFonts w:ascii="Calibri" w:hAnsi="Calibri"/>
      <w:sz w:val="16"/>
      <w:szCs w:val="16"/>
    </w:rPr>
  </w:style>
  <w:style w:type="character" w:customStyle="1" w:styleId="TextbublinyChar">
    <w:name w:val="Text bubliny Char"/>
    <w:basedOn w:val="Standardnpsmoodstavce"/>
    <w:link w:val="Textbubliny"/>
    <w:uiPriority w:val="99"/>
    <w:semiHidden/>
    <w:rsid w:val="007B4F17"/>
    <w:rPr>
      <w:rFonts w:ascii="Calibri" w:hAnsi="Calibri"/>
      <w:sz w:val="16"/>
      <w:szCs w:val="16"/>
    </w:rPr>
  </w:style>
  <w:style w:type="character" w:styleId="Odkaznakoment">
    <w:name w:val="annotation reference"/>
    <w:basedOn w:val="Standardnpsmoodstavce"/>
    <w:uiPriority w:val="99"/>
    <w:semiHidden/>
    <w:unhideWhenUsed/>
    <w:rsid w:val="00D00506"/>
    <w:rPr>
      <w:sz w:val="16"/>
      <w:szCs w:val="16"/>
    </w:rPr>
  </w:style>
  <w:style w:type="paragraph" w:styleId="Textkomente">
    <w:name w:val="annotation text"/>
    <w:basedOn w:val="Normln"/>
    <w:link w:val="TextkomenteChar"/>
    <w:uiPriority w:val="99"/>
    <w:semiHidden/>
    <w:unhideWhenUsed/>
    <w:rsid w:val="00D00506"/>
    <w:pPr>
      <w:spacing w:line="240" w:lineRule="auto"/>
    </w:pPr>
    <w:rPr>
      <w:sz w:val="20"/>
      <w:szCs w:val="20"/>
    </w:rPr>
  </w:style>
  <w:style w:type="character" w:customStyle="1" w:styleId="TextkomenteChar">
    <w:name w:val="Text komentáře Char"/>
    <w:basedOn w:val="Standardnpsmoodstavce"/>
    <w:link w:val="Textkomente"/>
    <w:uiPriority w:val="99"/>
    <w:semiHidden/>
    <w:rsid w:val="00D00506"/>
    <w:rPr>
      <w:sz w:val="20"/>
      <w:szCs w:val="20"/>
    </w:rPr>
  </w:style>
  <w:style w:type="paragraph" w:styleId="Pedmtkomente">
    <w:name w:val="annotation subject"/>
    <w:basedOn w:val="Textkomente"/>
    <w:next w:val="Textkomente"/>
    <w:link w:val="PedmtkomenteChar"/>
    <w:uiPriority w:val="99"/>
    <w:semiHidden/>
    <w:unhideWhenUsed/>
    <w:rsid w:val="00D00506"/>
    <w:rPr>
      <w:b/>
      <w:bCs/>
    </w:rPr>
  </w:style>
  <w:style w:type="character" w:customStyle="1" w:styleId="PedmtkomenteChar">
    <w:name w:val="Předmět komentáře Char"/>
    <w:basedOn w:val="TextkomenteChar"/>
    <w:link w:val="Pedmtkomente"/>
    <w:uiPriority w:val="99"/>
    <w:semiHidden/>
    <w:rsid w:val="00D00506"/>
    <w:rPr>
      <w:b/>
      <w:bCs/>
      <w:sz w:val="20"/>
      <w:szCs w:val="20"/>
    </w:rPr>
  </w:style>
  <w:style w:type="paragraph" w:styleId="Odstavecseseznamem">
    <w:name w:val="List Paragraph"/>
    <w:basedOn w:val="Normln"/>
    <w:uiPriority w:val="34"/>
    <w:qFormat/>
    <w:rsid w:val="00192FAE"/>
    <w:pPr>
      <w:ind w:left="720"/>
      <w:contextualSpacing/>
    </w:pPr>
  </w:style>
  <w:style w:type="paragraph" w:styleId="Normlnweb">
    <w:name w:val="Normal (Web)"/>
    <w:basedOn w:val="Normln"/>
    <w:uiPriority w:val="99"/>
    <w:semiHidden/>
    <w:unhideWhenUsed/>
    <w:rsid w:val="00DE3064"/>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0.xml"/><Relationship Id="rId21" Type="http://schemas.openxmlformats.org/officeDocument/2006/relationships/chart" Target="charts/chart15.xml"/><Relationship Id="rId34" Type="http://schemas.openxmlformats.org/officeDocument/2006/relationships/image" Target="media/image2.png"/><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chart" Target="charts/chart55.xml"/><Relationship Id="rId68" Type="http://schemas.openxmlformats.org/officeDocument/2006/relationships/theme" Target="theme/theme1.xml"/><Relationship Id="rId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1.xml"/><Relationship Id="rId29" Type="http://schemas.openxmlformats.org/officeDocument/2006/relationships/chart" Target="charts/chart23.xml"/><Relationship Id="rId11" Type="http://schemas.openxmlformats.org/officeDocument/2006/relationships/chart" Target="charts/chart6.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5" Type="http://schemas.openxmlformats.org/officeDocument/2006/relationships/webSettings" Target="webSettings.xml"/><Relationship Id="rId61" Type="http://schemas.openxmlformats.org/officeDocument/2006/relationships/chart" Target="charts/chart53.xml"/><Relationship Id="rId19" Type="http://schemas.openxmlformats.org/officeDocument/2006/relationships/chart" Target="charts/chart13.xml"/><Relationship Id="rId14" Type="http://schemas.openxmlformats.org/officeDocument/2006/relationships/chart" Target="charts/chart9.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image" Target="media/image3.png"/><Relationship Id="rId56" Type="http://schemas.openxmlformats.org/officeDocument/2006/relationships/chart" Target="charts/chart48.xml"/><Relationship Id="rId64" Type="http://schemas.openxmlformats.org/officeDocument/2006/relationships/chart" Target="charts/chart56.xml"/><Relationship Id="rId8" Type="http://schemas.openxmlformats.org/officeDocument/2006/relationships/chart" Target="charts/chart3.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7.xml"/><Relationship Id="rId17" Type="http://schemas.openxmlformats.org/officeDocument/2006/relationships/image" Target="media/image1.png"/><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1.xml"/><Relationship Id="rId67" Type="http://schemas.openxmlformats.org/officeDocument/2006/relationships/fontTable" Target="fontTable.xml"/><Relationship Id="rId20" Type="http://schemas.openxmlformats.org/officeDocument/2006/relationships/chart" Target="charts/chart14.xml"/><Relationship Id="rId41" Type="http://schemas.openxmlformats.org/officeDocument/2006/relationships/chart" Target="charts/chart34.xml"/><Relationship Id="rId54" Type="http://schemas.openxmlformats.org/officeDocument/2006/relationships/chart" Target="charts/chart46.xml"/><Relationship Id="rId62" Type="http://schemas.openxmlformats.org/officeDocument/2006/relationships/chart" Target="charts/chart54.xml"/><Relationship Id="rId1" Type="http://schemas.openxmlformats.org/officeDocument/2006/relationships/customXml" Target="../customXml/item1.xml"/><Relationship Id="rId6" Type="http://schemas.openxmlformats.org/officeDocument/2006/relationships/chart" Target="charts/chart1.xml"/><Relationship Id="rId15" Type="http://schemas.openxmlformats.org/officeDocument/2006/relationships/chart" Target="charts/chart10.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29.xml"/><Relationship Id="rId49" Type="http://schemas.openxmlformats.org/officeDocument/2006/relationships/chart" Target="charts/chart41.xml"/><Relationship Id="rId57" Type="http://schemas.openxmlformats.org/officeDocument/2006/relationships/chart" Target="charts/chart49.xml"/><Relationship Id="rId10" Type="http://schemas.openxmlformats.org/officeDocument/2006/relationships/chart" Target="charts/chart5.xml"/><Relationship Id="rId31" Type="http://schemas.openxmlformats.org/officeDocument/2006/relationships/chart" Target="charts/chart25.xml"/><Relationship Id="rId44" Type="http://schemas.openxmlformats.org/officeDocument/2006/relationships/chart" Target="charts/chart37.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4" Type="http://schemas.openxmlformats.org/officeDocument/2006/relationships/settings" Target="settings.xml"/><Relationship Id="rId9" Type="http://schemas.openxmlformats.org/officeDocument/2006/relationships/chart" Target="charts/chart4.xml"/><Relationship Id="rId13" Type="http://schemas.openxmlformats.org/officeDocument/2006/relationships/chart" Target="charts/chart8.xml"/><Relationship Id="rId18" Type="http://schemas.openxmlformats.org/officeDocument/2006/relationships/chart" Target="charts/chart12.xml"/><Relationship Id="rId39" Type="http://schemas.openxmlformats.org/officeDocument/2006/relationships/chart" Target="charts/chart3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mpach16510\VTR\publikace_Ukazatele%20VaV\publikace_2023\analytick&#225;%20&#269;&#225;st\anal&#253;za_graf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tampach16510\VTR\publikace_Ukazatele%20VaV\publikace_2023\analytick&#225;%20&#269;&#225;st\anal&#253;za_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tampach16510\VTR\publikace_Ukazatele%20VaV\publikace_2023\analytick&#225;%20&#269;&#225;st\anal&#253;za_grafy.xlsx" TargetMode="External"/><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tampach16510\VTR\publikace_Ukazatele%20VaV\publikace_2023\analytick&#225;%20&#269;&#225;st\anal&#253;za_grafy.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stampach16510\VTR\publikace_Ukazatele%20VaV\publikace_2023\analytick&#225;%20&#269;&#225;st\anal&#253;za_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stampach16510\VTR\publikace_Ukazatele%20VaV\publikace_2023\analytick&#225;%20&#269;&#225;st\anal&#253;za_graf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ampach16510\VTR\publikace_Ukazatele%20VaV\publikace_2023\analytick&#225;%20&#269;&#225;st\anal&#253;za_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tampach16510\VTR\publikace_Ukazatele%20VaV\publikace_2023\analytick&#225;%20&#269;&#225;st\anal&#253;za_graf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C:\Users\stampach16510\VTR\publikace_Ukazatele%20VaV\publikace_2023\analytick&#225;%20&#269;&#225;st\anal&#253;za_grafy.xlsx" TargetMode="External"/><Relationship Id="rId2" Type="http://schemas.microsoft.com/office/2011/relationships/chartColorStyle" Target="colors3.xml"/><Relationship Id="rId1" Type="http://schemas.microsoft.com/office/2011/relationships/chartStyle" Target="style3.xm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stampach16510\VTR\publikace_Ukazatele%20VaV\publikace_2023\analytick&#225;%20&#269;&#225;st\anal&#253;za_grafy.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stampach16510\VTR\publikace_Ukazatele%20VaV\publikace_2023\analytick&#225;%20&#269;&#225;st\anal&#253;za_grafy.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stampach16510\VTR\publikace_Ukazatele%20VaV\publikace_2023\analytick&#225;%20&#269;&#225;st\anal&#253;za_grafy.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stampach16510\VTR\publikace_Ukazatele%20VaV\publikace_2023\analytick&#225;%20&#269;&#225;st\anal&#253;za_grafy.xlsx" TargetMode="External"/></Relationships>
</file>

<file path=word/charts/_rels/chart46.xml.rels><?xml version="1.0" encoding="UTF-8" standalone="yes"?>
<Relationships xmlns="http://schemas.openxmlformats.org/package/2006/relationships"><Relationship Id="rId3" Type="http://schemas.openxmlformats.org/officeDocument/2006/relationships/oleObject" Target="file:///C:\Users\stampach16510\VTR\publikace_Ukazatele%20VaV\publikace_2023\analytick&#225;%20&#269;&#225;st\anal&#253;za_grafy.xlsx" TargetMode="External"/><Relationship Id="rId2" Type="http://schemas.microsoft.com/office/2011/relationships/chartColorStyle" Target="colors4.xml"/><Relationship Id="rId1" Type="http://schemas.microsoft.com/office/2011/relationships/chartStyle" Target="style4.xm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stampach16510\VTR\publikace_Ukazatele%20VaV\publikace_2023\analytick&#225;%20&#269;&#225;st\anal&#253;za_grafy.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5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stampach16510\VTR\publikace_Ukazatele%20VaV\publikace_2023\analytick&#225;%20&#269;&#225;st\anal&#253;za_grafy.xlsx" TargetMode="External"/></Relationships>
</file>

<file path=word/charts/_rels/chart57.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stampach16510\VTR\publikace_Ukazatele%20VaV\publikace_2023\analytick&#225;%20&#269;&#225;st\anal&#253;za_grafy.xlsx" TargetMode="External"/></Relationships>
</file>

<file path=word/charts/_rels/chart58.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stampach16510\VTR\publikace_Ukazatele%20VaV\publikace_2023\analytick&#225;%20&#269;&#225;st\anal&#253;za_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ampach16510\VTR\publikace_Ukazatele%20VaV\publikace_2023\analytick&#225;%20&#269;&#225;st\anal&#253;za_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Grafy_celkem!$A$28</c:f>
              <c:strCache>
                <c:ptCount val="1"/>
                <c:pt idx="0">
                  <c:v> Výdaje na VaV (GERD) - mld. Kč</c:v>
                </c:pt>
              </c:strCache>
            </c:strRef>
          </c:tx>
          <c:spPr>
            <a:solidFill>
              <a:srgbClr val="00206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Grafy_celkem!$D$27:$N$27</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Grafy_celkem!$D$28:$N$28</c:f>
              <c:numCache>
                <c:formatCode>0.0</c:formatCode>
                <c:ptCount val="11"/>
                <c:pt idx="0">
                  <c:v>72.360307380000009</c:v>
                </c:pt>
                <c:pt idx="1">
                  <c:v>77.853386009999994</c:v>
                </c:pt>
                <c:pt idx="2">
                  <c:v>85.104466859999945</c:v>
                </c:pt>
                <c:pt idx="3">
                  <c:v>88.663389589999994</c:v>
                </c:pt>
                <c:pt idx="4">
                  <c:v>80.109157268128598</c:v>
                </c:pt>
                <c:pt idx="5">
                  <c:v>90.386024781976786</c:v>
                </c:pt>
                <c:pt idx="6">
                  <c:v>102.75372947535165</c:v>
                </c:pt>
                <c:pt idx="7">
                  <c:v>111.62204681941269</c:v>
                </c:pt>
                <c:pt idx="8">
                  <c:v>113.38250547877975</c:v>
                </c:pt>
                <c:pt idx="9">
                  <c:v>121.93036635920222</c:v>
                </c:pt>
                <c:pt idx="10">
                  <c:v>133.30504986304268</c:v>
                </c:pt>
              </c:numCache>
            </c:numRef>
          </c:val>
          <c:extLst>
            <c:ext xmlns:c16="http://schemas.microsoft.com/office/drawing/2014/chart" uri="{C3380CC4-5D6E-409C-BE32-E72D297353CC}">
              <c16:uniqueId val="{00000000-2E36-451E-82E7-BAFA28DDEFFD}"/>
            </c:ext>
          </c:extLst>
        </c:ser>
        <c:ser>
          <c:idx val="1"/>
          <c:order val="1"/>
          <c:tx>
            <c:strRef>
              <c:f>Grafy_celkem!$A$29</c:f>
              <c:strCache>
                <c:ptCount val="1"/>
                <c:pt idx="0">
                  <c:v> Pracovníci ve VaV - tis. přepočtených osob (FTE)</c:v>
                </c:pt>
              </c:strCache>
            </c:strRef>
          </c:tx>
          <c:spPr>
            <a:solidFill>
              <a:srgbClr val="C0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Grafy_celkem!$D$27:$N$27</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Grafy_celkem!$D$29:$N$29</c:f>
              <c:numCache>
                <c:formatCode>0.0</c:formatCode>
                <c:ptCount val="11"/>
                <c:pt idx="0">
                  <c:v>60.329443785000024</c:v>
                </c:pt>
                <c:pt idx="1">
                  <c:v>61.975855935000013</c:v>
                </c:pt>
                <c:pt idx="2">
                  <c:v>64.44345184499997</c:v>
                </c:pt>
                <c:pt idx="3">
                  <c:v>66.433399944999991</c:v>
                </c:pt>
                <c:pt idx="4">
                  <c:v>65.782994585719763</c:v>
                </c:pt>
                <c:pt idx="5">
                  <c:v>69.735652770939822</c:v>
                </c:pt>
                <c:pt idx="6">
                  <c:v>74.969488901048067</c:v>
                </c:pt>
                <c:pt idx="7">
                  <c:v>79.245004599164432</c:v>
                </c:pt>
                <c:pt idx="8">
                  <c:v>80.958077025784704</c:v>
                </c:pt>
                <c:pt idx="9">
                  <c:v>84.67051455140772</c:v>
                </c:pt>
                <c:pt idx="10">
                  <c:v>86.12460366683915</c:v>
                </c:pt>
              </c:numCache>
            </c:numRef>
          </c:val>
          <c:extLst>
            <c:ext xmlns:c16="http://schemas.microsoft.com/office/drawing/2014/chart" uri="{C3380CC4-5D6E-409C-BE32-E72D297353CC}">
              <c16:uniqueId val="{00000001-2E36-451E-82E7-BAFA28DDEFFD}"/>
            </c:ext>
          </c:extLst>
        </c:ser>
        <c:dLbls>
          <c:showLegendKey val="0"/>
          <c:showVal val="0"/>
          <c:showCatName val="0"/>
          <c:showSerName val="0"/>
          <c:showPercent val="0"/>
          <c:showBubbleSize val="0"/>
        </c:dLbls>
        <c:gapWidth val="60"/>
        <c:overlap val="-20"/>
        <c:axId val="1426075151"/>
        <c:axId val="1426075567"/>
      </c:barChart>
      <c:lineChart>
        <c:grouping val="standard"/>
        <c:varyColors val="0"/>
        <c:ser>
          <c:idx val="2"/>
          <c:order val="2"/>
          <c:tx>
            <c:strRef>
              <c:f>Grafy_celkem!$A$30</c:f>
              <c:strCache>
                <c:ptCount val="1"/>
                <c:pt idx="0">
                  <c:v> Podíl výdajů na VaV na HDP (Intenzita VaV)</c:v>
                </c:pt>
              </c:strCache>
            </c:strRef>
          </c:tx>
          <c:spPr>
            <a:ln w="28575" cap="rnd">
              <a:solidFill>
                <a:srgbClr val="0070C0"/>
              </a:solidFill>
              <a:round/>
            </a:ln>
            <a:effectLst/>
          </c:spPr>
          <c:marker>
            <c:symbol val="triangle"/>
            <c:size val="8"/>
            <c:spPr>
              <a:solidFill>
                <a:schemeClr val="tx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Grafy_celkem!$D$27:$N$27</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Grafy_celkem!$D$30:$N$30</c:f>
              <c:numCache>
                <c:formatCode>0.00%</c:formatCode>
                <c:ptCount val="11"/>
                <c:pt idx="0">
                  <c:v>1.7696714279984507E-2</c:v>
                </c:pt>
                <c:pt idx="1">
                  <c:v>1.8792405931624685E-2</c:v>
                </c:pt>
                <c:pt idx="2">
                  <c:v>1.9583306340010011E-2</c:v>
                </c:pt>
                <c:pt idx="3">
                  <c:v>1.9168895945369219E-2</c:v>
                </c:pt>
                <c:pt idx="4">
                  <c:v>1.6700287305527705E-2</c:v>
                </c:pt>
                <c:pt idx="5">
                  <c:v>1.7685495980129865E-2</c:v>
                </c:pt>
                <c:pt idx="6">
                  <c:v>1.8990624327216012E-2</c:v>
                </c:pt>
                <c:pt idx="7">
                  <c:v>1.927343268001E-2</c:v>
                </c:pt>
                <c:pt idx="8">
                  <c:v>1.9859853536165095E-2</c:v>
                </c:pt>
                <c:pt idx="9">
                  <c:v>1.9960061394103251E-2</c:v>
                </c:pt>
                <c:pt idx="10">
                  <c:v>1.9644556035563802E-2</c:v>
                </c:pt>
              </c:numCache>
            </c:numRef>
          </c:val>
          <c:smooth val="0"/>
          <c:extLst>
            <c:ext xmlns:c16="http://schemas.microsoft.com/office/drawing/2014/chart" uri="{C3380CC4-5D6E-409C-BE32-E72D297353CC}">
              <c16:uniqueId val="{00000002-2E36-451E-82E7-BAFA28DDEFFD}"/>
            </c:ext>
          </c:extLst>
        </c:ser>
        <c:ser>
          <c:idx val="3"/>
          <c:order val="3"/>
          <c:tx>
            <c:strRef>
              <c:f>Grafy_celkem!$A$31</c:f>
              <c:strCache>
                <c:ptCount val="1"/>
                <c:pt idx="0">
                  <c:v> Podíl pracovníků ve VaV (FTE) na zaměstnaných v ČR celkem</c:v>
                </c:pt>
              </c:strCache>
            </c:strRef>
          </c:tx>
          <c:spPr>
            <a:ln w="28575" cap="rnd">
              <a:solidFill>
                <a:srgbClr val="FF0000"/>
              </a:solidFill>
              <a:round/>
            </a:ln>
            <a:effectLst/>
          </c:spPr>
          <c:marker>
            <c:symbol val="diamond"/>
            <c:size val="7"/>
            <c:spPr>
              <a:solidFill>
                <a:schemeClr val="tx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Grafy_celkem!$D$27:$N$27</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Grafy_celkem!$D$31:$N$31</c:f>
              <c:numCache>
                <c:formatCode>0.00%</c:formatCode>
                <c:ptCount val="11"/>
                <c:pt idx="0">
                  <c:v>1.1911931803216157E-2</c:v>
                </c:pt>
                <c:pt idx="1">
                  <c:v>1.2197738590179358E-2</c:v>
                </c:pt>
                <c:pt idx="2">
                  <c:v>1.261379293407062E-2</c:v>
                </c:pt>
                <c:pt idx="3">
                  <c:v>1.2820246103128322E-2</c:v>
                </c:pt>
                <c:pt idx="4">
                  <c:v>1.2496054953111489E-2</c:v>
                </c:pt>
                <c:pt idx="5">
                  <c:v>1.3044908178799303E-2</c:v>
                </c:pt>
                <c:pt idx="6">
                  <c:v>1.3839388327179635E-2</c:v>
                </c:pt>
                <c:pt idx="7">
                  <c:v>1.4592999006907192E-2</c:v>
                </c:pt>
                <c:pt idx="8">
                  <c:v>1.516863365058153E-2</c:v>
                </c:pt>
                <c:pt idx="9">
                  <c:v>1.5807027102419414E-2</c:v>
                </c:pt>
                <c:pt idx="10">
                  <c:v>1.5838544430027499E-2</c:v>
                </c:pt>
              </c:numCache>
            </c:numRef>
          </c:val>
          <c:smooth val="0"/>
          <c:extLst>
            <c:ext xmlns:c16="http://schemas.microsoft.com/office/drawing/2014/chart" uri="{C3380CC4-5D6E-409C-BE32-E72D297353CC}">
              <c16:uniqueId val="{00000003-2E36-451E-82E7-BAFA28DDEFFD}"/>
            </c:ext>
          </c:extLst>
        </c:ser>
        <c:dLbls>
          <c:showLegendKey val="0"/>
          <c:showVal val="0"/>
          <c:showCatName val="0"/>
          <c:showSerName val="0"/>
          <c:showPercent val="0"/>
          <c:showBubbleSize val="0"/>
        </c:dLbls>
        <c:marker val="1"/>
        <c:smooth val="0"/>
        <c:axId val="953133519"/>
        <c:axId val="1426076399"/>
      </c:lineChart>
      <c:catAx>
        <c:axId val="142607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26075567"/>
        <c:crosses val="autoZero"/>
        <c:auto val="1"/>
        <c:lblAlgn val="ctr"/>
        <c:lblOffset val="100"/>
        <c:noMultiLvlLbl val="0"/>
      </c:catAx>
      <c:valAx>
        <c:axId val="1426075567"/>
        <c:scaling>
          <c:orientation val="minMax"/>
          <c:max val="195"/>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26075151"/>
        <c:crosses val="autoZero"/>
        <c:crossBetween val="between"/>
        <c:majorUnit val="10"/>
      </c:valAx>
      <c:valAx>
        <c:axId val="1426076399"/>
        <c:scaling>
          <c:orientation val="minMax"/>
          <c:max val="2.2000000000000006E-2"/>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53133519"/>
        <c:crosses val="max"/>
        <c:crossBetween val="between"/>
        <c:majorUnit val="2.0000000000000005E-3"/>
      </c:valAx>
      <c:catAx>
        <c:axId val="953133519"/>
        <c:scaling>
          <c:orientation val="minMax"/>
        </c:scaling>
        <c:delete val="1"/>
        <c:axPos val="b"/>
        <c:numFmt formatCode="General" sourceLinked="1"/>
        <c:majorTickMark val="none"/>
        <c:minorTickMark val="none"/>
        <c:tickLblPos val="nextTo"/>
        <c:crossAx val="1426076399"/>
        <c:crosses val="autoZero"/>
        <c:auto val="1"/>
        <c:lblAlgn val="ctr"/>
        <c:lblOffset val="100"/>
        <c:noMultiLvlLbl val="0"/>
      </c:catAx>
      <c:spPr>
        <a:noFill/>
        <a:ln>
          <a:noFill/>
        </a:ln>
        <a:effectLst/>
      </c:spPr>
    </c:plotArea>
    <c:legend>
      <c:legendPos val="b"/>
      <c:layout>
        <c:manualLayout>
          <c:xMode val="edge"/>
          <c:yMode val="edge"/>
          <c:x val="3.5950768544602489E-2"/>
          <c:y val="0.75149401399174565"/>
          <c:w val="0.92809846291079501"/>
          <c:h val="0.21609870327547345"/>
        </c:manualLayout>
      </c:layout>
      <c:overlay val="0"/>
      <c:spPr>
        <a:no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303030303031E-2"/>
          <c:y val="4.7861193095429744E-2"/>
          <c:w val="0.50997474747474747"/>
          <c:h val="0.85091166505958815"/>
        </c:manualLayout>
      </c:layout>
      <c:barChart>
        <c:barDir val="col"/>
        <c:grouping val="percentStacked"/>
        <c:varyColors val="0"/>
        <c:ser>
          <c:idx val="0"/>
          <c:order val="0"/>
          <c:tx>
            <c:strRef>
              <c:f>Grafy_celkem!$A$135</c:f>
              <c:strCache>
                <c:ptCount val="1"/>
                <c:pt idx="0">
                  <c:v> podni
-katelský</c:v>
                </c:pt>
              </c:strCache>
            </c:strRef>
          </c:tx>
          <c:spPr>
            <a:solidFill>
              <a:srgbClr val="0070C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Grafy_celkem!$B$134:$N$134</c:f>
              <c:numCache>
                <c:formatCode>General</c:formatCode>
                <c:ptCount val="2"/>
                <c:pt idx="0">
                  <c:v>2012</c:v>
                </c:pt>
                <c:pt idx="1">
                  <c:v>2022</c:v>
                </c:pt>
              </c:numCache>
            </c:numRef>
          </c:cat>
          <c:val>
            <c:numRef>
              <c:f>Grafy_celkem!$B$135:$N$135</c:f>
              <c:numCache>
                <c:formatCode>0%</c:formatCode>
                <c:ptCount val="2"/>
                <c:pt idx="0">
                  <c:v>0.52830057159992128</c:v>
                </c:pt>
                <c:pt idx="1">
                  <c:v>0.64211386504080359</c:v>
                </c:pt>
              </c:numCache>
            </c:numRef>
          </c:val>
          <c:extLst>
            <c:ext xmlns:c16="http://schemas.microsoft.com/office/drawing/2014/chart" uri="{C3380CC4-5D6E-409C-BE32-E72D297353CC}">
              <c16:uniqueId val="{00000000-A753-4C2B-8944-D3E6636C980D}"/>
            </c:ext>
          </c:extLst>
        </c:ser>
        <c:ser>
          <c:idx val="1"/>
          <c:order val="1"/>
          <c:tx>
            <c:strRef>
              <c:f>Grafy_celkem!$A$136</c:f>
              <c:strCache>
                <c:ptCount val="1"/>
                <c:pt idx="0">
                  <c:v> vysoko
-školský </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Grafy_celkem!$B$134:$N$134</c:f>
              <c:numCache>
                <c:formatCode>General</c:formatCode>
                <c:ptCount val="2"/>
                <c:pt idx="0">
                  <c:v>2012</c:v>
                </c:pt>
                <c:pt idx="1">
                  <c:v>2022</c:v>
                </c:pt>
              </c:numCache>
            </c:numRef>
          </c:cat>
          <c:val>
            <c:numRef>
              <c:f>Grafy_celkem!$B$136:$N$136</c:f>
              <c:numCache>
                <c:formatCode>0%</c:formatCode>
                <c:ptCount val="2"/>
                <c:pt idx="0">
                  <c:v>0.27471598338586289</c:v>
                </c:pt>
                <c:pt idx="1">
                  <c:v>0.19430988262389159</c:v>
                </c:pt>
              </c:numCache>
            </c:numRef>
          </c:val>
          <c:extLst>
            <c:ext xmlns:c16="http://schemas.microsoft.com/office/drawing/2014/chart" uri="{C3380CC4-5D6E-409C-BE32-E72D297353CC}">
              <c16:uniqueId val="{00000001-A753-4C2B-8944-D3E6636C980D}"/>
            </c:ext>
          </c:extLst>
        </c:ser>
        <c:ser>
          <c:idx val="2"/>
          <c:order val="2"/>
          <c:tx>
            <c:strRef>
              <c:f>Grafy_celkem!$A$137</c:f>
              <c:strCache>
                <c:ptCount val="1"/>
                <c:pt idx="0">
                  <c:v> vládní</c:v>
                </c:pt>
              </c:strCache>
            </c:strRef>
          </c:tx>
          <c:spPr>
            <a:solidFill>
              <a:srgbClr val="C0000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Grafy_celkem!$B$134:$N$134</c:f>
              <c:numCache>
                <c:formatCode>General</c:formatCode>
                <c:ptCount val="2"/>
                <c:pt idx="0">
                  <c:v>2012</c:v>
                </c:pt>
                <c:pt idx="1">
                  <c:v>2022</c:v>
                </c:pt>
              </c:numCache>
            </c:numRef>
          </c:cat>
          <c:val>
            <c:numRef>
              <c:f>Grafy_celkem!$B$137:$N$137</c:f>
              <c:numCache>
                <c:formatCode>0%</c:formatCode>
                <c:ptCount val="2"/>
                <c:pt idx="0">
                  <c:v>0.19187851050833932</c:v>
                </c:pt>
                <c:pt idx="1">
                  <c:v>0.1601124415161207</c:v>
                </c:pt>
              </c:numCache>
            </c:numRef>
          </c:val>
          <c:extLst>
            <c:ext xmlns:c16="http://schemas.microsoft.com/office/drawing/2014/chart" uri="{C3380CC4-5D6E-409C-BE32-E72D297353CC}">
              <c16:uniqueId val="{00000002-A753-4C2B-8944-D3E6636C980D}"/>
            </c:ext>
          </c:extLst>
        </c:ser>
        <c:ser>
          <c:idx val="3"/>
          <c:order val="3"/>
          <c:tx>
            <c:strRef>
              <c:f>Grafy_celkem!$A$138</c:f>
              <c:strCache>
                <c:ptCount val="1"/>
                <c:pt idx="0">
                  <c:v> neziskový</c:v>
                </c:pt>
              </c:strCache>
            </c:strRef>
          </c:tx>
          <c:spPr>
            <a:solidFill>
              <a:srgbClr val="00B050"/>
            </a:solidFill>
          </c:spPr>
          <c:invertIfNegative val="0"/>
          <c:cat>
            <c:numRef>
              <c:f>Grafy_celkem!$B$134:$N$134</c:f>
              <c:numCache>
                <c:formatCode>General</c:formatCode>
                <c:ptCount val="2"/>
                <c:pt idx="0">
                  <c:v>2012</c:v>
                </c:pt>
                <c:pt idx="1">
                  <c:v>2022</c:v>
                </c:pt>
              </c:numCache>
            </c:numRef>
          </c:cat>
          <c:val>
            <c:numRef>
              <c:f>Grafy_celkem!$B$138:$N$138</c:f>
              <c:numCache>
                <c:formatCode>0%</c:formatCode>
                <c:ptCount val="2"/>
                <c:pt idx="0">
                  <c:v>5.1049345058766099E-3</c:v>
                </c:pt>
                <c:pt idx="1">
                  <c:v>3.4638108191840078E-3</c:v>
                </c:pt>
              </c:numCache>
            </c:numRef>
          </c:val>
          <c:extLst>
            <c:ext xmlns:c16="http://schemas.microsoft.com/office/drawing/2014/chart" uri="{C3380CC4-5D6E-409C-BE32-E72D297353CC}">
              <c16:uniqueId val="{00000003-A753-4C2B-8944-D3E6636C980D}"/>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1384393939393944"/>
          <c:y val="7.5112110986126732E-2"/>
          <c:w val="0.36004090909090908"/>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2.0920447074293226E-2"/>
          <c:y val="3.5408464566929136E-2"/>
          <c:w val="0.96248027613412224"/>
          <c:h val="0.70051734006079158"/>
        </c:manualLayout>
      </c:layout>
      <c:barChart>
        <c:barDir val="col"/>
        <c:grouping val="clustered"/>
        <c:varyColors val="0"/>
        <c:ser>
          <c:idx val="0"/>
          <c:order val="0"/>
          <c:spPr>
            <a:solidFill>
              <a:srgbClr val="0070C0"/>
            </a:solidFill>
          </c:spPr>
          <c:invertIfNegative val="0"/>
          <c:dPt>
            <c:idx val="6"/>
            <c:invertIfNegative val="0"/>
            <c:bubble3D val="0"/>
            <c:extLst>
              <c:ext xmlns:c16="http://schemas.microsoft.com/office/drawing/2014/chart" uri="{C3380CC4-5D6E-409C-BE32-E72D297353CC}">
                <c16:uniqueId val="{00000000-0102-4520-86C2-D289F0D82985}"/>
              </c:ext>
            </c:extLst>
          </c:dPt>
          <c:dPt>
            <c:idx val="7"/>
            <c:invertIfNegative val="0"/>
            <c:bubble3D val="0"/>
            <c:spPr>
              <a:solidFill>
                <a:srgbClr val="00B050"/>
              </a:solidFill>
            </c:spPr>
            <c:extLst>
              <c:ext xmlns:c16="http://schemas.microsoft.com/office/drawing/2014/chart" uri="{C3380CC4-5D6E-409C-BE32-E72D297353CC}">
                <c16:uniqueId val="{00000002-0102-4520-86C2-D289F0D82985}"/>
              </c:ext>
            </c:extLst>
          </c:dPt>
          <c:dPt>
            <c:idx val="10"/>
            <c:invertIfNegative val="0"/>
            <c:bubble3D val="0"/>
            <c:spPr>
              <a:solidFill>
                <a:srgbClr val="C00000"/>
              </a:solidFill>
            </c:spPr>
            <c:extLst>
              <c:ext xmlns:c16="http://schemas.microsoft.com/office/drawing/2014/chart" uri="{C3380CC4-5D6E-409C-BE32-E72D297353CC}">
                <c16:uniqueId val="{00000004-0102-4520-86C2-D289F0D82985}"/>
              </c:ext>
            </c:extLst>
          </c:dPt>
          <c:dLbls>
            <c:spPr>
              <a:noFill/>
              <a:ln>
                <a:noFill/>
              </a:ln>
              <a:effectLst/>
            </c:spPr>
            <c:txPr>
              <a:bodyPr rot="-5400000" vert="horz"/>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MS!$B$4:$B$31</c:f>
              <c:strCache>
                <c:ptCount val="28"/>
                <c:pt idx="0">
                  <c:v>Belgie</c:v>
                </c:pt>
                <c:pt idx="1">
                  <c:v>Švédsko</c:v>
                </c:pt>
                <c:pt idx="2">
                  <c:v>Rakousko</c:v>
                </c:pt>
                <c:pt idx="3">
                  <c:v>Německo</c:v>
                </c:pt>
                <c:pt idx="4">
                  <c:v>Finsko</c:v>
                </c:pt>
                <c:pt idx="5">
                  <c:v>Dánsko</c:v>
                </c:pt>
                <c:pt idx="6">
                  <c:v>Nizozemsko</c:v>
                </c:pt>
                <c:pt idx="7">
                  <c:v>EU27</c:v>
                </c:pt>
                <c:pt idx="8">
                  <c:v>Francie</c:v>
                </c:pt>
                <c:pt idx="9">
                  <c:v>Slovinsko</c:v>
                </c:pt>
                <c:pt idx="10">
                  <c:v>Česko</c:v>
                </c:pt>
                <c:pt idx="11">
                  <c:v>Estonsko</c:v>
                </c:pt>
                <c:pt idx="12">
                  <c:v>Portugalsko</c:v>
                </c:pt>
                <c:pt idx="13">
                  <c:v>Řecko</c:v>
                </c:pt>
                <c:pt idx="14">
                  <c:v>Polsko</c:v>
                </c:pt>
                <c:pt idx="15">
                  <c:v>Španělsko</c:v>
                </c:pt>
                <c:pt idx="16">
                  <c:v>Chorvatsko</c:v>
                </c:pt>
                <c:pt idx="17">
                  <c:v>Maďarsko</c:v>
                </c:pt>
                <c:pt idx="18">
                  <c:v>Itálie</c:v>
                </c:pt>
                <c:pt idx="19">
                  <c:v>Litva</c:v>
                </c:pt>
                <c:pt idx="20">
                  <c:v>Lucembursko</c:v>
                </c:pt>
                <c:pt idx="21">
                  <c:v>Slovensko</c:v>
                </c:pt>
                <c:pt idx="22">
                  <c:v>Irsko</c:v>
                </c:pt>
                <c:pt idx="23">
                  <c:v>Bulharsko</c:v>
                </c:pt>
                <c:pt idx="24">
                  <c:v>Kypr</c:v>
                </c:pt>
                <c:pt idx="25">
                  <c:v>Lotyšsko</c:v>
                </c:pt>
                <c:pt idx="26">
                  <c:v>Malta</c:v>
                </c:pt>
                <c:pt idx="27">
                  <c:v>Rumunsko</c:v>
                </c:pt>
              </c:strCache>
            </c:strRef>
          </c:cat>
          <c:val>
            <c:numRef>
              <c:f>MS!$C$4:$C$31</c:f>
              <c:numCache>
                <c:formatCode>0.00</c:formatCode>
                <c:ptCount val="28"/>
                <c:pt idx="0">
                  <c:v>3.43</c:v>
                </c:pt>
                <c:pt idx="1">
                  <c:v>3.4</c:v>
                </c:pt>
                <c:pt idx="2">
                  <c:v>3.2</c:v>
                </c:pt>
                <c:pt idx="3">
                  <c:v>3.13</c:v>
                </c:pt>
                <c:pt idx="4">
                  <c:v>2.95</c:v>
                </c:pt>
                <c:pt idx="5">
                  <c:v>2.76</c:v>
                </c:pt>
                <c:pt idx="6">
                  <c:v>2.2999999999999998</c:v>
                </c:pt>
                <c:pt idx="7">
                  <c:v>2.23</c:v>
                </c:pt>
                <c:pt idx="8">
                  <c:v>2.1800000000000002</c:v>
                </c:pt>
                <c:pt idx="9">
                  <c:v>2.11</c:v>
                </c:pt>
                <c:pt idx="10">
                  <c:v>1.96</c:v>
                </c:pt>
                <c:pt idx="11">
                  <c:v>1.78</c:v>
                </c:pt>
                <c:pt idx="12">
                  <c:v>1.71</c:v>
                </c:pt>
                <c:pt idx="13">
                  <c:v>1.48</c:v>
                </c:pt>
                <c:pt idx="14">
                  <c:v>1.46</c:v>
                </c:pt>
                <c:pt idx="15">
                  <c:v>1.44</c:v>
                </c:pt>
                <c:pt idx="16">
                  <c:v>1.43</c:v>
                </c:pt>
                <c:pt idx="17">
                  <c:v>1.39</c:v>
                </c:pt>
                <c:pt idx="18">
                  <c:v>1.33</c:v>
                </c:pt>
                <c:pt idx="19">
                  <c:v>1.02</c:v>
                </c:pt>
                <c:pt idx="20">
                  <c:v>0.98</c:v>
                </c:pt>
                <c:pt idx="21">
                  <c:v>0.98</c:v>
                </c:pt>
                <c:pt idx="22">
                  <c:v>0.96</c:v>
                </c:pt>
                <c:pt idx="23">
                  <c:v>0.77</c:v>
                </c:pt>
                <c:pt idx="24">
                  <c:v>0.77</c:v>
                </c:pt>
                <c:pt idx="25">
                  <c:v>0.75</c:v>
                </c:pt>
                <c:pt idx="26">
                  <c:v>0.65</c:v>
                </c:pt>
                <c:pt idx="27">
                  <c:v>0.46</c:v>
                </c:pt>
              </c:numCache>
            </c:numRef>
          </c:val>
          <c:extLst>
            <c:ext xmlns:c16="http://schemas.microsoft.com/office/drawing/2014/chart" uri="{C3380CC4-5D6E-409C-BE32-E72D297353CC}">
              <c16:uniqueId val="{00000005-0102-4520-86C2-D289F0D82985}"/>
            </c:ext>
          </c:extLst>
        </c:ser>
        <c:dLbls>
          <c:showLegendKey val="0"/>
          <c:showVal val="0"/>
          <c:showCatName val="0"/>
          <c:showSerName val="0"/>
          <c:showPercent val="0"/>
          <c:showBubbleSize val="0"/>
        </c:dLbls>
        <c:gapWidth val="100"/>
        <c:axId val="132765568"/>
        <c:axId val="132767744"/>
      </c:barChart>
      <c:catAx>
        <c:axId val="132765568"/>
        <c:scaling>
          <c:orientation val="minMax"/>
        </c:scaling>
        <c:delete val="0"/>
        <c:axPos val="b"/>
        <c:numFmt formatCode="General" sourceLinked="1"/>
        <c:majorTickMark val="out"/>
        <c:minorTickMark val="none"/>
        <c:tickLblPos val="nextTo"/>
        <c:spPr>
          <a:ln>
            <a:solidFill>
              <a:schemeClr val="bg1">
                <a:lumMod val="65000"/>
              </a:schemeClr>
            </a:solidFill>
          </a:ln>
        </c:spPr>
        <c:txPr>
          <a:bodyPr rot="-5400000" vert="horz"/>
          <a:lstStyle/>
          <a:p>
            <a:pPr>
              <a:defRPr>
                <a:solidFill>
                  <a:sysClr val="windowText" lastClr="000000"/>
                </a:solidFill>
              </a:defRPr>
            </a:pPr>
            <a:endParaRPr lang="cs-CZ"/>
          </a:p>
        </c:txPr>
        <c:crossAx val="132767744"/>
        <c:crosses val="autoZero"/>
        <c:auto val="1"/>
        <c:lblAlgn val="ctr"/>
        <c:lblOffset val="100"/>
        <c:noMultiLvlLbl val="0"/>
      </c:catAx>
      <c:valAx>
        <c:axId val="132767744"/>
        <c:scaling>
          <c:orientation val="minMax"/>
          <c:max val="4.2"/>
          <c:min val="0"/>
        </c:scaling>
        <c:delete val="0"/>
        <c:axPos val="l"/>
        <c:numFmt formatCode="#,##0.0" sourceLinked="0"/>
        <c:majorTickMark val="none"/>
        <c:minorTickMark val="none"/>
        <c:tickLblPos val="none"/>
        <c:spPr>
          <a:ln>
            <a:solidFill>
              <a:schemeClr val="bg1">
                <a:lumMod val="65000"/>
              </a:schemeClr>
            </a:solidFill>
          </a:ln>
        </c:spPr>
        <c:crossAx val="132765568"/>
        <c:crosses val="autoZero"/>
        <c:crossBetween val="between"/>
        <c:majorUnit val="0.5"/>
        <c:minorUnit val="0.25"/>
      </c:valAx>
      <c:spPr>
        <a:ln>
          <a:solidFill>
            <a:schemeClr val="bg1">
              <a:lumMod val="65000"/>
            </a:schemeClr>
          </a:solidFill>
        </a:ln>
      </c:spPr>
    </c:plotArea>
    <c:plotVisOnly val="1"/>
    <c:dispBlanksAs val="gap"/>
    <c:showDLblsOverMax val="0"/>
  </c:chart>
  <c:spPr>
    <a:noFill/>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62024349881796692"/>
          <c:h val="0.85091166505958815"/>
        </c:manualLayout>
      </c:layout>
      <c:barChart>
        <c:barDir val="col"/>
        <c:grouping val="percentStacked"/>
        <c:varyColors val="0"/>
        <c:ser>
          <c:idx val="0"/>
          <c:order val="0"/>
          <c:tx>
            <c:strRef>
              <c:f>Grafy_celkem!$A$146</c:f>
              <c:strCache>
                <c:ptCount val="1"/>
                <c:pt idx="0">
                  <c:v> muži</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Grafy_celkem!$B$145:$N$145</c:f>
              <c:numCache>
                <c:formatCode>General</c:formatCode>
                <c:ptCount val="2"/>
                <c:pt idx="0">
                  <c:v>2012</c:v>
                </c:pt>
                <c:pt idx="1">
                  <c:v>2022</c:v>
                </c:pt>
              </c:numCache>
            </c:numRef>
          </c:cat>
          <c:val>
            <c:numRef>
              <c:f>Grafy_celkem!$B$146:$N$146</c:f>
              <c:numCache>
                <c:formatCode>0%</c:formatCode>
                <c:ptCount val="2"/>
                <c:pt idx="0">
                  <c:v>0.69943068769832528</c:v>
                </c:pt>
                <c:pt idx="1">
                  <c:v>0.71285101732328271</c:v>
                </c:pt>
              </c:numCache>
            </c:numRef>
          </c:val>
          <c:extLst>
            <c:ext xmlns:c16="http://schemas.microsoft.com/office/drawing/2014/chart" uri="{C3380CC4-5D6E-409C-BE32-E72D297353CC}">
              <c16:uniqueId val="{00000000-8F9C-4999-BEFC-D1EE00B76C08}"/>
            </c:ext>
          </c:extLst>
        </c:ser>
        <c:ser>
          <c:idx val="1"/>
          <c:order val="1"/>
          <c:tx>
            <c:strRef>
              <c:f>Grafy_celkem!$A$147</c:f>
              <c:strCache>
                <c:ptCount val="1"/>
                <c:pt idx="0">
                  <c:v> ženy</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Grafy_celkem!$B$145:$N$145</c:f>
              <c:numCache>
                <c:formatCode>General</c:formatCode>
                <c:ptCount val="2"/>
                <c:pt idx="0">
                  <c:v>2012</c:v>
                </c:pt>
                <c:pt idx="1">
                  <c:v>2022</c:v>
                </c:pt>
              </c:numCache>
            </c:numRef>
          </c:cat>
          <c:val>
            <c:numRef>
              <c:f>Grafy_celkem!$B$147:$N$147</c:f>
              <c:numCache>
                <c:formatCode>0%</c:formatCode>
                <c:ptCount val="2"/>
                <c:pt idx="0">
                  <c:v>0.30056931230167483</c:v>
                </c:pt>
                <c:pt idx="1">
                  <c:v>0.28714898267671735</c:v>
                </c:pt>
              </c:numCache>
            </c:numRef>
          </c:val>
          <c:extLst>
            <c:ext xmlns:c16="http://schemas.microsoft.com/office/drawing/2014/chart" uri="{C3380CC4-5D6E-409C-BE32-E72D297353CC}">
              <c16:uniqueId val="{00000001-8F9C-4999-BEFC-D1EE00B76C08}"/>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9358392434988181"/>
          <c:y val="7.5112110986126732E-2"/>
          <c:w val="0.28030082742316786"/>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6770222222222233"/>
          <c:h val="0.85091166505958815"/>
        </c:manualLayout>
      </c:layout>
      <c:barChart>
        <c:barDir val="col"/>
        <c:grouping val="percentStacked"/>
        <c:varyColors val="0"/>
        <c:ser>
          <c:idx val="0"/>
          <c:order val="0"/>
          <c:tx>
            <c:strRef>
              <c:f>Grafy_celkem!$A$152</c:f>
              <c:strCache>
                <c:ptCount val="1"/>
                <c:pt idx="0">
                  <c:v> podni
-katelský</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Grafy_celkem!$B$151:$N$151</c:f>
              <c:numCache>
                <c:formatCode>General</c:formatCode>
                <c:ptCount val="2"/>
                <c:pt idx="0">
                  <c:v>2012</c:v>
                </c:pt>
                <c:pt idx="1">
                  <c:v>2022</c:v>
                </c:pt>
              </c:numCache>
            </c:numRef>
          </c:cat>
          <c:val>
            <c:numRef>
              <c:f>Grafy_celkem!$B$152:$N$152</c:f>
              <c:numCache>
                <c:formatCode>0%</c:formatCode>
                <c:ptCount val="2"/>
                <c:pt idx="0">
                  <c:v>0.52553241959248731</c:v>
                </c:pt>
                <c:pt idx="1">
                  <c:v>0.58824491362962483</c:v>
                </c:pt>
              </c:numCache>
            </c:numRef>
          </c:val>
          <c:extLst>
            <c:ext xmlns:c16="http://schemas.microsoft.com/office/drawing/2014/chart" uri="{C3380CC4-5D6E-409C-BE32-E72D297353CC}">
              <c16:uniqueId val="{00000000-9850-4E33-B2CB-D4AF84A10D1F}"/>
            </c:ext>
          </c:extLst>
        </c:ser>
        <c:ser>
          <c:idx val="1"/>
          <c:order val="1"/>
          <c:tx>
            <c:strRef>
              <c:f>Grafy_celkem!$A$153</c:f>
              <c:strCache>
                <c:ptCount val="1"/>
                <c:pt idx="0">
                  <c:v> vysoko
-školský </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Grafy_celkem!$B$151:$N$151</c:f>
              <c:numCache>
                <c:formatCode>General</c:formatCode>
                <c:ptCount val="2"/>
                <c:pt idx="0">
                  <c:v>2012</c:v>
                </c:pt>
                <c:pt idx="1">
                  <c:v>2022</c:v>
                </c:pt>
              </c:numCache>
            </c:numRef>
          </c:cat>
          <c:val>
            <c:numRef>
              <c:f>Grafy_celkem!$B$153:$N$153</c:f>
              <c:numCache>
                <c:formatCode>0%</c:formatCode>
                <c:ptCount val="2"/>
                <c:pt idx="0">
                  <c:v>0.27252438392425332</c:v>
                </c:pt>
                <c:pt idx="1">
                  <c:v>0.24203189990051371</c:v>
                </c:pt>
              </c:numCache>
            </c:numRef>
          </c:val>
          <c:extLst>
            <c:ext xmlns:c16="http://schemas.microsoft.com/office/drawing/2014/chart" uri="{C3380CC4-5D6E-409C-BE32-E72D297353CC}">
              <c16:uniqueId val="{00000001-9850-4E33-B2CB-D4AF84A10D1F}"/>
            </c:ext>
          </c:extLst>
        </c:ser>
        <c:ser>
          <c:idx val="2"/>
          <c:order val="2"/>
          <c:tx>
            <c:strRef>
              <c:f>Grafy_celkem!$A$154</c:f>
              <c:strCache>
                <c:ptCount val="1"/>
                <c:pt idx="0">
                  <c:v> vládní</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Grafy_celkem!$B$151:$N$151</c:f>
              <c:numCache>
                <c:formatCode>General</c:formatCode>
                <c:ptCount val="2"/>
                <c:pt idx="0">
                  <c:v>2012</c:v>
                </c:pt>
                <c:pt idx="1">
                  <c:v>2022</c:v>
                </c:pt>
              </c:numCache>
            </c:numRef>
          </c:cat>
          <c:val>
            <c:numRef>
              <c:f>Grafy_celkem!$B$154:$N$154</c:f>
              <c:numCache>
                <c:formatCode>0%</c:formatCode>
                <c:ptCount val="2"/>
                <c:pt idx="0">
                  <c:v>0.19665588236286441</c:v>
                </c:pt>
                <c:pt idx="1">
                  <c:v>0.16527049639684449</c:v>
                </c:pt>
              </c:numCache>
            </c:numRef>
          </c:val>
          <c:extLst>
            <c:ext xmlns:c16="http://schemas.microsoft.com/office/drawing/2014/chart" uri="{C3380CC4-5D6E-409C-BE32-E72D297353CC}">
              <c16:uniqueId val="{00000002-9850-4E33-B2CB-D4AF84A10D1F}"/>
            </c:ext>
          </c:extLst>
        </c:ser>
        <c:ser>
          <c:idx val="3"/>
          <c:order val="3"/>
          <c:tx>
            <c:strRef>
              <c:f>Grafy_celkem!$A$155</c:f>
              <c:strCache>
                <c:ptCount val="1"/>
                <c:pt idx="0">
                  <c:v> neziskový</c:v>
                </c:pt>
              </c:strCache>
            </c:strRef>
          </c:tx>
          <c:spPr>
            <a:solidFill>
              <a:srgbClr val="00B050"/>
            </a:solidFill>
          </c:spPr>
          <c:invertIfNegative val="0"/>
          <c:cat>
            <c:numRef>
              <c:f>Grafy_celkem!$B$151:$N$151</c:f>
              <c:numCache>
                <c:formatCode>General</c:formatCode>
                <c:ptCount val="2"/>
                <c:pt idx="0">
                  <c:v>2012</c:v>
                </c:pt>
                <c:pt idx="1">
                  <c:v>2022</c:v>
                </c:pt>
              </c:numCache>
            </c:numRef>
          </c:cat>
          <c:val>
            <c:numRef>
              <c:f>Grafy_celkem!$B$155:$N$155</c:f>
              <c:numCache>
                <c:formatCode>0%</c:formatCode>
                <c:ptCount val="2"/>
                <c:pt idx="0">
                  <c:v>5.287314120394882E-3</c:v>
                </c:pt>
                <c:pt idx="1">
                  <c:v>4.4526900730169983E-3</c:v>
                </c:pt>
              </c:numCache>
            </c:numRef>
          </c:val>
          <c:extLst>
            <c:ext xmlns:c16="http://schemas.microsoft.com/office/drawing/2014/chart" uri="{C3380CC4-5D6E-409C-BE32-E72D297353CC}">
              <c16:uniqueId val="{00000003-9850-4E33-B2CB-D4AF84A10D1F}"/>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3308611111111113"/>
          <c:y val="7.5112110986126732E-2"/>
          <c:w val="0.34079833333333331"/>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346847519972415"/>
          <c:h val="0.85091166505958815"/>
        </c:manualLayout>
      </c:layout>
      <c:barChart>
        <c:barDir val="col"/>
        <c:grouping val="percentStacked"/>
        <c:varyColors val="0"/>
        <c:ser>
          <c:idx val="0"/>
          <c:order val="0"/>
          <c:tx>
            <c:strRef>
              <c:f>Grafy_celkem!$A$160</c:f>
              <c:strCache>
                <c:ptCount val="1"/>
                <c:pt idx="0">
                  <c:v> technické </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Grafy_celkem!$B$159:$N$159</c:f>
              <c:numCache>
                <c:formatCode>General</c:formatCode>
                <c:ptCount val="2"/>
                <c:pt idx="0">
                  <c:v>2012</c:v>
                </c:pt>
                <c:pt idx="1">
                  <c:v>2022</c:v>
                </c:pt>
              </c:numCache>
            </c:numRef>
          </c:cat>
          <c:val>
            <c:numRef>
              <c:f>Grafy_celkem!$B$160:$N$160</c:f>
              <c:numCache>
                <c:formatCode>0%</c:formatCode>
                <c:ptCount val="2"/>
                <c:pt idx="0">
                  <c:v>0.4703601397541044</c:v>
                </c:pt>
                <c:pt idx="1">
                  <c:v>0.43624780760817444</c:v>
                </c:pt>
              </c:numCache>
            </c:numRef>
          </c:val>
          <c:extLst>
            <c:ext xmlns:c16="http://schemas.microsoft.com/office/drawing/2014/chart" uri="{C3380CC4-5D6E-409C-BE32-E72D297353CC}">
              <c16:uniqueId val="{00000000-CD11-4559-8AD8-59BE8E4BD61E}"/>
            </c:ext>
          </c:extLst>
        </c:ser>
        <c:ser>
          <c:idx val="1"/>
          <c:order val="1"/>
          <c:tx>
            <c:strRef>
              <c:f>Grafy_celkem!$A$161</c:f>
              <c:strCache>
                <c:ptCount val="1"/>
                <c:pt idx="0">
                  <c:v> přírodní</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Grafy_celkem!$B$159:$N$159</c:f>
              <c:numCache>
                <c:formatCode>General</c:formatCode>
                <c:ptCount val="2"/>
                <c:pt idx="0">
                  <c:v>2012</c:v>
                </c:pt>
                <c:pt idx="1">
                  <c:v>2022</c:v>
                </c:pt>
              </c:numCache>
            </c:numRef>
          </c:cat>
          <c:val>
            <c:numRef>
              <c:f>Grafy_celkem!$B$161:$N$161</c:f>
              <c:numCache>
                <c:formatCode>0%</c:formatCode>
                <c:ptCount val="2"/>
                <c:pt idx="0">
                  <c:v>0.29829209356102809</c:v>
                </c:pt>
                <c:pt idx="1">
                  <c:v>0.36639653623767454</c:v>
                </c:pt>
              </c:numCache>
            </c:numRef>
          </c:val>
          <c:extLst>
            <c:ext xmlns:c16="http://schemas.microsoft.com/office/drawing/2014/chart" uri="{C3380CC4-5D6E-409C-BE32-E72D297353CC}">
              <c16:uniqueId val="{00000001-CD11-4559-8AD8-59BE8E4BD61E}"/>
            </c:ext>
          </c:extLst>
        </c:ser>
        <c:ser>
          <c:idx val="2"/>
          <c:order val="2"/>
          <c:tx>
            <c:strRef>
              <c:f>Grafy_celkem!$A$162</c:f>
              <c:strCache>
                <c:ptCount val="1"/>
                <c:pt idx="0">
                  <c:v> sociální 
 a humanitní</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Grafy_celkem!$B$159:$N$159</c:f>
              <c:numCache>
                <c:formatCode>General</c:formatCode>
                <c:ptCount val="2"/>
                <c:pt idx="0">
                  <c:v>2012</c:v>
                </c:pt>
                <c:pt idx="1">
                  <c:v>2022</c:v>
                </c:pt>
              </c:numCache>
            </c:numRef>
          </c:cat>
          <c:val>
            <c:numRef>
              <c:f>Grafy_celkem!$B$162:$N$162</c:f>
              <c:numCache>
                <c:formatCode>0%</c:formatCode>
                <c:ptCount val="2"/>
                <c:pt idx="0">
                  <c:v>0.11734911770826301</c:v>
                </c:pt>
                <c:pt idx="1">
                  <c:v>8.6549859842498814E-2</c:v>
                </c:pt>
              </c:numCache>
            </c:numRef>
          </c:val>
          <c:extLst>
            <c:ext xmlns:c16="http://schemas.microsoft.com/office/drawing/2014/chart" uri="{C3380CC4-5D6E-409C-BE32-E72D297353CC}">
              <c16:uniqueId val="{00000002-CD11-4559-8AD8-59BE8E4BD61E}"/>
            </c:ext>
          </c:extLst>
        </c:ser>
        <c:ser>
          <c:idx val="3"/>
          <c:order val="3"/>
          <c:tx>
            <c:strRef>
              <c:f>Grafy_celkem!$A$163</c:f>
              <c:strCache>
                <c:ptCount val="1"/>
                <c:pt idx="0">
                  <c:v> lékařské</c:v>
                </c:pt>
              </c:strCache>
            </c:strRef>
          </c:tx>
          <c:spPr>
            <a:solidFill>
              <a:srgbClr val="7030A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Grafy_celkem!$B$159:$N$159</c:f>
              <c:numCache>
                <c:formatCode>General</c:formatCode>
                <c:ptCount val="2"/>
                <c:pt idx="0">
                  <c:v>2012</c:v>
                </c:pt>
                <c:pt idx="1">
                  <c:v>2022</c:v>
                </c:pt>
              </c:numCache>
            </c:numRef>
          </c:cat>
          <c:val>
            <c:numRef>
              <c:f>Grafy_celkem!$B$163:$N$163</c:f>
              <c:numCache>
                <c:formatCode>0%</c:formatCode>
                <c:ptCount val="2"/>
                <c:pt idx="0">
                  <c:v>6.9194671508606212E-2</c:v>
                </c:pt>
                <c:pt idx="1">
                  <c:v>6.4325978172693685E-2</c:v>
                </c:pt>
              </c:numCache>
            </c:numRef>
          </c:val>
          <c:extLst>
            <c:ext xmlns:c16="http://schemas.microsoft.com/office/drawing/2014/chart" uri="{C3380CC4-5D6E-409C-BE32-E72D297353CC}">
              <c16:uniqueId val="{00000003-CD11-4559-8AD8-59BE8E4BD61E}"/>
            </c:ext>
          </c:extLst>
        </c:ser>
        <c:ser>
          <c:idx val="4"/>
          <c:order val="4"/>
          <c:tx>
            <c:strRef>
              <c:f>Grafy_celkem!$A$164</c:f>
              <c:strCache>
                <c:ptCount val="1"/>
                <c:pt idx="0">
                  <c:v> zemědělské</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Grafy_celkem!$B$159:$N$159</c:f>
              <c:numCache>
                <c:formatCode>General</c:formatCode>
                <c:ptCount val="2"/>
                <c:pt idx="0">
                  <c:v>2012</c:v>
                </c:pt>
                <c:pt idx="1">
                  <c:v>2022</c:v>
                </c:pt>
              </c:numCache>
            </c:numRef>
          </c:cat>
          <c:val>
            <c:numRef>
              <c:f>Grafy_celkem!$B$164:$N$164</c:f>
              <c:numCache>
                <c:formatCode>0%</c:formatCode>
                <c:ptCount val="2"/>
                <c:pt idx="0">
                  <c:v>4.4803977467998121E-2</c:v>
                </c:pt>
                <c:pt idx="1">
                  <c:v>4.647981813895833E-2</c:v>
                </c:pt>
              </c:numCache>
            </c:numRef>
          </c:val>
          <c:extLst>
            <c:ext xmlns:c16="http://schemas.microsoft.com/office/drawing/2014/chart" uri="{C3380CC4-5D6E-409C-BE32-E72D297353CC}">
              <c16:uniqueId val="{00000004-CD11-4559-8AD8-59BE8E4BD61E}"/>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9099396517041203"/>
          <c:y val="7.5112110986126732E-2"/>
          <c:w val="0.38167940686246338"/>
          <c:h val="0.8113145319966268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8681124831378E-2"/>
          <c:y val="5.8892428964571267E-2"/>
          <c:w val="0.95434263775033723"/>
          <c:h val="0.62109543280937951"/>
        </c:manualLayout>
      </c:layout>
      <c:barChart>
        <c:barDir val="col"/>
        <c:grouping val="clustered"/>
        <c:varyColors val="0"/>
        <c:ser>
          <c:idx val="0"/>
          <c:order val="0"/>
          <c:tx>
            <c:strRef>
              <c:f>Grafy_BES!$A$35</c:f>
              <c:strCache>
                <c:ptCount val="1"/>
                <c:pt idx="0">
                  <c:v> Výdaje na VaV (BERD) - mld. Kč</c:v>
                </c:pt>
              </c:strCache>
            </c:strRef>
          </c:tx>
          <c:spPr>
            <a:solidFill>
              <a:srgbClr val="00206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Grafy_BES!$D$34:$N$34</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Grafy_BES!$D$35:$N$35</c:f>
              <c:numCache>
                <c:formatCode>0.0</c:formatCode>
                <c:ptCount val="11"/>
                <c:pt idx="0">
                  <c:v>38.227991750000008</c:v>
                </c:pt>
                <c:pt idx="1">
                  <c:v>41.512703839999986</c:v>
                </c:pt>
                <c:pt idx="2">
                  <c:v>46.980508809999925</c:v>
                </c:pt>
                <c:pt idx="3">
                  <c:v>48.147505049999978</c:v>
                </c:pt>
                <c:pt idx="4">
                  <c:v>48.980262270849551</c:v>
                </c:pt>
                <c:pt idx="5">
                  <c:v>56.810126667346175</c:v>
                </c:pt>
                <c:pt idx="6">
                  <c:v>63.653606783896386</c:v>
                </c:pt>
                <c:pt idx="7">
                  <c:v>68.808243328201314</c:v>
                </c:pt>
                <c:pt idx="8">
                  <c:v>69.112545560542216</c:v>
                </c:pt>
                <c:pt idx="9">
                  <c:v>76.554907452649502</c:v>
                </c:pt>
                <c:pt idx="10">
                  <c:v>85.597020797015404</c:v>
                </c:pt>
              </c:numCache>
            </c:numRef>
          </c:val>
          <c:extLst>
            <c:ext xmlns:c16="http://schemas.microsoft.com/office/drawing/2014/chart" uri="{C3380CC4-5D6E-409C-BE32-E72D297353CC}">
              <c16:uniqueId val="{00000000-15C2-4B3D-97D9-BC5FC2F12441}"/>
            </c:ext>
          </c:extLst>
        </c:ser>
        <c:ser>
          <c:idx val="1"/>
          <c:order val="1"/>
          <c:tx>
            <c:strRef>
              <c:f>Grafy_BES!$A$36</c:f>
              <c:strCache>
                <c:ptCount val="1"/>
                <c:pt idx="0">
                  <c:v> Pracovníci ve VaV - tis. přepočtených osob (FTE)</c:v>
                </c:pt>
              </c:strCache>
            </c:strRef>
          </c:tx>
          <c:spPr>
            <a:solidFill>
              <a:srgbClr val="C0000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Grafy_BES!$D$34:$N$34</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Grafy_BES!$D$36:$N$36</c:f>
              <c:numCache>
                <c:formatCode>0.0</c:formatCode>
                <c:ptCount val="11"/>
                <c:pt idx="0">
                  <c:v>31.705078565000033</c:v>
                </c:pt>
                <c:pt idx="1">
                  <c:v>33.187829090000022</c:v>
                </c:pt>
                <c:pt idx="2">
                  <c:v>35.256388209999962</c:v>
                </c:pt>
                <c:pt idx="3">
                  <c:v>36.365329955000007</c:v>
                </c:pt>
                <c:pt idx="4">
                  <c:v>37.263212953067352</c:v>
                </c:pt>
                <c:pt idx="5">
                  <c:v>39.967771617079883</c:v>
                </c:pt>
                <c:pt idx="6">
                  <c:v>42.349352351701818</c:v>
                </c:pt>
                <c:pt idx="7">
                  <c:v>44.792423282076207</c:v>
                </c:pt>
                <c:pt idx="8">
                  <c:v>46.234359110944879</c:v>
                </c:pt>
                <c:pt idx="9">
                  <c:v>49.019404079086996</c:v>
                </c:pt>
                <c:pt idx="10">
                  <c:v>50.662360045385498</c:v>
                </c:pt>
              </c:numCache>
            </c:numRef>
          </c:val>
          <c:extLst>
            <c:ext xmlns:c16="http://schemas.microsoft.com/office/drawing/2014/chart" uri="{C3380CC4-5D6E-409C-BE32-E72D297353CC}">
              <c16:uniqueId val="{00000001-15C2-4B3D-97D9-BC5FC2F12441}"/>
            </c:ext>
          </c:extLst>
        </c:ser>
        <c:dLbls>
          <c:showLegendKey val="0"/>
          <c:showVal val="0"/>
          <c:showCatName val="0"/>
          <c:showSerName val="0"/>
          <c:showPercent val="0"/>
          <c:showBubbleSize val="0"/>
        </c:dLbls>
        <c:gapWidth val="30"/>
        <c:overlap val="-10"/>
        <c:axId val="1426075151"/>
        <c:axId val="1426075567"/>
      </c:barChart>
      <c:lineChart>
        <c:grouping val="standard"/>
        <c:varyColors val="0"/>
        <c:ser>
          <c:idx val="2"/>
          <c:order val="2"/>
          <c:tx>
            <c:strRef>
              <c:f>Grafy_BES!$A$37</c:f>
              <c:strCache>
                <c:ptCount val="1"/>
                <c:pt idx="0">
                  <c:v> Podíl výdajů na VaV na HDP (Intenzita VaV)</c:v>
                </c:pt>
              </c:strCache>
            </c:strRef>
          </c:tx>
          <c:spPr>
            <a:ln w="28575" cap="rnd">
              <a:solidFill>
                <a:srgbClr val="0070C0"/>
              </a:solidFill>
              <a:round/>
            </a:ln>
            <a:effectLst/>
          </c:spPr>
          <c:marker>
            <c:symbol val="triangle"/>
            <c:size val="5"/>
            <c:spPr>
              <a:solidFill>
                <a:schemeClr val="tx1"/>
              </a:solidFill>
              <a:ln w="9525">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Grafy_BES!$D$34:$N$34</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Grafy_BES!$D$37:$N$37</c:f>
              <c:numCache>
                <c:formatCode>0.00%</c:formatCode>
                <c:ptCount val="11"/>
                <c:pt idx="0">
                  <c:v>9.3491842695562922E-3</c:v>
                </c:pt>
                <c:pt idx="1">
                  <c:v>1.0020419430188826E-2</c:v>
                </c:pt>
                <c:pt idx="2">
                  <c:v>1.0810639323424218E-2</c:v>
                </c:pt>
                <c:pt idx="3">
                  <c:v>1.0409420603029644E-2</c:v>
                </c:pt>
                <c:pt idx="4">
                  <c:v>1.0210873264906023E-2</c:v>
                </c:pt>
                <c:pt idx="5">
                  <c:v>1.1115825363816232E-2</c:v>
                </c:pt>
                <c:pt idx="6">
                  <c:v>1.1764261401288367E-2</c:v>
                </c:pt>
                <c:pt idx="7">
                  <c:v>1.1880905998448283E-2</c:v>
                </c:pt>
                <c:pt idx="8">
                  <c:v>1.2105615646329046E-2</c:v>
                </c:pt>
                <c:pt idx="9">
                  <c:v>1.2532669199448621E-2</c:v>
                </c:pt>
                <c:pt idx="10">
                  <c:v>1.2614041803006518E-2</c:v>
                </c:pt>
              </c:numCache>
            </c:numRef>
          </c:val>
          <c:smooth val="0"/>
          <c:extLst>
            <c:ext xmlns:c16="http://schemas.microsoft.com/office/drawing/2014/chart" uri="{C3380CC4-5D6E-409C-BE32-E72D297353CC}">
              <c16:uniqueId val="{00000002-15C2-4B3D-97D9-BC5FC2F12441}"/>
            </c:ext>
          </c:extLst>
        </c:ser>
        <c:ser>
          <c:idx val="3"/>
          <c:order val="3"/>
          <c:tx>
            <c:strRef>
              <c:f>Grafy_BES!$A$38</c:f>
              <c:strCache>
                <c:ptCount val="1"/>
                <c:pt idx="0">
                  <c:v> Podíl pracovníků ve VaV (FTE) na zaměstnaných v podnicích celkem</c:v>
                </c:pt>
              </c:strCache>
            </c:strRef>
          </c:tx>
          <c:spPr>
            <a:ln w="28575" cap="rnd">
              <a:solidFill>
                <a:srgbClr val="FF0000"/>
              </a:solidFill>
              <a:round/>
            </a:ln>
            <a:effectLst/>
          </c:spPr>
          <c:marker>
            <c:symbol val="diamond"/>
            <c:size val="6"/>
            <c:spPr>
              <a:solidFill>
                <a:schemeClr val="tx1"/>
              </a:solidFill>
              <a:ln w="9525">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Grafy_BES!$D$34:$N$34</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Grafy_BES!$D$38:$N$38</c:f>
              <c:numCache>
                <c:formatCode>0.00%</c:formatCode>
                <c:ptCount val="11"/>
                <c:pt idx="0">
                  <c:v>7.7841180239265669E-3</c:v>
                </c:pt>
                <c:pt idx="1">
                  <c:v>8.1416771700927038E-3</c:v>
                </c:pt>
                <c:pt idx="2">
                  <c:v>8.6215645830144041E-3</c:v>
                </c:pt>
                <c:pt idx="3">
                  <c:v>8.756041759667918E-3</c:v>
                </c:pt>
                <c:pt idx="4">
                  <c:v>8.8458728761272344E-3</c:v>
                </c:pt>
                <c:pt idx="5">
                  <c:v>9.3650774008293535E-3</c:v>
                </c:pt>
                <c:pt idx="6">
                  <c:v>9.8071135548428254E-3</c:v>
                </c:pt>
                <c:pt idx="7">
                  <c:v>1.0363660175961267E-2</c:v>
                </c:pt>
                <c:pt idx="8">
                  <c:v>1.0966102239820931E-2</c:v>
                </c:pt>
                <c:pt idx="9">
                  <c:v>1.1630234726017569E-2</c:v>
                </c:pt>
                <c:pt idx="10">
                  <c:v>1.1873817166589562E-2</c:v>
                </c:pt>
              </c:numCache>
            </c:numRef>
          </c:val>
          <c:smooth val="0"/>
          <c:extLst>
            <c:ext xmlns:c16="http://schemas.microsoft.com/office/drawing/2014/chart" uri="{C3380CC4-5D6E-409C-BE32-E72D297353CC}">
              <c16:uniqueId val="{00000003-15C2-4B3D-97D9-BC5FC2F12441}"/>
            </c:ext>
          </c:extLst>
        </c:ser>
        <c:dLbls>
          <c:showLegendKey val="0"/>
          <c:showVal val="0"/>
          <c:showCatName val="0"/>
          <c:showSerName val="0"/>
          <c:showPercent val="0"/>
          <c:showBubbleSize val="0"/>
        </c:dLbls>
        <c:marker val="1"/>
        <c:smooth val="0"/>
        <c:axId val="953133519"/>
        <c:axId val="1426076399"/>
      </c:lineChart>
      <c:catAx>
        <c:axId val="142607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26075567"/>
        <c:crosses val="autoZero"/>
        <c:auto val="1"/>
        <c:lblAlgn val="ctr"/>
        <c:lblOffset val="100"/>
        <c:noMultiLvlLbl val="0"/>
      </c:catAx>
      <c:valAx>
        <c:axId val="1426075567"/>
        <c:scaling>
          <c:orientation val="minMax"/>
          <c:max val="115"/>
          <c:min val="0"/>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26075151"/>
        <c:crosses val="autoZero"/>
        <c:crossBetween val="between"/>
        <c:majorUnit val="10"/>
      </c:valAx>
      <c:valAx>
        <c:axId val="1426076399"/>
        <c:scaling>
          <c:orientation val="minMax"/>
          <c:max val="1.3000000000000003E-2"/>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53133519"/>
        <c:crosses val="max"/>
        <c:crossBetween val="between"/>
        <c:majorUnit val="1.0000000000000002E-3"/>
      </c:valAx>
      <c:catAx>
        <c:axId val="953133519"/>
        <c:scaling>
          <c:orientation val="minMax"/>
        </c:scaling>
        <c:delete val="1"/>
        <c:axPos val="b"/>
        <c:numFmt formatCode="General" sourceLinked="1"/>
        <c:majorTickMark val="none"/>
        <c:minorTickMark val="none"/>
        <c:tickLblPos val="nextTo"/>
        <c:crossAx val="1426076399"/>
        <c:crosses val="autoZero"/>
        <c:auto val="1"/>
        <c:lblAlgn val="ctr"/>
        <c:lblOffset val="100"/>
        <c:noMultiLvlLbl val="0"/>
      </c:catAx>
      <c:spPr>
        <a:noFill/>
        <a:ln>
          <a:noFill/>
        </a:ln>
        <a:effectLst/>
      </c:spPr>
    </c:plotArea>
    <c:legend>
      <c:legendPos val="b"/>
      <c:layout>
        <c:manualLayout>
          <c:xMode val="edge"/>
          <c:yMode val="edge"/>
          <c:x val="3.5950768544602489E-2"/>
          <c:y val="0.7680983058935813"/>
          <c:w val="0.92809846291079501"/>
          <c:h val="0.21230127984268776"/>
        </c:manualLayout>
      </c:layout>
      <c:overlay val="0"/>
      <c:spPr>
        <a:no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2.0920447074293226E-2"/>
          <c:y val="2.7219499660444537E-2"/>
          <c:w val="0.96248027613412224"/>
          <c:h val="0.68410990584218923"/>
        </c:manualLayout>
      </c:layout>
      <c:barChart>
        <c:barDir val="col"/>
        <c:grouping val="clustered"/>
        <c:varyColors val="0"/>
        <c:ser>
          <c:idx val="0"/>
          <c:order val="0"/>
          <c:tx>
            <c:strRef>
              <c:f>MS!$B$36</c:f>
              <c:strCache>
                <c:ptCount val="1"/>
                <c:pt idx="0">
                  <c:v>%HDP</c:v>
                </c:pt>
              </c:strCache>
            </c:strRef>
          </c:tx>
          <c:spPr>
            <a:solidFill>
              <a:srgbClr val="0070C0"/>
            </a:solidFill>
          </c:spPr>
          <c:invertIfNegative val="0"/>
          <c:dPt>
            <c:idx val="7"/>
            <c:invertIfNegative val="0"/>
            <c:bubble3D val="0"/>
            <c:spPr>
              <a:solidFill>
                <a:srgbClr val="00B050"/>
              </a:solidFill>
            </c:spPr>
            <c:extLst>
              <c:ext xmlns:c16="http://schemas.microsoft.com/office/drawing/2014/chart" uri="{C3380CC4-5D6E-409C-BE32-E72D297353CC}">
                <c16:uniqueId val="{00000001-F0E4-4B1E-AC2D-E673CEDC89DF}"/>
              </c:ext>
            </c:extLst>
          </c:dPt>
          <c:dPt>
            <c:idx val="8"/>
            <c:invertIfNegative val="0"/>
            <c:bubble3D val="0"/>
            <c:extLst>
              <c:ext xmlns:c16="http://schemas.microsoft.com/office/drawing/2014/chart" uri="{C3380CC4-5D6E-409C-BE32-E72D297353CC}">
                <c16:uniqueId val="{00000002-F0E4-4B1E-AC2D-E673CEDC89DF}"/>
              </c:ext>
            </c:extLst>
          </c:dPt>
          <c:dPt>
            <c:idx val="9"/>
            <c:invertIfNegative val="0"/>
            <c:bubble3D val="0"/>
            <c:extLst>
              <c:ext xmlns:c16="http://schemas.microsoft.com/office/drawing/2014/chart" uri="{C3380CC4-5D6E-409C-BE32-E72D297353CC}">
                <c16:uniqueId val="{00000003-F0E4-4B1E-AC2D-E673CEDC89DF}"/>
              </c:ext>
            </c:extLst>
          </c:dPt>
          <c:dPt>
            <c:idx val="10"/>
            <c:invertIfNegative val="0"/>
            <c:bubble3D val="0"/>
            <c:spPr>
              <a:solidFill>
                <a:srgbClr val="FF0000"/>
              </a:solidFill>
            </c:spPr>
            <c:extLst>
              <c:ext xmlns:c16="http://schemas.microsoft.com/office/drawing/2014/chart" uri="{C3380CC4-5D6E-409C-BE32-E72D297353CC}">
                <c16:uniqueId val="{00000005-F0E4-4B1E-AC2D-E673CEDC89DF}"/>
              </c:ext>
            </c:extLst>
          </c:dPt>
          <c:dPt>
            <c:idx val="11"/>
            <c:invertIfNegative val="0"/>
            <c:bubble3D val="0"/>
            <c:extLst>
              <c:ext xmlns:c16="http://schemas.microsoft.com/office/drawing/2014/chart" uri="{C3380CC4-5D6E-409C-BE32-E72D297353CC}">
                <c16:uniqueId val="{00000006-F0E4-4B1E-AC2D-E673CEDC89DF}"/>
              </c:ext>
            </c:extLst>
          </c:dPt>
          <c:dLbls>
            <c:spPr>
              <a:noFill/>
              <a:ln>
                <a:noFill/>
              </a:ln>
              <a:effectLst/>
            </c:spPr>
            <c:txPr>
              <a:bodyPr rot="-5400000" vert="horz"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MS!$A$37:$A$64</c:f>
              <c:strCache>
                <c:ptCount val="28"/>
                <c:pt idx="0">
                  <c:v>Belgie</c:v>
                </c:pt>
                <c:pt idx="1">
                  <c:v>Švédsko</c:v>
                </c:pt>
                <c:pt idx="2">
                  <c:v>Rakousko</c:v>
                </c:pt>
                <c:pt idx="3">
                  <c:v>Německo</c:v>
                </c:pt>
                <c:pt idx="4">
                  <c:v>Finsko</c:v>
                </c:pt>
                <c:pt idx="5">
                  <c:v>Dánsko</c:v>
                </c:pt>
                <c:pt idx="6">
                  <c:v>Nizozemsko</c:v>
                </c:pt>
                <c:pt idx="7">
                  <c:v>EU27</c:v>
                </c:pt>
                <c:pt idx="8">
                  <c:v>Slovinsko</c:v>
                </c:pt>
                <c:pt idx="9">
                  <c:v>Francie</c:v>
                </c:pt>
                <c:pt idx="10">
                  <c:v>Česko</c:v>
                </c:pt>
                <c:pt idx="11">
                  <c:v>Portugalsko</c:v>
                </c:pt>
                <c:pt idx="12">
                  <c:v>Estonsko</c:v>
                </c:pt>
                <c:pt idx="13">
                  <c:v>Maďarsko</c:v>
                </c:pt>
                <c:pt idx="14">
                  <c:v>Polsko</c:v>
                </c:pt>
                <c:pt idx="15">
                  <c:v>Španělsko</c:v>
                </c:pt>
                <c:pt idx="16">
                  <c:v>Chorvatsko</c:v>
                </c:pt>
                <c:pt idx="17">
                  <c:v>Itálie</c:v>
                </c:pt>
                <c:pt idx="18">
                  <c:v>Irsko</c:v>
                </c:pt>
                <c:pt idx="19">
                  <c:v>Řecko</c:v>
                </c:pt>
                <c:pt idx="20">
                  <c:v>Slovensko</c:v>
                </c:pt>
                <c:pt idx="21">
                  <c:v>Bulharsko</c:v>
                </c:pt>
                <c:pt idx="22">
                  <c:v>Litva</c:v>
                </c:pt>
                <c:pt idx="23">
                  <c:v>Lucembursko</c:v>
                </c:pt>
                <c:pt idx="24">
                  <c:v>Malta</c:v>
                </c:pt>
                <c:pt idx="25">
                  <c:v>Kypr</c:v>
                </c:pt>
                <c:pt idx="26">
                  <c:v>Rumunsko</c:v>
                </c:pt>
                <c:pt idx="27">
                  <c:v>Lotyšsko</c:v>
                </c:pt>
              </c:strCache>
            </c:strRef>
          </c:cat>
          <c:val>
            <c:numRef>
              <c:f>MS!$B$37:$B$64</c:f>
              <c:numCache>
                <c:formatCode>0.00</c:formatCode>
                <c:ptCount val="28"/>
                <c:pt idx="0">
                  <c:v>2.5299999999999998</c:v>
                </c:pt>
                <c:pt idx="1">
                  <c:v>2.5099999999999998</c:v>
                </c:pt>
                <c:pt idx="2">
                  <c:v>2.2000000000000002</c:v>
                </c:pt>
                <c:pt idx="3">
                  <c:v>2.11</c:v>
                </c:pt>
                <c:pt idx="4">
                  <c:v>2.0099999999999998</c:v>
                </c:pt>
                <c:pt idx="5">
                  <c:v>1.72</c:v>
                </c:pt>
                <c:pt idx="6">
                  <c:v>1.56</c:v>
                </c:pt>
                <c:pt idx="7">
                  <c:v>1.48</c:v>
                </c:pt>
                <c:pt idx="8">
                  <c:v>1.48</c:v>
                </c:pt>
                <c:pt idx="9">
                  <c:v>1.43</c:v>
                </c:pt>
                <c:pt idx="10">
                  <c:v>1.26</c:v>
                </c:pt>
                <c:pt idx="11">
                  <c:v>1.06</c:v>
                </c:pt>
                <c:pt idx="12">
                  <c:v>1</c:v>
                </c:pt>
                <c:pt idx="13">
                  <c:v>1</c:v>
                </c:pt>
                <c:pt idx="14">
                  <c:v>0.96</c:v>
                </c:pt>
                <c:pt idx="15">
                  <c:v>0.81</c:v>
                </c:pt>
                <c:pt idx="16">
                  <c:v>0.78</c:v>
                </c:pt>
                <c:pt idx="17">
                  <c:v>0.78</c:v>
                </c:pt>
                <c:pt idx="18">
                  <c:v>0.77</c:v>
                </c:pt>
                <c:pt idx="19">
                  <c:v>0.73</c:v>
                </c:pt>
                <c:pt idx="20">
                  <c:v>0.56000000000000005</c:v>
                </c:pt>
                <c:pt idx="21">
                  <c:v>0.52</c:v>
                </c:pt>
                <c:pt idx="22">
                  <c:v>0.5</c:v>
                </c:pt>
                <c:pt idx="23">
                  <c:v>0.5</c:v>
                </c:pt>
                <c:pt idx="24">
                  <c:v>0.42</c:v>
                </c:pt>
                <c:pt idx="25">
                  <c:v>0.31</c:v>
                </c:pt>
                <c:pt idx="26">
                  <c:v>0.28000000000000003</c:v>
                </c:pt>
                <c:pt idx="27">
                  <c:v>0.27</c:v>
                </c:pt>
              </c:numCache>
            </c:numRef>
          </c:val>
          <c:extLst>
            <c:ext xmlns:c16="http://schemas.microsoft.com/office/drawing/2014/chart" uri="{C3380CC4-5D6E-409C-BE32-E72D297353CC}">
              <c16:uniqueId val="{00000007-F0E4-4B1E-AC2D-E673CEDC89DF}"/>
            </c:ext>
          </c:extLst>
        </c:ser>
        <c:dLbls>
          <c:showLegendKey val="0"/>
          <c:showVal val="0"/>
          <c:showCatName val="0"/>
          <c:showSerName val="0"/>
          <c:showPercent val="0"/>
          <c:showBubbleSize val="0"/>
        </c:dLbls>
        <c:gapWidth val="100"/>
        <c:axId val="132765568"/>
        <c:axId val="132767744"/>
      </c:barChart>
      <c:catAx>
        <c:axId val="132765568"/>
        <c:scaling>
          <c:orientation val="minMax"/>
        </c:scaling>
        <c:delete val="0"/>
        <c:axPos val="b"/>
        <c:numFmt formatCode="General" sourceLinked="1"/>
        <c:majorTickMark val="out"/>
        <c:minorTickMark val="none"/>
        <c:tickLblPos val="nextTo"/>
        <c:spPr>
          <a:ln>
            <a:solidFill>
              <a:schemeClr val="bg1">
                <a:lumMod val="65000"/>
              </a:schemeClr>
            </a:solidFill>
          </a:ln>
        </c:spPr>
        <c:txPr>
          <a:bodyPr rot="-5400000" vert="horz"/>
          <a:lstStyle/>
          <a:p>
            <a:pPr>
              <a:defRPr/>
            </a:pPr>
            <a:endParaRPr lang="cs-CZ"/>
          </a:p>
        </c:txPr>
        <c:crossAx val="132767744"/>
        <c:crosses val="autoZero"/>
        <c:auto val="1"/>
        <c:lblAlgn val="ctr"/>
        <c:lblOffset val="100"/>
        <c:noMultiLvlLbl val="0"/>
      </c:catAx>
      <c:valAx>
        <c:axId val="132767744"/>
        <c:scaling>
          <c:orientation val="minMax"/>
          <c:max val="3"/>
          <c:min val="0"/>
        </c:scaling>
        <c:delete val="0"/>
        <c:axPos val="l"/>
        <c:numFmt formatCode="#,##0.0" sourceLinked="0"/>
        <c:majorTickMark val="none"/>
        <c:minorTickMark val="none"/>
        <c:tickLblPos val="none"/>
        <c:spPr>
          <a:ln>
            <a:solidFill>
              <a:schemeClr val="bg1">
                <a:lumMod val="65000"/>
              </a:schemeClr>
            </a:solidFill>
          </a:ln>
        </c:spPr>
        <c:crossAx val="132765568"/>
        <c:crosses val="autoZero"/>
        <c:crossBetween val="between"/>
        <c:majorUnit val="0.5"/>
        <c:minorUnit val="0.25"/>
      </c:valAx>
      <c:spPr>
        <a:ln>
          <a:solidFill>
            <a:schemeClr val="bg1">
              <a:lumMod val="65000"/>
            </a:schemeClr>
          </a:solidFill>
        </a:ln>
      </c:spPr>
    </c:plotArea>
    <c:plotVisOnly val="1"/>
    <c:dispBlanksAs val="gap"/>
    <c:showDLblsOverMax val="0"/>
  </c:chart>
  <c:spPr>
    <a:noFill/>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Grafy_BES!$B$11</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F563-409A-9B6B-6A8E7EC0E969}"/>
              </c:ext>
            </c:extLst>
          </c:dPt>
          <c:dPt>
            <c:idx val="1"/>
            <c:bubble3D val="0"/>
            <c:spPr>
              <a:solidFill>
                <a:srgbClr val="C00000"/>
              </a:solidFill>
              <a:effectLst/>
            </c:spPr>
            <c:extLst>
              <c:ext xmlns:c16="http://schemas.microsoft.com/office/drawing/2014/chart" uri="{C3380CC4-5D6E-409C-BE32-E72D297353CC}">
                <c16:uniqueId val="{00000003-F563-409A-9B6B-6A8E7EC0E969}"/>
              </c:ext>
            </c:extLst>
          </c:dPt>
          <c:dPt>
            <c:idx val="2"/>
            <c:bubble3D val="0"/>
            <c:spPr>
              <a:solidFill>
                <a:srgbClr val="00B050"/>
              </a:solidFill>
              <a:effectLst/>
            </c:spPr>
            <c:extLst>
              <c:ext xmlns:c16="http://schemas.microsoft.com/office/drawing/2014/chart" uri="{C3380CC4-5D6E-409C-BE32-E72D297353CC}">
                <c16:uniqueId val="{00000005-F563-409A-9B6B-6A8E7EC0E969}"/>
              </c:ext>
            </c:extLst>
          </c:dPt>
          <c:dPt>
            <c:idx val="3"/>
            <c:bubble3D val="0"/>
            <c:spPr>
              <a:solidFill>
                <a:srgbClr val="FFC000"/>
              </a:solidFill>
              <a:effectLst/>
            </c:spPr>
            <c:extLst>
              <c:ext xmlns:c16="http://schemas.microsoft.com/office/drawing/2014/chart" uri="{C3380CC4-5D6E-409C-BE32-E72D297353CC}">
                <c16:uniqueId val="{00000008-F563-409A-9B6B-6A8E7EC0E969}"/>
              </c:ext>
            </c:extLst>
          </c:dPt>
          <c:dPt>
            <c:idx val="4"/>
            <c:bubble3D val="0"/>
            <c:spPr>
              <a:solidFill>
                <a:srgbClr val="FFFF00"/>
              </a:solidFill>
              <a:effectLst/>
            </c:spPr>
            <c:extLst>
              <c:ext xmlns:c16="http://schemas.microsoft.com/office/drawing/2014/chart" uri="{C3380CC4-5D6E-409C-BE32-E72D297353CC}">
                <c16:uniqueId val="{00000007-F563-409A-9B6B-6A8E7EC0E969}"/>
              </c:ext>
            </c:extLst>
          </c:dPt>
          <c:dLbls>
            <c:dLbl>
              <c:idx val="2"/>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63-409A-9B6B-6A8E7EC0E969}"/>
                </c:ext>
              </c:extLst>
            </c:dLbl>
            <c:dLbl>
              <c:idx val="3"/>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563-409A-9B6B-6A8E7EC0E969}"/>
                </c:ext>
              </c:extLst>
            </c:dLbl>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Grafy_BES!$A$12:$A$15</c:f>
              <c:strCache>
                <c:ptCount val="4"/>
                <c:pt idx="0">
                  <c:v> &lt; 1 </c:v>
                </c:pt>
                <c:pt idx="1">
                  <c:v> 1-9,9</c:v>
                </c:pt>
                <c:pt idx="2">
                  <c:v> 10-99,9</c:v>
                </c:pt>
                <c:pt idx="3">
                  <c:v> 100+</c:v>
                </c:pt>
              </c:strCache>
            </c:strRef>
          </c:cat>
          <c:val>
            <c:numRef>
              <c:f>Grafy_BES!$B$12:$B$15</c:f>
              <c:numCache>
                <c:formatCode>#,##0</c:formatCode>
                <c:ptCount val="4"/>
                <c:pt idx="0">
                  <c:v>506</c:v>
                </c:pt>
                <c:pt idx="1">
                  <c:v>1508</c:v>
                </c:pt>
                <c:pt idx="2">
                  <c:v>742</c:v>
                </c:pt>
                <c:pt idx="3">
                  <c:v>130</c:v>
                </c:pt>
              </c:numCache>
            </c:numRef>
          </c:val>
          <c:extLst>
            <c:ext xmlns:c16="http://schemas.microsoft.com/office/drawing/2014/chart" uri="{C3380CC4-5D6E-409C-BE32-E72D297353CC}">
              <c16:uniqueId val="{00000009-F563-409A-9B6B-6A8E7EC0E969}"/>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0.16333793129873364"/>
          <c:y val="0.8326005683261366"/>
          <c:w val="0.76031388888888884"/>
          <c:h val="0.11987464065224562"/>
        </c:manualLayout>
      </c:layout>
      <c:overlay val="0"/>
      <c:spPr>
        <a:ln w="6350">
          <a:solidFill>
            <a:schemeClr val="bg1">
              <a:lumMod val="85000"/>
            </a:schemeClr>
          </a:solidFill>
        </a:ln>
      </c:spPr>
      <c:txPr>
        <a:bodyPr/>
        <a:lstStyle/>
        <a:p>
          <a:pPr rtl="0">
            <a:defRPr sz="800"/>
          </a:pPr>
          <a:endParaRPr lang="cs-CZ"/>
        </a:p>
      </c:txPr>
    </c:legend>
    <c:plotVisOnly val="1"/>
    <c:dispBlanksAs val="zero"/>
    <c:showDLblsOverMax val="0"/>
  </c:chart>
  <c:spPr>
    <a:ln>
      <a:noFill/>
    </a:ln>
  </c:spPr>
  <c:txPr>
    <a:bodyPr/>
    <a:lstStyle/>
    <a:p>
      <a:pPr>
        <a:defRPr sz="9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3432450616570126"/>
          <c:h val="0.77951620370370367"/>
        </c:manualLayout>
      </c:layout>
      <c:barChart>
        <c:barDir val="col"/>
        <c:grouping val="percentStacked"/>
        <c:varyColors val="0"/>
        <c:ser>
          <c:idx val="0"/>
          <c:order val="0"/>
          <c:tx>
            <c:strRef>
              <c:f>Grafy_BES!$B$19</c:f>
              <c:strCache>
                <c:ptCount val="1"/>
                <c:pt idx="0">
                  <c:v> pod zahraniční kontrolou</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Grafy_BES!$A$20:$A$21</c:f>
              <c:strCache>
                <c:ptCount val="2"/>
                <c:pt idx="0">
                  <c:v>
Celkem</c:v>
                </c:pt>
                <c:pt idx="1">
                  <c:v>100+ 
mil. Kč</c:v>
                </c:pt>
              </c:strCache>
            </c:strRef>
          </c:cat>
          <c:val>
            <c:numRef>
              <c:f>Grafy_BES!$B$20:$B$21</c:f>
              <c:numCache>
                <c:formatCode>#,##0</c:formatCode>
                <c:ptCount val="2"/>
                <c:pt idx="0">
                  <c:v>596</c:v>
                </c:pt>
                <c:pt idx="1">
                  <c:v>87</c:v>
                </c:pt>
              </c:numCache>
            </c:numRef>
          </c:val>
          <c:extLst>
            <c:ext xmlns:c16="http://schemas.microsoft.com/office/drawing/2014/chart" uri="{C3380CC4-5D6E-409C-BE32-E72D297353CC}">
              <c16:uniqueId val="{00000000-064D-4768-B0EC-5433DB9D9C70}"/>
            </c:ext>
          </c:extLst>
        </c:ser>
        <c:ser>
          <c:idx val="1"/>
          <c:order val="1"/>
          <c:tx>
            <c:strRef>
              <c:f>Grafy_BES!$C$19</c:f>
              <c:strCache>
                <c:ptCount val="1"/>
                <c:pt idx="0">
                  <c:v> soukromé domácí</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Grafy_BES!$A$20:$A$21</c:f>
              <c:strCache>
                <c:ptCount val="2"/>
                <c:pt idx="0">
                  <c:v>
Celkem</c:v>
                </c:pt>
                <c:pt idx="1">
                  <c:v>100+ 
mil. Kč</c:v>
                </c:pt>
              </c:strCache>
            </c:strRef>
          </c:cat>
          <c:val>
            <c:numRef>
              <c:f>Grafy_BES!$C$20:$C$21</c:f>
              <c:numCache>
                <c:formatCode>#,##0</c:formatCode>
                <c:ptCount val="2"/>
                <c:pt idx="0">
                  <c:v>2233</c:v>
                </c:pt>
                <c:pt idx="1">
                  <c:v>38</c:v>
                </c:pt>
              </c:numCache>
            </c:numRef>
          </c:val>
          <c:extLst>
            <c:ext xmlns:c16="http://schemas.microsoft.com/office/drawing/2014/chart" uri="{C3380CC4-5D6E-409C-BE32-E72D297353CC}">
              <c16:uniqueId val="{00000001-064D-4768-B0EC-5433DB9D9C70}"/>
            </c:ext>
          </c:extLst>
        </c:ser>
        <c:ser>
          <c:idx val="2"/>
          <c:order val="2"/>
          <c:tx>
            <c:strRef>
              <c:f>Grafy_BES!$D$19</c:f>
              <c:strCache>
                <c:ptCount val="1"/>
                <c:pt idx="0">
                  <c:v>veřejné</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Grafy_BES!$A$20:$A$21</c:f>
              <c:strCache>
                <c:ptCount val="2"/>
                <c:pt idx="0">
                  <c:v>
Celkem</c:v>
                </c:pt>
                <c:pt idx="1">
                  <c:v>100+ 
mil. Kč</c:v>
                </c:pt>
              </c:strCache>
            </c:strRef>
          </c:cat>
          <c:val>
            <c:numRef>
              <c:f>Grafy_BES!$D$20:$D$21</c:f>
              <c:numCache>
                <c:formatCode>#,##0</c:formatCode>
                <c:ptCount val="2"/>
                <c:pt idx="0">
                  <c:v>57</c:v>
                </c:pt>
                <c:pt idx="1">
                  <c:v>5</c:v>
                </c:pt>
              </c:numCache>
            </c:numRef>
          </c:val>
          <c:extLst>
            <c:ext xmlns:c16="http://schemas.microsoft.com/office/drawing/2014/chart" uri="{C3380CC4-5D6E-409C-BE32-E72D297353CC}">
              <c16:uniqueId val="{00000002-064D-4768-B0EC-5433DB9D9C70}"/>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w="6350">
              <a:solidFill>
                <a:schemeClr val="bg1">
                  <a:lumMod val="50000"/>
                </a:schemeClr>
              </a:solidFill>
              <a:prstDash val="solid"/>
            </a:ln>
          </c:spPr>
        </c:majorGridlines>
        <c:numFmt formatCode="0%" sourceLinked="1"/>
        <c:majorTickMark val="none"/>
        <c:minorTickMark val="none"/>
        <c:tickLblPos val="none"/>
        <c:spPr>
          <a:ln>
            <a:noFill/>
          </a:ln>
        </c:spPr>
        <c:crossAx val="36885632"/>
        <c:crosses val="autoZero"/>
        <c:crossBetween val="between"/>
        <c:majorUnit val="0.1"/>
        <c:minorUnit val="5.000000000000001E-2"/>
      </c:valAx>
      <c:spPr>
        <a:ln>
          <a:noFill/>
        </a:ln>
      </c:spPr>
    </c:plotArea>
    <c:legend>
      <c:legendPos val="r"/>
      <c:layout>
        <c:manualLayout>
          <c:xMode val="edge"/>
          <c:yMode val="edge"/>
          <c:x val="0.63308611111111113"/>
          <c:y val="7.5112110986126732E-2"/>
          <c:w val="0.32738506985692212"/>
          <c:h val="0.75351711328422655"/>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886344042761079"/>
          <c:y val="7.7059553544779044E-2"/>
          <c:w val="0.76758099124470758"/>
          <c:h val="0.63603989395478788"/>
        </c:manualLayout>
      </c:layout>
      <c:doughnutChart>
        <c:varyColors val="1"/>
        <c:ser>
          <c:idx val="0"/>
          <c:order val="0"/>
          <c:tx>
            <c:strRef>
              <c:f>Grafy_BES!$B$24</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BA03-4C27-90B4-7BA904861291}"/>
              </c:ext>
            </c:extLst>
          </c:dPt>
          <c:dPt>
            <c:idx val="1"/>
            <c:bubble3D val="0"/>
            <c:spPr>
              <a:solidFill>
                <a:srgbClr val="C00000"/>
              </a:solidFill>
              <a:effectLst/>
            </c:spPr>
            <c:extLst>
              <c:ext xmlns:c16="http://schemas.microsoft.com/office/drawing/2014/chart" uri="{C3380CC4-5D6E-409C-BE32-E72D297353CC}">
                <c16:uniqueId val="{00000003-BA03-4C27-90B4-7BA904861291}"/>
              </c:ext>
            </c:extLst>
          </c:dPt>
          <c:dPt>
            <c:idx val="2"/>
            <c:bubble3D val="0"/>
            <c:spPr>
              <a:solidFill>
                <a:srgbClr val="00B050"/>
              </a:solidFill>
              <a:effectLst/>
            </c:spPr>
            <c:extLst>
              <c:ext xmlns:c16="http://schemas.microsoft.com/office/drawing/2014/chart" uri="{C3380CC4-5D6E-409C-BE32-E72D297353CC}">
                <c16:uniqueId val="{00000005-BA03-4C27-90B4-7BA904861291}"/>
              </c:ext>
            </c:extLst>
          </c:dPt>
          <c:dPt>
            <c:idx val="3"/>
            <c:bubble3D val="0"/>
            <c:spPr>
              <a:solidFill>
                <a:srgbClr val="FFC000"/>
              </a:solidFill>
              <a:effectLst/>
            </c:spPr>
            <c:extLst>
              <c:ext xmlns:c16="http://schemas.microsoft.com/office/drawing/2014/chart" uri="{C3380CC4-5D6E-409C-BE32-E72D297353CC}">
                <c16:uniqueId val="{00000009-BA03-4C27-90B4-7BA904861291}"/>
              </c:ext>
            </c:extLst>
          </c:dPt>
          <c:dPt>
            <c:idx val="4"/>
            <c:bubble3D val="0"/>
            <c:spPr>
              <a:solidFill>
                <a:srgbClr val="FFFF00"/>
              </a:solidFill>
              <a:effectLst/>
            </c:spPr>
            <c:extLst>
              <c:ext xmlns:c16="http://schemas.microsoft.com/office/drawing/2014/chart" uri="{C3380CC4-5D6E-409C-BE32-E72D297353CC}">
                <c16:uniqueId val="{00000007-BA03-4C27-90B4-7BA904861291}"/>
              </c:ext>
            </c:extLst>
          </c:dPt>
          <c:dLbls>
            <c:dLbl>
              <c:idx val="0"/>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03-4C27-90B4-7BA904861291}"/>
                </c:ext>
              </c:extLst>
            </c:dLbl>
            <c:dLbl>
              <c:idx val="1"/>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A03-4C27-90B4-7BA904861291}"/>
                </c:ext>
              </c:extLst>
            </c:dLbl>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Grafy_BES!$A$25:$A$28</c:f>
              <c:strCache>
                <c:ptCount val="4"/>
                <c:pt idx="0">
                  <c:v> Zpracovatelský průmysl (C)</c:v>
                </c:pt>
                <c:pt idx="1">
                  <c:v> Informační a komunikační činnosti (J)</c:v>
                </c:pt>
                <c:pt idx="2">
                  <c:v> Profesní, věd. a techn. činn. (M)</c:v>
                </c:pt>
                <c:pt idx="3">
                  <c:v> Ostatní činnosti</c:v>
                </c:pt>
              </c:strCache>
            </c:strRef>
          </c:cat>
          <c:val>
            <c:numRef>
              <c:f>Grafy_BES!$B$25:$B$28</c:f>
              <c:numCache>
                <c:formatCode>#,##0</c:formatCode>
                <c:ptCount val="4"/>
                <c:pt idx="0">
                  <c:v>1458</c:v>
                </c:pt>
                <c:pt idx="1">
                  <c:v>442</c:v>
                </c:pt>
                <c:pt idx="2">
                  <c:v>457</c:v>
                </c:pt>
                <c:pt idx="3">
                  <c:v>529</c:v>
                </c:pt>
              </c:numCache>
            </c:numRef>
          </c:val>
          <c:extLst>
            <c:ext xmlns:c16="http://schemas.microsoft.com/office/drawing/2014/chart" uri="{C3380CC4-5D6E-409C-BE32-E72D297353CC}">
              <c16:uniqueId val="{00000008-BA03-4C27-90B4-7BA904861291}"/>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4.6750462962962959E-2"/>
          <c:y val="0.72467153014282504"/>
          <c:w val="0.89445324074074073"/>
          <c:h val="0.22780330935551607"/>
        </c:manualLayout>
      </c:layout>
      <c:overlay val="0"/>
      <c:spPr>
        <a:ln w="6350">
          <a:solidFill>
            <a:schemeClr val="bg1">
              <a:lumMod val="85000"/>
            </a:schemeClr>
          </a:solidFill>
        </a:ln>
      </c:spPr>
      <c:txPr>
        <a:bodyPr/>
        <a:lstStyle/>
        <a:p>
          <a:pPr rtl="0">
            <a:defRPr sz="800"/>
          </a:pPr>
          <a:endParaRPr lang="cs-CZ"/>
        </a:p>
      </c:txPr>
    </c:legend>
    <c:plotVisOnly val="1"/>
    <c:dispBlanksAs val="zero"/>
    <c:showDLblsOverMax val="0"/>
  </c:chart>
  <c:spPr>
    <a:ln>
      <a:noFill/>
    </a:ln>
  </c:spPr>
  <c:txPr>
    <a:bodyPr/>
    <a:lstStyle/>
    <a:p>
      <a:pPr>
        <a:defRPr sz="9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Grafy_celkem!$J$4</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2003-4599-A4E7-73510877F6E2}"/>
              </c:ext>
            </c:extLst>
          </c:dPt>
          <c:dPt>
            <c:idx val="1"/>
            <c:bubble3D val="0"/>
            <c:spPr>
              <a:solidFill>
                <a:srgbClr val="C00000"/>
              </a:solidFill>
              <a:effectLst/>
            </c:spPr>
            <c:extLst>
              <c:ext xmlns:c16="http://schemas.microsoft.com/office/drawing/2014/chart" uri="{C3380CC4-5D6E-409C-BE32-E72D297353CC}">
                <c16:uniqueId val="{00000003-2003-4599-A4E7-73510877F6E2}"/>
              </c:ext>
            </c:extLst>
          </c:dPt>
          <c:dPt>
            <c:idx val="2"/>
            <c:bubble3D val="0"/>
            <c:spPr>
              <a:solidFill>
                <a:srgbClr val="00B050"/>
              </a:solidFill>
              <a:effectLst/>
            </c:spPr>
            <c:extLst>
              <c:ext xmlns:c16="http://schemas.microsoft.com/office/drawing/2014/chart" uri="{C3380CC4-5D6E-409C-BE32-E72D297353CC}">
                <c16:uniqueId val="{00000005-2003-4599-A4E7-73510877F6E2}"/>
              </c:ext>
            </c:extLst>
          </c:dPt>
          <c:dPt>
            <c:idx val="3"/>
            <c:bubble3D val="0"/>
            <c:spPr>
              <a:solidFill>
                <a:srgbClr val="FFC000"/>
              </a:solidFill>
              <a:effectLst/>
            </c:spPr>
            <c:extLst>
              <c:ext xmlns:c16="http://schemas.microsoft.com/office/drawing/2014/chart" uri="{C3380CC4-5D6E-409C-BE32-E72D297353CC}">
                <c16:uniqueId val="{00000007-2003-4599-A4E7-73510877F6E2}"/>
              </c:ext>
            </c:extLst>
          </c:dPt>
          <c:dPt>
            <c:idx val="4"/>
            <c:bubble3D val="0"/>
            <c:spPr>
              <a:solidFill>
                <a:srgbClr val="FFFF00"/>
              </a:solidFill>
              <a:effectLst/>
            </c:spPr>
            <c:extLst>
              <c:ext xmlns:c16="http://schemas.microsoft.com/office/drawing/2014/chart" uri="{C3380CC4-5D6E-409C-BE32-E72D297353CC}">
                <c16:uniqueId val="{00000009-2003-4599-A4E7-73510877F6E2}"/>
              </c:ext>
            </c:extLst>
          </c:dPt>
          <c:dLbls>
            <c:dLbl>
              <c:idx val="2"/>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03-4599-A4E7-73510877F6E2}"/>
                </c:ext>
              </c:extLst>
            </c:dLbl>
            <c:dLbl>
              <c:idx val="3"/>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03-4599-A4E7-73510877F6E2}"/>
                </c:ext>
              </c:extLst>
            </c:dLbl>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Grafy_celkem!$A$5:$A$8</c:f>
              <c:strCache>
                <c:ptCount val="4"/>
                <c:pt idx="0">
                  <c:v> &lt; 5 </c:v>
                </c:pt>
                <c:pt idx="1">
                  <c:v> 5-19,9</c:v>
                </c:pt>
                <c:pt idx="2">
                  <c:v> 20-49,9</c:v>
                </c:pt>
                <c:pt idx="3">
                  <c:v> 50+</c:v>
                </c:pt>
              </c:strCache>
            </c:strRef>
          </c:cat>
          <c:val>
            <c:numRef>
              <c:f>Grafy_celkem!$J$5:$J$8</c:f>
              <c:numCache>
                <c:formatCode>#,##0</c:formatCode>
                <c:ptCount val="4"/>
                <c:pt idx="0">
                  <c:v>1762</c:v>
                </c:pt>
                <c:pt idx="1">
                  <c:v>1040</c:v>
                </c:pt>
                <c:pt idx="2">
                  <c:v>325</c:v>
                </c:pt>
                <c:pt idx="3">
                  <c:v>330</c:v>
                </c:pt>
              </c:numCache>
            </c:numRef>
          </c:val>
          <c:extLst>
            <c:ext xmlns:c16="http://schemas.microsoft.com/office/drawing/2014/chart" uri="{C3380CC4-5D6E-409C-BE32-E72D297353CC}">
              <c16:uniqueId val="{0000000A-2003-4599-A4E7-73510877F6E2}"/>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0.15050925925925926"/>
          <c:y val="0.8287487629011735"/>
          <c:w val="0.76031388888888884"/>
          <c:h val="0.11987464065224562"/>
        </c:manualLayout>
      </c:layout>
      <c:overlay val="0"/>
      <c:spPr>
        <a:ln w="6350">
          <a:solidFill>
            <a:schemeClr val="bg1">
              <a:lumMod val="85000"/>
            </a:schemeClr>
          </a:solidFill>
        </a:ln>
      </c:spPr>
      <c:txPr>
        <a:bodyPr/>
        <a:lstStyle/>
        <a:p>
          <a:pPr rtl="0">
            <a:defRPr sz="800"/>
          </a:pPr>
          <a:endParaRPr lang="cs-CZ"/>
        </a:p>
      </c:txPr>
    </c:legend>
    <c:plotVisOnly val="1"/>
    <c:dispBlanksAs val="zero"/>
    <c:showDLblsOverMax val="0"/>
  </c:chart>
  <c:spPr>
    <a:ln>
      <a:noFill/>
    </a:ln>
  </c:spPr>
  <c:txPr>
    <a:bodyPr/>
    <a:lstStyle/>
    <a:p>
      <a:pPr>
        <a:defRPr sz="9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011231608402434E-2"/>
          <c:y val="4.750165077502938E-2"/>
          <c:w val="0.73045720656304169"/>
          <c:h val="0.83821788538836173"/>
        </c:manualLayout>
      </c:layout>
      <c:lineChart>
        <c:grouping val="standard"/>
        <c:varyColors val="0"/>
        <c:ser>
          <c:idx val="0"/>
          <c:order val="0"/>
          <c:tx>
            <c:strRef>
              <c:f>Grafy_BES!$A$119</c:f>
              <c:strCache>
                <c:ptCount val="1"/>
                <c:pt idx="0">
                  <c:v> soukromé
 domácí</c:v>
                </c:pt>
              </c:strCache>
            </c:strRef>
          </c:tx>
          <c:spPr>
            <a:ln>
              <a:solidFill>
                <a:srgbClr val="00B050"/>
              </a:solidFill>
            </a:ln>
          </c:spPr>
          <c:marker>
            <c:symbol val="triangle"/>
            <c:size val="5"/>
            <c:spPr>
              <a:solidFill>
                <a:schemeClr val="tx1"/>
              </a:solidFill>
              <a:ln>
                <a:noFill/>
              </a:ln>
            </c:spPr>
          </c:marker>
          <c:dLbls>
            <c:spPr>
              <a:noFill/>
              <a:ln>
                <a:noFill/>
              </a:ln>
              <a:effectLst/>
            </c:spPr>
            <c:txPr>
              <a:bodyPr wrap="square" lIns="38100" tIns="19050" rIns="38100" bIns="19050" anchor="ctr">
                <a:spAutoFit/>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Grafy_BES!$D$118:$N$118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Grafy_BES!$D$119:$N$119</c:f>
              <c:numCache>
                <c:formatCode>0.0</c:formatCode>
                <c:ptCount val="11"/>
                <c:pt idx="0">
                  <c:v>5.0660828399999955</c:v>
                </c:pt>
                <c:pt idx="1">
                  <c:v>4.3142912700000045</c:v>
                </c:pt>
                <c:pt idx="2">
                  <c:v>4.4257209700000013</c:v>
                </c:pt>
                <c:pt idx="3">
                  <c:v>3.5440138700000023</c:v>
                </c:pt>
                <c:pt idx="4">
                  <c:v>2.3811967507557878</c:v>
                </c:pt>
                <c:pt idx="5">
                  <c:v>3.1822932392064782</c:v>
                </c:pt>
                <c:pt idx="6">
                  <c:v>3.9326775554515323</c:v>
                </c:pt>
                <c:pt idx="7">
                  <c:v>4.5353270239826982</c:v>
                </c:pt>
                <c:pt idx="8">
                  <c:v>4.6849960029000641</c:v>
                </c:pt>
                <c:pt idx="9">
                  <c:v>5.5308369769717904</c:v>
                </c:pt>
                <c:pt idx="10">
                  <c:v>5.8798247395824097</c:v>
                </c:pt>
              </c:numCache>
            </c:numRef>
          </c:val>
          <c:smooth val="0"/>
          <c:extLst>
            <c:ext xmlns:c16="http://schemas.microsoft.com/office/drawing/2014/chart" uri="{C3380CC4-5D6E-409C-BE32-E72D297353CC}">
              <c16:uniqueId val="{00000000-67AA-49AC-8039-D6A818CDB623}"/>
            </c:ext>
          </c:extLst>
        </c:ser>
        <c:ser>
          <c:idx val="1"/>
          <c:order val="1"/>
          <c:tx>
            <c:strRef>
              <c:f>Grafy_BES!$A$120</c:f>
              <c:strCache>
                <c:ptCount val="1"/>
                <c:pt idx="0">
                  <c:v> pod
 zahraniční
 kontrolou</c:v>
                </c:pt>
              </c:strCache>
            </c:strRef>
          </c:tx>
          <c:spPr>
            <a:ln>
              <a:solidFill>
                <a:srgbClr val="C00000"/>
              </a:solidFill>
            </a:ln>
          </c:spPr>
          <c:marker>
            <c:symbol val="star"/>
            <c:size val="5"/>
            <c:spPr>
              <a:solidFill>
                <a:schemeClr val="tx1"/>
              </a:solidFill>
              <a:ln>
                <a:noFill/>
              </a:ln>
            </c:spPr>
          </c:marker>
          <c:dLbls>
            <c:dLbl>
              <c:idx val="5"/>
              <c:layout>
                <c:manualLayout>
                  <c:x val="-4.1697612112792846E-2"/>
                  <c:y val="-0.110995555555555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AA-49AC-8039-D6A818CDB623}"/>
                </c:ext>
              </c:extLst>
            </c:dLbl>
            <c:spPr>
              <a:solidFill>
                <a:srgbClr val="FF0000">
                  <a:alpha val="20000"/>
                </a:srgbClr>
              </a:solidFill>
              <a:ln>
                <a:noFill/>
              </a:ln>
              <a:effectLst/>
            </c:spPr>
            <c:txPr>
              <a:bodyPr wrap="square" lIns="38100" tIns="19050" rIns="38100" bIns="19050" anchor="ctr">
                <a:spAutoFit/>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Grafy_BES!$D$118:$N$118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Grafy_BES!$D$120:$N$120</c:f>
              <c:numCache>
                <c:formatCode>0.0</c:formatCode>
                <c:ptCount val="11"/>
                <c:pt idx="0">
                  <c:v>0.91776598999999981</c:v>
                </c:pt>
                <c:pt idx="1">
                  <c:v>0.96485430999999988</c:v>
                </c:pt>
                <c:pt idx="2">
                  <c:v>0.96504252000000046</c:v>
                </c:pt>
                <c:pt idx="3">
                  <c:v>1.1815803800000004</c:v>
                </c:pt>
                <c:pt idx="4">
                  <c:v>0.53226724016038607</c:v>
                </c:pt>
                <c:pt idx="5">
                  <c:v>0.82018460627191025</c:v>
                </c:pt>
                <c:pt idx="6">
                  <c:v>1.1261903224030163</c:v>
                </c:pt>
                <c:pt idx="7">
                  <c:v>0.92441600921333666</c:v>
                </c:pt>
                <c:pt idx="8">
                  <c:v>0.8049989999999998</c:v>
                </c:pt>
                <c:pt idx="9">
                  <c:v>0.74536805439753795</c:v>
                </c:pt>
                <c:pt idx="10">
                  <c:v>0.79316399999999998</c:v>
                </c:pt>
              </c:numCache>
            </c:numRef>
          </c:val>
          <c:smooth val="0"/>
          <c:extLst>
            <c:ext xmlns:c16="http://schemas.microsoft.com/office/drawing/2014/chart" uri="{C3380CC4-5D6E-409C-BE32-E72D297353CC}">
              <c16:uniqueId val="{00000002-67AA-49AC-8039-D6A818CDB623}"/>
            </c:ext>
          </c:extLst>
        </c:ser>
        <c:ser>
          <c:idx val="2"/>
          <c:order val="2"/>
          <c:tx>
            <c:strRef>
              <c:f>Grafy_BES!$A$121</c:f>
              <c:strCache>
                <c:ptCount val="1"/>
                <c:pt idx="0">
                  <c:v> veřejné</c:v>
                </c:pt>
              </c:strCache>
            </c:strRef>
          </c:tx>
          <c:spPr>
            <a:ln>
              <a:solidFill>
                <a:srgbClr val="0070C0"/>
              </a:solidFill>
            </a:ln>
          </c:spPr>
          <c:marker>
            <c:symbol val="diamond"/>
            <c:size val="5"/>
            <c:spPr>
              <a:solidFill>
                <a:schemeClr val="tx1"/>
              </a:solidFill>
              <a:ln>
                <a:noFill/>
              </a:ln>
            </c:spPr>
          </c:marker>
          <c:dLbls>
            <c:dLbl>
              <c:idx val="5"/>
              <c:layout>
                <c:manualLayout>
                  <c:x val="-3.8732452735476264E-2"/>
                  <c:y val="0.1251070370370368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AA-49AC-8039-D6A818CDB623}"/>
                </c:ext>
              </c:extLst>
            </c:dLbl>
            <c:spPr>
              <a:solidFill>
                <a:srgbClr val="00B0F0">
                  <a:alpha val="20000"/>
                </a:srgbClr>
              </a:solidFill>
              <a:ln>
                <a:noFill/>
              </a:ln>
              <a:effectLst/>
            </c:spPr>
            <c:txPr>
              <a:bodyPr wrap="square" lIns="38100" tIns="19050" rIns="38100" bIns="19050" anchor="ctr">
                <a:spAutoFit/>
              </a:bodyPr>
              <a:lstStyle/>
              <a:p>
                <a:pPr>
                  <a:defRPr sz="800" b="1"/>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Grafy_BES!$D$118:$N$118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Grafy_BES!$D$121:$N$121</c:f>
              <c:numCache>
                <c:formatCode>0.0</c:formatCode>
                <c:ptCount val="11"/>
                <c:pt idx="0">
                  <c:v>0.85693660999999999</c:v>
                </c:pt>
                <c:pt idx="1">
                  <c:v>0.92663599999999979</c:v>
                </c:pt>
                <c:pt idx="2">
                  <c:v>0.95172375000000009</c:v>
                </c:pt>
                <c:pt idx="3">
                  <c:v>1.0564275600000002</c:v>
                </c:pt>
                <c:pt idx="4">
                  <c:v>0.68663599999999991</c:v>
                </c:pt>
                <c:pt idx="5">
                  <c:v>1.3243525796026907</c:v>
                </c:pt>
                <c:pt idx="6">
                  <c:v>0.99260699999999991</c:v>
                </c:pt>
                <c:pt idx="7">
                  <c:v>1.0167539999999997</c:v>
                </c:pt>
                <c:pt idx="8">
                  <c:v>1.0954560000000004</c:v>
                </c:pt>
                <c:pt idx="9">
                  <c:v>0.741622</c:v>
                </c:pt>
                <c:pt idx="10">
                  <c:v>0.75790100000000005</c:v>
                </c:pt>
              </c:numCache>
            </c:numRef>
          </c:val>
          <c:smooth val="0"/>
          <c:extLst>
            <c:ext xmlns:c16="http://schemas.microsoft.com/office/drawing/2014/chart" uri="{C3380CC4-5D6E-409C-BE32-E72D297353CC}">
              <c16:uniqueId val="{00000004-67AA-49AC-8039-D6A818CDB623}"/>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800"/>
            </a:pPr>
            <a:endParaRPr lang="cs-CZ"/>
          </a:p>
        </c:txPr>
        <c:crossAx val="154340736"/>
        <c:crosses val="autoZero"/>
        <c:auto val="0"/>
        <c:lblAlgn val="ctr"/>
        <c:lblOffset val="100"/>
        <c:tickLblSkip val="2"/>
        <c:noMultiLvlLbl val="0"/>
      </c:catAx>
      <c:valAx>
        <c:axId val="154340736"/>
        <c:scaling>
          <c:orientation val="minMax"/>
          <c:max val="6.2"/>
          <c:min val="0"/>
        </c:scaling>
        <c:delete val="0"/>
        <c:axPos val="l"/>
        <c:majorGridlines>
          <c:spPr>
            <a:ln>
              <a:solidFill>
                <a:schemeClr val="bg1">
                  <a:lumMod val="85000"/>
                </a:schemeClr>
              </a:solidFill>
              <a:prstDash val="solid"/>
            </a:ln>
          </c:spPr>
        </c:majorGridlines>
        <c:title>
          <c:tx>
            <c:rich>
              <a:bodyPr rot="0" vert="horz"/>
              <a:lstStyle/>
              <a:p>
                <a:pPr>
                  <a:defRPr sz="800" b="1"/>
                </a:pPr>
                <a:r>
                  <a:rPr lang="cs-CZ" sz="800" b="1"/>
                  <a:t>Mld. Kč</a:t>
                </a:r>
              </a:p>
            </c:rich>
          </c:tx>
          <c:layout>
            <c:manualLayout>
              <c:xMode val="edge"/>
              <c:yMode val="edge"/>
              <c:x val="1.9558611511589219E-2"/>
              <c:y val="3.1668008228244345E-2"/>
            </c:manualLayout>
          </c:layout>
          <c:overlay val="0"/>
        </c:title>
        <c:numFmt formatCode="0" sourceLinked="0"/>
        <c:majorTickMark val="none"/>
        <c:minorTickMark val="none"/>
        <c:tickLblPos val="none"/>
        <c:spPr>
          <a:ln>
            <a:noFill/>
          </a:ln>
        </c:spPr>
        <c:crossAx val="154339200"/>
        <c:crosses val="autoZero"/>
        <c:crossBetween val="between"/>
        <c:majorUnit val="0.5"/>
      </c:valAx>
      <c:spPr>
        <a:ln>
          <a:noFill/>
        </a:ln>
      </c:spPr>
    </c:plotArea>
    <c:legend>
      <c:legendPos val="r"/>
      <c:layout>
        <c:manualLayout>
          <c:xMode val="edge"/>
          <c:yMode val="edge"/>
          <c:x val="0.76823287007582164"/>
          <c:y val="3.1897777777777775E-2"/>
          <c:w val="0.222381349847948"/>
          <c:h val="0.85965882158886697"/>
        </c:manualLayout>
      </c:layout>
      <c:overlay val="0"/>
      <c:spPr>
        <a:solidFill>
          <a:schemeClr val="bg1"/>
        </a:solidFill>
        <a:ln w="6350">
          <a:solidFill>
            <a:schemeClr val="bg1">
              <a:lumMod val="75000"/>
            </a:schemeClr>
          </a:solidFill>
        </a:ln>
      </c:spPr>
      <c:txPr>
        <a:bodyPr/>
        <a:lstStyle/>
        <a:p>
          <a:pPr>
            <a:defRPr sz="800"/>
          </a:pPr>
          <a:endParaRPr lang="cs-CZ"/>
        </a:p>
      </c:txPr>
    </c:legend>
    <c:plotVisOnly val="1"/>
    <c:dispBlanksAs val="gap"/>
    <c:showDLblsOverMax val="0"/>
  </c:chart>
  <c:spPr>
    <a:ln>
      <a:noFill/>
    </a:ln>
  </c:spPr>
  <c:txPr>
    <a:bodyPr/>
    <a:lstStyle/>
    <a:p>
      <a:pPr>
        <a:defRPr sz="9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737373737373734E-2"/>
          <c:y val="4.3317732136629775E-2"/>
          <c:w val="0.4201767676767677"/>
          <c:h val="0.85091166505958815"/>
        </c:manualLayout>
      </c:layout>
      <c:barChart>
        <c:barDir val="col"/>
        <c:grouping val="percentStacked"/>
        <c:varyColors val="0"/>
        <c:ser>
          <c:idx val="0"/>
          <c:order val="0"/>
          <c:tx>
            <c:strRef>
              <c:f>Grafy_BES!$A$125</c:f>
              <c:strCache>
                <c:ptCount val="1"/>
                <c:pt idx="0">
                  <c:v> soukromé
 domácí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Grafy_BES!$B$124:$N$124</c:f>
              <c:numCache>
                <c:formatCode>General</c:formatCode>
                <c:ptCount val="2"/>
                <c:pt idx="0">
                  <c:v>2012</c:v>
                </c:pt>
                <c:pt idx="1">
                  <c:v>2022</c:v>
                </c:pt>
              </c:numCache>
            </c:numRef>
          </c:cat>
          <c:val>
            <c:numRef>
              <c:f>Grafy_BES!$B$125:$N$125</c:f>
              <c:numCache>
                <c:formatCode>0%</c:formatCode>
                <c:ptCount val="2"/>
                <c:pt idx="0">
                  <c:v>0.74057034596892723</c:v>
                </c:pt>
                <c:pt idx="1">
                  <c:v>0.7912679296346059</c:v>
                </c:pt>
              </c:numCache>
            </c:numRef>
          </c:val>
          <c:extLst>
            <c:ext xmlns:c16="http://schemas.microsoft.com/office/drawing/2014/chart" uri="{C3380CC4-5D6E-409C-BE32-E72D297353CC}">
              <c16:uniqueId val="{00000000-1051-4F87-BB28-B3856DD413C4}"/>
            </c:ext>
          </c:extLst>
        </c:ser>
        <c:ser>
          <c:idx val="1"/>
          <c:order val="1"/>
          <c:tx>
            <c:strRef>
              <c:f>Grafy_BES!$A$126</c:f>
              <c:strCache>
                <c:ptCount val="1"/>
                <c:pt idx="0">
                  <c:v> pod
 zahraniční
 kontrolou</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Grafy_BES!$B$124:$N$124</c:f>
              <c:numCache>
                <c:formatCode>General</c:formatCode>
                <c:ptCount val="2"/>
                <c:pt idx="0">
                  <c:v>2012</c:v>
                </c:pt>
                <c:pt idx="1">
                  <c:v>2022</c:v>
                </c:pt>
              </c:numCache>
            </c:numRef>
          </c:cat>
          <c:val>
            <c:numRef>
              <c:f>Grafy_BES!$B$126:$N$126</c:f>
              <c:numCache>
                <c:formatCode>0%</c:formatCode>
                <c:ptCount val="2"/>
                <c:pt idx="0">
                  <c:v>0.13416090857543408</c:v>
                </c:pt>
                <c:pt idx="1">
                  <c:v>0.10673876585397606</c:v>
                </c:pt>
              </c:numCache>
            </c:numRef>
          </c:val>
          <c:extLst>
            <c:ext xmlns:c16="http://schemas.microsoft.com/office/drawing/2014/chart" uri="{C3380CC4-5D6E-409C-BE32-E72D297353CC}">
              <c16:uniqueId val="{00000001-1051-4F87-BB28-B3856DD413C4}"/>
            </c:ext>
          </c:extLst>
        </c:ser>
        <c:ser>
          <c:idx val="2"/>
          <c:order val="2"/>
          <c:tx>
            <c:strRef>
              <c:f>Grafy_BES!$A$127</c:f>
              <c:strCache>
                <c:ptCount val="1"/>
                <c:pt idx="0">
                  <c:v> veřejné</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Grafy_BES!$B$124:$N$124</c:f>
              <c:numCache>
                <c:formatCode>General</c:formatCode>
                <c:ptCount val="2"/>
                <c:pt idx="0">
                  <c:v>2012</c:v>
                </c:pt>
                <c:pt idx="1">
                  <c:v>2022</c:v>
                </c:pt>
              </c:numCache>
            </c:numRef>
          </c:cat>
          <c:val>
            <c:numRef>
              <c:f>Grafy_BES!$B$127:$N$127</c:f>
              <c:numCache>
                <c:formatCode>0%</c:formatCode>
                <c:ptCount val="2"/>
                <c:pt idx="0">
                  <c:v>0.1252687454556389</c:v>
                </c:pt>
                <c:pt idx="1">
                  <c:v>0.10199330451141796</c:v>
                </c:pt>
              </c:numCache>
            </c:numRef>
          </c:val>
          <c:extLst>
            <c:ext xmlns:c16="http://schemas.microsoft.com/office/drawing/2014/chart" uri="{C3380CC4-5D6E-409C-BE32-E72D297353CC}">
              <c16:uniqueId val="{00000002-1051-4F87-BB28-B3856DD413C4}"/>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0480353535353539"/>
          <c:y val="7.5112065110455248E-2"/>
          <c:w val="0.47827222222222221"/>
          <c:h val="0.7866611111111111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561928587086875E-2"/>
          <c:y val="4.750165077502938E-2"/>
          <c:w val="0.71797624727591602"/>
          <c:h val="0.83821788538836173"/>
        </c:manualLayout>
      </c:layout>
      <c:lineChart>
        <c:grouping val="standard"/>
        <c:varyColors val="0"/>
        <c:ser>
          <c:idx val="0"/>
          <c:order val="0"/>
          <c:tx>
            <c:strRef>
              <c:f>Grafy_BES!$A$65</c:f>
              <c:strCache>
                <c:ptCount val="1"/>
                <c:pt idx="0">
                  <c:v> pod
 zahraniční
 kontrolou</c:v>
                </c:pt>
              </c:strCache>
            </c:strRef>
          </c:tx>
          <c:spPr>
            <a:ln>
              <a:solidFill>
                <a:srgbClr val="0070C0"/>
              </a:solidFill>
            </a:ln>
          </c:spPr>
          <c:marker>
            <c:symbol val="triangle"/>
            <c:size val="5"/>
            <c:spPr>
              <a:solidFill>
                <a:schemeClr val="tx1"/>
              </a:solidFill>
              <a:ln>
                <a:noFill/>
              </a:ln>
            </c:spPr>
          </c:marker>
          <c:dLbls>
            <c:spPr>
              <a:noFill/>
              <a:ln>
                <a:noFill/>
              </a:ln>
              <a:effectLst/>
            </c:spPr>
            <c:txPr>
              <a:bodyPr wrap="square" lIns="38100" tIns="19050" rIns="38100" bIns="19050" anchor="ctr">
                <a:spAutoFit/>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Grafy_BES!$D$64:$N$64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Grafy_BES!$D$65:$N$65</c:f>
              <c:numCache>
                <c:formatCode>0.0</c:formatCode>
                <c:ptCount val="11"/>
                <c:pt idx="0">
                  <c:v>20.331374999999984</c:v>
                </c:pt>
                <c:pt idx="1">
                  <c:v>23.067146279999999</c:v>
                </c:pt>
                <c:pt idx="2">
                  <c:v>26.830701209999976</c:v>
                </c:pt>
                <c:pt idx="3">
                  <c:v>28.707324159999974</c:v>
                </c:pt>
                <c:pt idx="4">
                  <c:v>31.405956173482739</c:v>
                </c:pt>
                <c:pt idx="5">
                  <c:v>36.867462047651529</c:v>
                </c:pt>
                <c:pt idx="6">
                  <c:v>42.021504857730719</c:v>
                </c:pt>
                <c:pt idx="7">
                  <c:v>44.630031597741734</c:v>
                </c:pt>
                <c:pt idx="8">
                  <c:v>43.710143026223122</c:v>
                </c:pt>
                <c:pt idx="9">
                  <c:v>48.144208457323899</c:v>
                </c:pt>
                <c:pt idx="10">
                  <c:v>54.444169662612303</c:v>
                </c:pt>
              </c:numCache>
            </c:numRef>
          </c:val>
          <c:smooth val="0"/>
          <c:extLst>
            <c:ext xmlns:c16="http://schemas.microsoft.com/office/drawing/2014/chart" uri="{C3380CC4-5D6E-409C-BE32-E72D297353CC}">
              <c16:uniqueId val="{00000000-5E94-41E3-B551-BE7E20FFA83A}"/>
            </c:ext>
          </c:extLst>
        </c:ser>
        <c:ser>
          <c:idx val="1"/>
          <c:order val="1"/>
          <c:tx>
            <c:strRef>
              <c:f>Grafy_BES!$A$66</c:f>
              <c:strCache>
                <c:ptCount val="1"/>
                <c:pt idx="0">
                  <c:v> soukromé
 domácí</c:v>
                </c:pt>
              </c:strCache>
            </c:strRef>
          </c:tx>
          <c:spPr>
            <a:ln>
              <a:solidFill>
                <a:srgbClr val="00B050"/>
              </a:solidFill>
            </a:ln>
          </c:spPr>
          <c:marker>
            <c:symbol val="star"/>
            <c:size val="5"/>
            <c:spPr>
              <a:solidFill>
                <a:schemeClr val="tx1"/>
              </a:solidFill>
              <a:ln>
                <a:noFill/>
              </a:ln>
            </c:spPr>
          </c:marker>
          <c:dLbls>
            <c:spPr>
              <a:noFill/>
              <a:ln>
                <a:noFill/>
              </a:ln>
              <a:effectLst/>
            </c:spPr>
            <c:txPr>
              <a:bodyPr wrap="square" lIns="38100" tIns="19050" rIns="38100" bIns="19050" anchor="ctr">
                <a:spAutoFit/>
              </a:bodyPr>
              <a:lstStyle/>
              <a:p>
                <a:pPr>
                  <a:defRPr sz="800" b="1"/>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Grafy_BES!$D$64:$N$64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Grafy_BES!$D$66:$N$66</c:f>
              <c:numCache>
                <c:formatCode>0.0</c:formatCode>
                <c:ptCount val="11"/>
                <c:pt idx="0">
                  <c:v>16.129439869999977</c:v>
                </c:pt>
                <c:pt idx="1">
                  <c:v>16.518581780000002</c:v>
                </c:pt>
                <c:pt idx="2">
                  <c:v>18.054762849999989</c:v>
                </c:pt>
                <c:pt idx="3">
                  <c:v>17.326254669999997</c:v>
                </c:pt>
                <c:pt idx="4">
                  <c:v>15.674067097366789</c:v>
                </c:pt>
                <c:pt idx="5">
                  <c:v>17.495019017384969</c:v>
                </c:pt>
                <c:pt idx="6">
                  <c:v>19.464473926165727</c:v>
                </c:pt>
                <c:pt idx="7">
                  <c:v>21.991255301677555</c:v>
                </c:pt>
                <c:pt idx="8">
                  <c:v>23.085494534319125</c:v>
                </c:pt>
                <c:pt idx="9">
                  <c:v>26.109744995325599</c:v>
                </c:pt>
                <c:pt idx="10">
                  <c:v>28.835465134403002</c:v>
                </c:pt>
              </c:numCache>
            </c:numRef>
          </c:val>
          <c:smooth val="0"/>
          <c:extLst>
            <c:ext xmlns:c16="http://schemas.microsoft.com/office/drawing/2014/chart" uri="{C3380CC4-5D6E-409C-BE32-E72D297353CC}">
              <c16:uniqueId val="{00000001-5E94-41E3-B551-BE7E20FFA83A}"/>
            </c:ext>
          </c:extLst>
        </c:ser>
        <c:ser>
          <c:idx val="2"/>
          <c:order val="2"/>
          <c:tx>
            <c:strRef>
              <c:f>Grafy_BES!$A$67</c:f>
              <c:strCache>
                <c:ptCount val="1"/>
                <c:pt idx="0">
                  <c:v> veřejné</c:v>
                </c:pt>
              </c:strCache>
            </c:strRef>
          </c:tx>
          <c:spPr>
            <a:ln>
              <a:solidFill>
                <a:srgbClr val="C00000"/>
              </a:solidFill>
            </a:ln>
          </c:spPr>
          <c:marker>
            <c:symbol val="diamond"/>
            <c:size val="5"/>
            <c:spPr>
              <a:solidFill>
                <a:schemeClr val="tx1"/>
              </a:solidFill>
              <a:ln>
                <a:noFill/>
              </a:ln>
            </c:spPr>
          </c:marker>
          <c:dLbls>
            <c:spPr>
              <a:noFill/>
              <a:ln>
                <a:noFill/>
              </a:ln>
              <a:effectLst/>
            </c:spPr>
            <c:txPr>
              <a:bodyPr wrap="square" lIns="38100" tIns="19050" rIns="38100" bIns="19050" anchor="ctr">
                <a:spAutoFit/>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Grafy_BES!$D$64:$N$64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Grafy_BES!$D$67:$N$67</c:f>
              <c:numCache>
                <c:formatCode>0.0</c:formatCode>
                <c:ptCount val="11"/>
                <c:pt idx="0">
                  <c:v>1.7671768800000436</c:v>
                </c:pt>
                <c:pt idx="1">
                  <c:v>1.9269757799999851</c:v>
                </c:pt>
                <c:pt idx="2">
                  <c:v>2.095044749999964</c:v>
                </c:pt>
                <c:pt idx="3">
                  <c:v>2.1139262200000104</c:v>
                </c:pt>
                <c:pt idx="4">
                  <c:v>1.9002390000000204</c:v>
                </c:pt>
                <c:pt idx="5">
                  <c:v>2.4476456023096773</c:v>
                </c:pt>
                <c:pt idx="6">
                  <c:v>2.1676279999999437</c:v>
                </c:pt>
                <c:pt idx="7">
                  <c:v>2.1869564287820253</c:v>
                </c:pt>
                <c:pt idx="8">
                  <c:v>2.3169079999999993</c:v>
                </c:pt>
                <c:pt idx="9">
                  <c:v>2.3009539999999999</c:v>
                </c:pt>
                <c:pt idx="10">
                  <c:v>2.3173859999999999</c:v>
                </c:pt>
              </c:numCache>
            </c:numRef>
          </c:val>
          <c:smooth val="0"/>
          <c:extLst>
            <c:ext xmlns:c16="http://schemas.microsoft.com/office/drawing/2014/chart" uri="{C3380CC4-5D6E-409C-BE32-E72D297353CC}">
              <c16:uniqueId val="{00000002-5E94-41E3-B551-BE7E20FFA83A}"/>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800"/>
            </a:pPr>
            <a:endParaRPr lang="cs-CZ"/>
          </a:p>
        </c:txPr>
        <c:crossAx val="154340736"/>
        <c:crosses val="autoZero"/>
        <c:auto val="0"/>
        <c:lblAlgn val="ctr"/>
        <c:lblOffset val="100"/>
        <c:tickLblSkip val="2"/>
        <c:noMultiLvlLbl val="0"/>
      </c:catAx>
      <c:valAx>
        <c:axId val="154340736"/>
        <c:scaling>
          <c:orientation val="minMax"/>
          <c:max val="58"/>
          <c:min val="0"/>
        </c:scaling>
        <c:delete val="0"/>
        <c:axPos val="l"/>
        <c:title>
          <c:tx>
            <c:rich>
              <a:bodyPr rot="0" vert="horz"/>
              <a:lstStyle/>
              <a:p>
                <a:pPr>
                  <a:defRPr sz="800" b="1"/>
                </a:pPr>
                <a:r>
                  <a:rPr lang="cs-CZ" sz="800" b="1"/>
                  <a:t>Mld. Kč</a:t>
                </a:r>
              </a:p>
            </c:rich>
          </c:tx>
          <c:layout>
            <c:manualLayout>
              <c:xMode val="edge"/>
              <c:yMode val="edge"/>
              <c:x val="4.8106060606060604E-2"/>
              <c:y val="5.8928518518518505E-2"/>
            </c:manualLayout>
          </c:layout>
          <c:overlay val="0"/>
        </c:title>
        <c:numFmt formatCode="0" sourceLinked="0"/>
        <c:majorTickMark val="none"/>
        <c:minorTickMark val="none"/>
        <c:tickLblPos val="none"/>
        <c:spPr>
          <a:ln>
            <a:noFill/>
          </a:ln>
        </c:spPr>
        <c:crossAx val="154339200"/>
        <c:crosses val="autoZero"/>
        <c:crossBetween val="between"/>
        <c:majorUnit val="5"/>
        <c:minorUnit val="1"/>
      </c:valAx>
      <c:spPr>
        <a:ln>
          <a:noFill/>
        </a:ln>
      </c:spPr>
    </c:plotArea>
    <c:legend>
      <c:legendPos val="r"/>
      <c:layout>
        <c:manualLayout>
          <c:xMode val="edge"/>
          <c:yMode val="edge"/>
          <c:x val="0.75309682976838987"/>
          <c:y val="3.1897777777777775E-2"/>
          <c:w val="0.23751719786952671"/>
          <c:h val="0.85965882158886697"/>
        </c:manualLayout>
      </c:layout>
      <c:overlay val="0"/>
      <c:spPr>
        <a:solidFill>
          <a:schemeClr val="bg1"/>
        </a:solidFill>
        <a:ln w="6350">
          <a:solidFill>
            <a:schemeClr val="bg1">
              <a:lumMod val="75000"/>
            </a:schemeClr>
          </a:solidFill>
        </a:ln>
      </c:spPr>
      <c:txPr>
        <a:bodyPr/>
        <a:lstStyle/>
        <a:p>
          <a:pPr>
            <a:defRPr sz="800"/>
          </a:pPr>
          <a:endParaRPr lang="cs-CZ"/>
        </a:p>
      </c:txPr>
    </c:legend>
    <c:plotVisOnly val="1"/>
    <c:dispBlanksAs val="gap"/>
    <c:showDLblsOverMax val="0"/>
  </c:chart>
  <c:spPr>
    <a:ln>
      <a:noFill/>
    </a:ln>
  </c:spPr>
  <c:txPr>
    <a:bodyPr/>
    <a:lstStyle/>
    <a:p>
      <a:pPr>
        <a:defRPr sz="9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576403874140624E-2"/>
          <c:y val="4.331777121903229E-2"/>
          <c:w val="0.44640588146735577"/>
          <c:h val="0.85091166505958815"/>
        </c:manualLayout>
      </c:layout>
      <c:barChart>
        <c:barDir val="col"/>
        <c:grouping val="percentStacked"/>
        <c:varyColors val="0"/>
        <c:ser>
          <c:idx val="0"/>
          <c:order val="0"/>
          <c:tx>
            <c:strRef>
              <c:f>Grafy_BES!$A$71</c:f>
              <c:strCache>
                <c:ptCount val="1"/>
                <c:pt idx="0">
                  <c:v> pod
 zahraniční
 kontrolou</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Grafy_BES!$B$70:$N$70</c:f>
              <c:numCache>
                <c:formatCode>General</c:formatCode>
                <c:ptCount val="2"/>
                <c:pt idx="0">
                  <c:v>2012</c:v>
                </c:pt>
                <c:pt idx="1">
                  <c:v>2022</c:v>
                </c:pt>
              </c:numCache>
            </c:numRef>
          </c:cat>
          <c:val>
            <c:numRef>
              <c:f>Grafy_BES!$B$71:$N$71</c:f>
              <c:numCache>
                <c:formatCode>0%</c:formatCode>
                <c:ptCount val="2"/>
                <c:pt idx="0">
                  <c:v>0.53184522830708159</c:v>
                </c:pt>
                <c:pt idx="1">
                  <c:v>0.63605215643802715</c:v>
                </c:pt>
              </c:numCache>
            </c:numRef>
          </c:val>
          <c:extLst>
            <c:ext xmlns:c16="http://schemas.microsoft.com/office/drawing/2014/chart" uri="{C3380CC4-5D6E-409C-BE32-E72D297353CC}">
              <c16:uniqueId val="{00000000-AA67-458E-AD92-925AFD5C1136}"/>
            </c:ext>
          </c:extLst>
        </c:ser>
        <c:ser>
          <c:idx val="1"/>
          <c:order val="1"/>
          <c:tx>
            <c:strRef>
              <c:f>Grafy_BES!$A$72</c:f>
              <c:strCache>
                <c:ptCount val="1"/>
                <c:pt idx="0">
                  <c:v> soukromé
 domácí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Grafy_BES!$B$70:$N$70</c:f>
              <c:numCache>
                <c:formatCode>General</c:formatCode>
                <c:ptCount val="2"/>
                <c:pt idx="0">
                  <c:v>2012</c:v>
                </c:pt>
                <c:pt idx="1">
                  <c:v>2022</c:v>
                </c:pt>
              </c:numCache>
            </c:numRef>
          </c:cat>
          <c:val>
            <c:numRef>
              <c:f>Grafy_BES!$B$72:$N$72</c:f>
              <c:numCache>
                <c:formatCode>0%</c:formatCode>
                <c:ptCount val="2"/>
                <c:pt idx="0">
                  <c:v>0.42192747072568815</c:v>
                </c:pt>
                <c:pt idx="1">
                  <c:v>0.33687463495701986</c:v>
                </c:pt>
              </c:numCache>
            </c:numRef>
          </c:val>
          <c:extLst>
            <c:ext xmlns:c16="http://schemas.microsoft.com/office/drawing/2014/chart" uri="{C3380CC4-5D6E-409C-BE32-E72D297353CC}">
              <c16:uniqueId val="{00000001-AA67-458E-AD92-925AFD5C1136}"/>
            </c:ext>
          </c:extLst>
        </c:ser>
        <c:ser>
          <c:idx val="2"/>
          <c:order val="2"/>
          <c:tx>
            <c:strRef>
              <c:f>Grafy_BES!$A$73</c:f>
              <c:strCache>
                <c:ptCount val="1"/>
                <c:pt idx="0">
                  <c:v> veřejné</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Grafy_BES!$B$70:$N$70</c:f>
              <c:numCache>
                <c:formatCode>General</c:formatCode>
                <c:ptCount val="2"/>
                <c:pt idx="0">
                  <c:v>2012</c:v>
                </c:pt>
                <c:pt idx="1">
                  <c:v>2022</c:v>
                </c:pt>
              </c:numCache>
            </c:numRef>
          </c:cat>
          <c:val>
            <c:numRef>
              <c:f>Grafy_BES!$B$73:$N$73</c:f>
              <c:numCache>
                <c:formatCode>0%</c:formatCode>
                <c:ptCount val="2"/>
                <c:pt idx="0">
                  <c:v>4.6227300967230205E-2</c:v>
                </c:pt>
                <c:pt idx="1">
                  <c:v>2.707320860495185E-2</c:v>
                </c:pt>
              </c:numCache>
            </c:numRef>
          </c:val>
          <c:extLst>
            <c:ext xmlns:c16="http://schemas.microsoft.com/office/drawing/2014/chart" uri="{C3380CC4-5D6E-409C-BE32-E72D297353CC}">
              <c16:uniqueId val="{00000002-AA67-458E-AD92-925AFD5C1136}"/>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3095046921262612"/>
          <c:y val="7.5112110986126732E-2"/>
          <c:w val="0.42893210217293115"/>
          <c:h val="0.76054306412664341"/>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4157047325102881"/>
          <c:h val="0.85091166505958815"/>
        </c:manualLayout>
      </c:layout>
      <c:barChart>
        <c:barDir val="col"/>
        <c:grouping val="percentStacked"/>
        <c:varyColors val="0"/>
        <c:ser>
          <c:idx val="0"/>
          <c:order val="0"/>
          <c:tx>
            <c:strRef>
              <c:f>Grafy_BES!$A$97</c:f>
              <c:strCache>
                <c:ptCount val="1"/>
                <c:pt idx="0">
                  <c:v> mzdové</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Grafy_BES!$B$96:$N$96</c:f>
              <c:numCache>
                <c:formatCode>General</c:formatCode>
                <c:ptCount val="2"/>
                <c:pt idx="0">
                  <c:v>2012</c:v>
                </c:pt>
                <c:pt idx="1">
                  <c:v>2022</c:v>
                </c:pt>
              </c:numCache>
            </c:numRef>
          </c:cat>
          <c:val>
            <c:numRef>
              <c:f>Grafy_BES!$B$97:$N$97</c:f>
              <c:numCache>
                <c:formatCode>0%</c:formatCode>
                <c:ptCount val="2"/>
                <c:pt idx="0">
                  <c:v>0.4743026876372598</c:v>
                </c:pt>
                <c:pt idx="1">
                  <c:v>0.59046102976441217</c:v>
                </c:pt>
              </c:numCache>
            </c:numRef>
          </c:val>
          <c:extLst>
            <c:ext xmlns:c16="http://schemas.microsoft.com/office/drawing/2014/chart" uri="{C3380CC4-5D6E-409C-BE32-E72D297353CC}">
              <c16:uniqueId val="{00000000-2AC2-4A44-8391-7667EFC201D2}"/>
            </c:ext>
          </c:extLst>
        </c:ser>
        <c:ser>
          <c:idx val="1"/>
          <c:order val="1"/>
          <c:tx>
            <c:strRef>
              <c:f>Grafy_BES!$A$98</c:f>
              <c:strCache>
                <c:ptCount val="1"/>
                <c:pt idx="0">
                  <c:v> ostatní běžné</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Grafy_BES!$B$96:$N$96</c:f>
              <c:numCache>
                <c:formatCode>General</c:formatCode>
                <c:ptCount val="2"/>
                <c:pt idx="0">
                  <c:v>2012</c:v>
                </c:pt>
                <c:pt idx="1">
                  <c:v>2022</c:v>
                </c:pt>
              </c:numCache>
            </c:numRef>
          </c:cat>
          <c:val>
            <c:numRef>
              <c:f>Grafy_BES!$B$98:$N$98</c:f>
              <c:numCache>
                <c:formatCode>0%</c:formatCode>
                <c:ptCount val="2"/>
                <c:pt idx="0">
                  <c:v>0.35473527143889266</c:v>
                </c:pt>
                <c:pt idx="1">
                  <c:v>0.31979299320961524</c:v>
                </c:pt>
              </c:numCache>
            </c:numRef>
          </c:val>
          <c:extLst>
            <c:ext xmlns:c16="http://schemas.microsoft.com/office/drawing/2014/chart" uri="{C3380CC4-5D6E-409C-BE32-E72D297353CC}">
              <c16:uniqueId val="{00000001-2AC2-4A44-8391-7667EFC201D2}"/>
            </c:ext>
          </c:extLst>
        </c:ser>
        <c:ser>
          <c:idx val="2"/>
          <c:order val="2"/>
          <c:tx>
            <c:strRef>
              <c:f>Grafy_BES!$A$99</c:f>
              <c:strCache>
                <c:ptCount val="1"/>
                <c:pt idx="0">
                  <c:v> investiční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Grafy_BES!$B$96:$N$96</c:f>
              <c:numCache>
                <c:formatCode>General</c:formatCode>
                <c:ptCount val="2"/>
                <c:pt idx="0">
                  <c:v>2012</c:v>
                </c:pt>
                <c:pt idx="1">
                  <c:v>2022</c:v>
                </c:pt>
              </c:numCache>
            </c:numRef>
          </c:cat>
          <c:val>
            <c:numRef>
              <c:f>Grafy_BES!$B$99:$N$99</c:f>
              <c:numCache>
                <c:formatCode>0%</c:formatCode>
                <c:ptCount val="2"/>
                <c:pt idx="0">
                  <c:v>0.17096204013908201</c:v>
                </c:pt>
                <c:pt idx="1">
                  <c:v>8.9745977025974047E-2</c:v>
                </c:pt>
              </c:numCache>
            </c:numRef>
          </c:val>
          <c:extLst>
            <c:ext xmlns:c16="http://schemas.microsoft.com/office/drawing/2014/chart" uri="{C3380CC4-5D6E-409C-BE32-E72D297353CC}">
              <c16:uniqueId val="{00000002-2AC2-4A44-8391-7667EFC201D2}"/>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1296450617283949"/>
          <c:y val="7.5112110986126732E-2"/>
          <c:w val="0.36091975308641971"/>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43941919191919188"/>
          <c:h val="0.85091166505958815"/>
        </c:manualLayout>
      </c:layout>
      <c:barChart>
        <c:barDir val="col"/>
        <c:grouping val="percentStacked"/>
        <c:varyColors val="0"/>
        <c:ser>
          <c:idx val="0"/>
          <c:order val="0"/>
          <c:tx>
            <c:strRef>
              <c:f>Grafy_BES!$A$104</c:f>
              <c:strCache>
                <c:ptCount val="1"/>
                <c:pt idx="0">
                  <c:v> podnikové </c:v>
                </c:pt>
              </c:strCache>
            </c:strRef>
          </c:tx>
          <c:spPr>
            <a:solidFill>
              <a:srgbClr val="0070C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Grafy_BES!$B$103:$N$103</c:f>
              <c:numCache>
                <c:formatCode>General</c:formatCode>
                <c:ptCount val="2"/>
                <c:pt idx="0">
                  <c:v>2012</c:v>
                </c:pt>
                <c:pt idx="1">
                  <c:v>2022</c:v>
                </c:pt>
              </c:numCache>
            </c:numRef>
          </c:cat>
          <c:val>
            <c:numRef>
              <c:f>Grafy_BES!$B$104:$N$104</c:f>
              <c:numCache>
                <c:formatCode>0%</c:formatCode>
                <c:ptCount val="2"/>
                <c:pt idx="0">
                  <c:v>0.82067763577980835</c:v>
                </c:pt>
                <c:pt idx="1">
                  <c:v>0.91279194100296512</c:v>
                </c:pt>
              </c:numCache>
            </c:numRef>
          </c:val>
          <c:extLst>
            <c:ext xmlns:c16="http://schemas.microsoft.com/office/drawing/2014/chart" uri="{C3380CC4-5D6E-409C-BE32-E72D297353CC}">
              <c16:uniqueId val="{00000000-48E0-40A0-9428-C5D166127A48}"/>
            </c:ext>
          </c:extLst>
        </c:ser>
        <c:ser>
          <c:idx val="1"/>
          <c:order val="1"/>
          <c:tx>
            <c:strRef>
              <c:f>Grafy_BES!$A$105</c:f>
              <c:strCache>
                <c:ptCount val="1"/>
                <c:pt idx="0">
                  <c:v> veřejné domácí </c:v>
                </c:pt>
              </c:strCache>
            </c:strRef>
          </c:tx>
          <c:spPr>
            <a:solidFill>
              <a:srgbClr val="C0000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Grafy_BES!$B$103:$N$103</c:f>
              <c:numCache>
                <c:formatCode>General</c:formatCode>
                <c:ptCount val="2"/>
                <c:pt idx="0">
                  <c:v>2012</c:v>
                </c:pt>
                <c:pt idx="1">
                  <c:v>2022</c:v>
                </c:pt>
              </c:numCache>
            </c:numRef>
          </c:cat>
          <c:val>
            <c:numRef>
              <c:f>Grafy_BES!$B$105:$N$105</c:f>
              <c:numCache>
                <c:formatCode>0%</c:formatCode>
                <c:ptCount val="2"/>
                <c:pt idx="0">
                  <c:v>0.12994862750016156</c:v>
                </c:pt>
                <c:pt idx="1">
                  <c:v>4.9105470737908684E-2</c:v>
                </c:pt>
              </c:numCache>
            </c:numRef>
          </c:val>
          <c:extLst>
            <c:ext xmlns:c16="http://schemas.microsoft.com/office/drawing/2014/chart" uri="{C3380CC4-5D6E-409C-BE32-E72D297353CC}">
              <c16:uniqueId val="{00000001-48E0-40A0-9428-C5D166127A48}"/>
            </c:ext>
          </c:extLst>
        </c:ser>
        <c:ser>
          <c:idx val="2"/>
          <c:order val="2"/>
          <c:tx>
            <c:strRef>
              <c:f>Grafy_BES!$A$106</c:f>
              <c:strCache>
                <c:ptCount val="1"/>
                <c:pt idx="0">
                  <c:v> veřejné zahraniční </c:v>
                </c:pt>
              </c:strCache>
            </c:strRef>
          </c:tx>
          <c:spPr>
            <a:solidFill>
              <a:srgbClr val="00B050"/>
            </a:solidFill>
          </c:spPr>
          <c:invertIfNegative val="0"/>
          <c:cat>
            <c:numRef>
              <c:f>Grafy_BES!$B$103:$N$103</c:f>
              <c:numCache>
                <c:formatCode>General</c:formatCode>
                <c:ptCount val="2"/>
                <c:pt idx="0">
                  <c:v>2012</c:v>
                </c:pt>
                <c:pt idx="1">
                  <c:v>2022</c:v>
                </c:pt>
              </c:numCache>
            </c:numRef>
          </c:cat>
          <c:val>
            <c:numRef>
              <c:f>Grafy_BES!$B$106:$N$106</c:f>
              <c:numCache>
                <c:formatCode>0%</c:formatCode>
                <c:ptCount val="2"/>
                <c:pt idx="0">
                  <c:v>4.8998398666861759E-2</c:v>
                </c:pt>
                <c:pt idx="1">
                  <c:v>3.7707010238549728E-2</c:v>
                </c:pt>
              </c:numCache>
            </c:numRef>
          </c:val>
          <c:extLst>
            <c:ext xmlns:c16="http://schemas.microsoft.com/office/drawing/2014/chart" uri="{C3380CC4-5D6E-409C-BE32-E72D297353CC}">
              <c16:uniqueId val="{00000002-48E0-40A0-9428-C5D166127A48}"/>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4906111111111111"/>
          <c:y val="7.5112110986126732E-2"/>
          <c:w val="0.42482373737373735"/>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38805244550409E-2"/>
          <c:y val="4.750165077502938E-2"/>
          <c:w val="0.71749823232323229"/>
          <c:h val="0.83821788538836173"/>
        </c:manualLayout>
      </c:layout>
      <c:lineChart>
        <c:grouping val="standard"/>
        <c:varyColors val="0"/>
        <c:ser>
          <c:idx val="0"/>
          <c:order val="0"/>
          <c:tx>
            <c:strRef>
              <c:f>Grafy_BES!$A$151</c:f>
              <c:strCache>
                <c:ptCount val="1"/>
                <c:pt idx="0">
                  <c:v> Zpracov.
 průmysl
 (sekce C)</c:v>
                </c:pt>
              </c:strCache>
            </c:strRef>
          </c:tx>
          <c:spPr>
            <a:ln>
              <a:solidFill>
                <a:srgbClr val="0070C0"/>
              </a:solidFill>
            </a:ln>
          </c:spPr>
          <c:marker>
            <c:symbol val="triangle"/>
            <c:size val="5"/>
            <c:spPr>
              <a:solidFill>
                <a:schemeClr val="tx1"/>
              </a:solidFill>
              <a:ln>
                <a:noFill/>
              </a:ln>
            </c:spPr>
          </c:marker>
          <c:dLbls>
            <c:spPr>
              <a:noFill/>
              <a:ln>
                <a:noFill/>
              </a:ln>
              <a:effectLst/>
            </c:spPr>
            <c:txPr>
              <a:bodyPr wrap="square" lIns="38100" tIns="19050" rIns="38100" bIns="19050" anchor="ctr">
                <a:spAutoFit/>
              </a:bodyPr>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Grafy_BES!$C$150:$N$150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Grafy_BES!$C$151:$N$151</c:f>
              <c:numCache>
                <c:formatCode>0.0</c:formatCode>
                <c:ptCount val="11"/>
                <c:pt idx="0">
                  <c:v>19.525719059999989</c:v>
                </c:pt>
                <c:pt idx="1">
                  <c:v>22.065577300000008</c:v>
                </c:pt>
                <c:pt idx="2">
                  <c:v>24.263772039999985</c:v>
                </c:pt>
                <c:pt idx="3">
                  <c:v>25.277147980000017</c:v>
                </c:pt>
                <c:pt idx="4">
                  <c:v>26.203236893074699</c:v>
                </c:pt>
                <c:pt idx="5">
                  <c:v>30.519091493155141</c:v>
                </c:pt>
                <c:pt idx="6">
                  <c:v>34.750456158185493</c:v>
                </c:pt>
                <c:pt idx="7">
                  <c:v>36.961487840728495</c:v>
                </c:pt>
                <c:pt idx="8">
                  <c:v>34.963784405904462</c:v>
                </c:pt>
                <c:pt idx="9">
                  <c:v>38.473396805934001</c:v>
                </c:pt>
                <c:pt idx="10">
                  <c:v>42.853908100219201</c:v>
                </c:pt>
              </c:numCache>
            </c:numRef>
          </c:val>
          <c:smooth val="0"/>
          <c:extLst>
            <c:ext xmlns:c16="http://schemas.microsoft.com/office/drawing/2014/chart" uri="{C3380CC4-5D6E-409C-BE32-E72D297353CC}">
              <c16:uniqueId val="{00000000-EB96-49DC-B530-CE77BA219158}"/>
            </c:ext>
          </c:extLst>
        </c:ser>
        <c:ser>
          <c:idx val="1"/>
          <c:order val="1"/>
          <c:tx>
            <c:strRef>
              <c:f>Grafy_BES!$A$152</c:f>
              <c:strCache>
                <c:ptCount val="1"/>
                <c:pt idx="0">
                  <c:v> ICT 
 (sekce J)</c:v>
                </c:pt>
              </c:strCache>
            </c:strRef>
          </c:tx>
          <c:spPr>
            <a:ln>
              <a:solidFill>
                <a:srgbClr val="00B050"/>
              </a:solidFill>
            </a:ln>
          </c:spPr>
          <c:marker>
            <c:symbol val="star"/>
            <c:size val="5"/>
            <c:spPr>
              <a:solidFill>
                <a:schemeClr val="tx1"/>
              </a:solidFill>
              <a:ln>
                <a:noFill/>
              </a:ln>
            </c:spPr>
          </c:marker>
          <c:dLbls>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96-49DC-B530-CE77BA219158}"/>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96-49DC-B530-CE77BA219158}"/>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96-49DC-B530-CE77BA219158}"/>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96-49DC-B530-CE77BA219158}"/>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96-49DC-B530-CE77BA219158}"/>
                </c:ext>
              </c:extLst>
            </c:dLbl>
            <c:spPr>
              <a:solidFill>
                <a:srgbClr val="92D050">
                  <a:alpha val="20000"/>
                </a:srgbClr>
              </a:solidFill>
              <a:ln>
                <a:noFill/>
              </a:ln>
              <a:effectLst/>
            </c:spPr>
            <c:txPr>
              <a:bodyPr wrap="square" lIns="38100" tIns="19050" rIns="38100" bIns="19050" anchor="ctr">
                <a:spAutoFit/>
              </a:bodyPr>
              <a:lstStyle/>
              <a:p>
                <a:pPr>
                  <a:defRPr sz="800"/>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Grafy_BES!$C$150:$N$150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Grafy_BES!$C$152:$N$152</c:f>
              <c:numCache>
                <c:formatCode>0.0</c:formatCode>
                <c:ptCount val="11"/>
                <c:pt idx="0">
                  <c:v>5.6005519799999979</c:v>
                </c:pt>
                <c:pt idx="1">
                  <c:v>5.8592479500000012</c:v>
                </c:pt>
                <c:pt idx="2">
                  <c:v>7.7190662399999965</c:v>
                </c:pt>
                <c:pt idx="3">
                  <c:v>7.9307894900000049</c:v>
                </c:pt>
                <c:pt idx="4">
                  <c:v>8.6289630707343701</c:v>
                </c:pt>
                <c:pt idx="5">
                  <c:v>10.580125486085127</c:v>
                </c:pt>
                <c:pt idx="6">
                  <c:v>12.808447359358224</c:v>
                </c:pt>
                <c:pt idx="7">
                  <c:v>13.458970778366385</c:v>
                </c:pt>
                <c:pt idx="8">
                  <c:v>15.505831771369989</c:v>
                </c:pt>
                <c:pt idx="9">
                  <c:v>19.242563400645899</c:v>
                </c:pt>
                <c:pt idx="10">
                  <c:v>21.7798127144553</c:v>
                </c:pt>
              </c:numCache>
            </c:numRef>
          </c:val>
          <c:smooth val="0"/>
          <c:extLst>
            <c:ext xmlns:c16="http://schemas.microsoft.com/office/drawing/2014/chart" uri="{C3380CC4-5D6E-409C-BE32-E72D297353CC}">
              <c16:uniqueId val="{00000006-EB96-49DC-B530-CE77BA219158}"/>
            </c:ext>
          </c:extLst>
        </c:ser>
        <c:ser>
          <c:idx val="2"/>
          <c:order val="2"/>
          <c:tx>
            <c:strRef>
              <c:f>Grafy_BES!$A$153</c:f>
              <c:strCache>
                <c:ptCount val="1"/>
                <c:pt idx="0">
                  <c:v> Profesní,
 VaT činn.
 (sekce M)</c:v>
                </c:pt>
              </c:strCache>
            </c:strRef>
          </c:tx>
          <c:spPr>
            <a:ln>
              <a:solidFill>
                <a:srgbClr val="FF0000"/>
              </a:solidFill>
            </a:ln>
          </c:spPr>
          <c:marker>
            <c:symbol val="diamond"/>
            <c:size val="5"/>
            <c:spPr>
              <a:solidFill>
                <a:schemeClr val="tx1"/>
              </a:solidFill>
              <a:ln>
                <a:noFill/>
              </a:ln>
            </c:spPr>
          </c:marker>
          <c:dLbls>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B96-49DC-B530-CE77BA219158}"/>
                </c:ext>
              </c:extLst>
            </c:dLbl>
            <c:dLbl>
              <c:idx val="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96-49DC-B530-CE77BA219158}"/>
                </c:ext>
              </c:extLst>
            </c:dLbl>
            <c:dLbl>
              <c:idx val="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B96-49DC-B530-CE77BA219158}"/>
                </c:ext>
              </c:extLst>
            </c:dLbl>
            <c:dLbl>
              <c:idx val="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B96-49DC-B530-CE77BA219158}"/>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B96-49DC-B530-CE77BA219158}"/>
                </c:ext>
              </c:extLst>
            </c:dLbl>
            <c:spPr>
              <a:solidFill>
                <a:srgbClr val="FF0000">
                  <a:alpha val="20000"/>
                </a:srgbClr>
              </a:solidFill>
              <a:ln>
                <a:noFill/>
              </a:ln>
              <a:effectLst/>
            </c:spPr>
            <c:txPr>
              <a:bodyPr wrap="square" lIns="38100" tIns="19050" rIns="38100" bIns="19050" anchor="ctr">
                <a:spAutoFit/>
              </a:bodyPr>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Grafy_BES!$C$150:$N$150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Grafy_BES!$C$153:$N$153</c:f>
              <c:numCache>
                <c:formatCode>0.0</c:formatCode>
                <c:ptCount val="11"/>
                <c:pt idx="0">
                  <c:v>10.314835179999989</c:v>
                </c:pt>
                <c:pt idx="1">
                  <c:v>9.9981730800000079</c:v>
                </c:pt>
                <c:pt idx="2">
                  <c:v>11.741740779999994</c:v>
                </c:pt>
                <c:pt idx="3">
                  <c:v>11.63954742</c:v>
                </c:pt>
                <c:pt idx="4">
                  <c:v>10.956549493187378</c:v>
                </c:pt>
                <c:pt idx="5">
                  <c:v>12.119462839276343</c:v>
                </c:pt>
                <c:pt idx="6">
                  <c:v>12.025327569437611</c:v>
                </c:pt>
                <c:pt idx="7">
                  <c:v>13.130180706341518</c:v>
                </c:pt>
                <c:pt idx="8">
                  <c:v>13.538216525125723</c:v>
                </c:pt>
                <c:pt idx="9">
                  <c:v>13.421825452081499</c:v>
                </c:pt>
                <c:pt idx="10">
                  <c:v>15.045436352667901</c:v>
                </c:pt>
              </c:numCache>
            </c:numRef>
          </c:val>
          <c:smooth val="0"/>
          <c:extLst>
            <c:ext xmlns:c16="http://schemas.microsoft.com/office/drawing/2014/chart" uri="{C3380CC4-5D6E-409C-BE32-E72D297353CC}">
              <c16:uniqueId val="{0000000C-EB96-49DC-B530-CE77BA219158}"/>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800"/>
            </a:pPr>
            <a:endParaRPr lang="cs-CZ"/>
          </a:p>
        </c:txPr>
        <c:crossAx val="154340736"/>
        <c:crosses val="autoZero"/>
        <c:auto val="0"/>
        <c:lblAlgn val="ctr"/>
        <c:lblOffset val="100"/>
        <c:tickLblSkip val="2"/>
        <c:noMultiLvlLbl val="0"/>
      </c:catAx>
      <c:valAx>
        <c:axId val="154340736"/>
        <c:scaling>
          <c:orientation val="minMax"/>
          <c:max val="47"/>
          <c:min val="0"/>
        </c:scaling>
        <c:delete val="0"/>
        <c:axPos val="l"/>
        <c:majorGridlines>
          <c:spPr>
            <a:ln>
              <a:solidFill>
                <a:schemeClr val="bg1">
                  <a:lumMod val="85000"/>
                </a:schemeClr>
              </a:solidFill>
              <a:prstDash val="solid"/>
            </a:ln>
          </c:spPr>
        </c:majorGridlines>
        <c:title>
          <c:tx>
            <c:rich>
              <a:bodyPr rot="0" vert="horz"/>
              <a:lstStyle/>
              <a:p>
                <a:pPr>
                  <a:defRPr sz="800" b="1"/>
                </a:pPr>
                <a:r>
                  <a:rPr lang="cs-CZ" sz="800" b="1"/>
                  <a:t>Mld. Kč</a:t>
                </a:r>
              </a:p>
            </c:rich>
          </c:tx>
          <c:layout>
            <c:manualLayout>
              <c:xMode val="edge"/>
              <c:yMode val="edge"/>
              <c:x val="4.8106060606060604E-2"/>
              <c:y val="5.8928518518518505E-2"/>
            </c:manualLayout>
          </c:layout>
          <c:overlay val="0"/>
        </c:title>
        <c:numFmt formatCode="0" sourceLinked="0"/>
        <c:majorTickMark val="none"/>
        <c:minorTickMark val="none"/>
        <c:tickLblPos val="none"/>
        <c:spPr>
          <a:ln>
            <a:noFill/>
          </a:ln>
        </c:spPr>
        <c:crossAx val="154339200"/>
        <c:crosses val="autoZero"/>
        <c:crossBetween val="between"/>
        <c:majorUnit val="5"/>
        <c:minorUnit val="1"/>
      </c:valAx>
      <c:spPr>
        <a:ln>
          <a:noFill/>
        </a:ln>
      </c:spPr>
    </c:plotArea>
    <c:legend>
      <c:legendPos val="r"/>
      <c:layout>
        <c:manualLayout>
          <c:xMode val="edge"/>
          <c:yMode val="edge"/>
          <c:x val="0.77882171717171722"/>
          <c:y val="3.1897777777777775E-2"/>
          <c:w val="0.21179242424242425"/>
          <c:h val="0.85965882158886697"/>
        </c:manualLayout>
      </c:layout>
      <c:overlay val="0"/>
      <c:spPr>
        <a:solidFill>
          <a:schemeClr val="bg1"/>
        </a:solidFill>
        <a:ln w="6350">
          <a:solidFill>
            <a:schemeClr val="bg1">
              <a:lumMod val="75000"/>
            </a:schemeClr>
          </a:solidFill>
        </a:ln>
      </c:spPr>
      <c:txPr>
        <a:bodyPr/>
        <a:lstStyle/>
        <a:p>
          <a:pPr>
            <a:defRPr sz="800"/>
          </a:pPr>
          <a:endParaRPr lang="cs-CZ"/>
        </a:p>
      </c:txPr>
    </c:legend>
    <c:plotVisOnly val="1"/>
    <c:dispBlanksAs val="gap"/>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4330050505050505"/>
          <c:h val="0.85091166505958815"/>
        </c:manualLayout>
      </c:layout>
      <c:barChart>
        <c:barDir val="col"/>
        <c:grouping val="percentStacked"/>
        <c:varyColors val="0"/>
        <c:ser>
          <c:idx val="0"/>
          <c:order val="0"/>
          <c:tx>
            <c:strRef>
              <c:f>Grafy_BES!$A$158</c:f>
              <c:strCache>
                <c:ptCount val="1"/>
                <c:pt idx="0">
                  <c:v> Zpracov.
 Průmysl
 (sekce C)</c:v>
                </c:pt>
              </c:strCache>
            </c:strRef>
          </c:tx>
          <c:spPr>
            <a:solidFill>
              <a:srgbClr val="0070C0"/>
            </a:solidFill>
          </c:spPr>
          <c:invertIfNegative val="0"/>
          <c:dLbls>
            <c:spPr>
              <a:noFill/>
              <a:ln>
                <a:noFill/>
              </a:ln>
              <a:effectLst/>
            </c:spPr>
            <c:txPr>
              <a:bodyPr/>
              <a:lstStyle/>
              <a:p>
                <a:pPr>
                  <a:defRPr sz="800">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Grafy_BES!$B$157:$N$157</c:f>
              <c:numCache>
                <c:formatCode>General</c:formatCode>
                <c:ptCount val="2"/>
                <c:pt idx="0">
                  <c:v>2012</c:v>
                </c:pt>
                <c:pt idx="1">
                  <c:v>2022</c:v>
                </c:pt>
              </c:numCache>
            </c:numRef>
          </c:cat>
          <c:val>
            <c:numRef>
              <c:f>Grafy_BES!$B$158:$N$158</c:f>
              <c:numCache>
                <c:formatCode>0%</c:formatCode>
                <c:ptCount val="2"/>
                <c:pt idx="0">
                  <c:v>0.51077020178544918</c:v>
                </c:pt>
                <c:pt idx="1">
                  <c:v>0.50064719193723894</c:v>
                </c:pt>
              </c:numCache>
            </c:numRef>
          </c:val>
          <c:extLst>
            <c:ext xmlns:c16="http://schemas.microsoft.com/office/drawing/2014/chart" uri="{C3380CC4-5D6E-409C-BE32-E72D297353CC}">
              <c16:uniqueId val="{00000000-29DB-4743-B493-D99E5F6CC3F0}"/>
            </c:ext>
          </c:extLst>
        </c:ser>
        <c:ser>
          <c:idx val="1"/>
          <c:order val="1"/>
          <c:tx>
            <c:strRef>
              <c:f>Grafy_BES!$A$159</c:f>
              <c:strCache>
                <c:ptCount val="1"/>
                <c:pt idx="0">
                  <c:v> ICT 
 (sekce J)</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Grafy_BES!$B$157:$N$157</c:f>
              <c:numCache>
                <c:formatCode>General</c:formatCode>
                <c:ptCount val="2"/>
                <c:pt idx="0">
                  <c:v>2012</c:v>
                </c:pt>
                <c:pt idx="1">
                  <c:v>2022</c:v>
                </c:pt>
              </c:numCache>
            </c:numRef>
          </c:cat>
          <c:val>
            <c:numRef>
              <c:f>Grafy_BES!$B$159:$N$159</c:f>
              <c:numCache>
                <c:formatCode>0%</c:formatCode>
                <c:ptCount val="2"/>
                <c:pt idx="0">
                  <c:v>0.14650395491936866</c:v>
                </c:pt>
                <c:pt idx="1">
                  <c:v>0.25444592009929762</c:v>
                </c:pt>
              </c:numCache>
            </c:numRef>
          </c:val>
          <c:extLst>
            <c:ext xmlns:c16="http://schemas.microsoft.com/office/drawing/2014/chart" uri="{C3380CC4-5D6E-409C-BE32-E72D297353CC}">
              <c16:uniqueId val="{00000001-29DB-4743-B493-D99E5F6CC3F0}"/>
            </c:ext>
          </c:extLst>
        </c:ser>
        <c:ser>
          <c:idx val="2"/>
          <c:order val="2"/>
          <c:tx>
            <c:strRef>
              <c:f>Grafy_BES!$A$160</c:f>
              <c:strCache>
                <c:ptCount val="1"/>
                <c:pt idx="0">
                  <c:v> Profesní,
 VaT činn.
 (sekce M)</c:v>
                </c:pt>
              </c:strCache>
            </c:strRef>
          </c:tx>
          <c:spPr>
            <a:solidFill>
              <a:srgbClr val="C00000"/>
            </a:solidFill>
          </c:spPr>
          <c:invertIfNegative val="0"/>
          <c:dLbls>
            <c:spPr>
              <a:noFill/>
              <a:ln>
                <a:noFill/>
              </a:ln>
              <a:effectLst/>
            </c:spPr>
            <c:txPr>
              <a:bodyPr/>
              <a:lstStyle/>
              <a:p>
                <a:pPr>
                  <a:defRPr sz="800">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Grafy_BES!$B$157:$N$157</c:f>
              <c:numCache>
                <c:formatCode>General</c:formatCode>
                <c:ptCount val="2"/>
                <c:pt idx="0">
                  <c:v>2012</c:v>
                </c:pt>
                <c:pt idx="1">
                  <c:v>2022</c:v>
                </c:pt>
              </c:numCache>
            </c:numRef>
          </c:cat>
          <c:val>
            <c:numRef>
              <c:f>Grafy_BES!$B$160:$N$160</c:f>
              <c:numCache>
                <c:formatCode>0%</c:formatCode>
                <c:ptCount val="2"/>
                <c:pt idx="0">
                  <c:v>0.26982414476428745</c:v>
                </c:pt>
                <c:pt idx="1">
                  <c:v>0.17577056085102094</c:v>
                </c:pt>
              </c:numCache>
            </c:numRef>
          </c:val>
          <c:extLst>
            <c:ext xmlns:c16="http://schemas.microsoft.com/office/drawing/2014/chart" uri="{C3380CC4-5D6E-409C-BE32-E72D297353CC}">
              <c16:uniqueId val="{00000002-29DB-4743-B493-D99E5F6CC3F0}"/>
            </c:ext>
          </c:extLst>
        </c:ser>
        <c:ser>
          <c:idx val="3"/>
          <c:order val="3"/>
          <c:tx>
            <c:strRef>
              <c:f>Grafy_BES!$A$161</c:f>
              <c:strCache>
                <c:ptCount val="1"/>
                <c:pt idx="0">
                  <c:v> Ostatní činnosti</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Grafy_BES!$B$157:$N$157</c:f>
              <c:numCache>
                <c:formatCode>General</c:formatCode>
                <c:ptCount val="2"/>
                <c:pt idx="0">
                  <c:v>2012</c:v>
                </c:pt>
                <c:pt idx="1">
                  <c:v>2022</c:v>
                </c:pt>
              </c:numCache>
            </c:numRef>
          </c:cat>
          <c:val>
            <c:numRef>
              <c:f>Grafy_BES!$B$161:$N$161</c:f>
              <c:numCache>
                <c:formatCode>0%</c:formatCode>
                <c:ptCount val="2"/>
                <c:pt idx="0">
                  <c:v>7.2901698530894857E-2</c:v>
                </c:pt>
                <c:pt idx="1">
                  <c:v>6.9136327112442525E-2</c:v>
                </c:pt>
              </c:numCache>
            </c:numRef>
          </c:val>
          <c:extLst>
            <c:ext xmlns:c16="http://schemas.microsoft.com/office/drawing/2014/chart" uri="{C3380CC4-5D6E-409C-BE32-E72D297353CC}">
              <c16:uniqueId val="{00000003-29DB-4743-B493-D99E5F6CC3F0}"/>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3046010101010099"/>
          <c:y val="4.6889902513192021E-2"/>
          <c:w val="0.43864191919191919"/>
          <c:h val="0.83081370370370367"/>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Tisíce přepočtených osob (FTE)</a:t>
            </a:r>
          </a:p>
        </c:rich>
      </c:tx>
      <c:layout>
        <c:manualLayout>
          <c:xMode val="edge"/>
          <c:yMode val="edge"/>
          <c:x val="3.2070707070707069E-2"/>
          <c:y val="6.1148148148148146E-2"/>
        </c:manualLayout>
      </c:layout>
      <c:overlay val="0"/>
    </c:title>
    <c:autoTitleDeleted val="0"/>
    <c:plotArea>
      <c:layout>
        <c:manualLayout>
          <c:layoutTarget val="inner"/>
          <c:xMode val="edge"/>
          <c:yMode val="edge"/>
          <c:x val="2.4286580097744655E-2"/>
          <c:y val="4.750165077502938E-2"/>
          <c:w val="0.72780229274394259"/>
          <c:h val="0.83821788538836173"/>
        </c:manualLayout>
      </c:layout>
      <c:lineChart>
        <c:grouping val="standard"/>
        <c:varyColors val="0"/>
        <c:ser>
          <c:idx val="0"/>
          <c:order val="0"/>
          <c:tx>
            <c:strRef>
              <c:f>Grafy_BES!$A$215</c:f>
              <c:strCache>
                <c:ptCount val="1"/>
                <c:pt idx="0">
                  <c:v> pod
 zahraniční
 kontrolou</c:v>
                </c:pt>
              </c:strCache>
            </c:strRef>
          </c:tx>
          <c:spPr>
            <a:ln>
              <a:solidFill>
                <a:srgbClr val="0070C0"/>
              </a:solidFill>
            </a:ln>
          </c:spPr>
          <c:marker>
            <c:symbol val="triangle"/>
            <c:size val="5"/>
            <c:spPr>
              <a:solidFill>
                <a:schemeClr val="tx1"/>
              </a:solidFill>
              <a:ln>
                <a:noFill/>
              </a:ln>
            </c:spPr>
          </c:marker>
          <c:dLbls>
            <c:spPr>
              <a:solidFill>
                <a:srgbClr val="00B0F0">
                  <a:alpha val="18000"/>
                </a:srgbClr>
              </a:solidFill>
              <a:ln>
                <a:noFill/>
              </a:ln>
              <a:effectLst/>
            </c:spPr>
            <c:txPr>
              <a:bodyPr wrap="square" lIns="38100" tIns="19050" rIns="38100" bIns="19050" anchor="ctr">
                <a:spAutoFit/>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Grafy_BES!$D$214:$N$214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Grafy_BES!$D$215:$N$215</c:f>
              <c:numCache>
                <c:formatCode>0.0</c:formatCode>
                <c:ptCount val="11"/>
                <c:pt idx="0">
                  <c:v>15.509256230000011</c:v>
                </c:pt>
                <c:pt idx="1">
                  <c:v>16.474156454999999</c:v>
                </c:pt>
                <c:pt idx="2">
                  <c:v>18.414944774999974</c:v>
                </c:pt>
                <c:pt idx="3">
                  <c:v>19.783369349999997</c:v>
                </c:pt>
                <c:pt idx="4">
                  <c:v>21.11351527680462</c:v>
                </c:pt>
                <c:pt idx="5">
                  <c:v>22.071213090580514</c:v>
                </c:pt>
                <c:pt idx="6">
                  <c:v>23.653171509201805</c:v>
                </c:pt>
                <c:pt idx="7">
                  <c:v>24.372893330036863</c:v>
                </c:pt>
                <c:pt idx="8">
                  <c:v>25.411217512552579</c:v>
                </c:pt>
                <c:pt idx="9">
                  <c:v>27.436375926172701</c:v>
                </c:pt>
                <c:pt idx="10">
                  <c:v>28.830430594215699</c:v>
                </c:pt>
              </c:numCache>
            </c:numRef>
          </c:val>
          <c:smooth val="0"/>
          <c:extLst>
            <c:ext xmlns:c16="http://schemas.microsoft.com/office/drawing/2014/chart" uri="{C3380CC4-5D6E-409C-BE32-E72D297353CC}">
              <c16:uniqueId val="{00000000-FB3A-4EF8-9B82-38338444867C}"/>
            </c:ext>
          </c:extLst>
        </c:ser>
        <c:ser>
          <c:idx val="1"/>
          <c:order val="1"/>
          <c:tx>
            <c:strRef>
              <c:f>Grafy_BES!$A$216</c:f>
              <c:strCache>
                <c:ptCount val="1"/>
                <c:pt idx="0">
                  <c:v> soukromé
 domácí</c:v>
                </c:pt>
              </c:strCache>
            </c:strRef>
          </c:tx>
          <c:spPr>
            <a:ln>
              <a:solidFill>
                <a:srgbClr val="00B050"/>
              </a:solidFill>
            </a:ln>
          </c:spPr>
          <c:marker>
            <c:symbol val="star"/>
            <c:size val="5"/>
            <c:spPr>
              <a:solidFill>
                <a:schemeClr val="tx1"/>
              </a:solidFill>
              <a:ln>
                <a:noFill/>
              </a:ln>
            </c:spPr>
          </c:marker>
          <c:dLbls>
            <c:spPr>
              <a:solidFill>
                <a:srgbClr val="92D050">
                  <a:alpha val="23000"/>
                </a:srgbClr>
              </a:solidFill>
              <a:ln>
                <a:noFill/>
              </a:ln>
              <a:effectLst/>
            </c:spPr>
            <c:txPr>
              <a:bodyPr wrap="square" lIns="38100" tIns="19050" rIns="38100" bIns="19050" anchor="ctr">
                <a:spAutoFit/>
              </a:bodyPr>
              <a:lstStyle/>
              <a:p>
                <a:pPr>
                  <a:defRPr sz="800" b="1"/>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Grafy_BES!$D$214:$N$214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Grafy_BES!$D$216:$N$216</c:f>
              <c:numCache>
                <c:formatCode>0.0</c:formatCode>
                <c:ptCount val="11"/>
                <c:pt idx="0">
                  <c:v>14.682470235000023</c:v>
                </c:pt>
                <c:pt idx="1">
                  <c:v>15.48305513500002</c:v>
                </c:pt>
                <c:pt idx="2">
                  <c:v>15.475177934999989</c:v>
                </c:pt>
                <c:pt idx="3">
                  <c:v>15.148075169999997</c:v>
                </c:pt>
                <c:pt idx="4">
                  <c:v>14.791644676262756</c:v>
                </c:pt>
                <c:pt idx="5">
                  <c:v>16.45508514150497</c:v>
                </c:pt>
                <c:pt idx="6">
                  <c:v>17.320116342500011</c:v>
                </c:pt>
                <c:pt idx="7">
                  <c:v>18.916218834980722</c:v>
                </c:pt>
                <c:pt idx="8">
                  <c:v>19.426661098392312</c:v>
                </c:pt>
                <c:pt idx="9">
                  <c:v>20.299840152914399</c:v>
                </c:pt>
                <c:pt idx="10">
                  <c:v>20.5636729511697</c:v>
                </c:pt>
              </c:numCache>
            </c:numRef>
          </c:val>
          <c:smooth val="0"/>
          <c:extLst>
            <c:ext xmlns:c16="http://schemas.microsoft.com/office/drawing/2014/chart" uri="{C3380CC4-5D6E-409C-BE32-E72D297353CC}">
              <c16:uniqueId val="{00000001-FB3A-4EF8-9B82-38338444867C}"/>
            </c:ext>
          </c:extLst>
        </c:ser>
        <c:ser>
          <c:idx val="2"/>
          <c:order val="2"/>
          <c:tx>
            <c:strRef>
              <c:f>Grafy_BES!$A$217</c:f>
              <c:strCache>
                <c:ptCount val="1"/>
                <c:pt idx="0">
                  <c:v> veřejné</c:v>
                </c:pt>
              </c:strCache>
            </c:strRef>
          </c:tx>
          <c:spPr>
            <a:ln>
              <a:solidFill>
                <a:srgbClr val="C00000"/>
              </a:solidFill>
            </a:ln>
          </c:spPr>
          <c:marker>
            <c:symbol val="diamond"/>
            <c:size val="5"/>
            <c:spPr>
              <a:solidFill>
                <a:schemeClr val="tx1"/>
              </a:solidFill>
              <a:ln>
                <a:noFill/>
              </a:ln>
            </c:spPr>
          </c:marker>
          <c:dLbls>
            <c:spPr>
              <a:solidFill>
                <a:schemeClr val="accent2">
                  <a:lumMod val="20000"/>
                  <a:lumOff val="80000"/>
                </a:schemeClr>
              </a:solidFill>
              <a:ln>
                <a:noFill/>
              </a:ln>
              <a:effectLst/>
            </c:spPr>
            <c:txPr>
              <a:bodyPr wrap="square" lIns="38100" tIns="19050" rIns="38100" bIns="19050" anchor="ctr">
                <a:spAutoFit/>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Grafy_BES!$D$214:$N$214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Grafy_BES!$D$217:$N$217</c:f>
              <c:numCache>
                <c:formatCode>0.0</c:formatCode>
                <c:ptCount val="11"/>
                <c:pt idx="0">
                  <c:v>1.5133521000000003</c:v>
                </c:pt>
                <c:pt idx="1">
                  <c:v>1.2306174999999997</c:v>
                </c:pt>
                <c:pt idx="2">
                  <c:v>1.3662654999999997</c:v>
                </c:pt>
                <c:pt idx="3">
                  <c:v>1.4338854350000001</c:v>
                </c:pt>
                <c:pt idx="4">
                  <c:v>1.3580529999999997</c:v>
                </c:pt>
                <c:pt idx="5">
                  <c:v>1.4414733849944001</c:v>
                </c:pt>
                <c:pt idx="6">
                  <c:v>1.3760645000000002</c:v>
                </c:pt>
                <c:pt idx="7">
                  <c:v>1.5033111170586204</c:v>
                </c:pt>
                <c:pt idx="8">
                  <c:v>1.3964804999999998</c:v>
                </c:pt>
                <c:pt idx="9">
                  <c:v>1.283188</c:v>
                </c:pt>
                <c:pt idx="10">
                  <c:v>1.2682564999999999</c:v>
                </c:pt>
              </c:numCache>
            </c:numRef>
          </c:val>
          <c:smooth val="0"/>
          <c:extLst>
            <c:ext xmlns:c16="http://schemas.microsoft.com/office/drawing/2014/chart" uri="{C3380CC4-5D6E-409C-BE32-E72D297353CC}">
              <c16:uniqueId val="{00000002-FB3A-4EF8-9B82-38338444867C}"/>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800"/>
            </a:pPr>
            <a:endParaRPr lang="cs-CZ"/>
          </a:p>
        </c:txPr>
        <c:crossAx val="154340736"/>
        <c:crosses val="autoZero"/>
        <c:auto val="0"/>
        <c:lblAlgn val="ctr"/>
        <c:lblOffset val="100"/>
        <c:tickLblSkip val="2"/>
        <c:noMultiLvlLbl val="0"/>
      </c:catAx>
      <c:valAx>
        <c:axId val="154340736"/>
        <c:scaling>
          <c:orientation val="minMax"/>
          <c:max val="32"/>
          <c:min val="0"/>
        </c:scaling>
        <c:delete val="0"/>
        <c:axPos val="l"/>
        <c:majorGridlines>
          <c:spPr>
            <a:ln>
              <a:solidFill>
                <a:schemeClr val="bg1">
                  <a:lumMod val="85000"/>
                </a:schemeClr>
              </a:solidFill>
              <a:prstDash val="solid"/>
            </a:ln>
          </c:spPr>
        </c:majorGridlines>
        <c:numFmt formatCode="0" sourceLinked="0"/>
        <c:majorTickMark val="none"/>
        <c:minorTickMark val="none"/>
        <c:tickLblPos val="none"/>
        <c:spPr>
          <a:ln>
            <a:noFill/>
          </a:ln>
        </c:spPr>
        <c:crossAx val="154339200"/>
        <c:crosses val="autoZero"/>
        <c:crossBetween val="between"/>
        <c:majorUnit val="5"/>
        <c:minorUnit val="1"/>
      </c:valAx>
      <c:spPr>
        <a:ln>
          <a:noFill/>
        </a:ln>
      </c:spPr>
    </c:plotArea>
    <c:legend>
      <c:legendPos val="r"/>
      <c:layout>
        <c:manualLayout>
          <c:xMode val="edge"/>
          <c:yMode val="edge"/>
          <c:x val="0.76947349417787481"/>
          <c:y val="3.1897777777777775E-2"/>
          <c:w val="0.22114044023778515"/>
          <c:h val="0.85965882158886697"/>
        </c:manualLayout>
      </c:layout>
      <c:overlay val="0"/>
      <c:spPr>
        <a:solidFill>
          <a:schemeClr val="bg1"/>
        </a:solidFill>
        <a:ln w="6350">
          <a:solidFill>
            <a:schemeClr val="bg1">
              <a:lumMod val="75000"/>
            </a:schemeClr>
          </a:solidFill>
        </a:ln>
      </c:spPr>
      <c:txPr>
        <a:bodyPr/>
        <a:lstStyle/>
        <a:p>
          <a:pPr>
            <a:defRPr sz="800"/>
          </a:pPr>
          <a:endParaRPr lang="cs-CZ"/>
        </a:p>
      </c:txPr>
    </c:legend>
    <c:plotVisOnly val="1"/>
    <c:dispBlanksAs val="gap"/>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374747474747476E-2"/>
          <c:y val="4.3317732136629775E-2"/>
          <c:w val="0.46507575757575759"/>
          <c:h val="0.85091166505958815"/>
        </c:manualLayout>
      </c:layout>
      <c:barChart>
        <c:barDir val="col"/>
        <c:grouping val="percentStacked"/>
        <c:varyColors val="0"/>
        <c:ser>
          <c:idx val="0"/>
          <c:order val="0"/>
          <c:tx>
            <c:strRef>
              <c:f>Grafy_BES!$A$221</c:f>
              <c:strCache>
                <c:ptCount val="1"/>
                <c:pt idx="0">
                  <c:v> pod
 zahraniční
 kontrolou</c:v>
                </c:pt>
              </c:strCache>
            </c:strRef>
          </c:tx>
          <c:spPr>
            <a:solidFill>
              <a:srgbClr val="0070C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Grafy_BES!$B$220:$N$220</c:f>
              <c:numCache>
                <c:formatCode>General</c:formatCode>
                <c:ptCount val="2"/>
                <c:pt idx="0">
                  <c:v>2012</c:v>
                </c:pt>
                <c:pt idx="1">
                  <c:v>2022</c:v>
                </c:pt>
              </c:numCache>
            </c:numRef>
          </c:cat>
          <c:val>
            <c:numRef>
              <c:f>Grafy_BES!$B$221:$N$221</c:f>
              <c:numCache>
                <c:formatCode>0%</c:formatCode>
                <c:ptCount val="2"/>
                <c:pt idx="0">
                  <c:v>0.48917261624833303</c:v>
                </c:pt>
                <c:pt idx="1">
                  <c:v>0.56907002690731801</c:v>
                </c:pt>
              </c:numCache>
            </c:numRef>
          </c:val>
          <c:extLst>
            <c:ext xmlns:c16="http://schemas.microsoft.com/office/drawing/2014/chart" uri="{C3380CC4-5D6E-409C-BE32-E72D297353CC}">
              <c16:uniqueId val="{00000000-7BF4-427F-9285-FED3EC325CB3}"/>
            </c:ext>
          </c:extLst>
        </c:ser>
        <c:ser>
          <c:idx val="1"/>
          <c:order val="1"/>
          <c:tx>
            <c:strRef>
              <c:f>Grafy_BES!$A$222</c:f>
              <c:strCache>
                <c:ptCount val="1"/>
                <c:pt idx="0">
                  <c:v> soukromé
 domácí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Grafy_BES!$B$220:$N$220</c:f>
              <c:numCache>
                <c:formatCode>General</c:formatCode>
                <c:ptCount val="2"/>
                <c:pt idx="0">
                  <c:v>2012</c:v>
                </c:pt>
                <c:pt idx="1">
                  <c:v>2022</c:v>
                </c:pt>
              </c:numCache>
            </c:numRef>
          </c:cat>
          <c:val>
            <c:numRef>
              <c:f>Grafy_BES!$B$222:$N$222</c:f>
              <c:numCache>
                <c:formatCode>0%</c:formatCode>
                <c:ptCount val="2"/>
                <c:pt idx="0">
                  <c:v>0.46309521690346295</c:v>
                </c:pt>
                <c:pt idx="1">
                  <c:v>0.40589646697761272</c:v>
                </c:pt>
              </c:numCache>
            </c:numRef>
          </c:val>
          <c:extLst>
            <c:ext xmlns:c16="http://schemas.microsoft.com/office/drawing/2014/chart" uri="{C3380CC4-5D6E-409C-BE32-E72D297353CC}">
              <c16:uniqueId val="{00000001-7BF4-427F-9285-FED3EC325CB3}"/>
            </c:ext>
          </c:extLst>
        </c:ser>
        <c:ser>
          <c:idx val="2"/>
          <c:order val="2"/>
          <c:tx>
            <c:strRef>
              <c:f>Grafy_BES!$A$223</c:f>
              <c:strCache>
                <c:ptCount val="1"/>
                <c:pt idx="0">
                  <c:v> veřejné</c:v>
                </c:pt>
              </c:strCache>
            </c:strRef>
          </c:tx>
          <c:spPr>
            <a:solidFill>
              <a:srgbClr val="C00000"/>
            </a:solidFill>
          </c:spPr>
          <c:invertIfNegative val="0"/>
          <c:cat>
            <c:numRef>
              <c:f>Grafy_BES!$B$220:$N$220</c:f>
              <c:numCache>
                <c:formatCode>General</c:formatCode>
                <c:ptCount val="2"/>
                <c:pt idx="0">
                  <c:v>2012</c:v>
                </c:pt>
                <c:pt idx="1">
                  <c:v>2022</c:v>
                </c:pt>
              </c:numCache>
            </c:numRef>
          </c:cat>
          <c:val>
            <c:numRef>
              <c:f>Grafy_BES!$B$223:$N$223</c:f>
              <c:numCache>
                <c:formatCode>0%</c:formatCode>
                <c:ptCount val="2"/>
                <c:pt idx="0">
                  <c:v>4.7732166848204076E-2</c:v>
                </c:pt>
                <c:pt idx="1">
                  <c:v>2.503350611506934E-2</c:v>
                </c:pt>
              </c:numCache>
            </c:numRef>
          </c:val>
          <c:extLst>
            <c:ext xmlns:c16="http://schemas.microsoft.com/office/drawing/2014/chart" uri="{C3380CC4-5D6E-409C-BE32-E72D297353CC}">
              <c16:uniqueId val="{00000002-7BF4-427F-9285-FED3EC325CB3}"/>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3687424242424242"/>
          <c:y val="7.5112110986126732E-2"/>
          <c:w val="0.44620151515151513"/>
          <c:h val="0.7866611111111111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Grafy_celkem!$I$12</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635D-4D71-96CC-4EE52243CBE7}"/>
              </c:ext>
            </c:extLst>
          </c:dPt>
          <c:dPt>
            <c:idx val="1"/>
            <c:bubble3D val="0"/>
            <c:spPr>
              <a:solidFill>
                <a:srgbClr val="C00000"/>
              </a:solidFill>
              <a:effectLst/>
            </c:spPr>
            <c:extLst>
              <c:ext xmlns:c16="http://schemas.microsoft.com/office/drawing/2014/chart" uri="{C3380CC4-5D6E-409C-BE32-E72D297353CC}">
                <c16:uniqueId val="{00000003-635D-4D71-96CC-4EE52243CBE7}"/>
              </c:ext>
            </c:extLst>
          </c:dPt>
          <c:dPt>
            <c:idx val="2"/>
            <c:bubble3D val="0"/>
            <c:spPr>
              <a:solidFill>
                <a:srgbClr val="00B050"/>
              </a:solidFill>
              <a:effectLst/>
            </c:spPr>
            <c:extLst>
              <c:ext xmlns:c16="http://schemas.microsoft.com/office/drawing/2014/chart" uri="{C3380CC4-5D6E-409C-BE32-E72D297353CC}">
                <c16:uniqueId val="{00000005-635D-4D71-96CC-4EE52243CBE7}"/>
              </c:ext>
            </c:extLst>
          </c:dPt>
          <c:dPt>
            <c:idx val="3"/>
            <c:bubble3D val="0"/>
            <c:spPr>
              <a:solidFill>
                <a:srgbClr val="FFC000"/>
              </a:solidFill>
              <a:effectLst/>
            </c:spPr>
            <c:extLst>
              <c:ext xmlns:c16="http://schemas.microsoft.com/office/drawing/2014/chart" uri="{C3380CC4-5D6E-409C-BE32-E72D297353CC}">
                <c16:uniqueId val="{00000007-635D-4D71-96CC-4EE52243CBE7}"/>
              </c:ext>
            </c:extLst>
          </c:dPt>
          <c:dPt>
            <c:idx val="4"/>
            <c:bubble3D val="0"/>
            <c:spPr>
              <a:solidFill>
                <a:srgbClr val="FFFF00"/>
              </a:solidFill>
              <a:effectLst/>
            </c:spPr>
            <c:extLst>
              <c:ext xmlns:c16="http://schemas.microsoft.com/office/drawing/2014/chart" uri="{C3380CC4-5D6E-409C-BE32-E72D297353CC}">
                <c16:uniqueId val="{00000009-635D-4D71-96CC-4EE52243CBE7}"/>
              </c:ext>
            </c:extLst>
          </c:dPt>
          <c:dLbls>
            <c:dLbl>
              <c:idx val="0"/>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5D-4D71-96CC-4EE52243CBE7}"/>
                </c:ext>
              </c:extLst>
            </c:dLbl>
            <c:dLbl>
              <c:idx val="1"/>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5D-4D71-96CC-4EE52243CBE7}"/>
                </c:ext>
              </c:extLst>
            </c:dLbl>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Grafy_celkem!$A$13:$A$16</c:f>
              <c:strCache>
                <c:ptCount val="4"/>
                <c:pt idx="0">
                  <c:v> &lt; 1 </c:v>
                </c:pt>
                <c:pt idx="1">
                  <c:v> 1-9,9</c:v>
                </c:pt>
                <c:pt idx="2">
                  <c:v> 10-99,9</c:v>
                </c:pt>
                <c:pt idx="3">
                  <c:v> 100+</c:v>
                </c:pt>
              </c:strCache>
            </c:strRef>
          </c:cat>
          <c:val>
            <c:numRef>
              <c:f>Grafy_celkem!$I$13:$I$16</c:f>
              <c:numCache>
                <c:formatCode>#,##0</c:formatCode>
                <c:ptCount val="4"/>
                <c:pt idx="0">
                  <c:v>592</c:v>
                </c:pt>
                <c:pt idx="1">
                  <c:v>1669</c:v>
                </c:pt>
                <c:pt idx="2">
                  <c:v>938</c:v>
                </c:pt>
                <c:pt idx="3">
                  <c:v>258</c:v>
                </c:pt>
              </c:numCache>
            </c:numRef>
          </c:val>
          <c:extLst>
            <c:ext xmlns:c16="http://schemas.microsoft.com/office/drawing/2014/chart" uri="{C3380CC4-5D6E-409C-BE32-E72D297353CC}">
              <c16:uniqueId val="{0000000A-635D-4D71-96CC-4EE52243CBE7}"/>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0.15050925925925926"/>
          <c:y val="0.8287487629011735"/>
          <c:w val="0.76031388888888884"/>
          <c:h val="0.11987464065224562"/>
        </c:manualLayout>
      </c:layout>
      <c:overlay val="0"/>
      <c:spPr>
        <a:ln w="6350">
          <a:solidFill>
            <a:schemeClr val="bg1">
              <a:lumMod val="85000"/>
            </a:schemeClr>
          </a:solidFill>
        </a:ln>
      </c:spPr>
      <c:txPr>
        <a:bodyPr/>
        <a:lstStyle/>
        <a:p>
          <a:pPr rtl="0">
            <a:defRPr sz="800"/>
          </a:pPr>
          <a:endParaRPr lang="cs-CZ"/>
        </a:p>
      </c:txPr>
    </c:legend>
    <c:plotVisOnly val="1"/>
    <c:dispBlanksAs val="zero"/>
    <c:showDLblsOverMax val="0"/>
  </c:chart>
  <c:spPr>
    <a:ln>
      <a:noFill/>
    </a:ln>
  </c:spPr>
  <c:txPr>
    <a:bodyPr/>
    <a:lstStyle/>
    <a:p>
      <a:pPr>
        <a:defRPr sz="9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3384920634920641"/>
          <c:h val="0.85091166505958815"/>
        </c:manualLayout>
      </c:layout>
      <c:barChart>
        <c:barDir val="col"/>
        <c:grouping val="percentStacked"/>
        <c:varyColors val="0"/>
        <c:ser>
          <c:idx val="0"/>
          <c:order val="0"/>
          <c:tx>
            <c:strRef>
              <c:f>Grafy_BES!$A$246</c:f>
              <c:strCache>
                <c:ptCount val="1"/>
                <c:pt idx="0">
                  <c:v> muži</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Grafy_BES!$B$245:$N$245</c:f>
              <c:numCache>
                <c:formatCode>General</c:formatCode>
                <c:ptCount val="2"/>
                <c:pt idx="0">
                  <c:v>2012</c:v>
                </c:pt>
                <c:pt idx="1">
                  <c:v>2022</c:v>
                </c:pt>
              </c:numCache>
            </c:numRef>
          </c:cat>
          <c:val>
            <c:numRef>
              <c:f>Grafy_BES!$B$246:$N$246</c:f>
              <c:numCache>
                <c:formatCode>0%</c:formatCode>
                <c:ptCount val="2"/>
                <c:pt idx="0">
                  <c:v>0.81365845244988766</c:v>
                </c:pt>
                <c:pt idx="1">
                  <c:v>0.8175199213956228</c:v>
                </c:pt>
              </c:numCache>
            </c:numRef>
          </c:val>
          <c:extLst>
            <c:ext xmlns:c16="http://schemas.microsoft.com/office/drawing/2014/chart" uri="{C3380CC4-5D6E-409C-BE32-E72D297353CC}">
              <c16:uniqueId val="{00000000-2D57-4959-B810-6E1028774BBB}"/>
            </c:ext>
          </c:extLst>
        </c:ser>
        <c:ser>
          <c:idx val="1"/>
          <c:order val="1"/>
          <c:tx>
            <c:strRef>
              <c:f>Grafy_BES!$A$247</c:f>
              <c:strCache>
                <c:ptCount val="1"/>
                <c:pt idx="0">
                  <c:v> ženy</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Grafy_BES!$B$245:$N$245</c:f>
              <c:numCache>
                <c:formatCode>General</c:formatCode>
                <c:ptCount val="2"/>
                <c:pt idx="0">
                  <c:v>2012</c:v>
                </c:pt>
                <c:pt idx="1">
                  <c:v>2022</c:v>
                </c:pt>
              </c:numCache>
            </c:numRef>
          </c:cat>
          <c:val>
            <c:numRef>
              <c:f>Grafy_BES!$B$247:$N$247</c:f>
              <c:numCache>
                <c:formatCode>0%</c:formatCode>
                <c:ptCount val="2"/>
                <c:pt idx="0">
                  <c:v>0.18634154755011237</c:v>
                </c:pt>
                <c:pt idx="1">
                  <c:v>0.18248007860437723</c:v>
                </c:pt>
              </c:numCache>
            </c:numRef>
          </c:val>
          <c:extLst>
            <c:ext xmlns:c16="http://schemas.microsoft.com/office/drawing/2014/chart" uri="{C3380CC4-5D6E-409C-BE32-E72D297353CC}">
              <c16:uniqueId val="{00000001-2D57-4959-B810-6E1028774BBB}"/>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5758616780045354"/>
          <c:y val="7.5112173011717978E-2"/>
          <c:w val="0.28030082742316786"/>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49073232323232324"/>
          <c:h val="0.85091166505958815"/>
        </c:manualLayout>
      </c:layout>
      <c:barChart>
        <c:barDir val="col"/>
        <c:grouping val="percentStacked"/>
        <c:varyColors val="0"/>
        <c:ser>
          <c:idx val="0"/>
          <c:order val="0"/>
          <c:tx>
            <c:strRef>
              <c:f>Grafy_BES!$A$259</c:f>
              <c:strCache>
                <c:ptCount val="1"/>
                <c:pt idx="0">
                  <c:v> Zpracov.
 průmysl
 (sekce C)</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Grafy_BES!$B$258:$N$258</c:f>
              <c:numCache>
                <c:formatCode>General</c:formatCode>
                <c:ptCount val="2"/>
                <c:pt idx="0">
                  <c:v>2012</c:v>
                </c:pt>
                <c:pt idx="1">
                  <c:v>2022</c:v>
                </c:pt>
              </c:numCache>
            </c:numRef>
          </c:cat>
          <c:val>
            <c:numRef>
              <c:f>Grafy_BES!$B$259:$N$259</c:f>
              <c:numCache>
                <c:formatCode>0%</c:formatCode>
                <c:ptCount val="2"/>
                <c:pt idx="0">
                  <c:v>0.50903125730828824</c:v>
                </c:pt>
                <c:pt idx="1">
                  <c:v>0.45200608134473325</c:v>
                </c:pt>
              </c:numCache>
            </c:numRef>
          </c:val>
          <c:extLst>
            <c:ext xmlns:c16="http://schemas.microsoft.com/office/drawing/2014/chart" uri="{C3380CC4-5D6E-409C-BE32-E72D297353CC}">
              <c16:uniqueId val="{00000000-42B9-4C4A-99BD-7FE2F20D4C25}"/>
            </c:ext>
          </c:extLst>
        </c:ser>
        <c:ser>
          <c:idx val="1"/>
          <c:order val="1"/>
          <c:tx>
            <c:strRef>
              <c:f>Grafy_BES!$A$260</c:f>
              <c:strCache>
                <c:ptCount val="1"/>
                <c:pt idx="0">
                  <c:v> ICT 
 (sekce J)</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Grafy_BES!$B$258:$N$258</c:f>
              <c:numCache>
                <c:formatCode>General</c:formatCode>
                <c:ptCount val="2"/>
                <c:pt idx="0">
                  <c:v>2012</c:v>
                </c:pt>
                <c:pt idx="1">
                  <c:v>2022</c:v>
                </c:pt>
              </c:numCache>
            </c:numRef>
          </c:cat>
          <c:val>
            <c:numRef>
              <c:f>Grafy_BES!$B$260:$N$260</c:f>
              <c:numCache>
                <c:formatCode>0%</c:formatCode>
                <c:ptCount val="2"/>
                <c:pt idx="0">
                  <c:v>0.15916675398403948</c:v>
                </c:pt>
                <c:pt idx="1">
                  <c:v>0.25865069197498325</c:v>
                </c:pt>
              </c:numCache>
            </c:numRef>
          </c:val>
          <c:extLst>
            <c:ext xmlns:c16="http://schemas.microsoft.com/office/drawing/2014/chart" uri="{C3380CC4-5D6E-409C-BE32-E72D297353CC}">
              <c16:uniqueId val="{00000001-42B9-4C4A-99BD-7FE2F20D4C25}"/>
            </c:ext>
          </c:extLst>
        </c:ser>
        <c:ser>
          <c:idx val="2"/>
          <c:order val="2"/>
          <c:tx>
            <c:strRef>
              <c:f>Grafy_BES!$A$261</c:f>
              <c:strCache>
                <c:ptCount val="1"/>
                <c:pt idx="0">
                  <c:v> Profesní,
 VaT činn.
 (sekce M)</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Grafy_BES!$B$258:$N$258</c:f>
              <c:numCache>
                <c:formatCode>General</c:formatCode>
                <c:ptCount val="2"/>
                <c:pt idx="0">
                  <c:v>2012</c:v>
                </c:pt>
                <c:pt idx="1">
                  <c:v>2022</c:v>
                </c:pt>
              </c:numCache>
            </c:numRef>
          </c:cat>
          <c:val>
            <c:numRef>
              <c:f>Grafy_BES!$B$261:$N$261</c:f>
              <c:numCache>
                <c:formatCode>0%</c:formatCode>
                <c:ptCount val="2"/>
                <c:pt idx="0">
                  <c:v>0.25812177844701084</c:v>
                </c:pt>
                <c:pt idx="1">
                  <c:v>0.20669685009684927</c:v>
                </c:pt>
              </c:numCache>
            </c:numRef>
          </c:val>
          <c:extLst>
            <c:ext xmlns:c16="http://schemas.microsoft.com/office/drawing/2014/chart" uri="{C3380CC4-5D6E-409C-BE32-E72D297353CC}">
              <c16:uniqueId val="{00000002-42B9-4C4A-99BD-7FE2F20D4C25}"/>
            </c:ext>
          </c:extLst>
        </c:ser>
        <c:ser>
          <c:idx val="3"/>
          <c:order val="3"/>
          <c:tx>
            <c:strRef>
              <c:f>Grafy_BES!$A$262</c:f>
              <c:strCache>
                <c:ptCount val="1"/>
                <c:pt idx="0">
                  <c:v> Ostatní
 činnosti</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1">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Grafy_BES!$B$258:$N$258</c:f>
              <c:numCache>
                <c:formatCode>General</c:formatCode>
                <c:ptCount val="2"/>
                <c:pt idx="0">
                  <c:v>2012</c:v>
                </c:pt>
                <c:pt idx="1">
                  <c:v>2022</c:v>
                </c:pt>
              </c:numCache>
            </c:numRef>
          </c:cat>
          <c:val>
            <c:numRef>
              <c:f>Grafy_BES!$B$262:$N$262</c:f>
              <c:numCache>
                <c:formatCode>0%</c:formatCode>
                <c:ptCount val="2"/>
                <c:pt idx="0">
                  <c:v>7.3680210260661516E-2</c:v>
                </c:pt>
                <c:pt idx="1">
                  <c:v>8.2646376583434183E-2</c:v>
                </c:pt>
              </c:numCache>
            </c:numRef>
          </c:val>
          <c:extLst>
            <c:ext xmlns:c16="http://schemas.microsoft.com/office/drawing/2014/chart" uri="{C3380CC4-5D6E-409C-BE32-E72D297353CC}">
              <c16:uniqueId val="{00000003-42B9-4C4A-99BD-7FE2F20D4C25}"/>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7471767676767682"/>
          <c:y val="7.5112110986126732E-2"/>
          <c:w val="0.39795606060606059"/>
          <c:h val="0.8113145319966268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788888888888889E-2"/>
          <c:y val="4.3317732136629775E-2"/>
          <c:w val="0.45866161616161616"/>
          <c:h val="0.85091166505958815"/>
        </c:manualLayout>
      </c:layout>
      <c:barChart>
        <c:barDir val="col"/>
        <c:grouping val="percentStacked"/>
        <c:varyColors val="0"/>
        <c:ser>
          <c:idx val="0"/>
          <c:order val="0"/>
          <c:tx>
            <c:strRef>
              <c:f>Grafy_BES!$A$267</c:f>
              <c:strCache>
                <c:ptCount val="1"/>
                <c:pt idx="0">
                  <c:v> Praha </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Grafy_BES!$B$266:$N$266</c:f>
              <c:numCache>
                <c:formatCode>General</c:formatCode>
                <c:ptCount val="2"/>
                <c:pt idx="0">
                  <c:v>2012</c:v>
                </c:pt>
                <c:pt idx="1">
                  <c:v>2022</c:v>
                </c:pt>
              </c:numCache>
            </c:numRef>
          </c:cat>
          <c:val>
            <c:numRef>
              <c:f>Grafy_BES!$B$267:$N$267</c:f>
              <c:numCache>
                <c:formatCode>0%</c:formatCode>
                <c:ptCount val="2"/>
                <c:pt idx="0">
                  <c:v>0.2425297551064432</c:v>
                </c:pt>
                <c:pt idx="1">
                  <c:v>0.28691901180123119</c:v>
                </c:pt>
              </c:numCache>
            </c:numRef>
          </c:val>
          <c:extLst>
            <c:ext xmlns:c16="http://schemas.microsoft.com/office/drawing/2014/chart" uri="{C3380CC4-5D6E-409C-BE32-E72D297353CC}">
              <c16:uniqueId val="{00000000-6054-43D4-9AA0-21C08C670575}"/>
            </c:ext>
          </c:extLst>
        </c:ser>
        <c:ser>
          <c:idx val="1"/>
          <c:order val="1"/>
          <c:tx>
            <c:strRef>
              <c:f>Grafy_BES!$A$268</c:f>
              <c:strCache>
                <c:ptCount val="1"/>
                <c:pt idx="0">
                  <c:v> Jihomoravský</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Grafy_BES!$B$266:$N$266</c:f>
              <c:numCache>
                <c:formatCode>General</c:formatCode>
                <c:ptCount val="2"/>
                <c:pt idx="0">
                  <c:v>2012</c:v>
                </c:pt>
                <c:pt idx="1">
                  <c:v>2022</c:v>
                </c:pt>
              </c:numCache>
            </c:numRef>
          </c:cat>
          <c:val>
            <c:numRef>
              <c:f>Grafy_BES!$B$268:$N$268</c:f>
              <c:numCache>
                <c:formatCode>0%</c:formatCode>
                <c:ptCount val="2"/>
                <c:pt idx="0">
                  <c:v>0.15717253356694208</c:v>
                </c:pt>
                <c:pt idx="1">
                  <c:v>0.19560736685409186</c:v>
                </c:pt>
              </c:numCache>
            </c:numRef>
          </c:val>
          <c:extLst>
            <c:ext xmlns:c16="http://schemas.microsoft.com/office/drawing/2014/chart" uri="{C3380CC4-5D6E-409C-BE32-E72D297353CC}">
              <c16:uniqueId val="{00000001-6054-43D4-9AA0-21C08C670575}"/>
            </c:ext>
          </c:extLst>
        </c:ser>
        <c:ser>
          <c:idx val="2"/>
          <c:order val="2"/>
          <c:tx>
            <c:strRef>
              <c:f>Grafy_BES!$A$269</c:f>
              <c:strCache>
                <c:ptCount val="1"/>
                <c:pt idx="0">
                  <c:v> Středočeský </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Grafy_BES!$B$266:$N$266</c:f>
              <c:numCache>
                <c:formatCode>General</c:formatCode>
                <c:ptCount val="2"/>
                <c:pt idx="0">
                  <c:v>2012</c:v>
                </c:pt>
                <c:pt idx="1">
                  <c:v>2022</c:v>
                </c:pt>
              </c:numCache>
            </c:numRef>
          </c:cat>
          <c:val>
            <c:numRef>
              <c:f>Grafy_BES!$B$269:$N$269</c:f>
              <c:numCache>
                <c:formatCode>0%</c:formatCode>
                <c:ptCount val="2"/>
                <c:pt idx="0">
                  <c:v>0.14020276896292236</c:v>
                </c:pt>
                <c:pt idx="1">
                  <c:v>0.12623561090793908</c:v>
                </c:pt>
              </c:numCache>
            </c:numRef>
          </c:val>
          <c:extLst>
            <c:ext xmlns:c16="http://schemas.microsoft.com/office/drawing/2014/chart" uri="{C3380CC4-5D6E-409C-BE32-E72D297353CC}">
              <c16:uniqueId val="{00000002-6054-43D4-9AA0-21C08C670575}"/>
            </c:ext>
          </c:extLst>
        </c:ser>
        <c:ser>
          <c:idx val="3"/>
          <c:order val="3"/>
          <c:tx>
            <c:strRef>
              <c:f>Grafy_BES!$A$270</c:f>
              <c:strCache>
                <c:ptCount val="1"/>
                <c:pt idx="0">
                  <c:v> ostatní kraje</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Grafy_BES!$B$266:$N$266</c:f>
              <c:numCache>
                <c:formatCode>General</c:formatCode>
                <c:ptCount val="2"/>
                <c:pt idx="0">
                  <c:v>2012</c:v>
                </c:pt>
                <c:pt idx="1">
                  <c:v>2022</c:v>
                </c:pt>
              </c:numCache>
            </c:numRef>
          </c:cat>
          <c:val>
            <c:numRef>
              <c:f>Grafy_BES!$B$270:$N$270</c:f>
              <c:numCache>
                <c:formatCode>0%</c:formatCode>
                <c:ptCount val="2"/>
                <c:pt idx="0">
                  <c:v>0.46009494236369231</c:v>
                </c:pt>
                <c:pt idx="1">
                  <c:v>0.39123801043673789</c:v>
                </c:pt>
              </c:numCache>
            </c:numRef>
          </c:val>
          <c:extLst>
            <c:ext xmlns:c16="http://schemas.microsoft.com/office/drawing/2014/chart" uri="{C3380CC4-5D6E-409C-BE32-E72D297353CC}">
              <c16:uniqueId val="{00000003-6054-43D4-9AA0-21C08C670575}"/>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1057626262626266"/>
          <c:y val="8.0579895533525209E-2"/>
          <c:w val="0.46788989898989891"/>
          <c:h val="0.78035852609885226"/>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8681124831378E-2"/>
          <c:y val="5.8892428964571267E-2"/>
          <c:w val="0.95434263775033723"/>
          <c:h val="0.62109543280937951"/>
        </c:manualLayout>
      </c:layout>
      <c:barChart>
        <c:barDir val="col"/>
        <c:grouping val="clustered"/>
        <c:varyColors val="0"/>
        <c:ser>
          <c:idx val="0"/>
          <c:order val="0"/>
          <c:tx>
            <c:strRef>
              <c:f>Grafy_GOV!$A$4</c:f>
              <c:strCache>
                <c:ptCount val="1"/>
                <c:pt idx="0">
                  <c:v> Výdaje na VaV (GOVERD) - mld. Kč</c:v>
                </c:pt>
              </c:strCache>
            </c:strRef>
          </c:tx>
          <c:spPr>
            <a:solidFill>
              <a:srgbClr val="00206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Grafy_GOV!$D$3:$N$3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Grafy_GOV!$D$4:$N$4</c:f>
              <c:numCache>
                <c:formatCode>0.0</c:formatCode>
                <c:ptCount val="11"/>
                <c:pt idx="0">
                  <c:v>13.884387999999996</c:v>
                </c:pt>
                <c:pt idx="1">
                  <c:v>14.875443690000003</c:v>
                </c:pt>
                <c:pt idx="2">
                  <c:v>16.145349639999996</c:v>
                </c:pt>
                <c:pt idx="3">
                  <c:v>18.090630999999988</c:v>
                </c:pt>
                <c:pt idx="4">
                  <c:v>14.549474000000004</c:v>
                </c:pt>
                <c:pt idx="5">
                  <c:v>15.58229800000001</c:v>
                </c:pt>
                <c:pt idx="6">
                  <c:v>16.800322000000001</c:v>
                </c:pt>
                <c:pt idx="7">
                  <c:v>18.170614999999998</c:v>
                </c:pt>
                <c:pt idx="8">
                  <c:v>19.436507000000002</c:v>
                </c:pt>
                <c:pt idx="9">
                  <c:v>20.306262999999998</c:v>
                </c:pt>
                <c:pt idx="10">
                  <c:v>21.343796999999999</c:v>
                </c:pt>
              </c:numCache>
            </c:numRef>
          </c:val>
          <c:extLst>
            <c:ext xmlns:c16="http://schemas.microsoft.com/office/drawing/2014/chart" uri="{C3380CC4-5D6E-409C-BE32-E72D297353CC}">
              <c16:uniqueId val="{00000000-3B13-4982-B572-30B52D5B99B7}"/>
            </c:ext>
          </c:extLst>
        </c:ser>
        <c:ser>
          <c:idx val="1"/>
          <c:order val="1"/>
          <c:tx>
            <c:strRef>
              <c:f>Grafy_GOV!$A$5</c:f>
              <c:strCache>
                <c:ptCount val="1"/>
                <c:pt idx="0">
                  <c:v> Pracovníci ve VaV - tis. přepočtených osob (FTE)</c:v>
                </c:pt>
              </c:strCache>
            </c:strRef>
          </c:tx>
          <c:spPr>
            <a:solidFill>
              <a:srgbClr val="C0000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Grafy_GOV!$D$3:$N$3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Grafy_GOV!$D$5:$N$5</c:f>
              <c:numCache>
                <c:formatCode>0.0</c:formatCode>
                <c:ptCount val="11"/>
                <c:pt idx="0">
                  <c:v>11.864140000000001</c:v>
                </c:pt>
                <c:pt idx="1">
                  <c:v>12.275075000000012</c:v>
                </c:pt>
                <c:pt idx="2">
                  <c:v>12.379623670000003</c:v>
                </c:pt>
                <c:pt idx="3">
                  <c:v>12.953131000000003</c:v>
                </c:pt>
                <c:pt idx="4">
                  <c:v>13.098984500000004</c:v>
                </c:pt>
                <c:pt idx="5">
                  <c:v>13.6893505</c:v>
                </c:pt>
                <c:pt idx="6">
                  <c:v>14.1627825</c:v>
                </c:pt>
                <c:pt idx="7">
                  <c:v>14.530082999999999</c:v>
                </c:pt>
                <c:pt idx="8">
                  <c:v>14.438153499999999</c:v>
                </c:pt>
                <c:pt idx="9">
                  <c:v>14.445694499999998</c:v>
                </c:pt>
                <c:pt idx="10">
                  <c:v>14.233855999999999</c:v>
                </c:pt>
              </c:numCache>
            </c:numRef>
          </c:val>
          <c:extLst>
            <c:ext xmlns:c16="http://schemas.microsoft.com/office/drawing/2014/chart" uri="{C3380CC4-5D6E-409C-BE32-E72D297353CC}">
              <c16:uniqueId val="{00000001-3B13-4982-B572-30B52D5B99B7}"/>
            </c:ext>
          </c:extLst>
        </c:ser>
        <c:dLbls>
          <c:showLegendKey val="0"/>
          <c:showVal val="0"/>
          <c:showCatName val="0"/>
          <c:showSerName val="0"/>
          <c:showPercent val="0"/>
          <c:showBubbleSize val="0"/>
        </c:dLbls>
        <c:gapWidth val="30"/>
        <c:overlap val="-10"/>
        <c:axId val="1426075151"/>
        <c:axId val="1426075567"/>
      </c:barChart>
      <c:lineChart>
        <c:grouping val="standard"/>
        <c:varyColors val="0"/>
        <c:ser>
          <c:idx val="2"/>
          <c:order val="2"/>
          <c:tx>
            <c:strRef>
              <c:f>Grafy_GOV!$A$6</c:f>
              <c:strCache>
                <c:ptCount val="1"/>
                <c:pt idx="0">
                  <c:v> Podíl výdajů na VaV na HDP (Intenzita VaV)</c:v>
                </c:pt>
              </c:strCache>
            </c:strRef>
          </c:tx>
          <c:spPr>
            <a:ln w="28575" cap="rnd">
              <a:solidFill>
                <a:srgbClr val="0070C0"/>
              </a:solidFill>
              <a:round/>
            </a:ln>
            <a:effectLst/>
          </c:spPr>
          <c:marker>
            <c:symbol val="triangle"/>
            <c:size val="5"/>
            <c:spPr>
              <a:solidFill>
                <a:schemeClr val="tx1"/>
              </a:solidFill>
              <a:ln w="9525">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Grafy_GOV!$D$3:$N$3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Grafy_GOV!$D$6:$N$6</c:f>
              <c:numCache>
                <c:formatCode>0.00%</c:formatCode>
                <c:ptCount val="11"/>
                <c:pt idx="0">
                  <c:v>3.3956191769350863E-3</c:v>
                </c:pt>
                <c:pt idx="1">
                  <c:v>3.5906643315372104E-3</c:v>
                </c:pt>
                <c:pt idx="2">
                  <c:v>3.7151907488806343E-3</c:v>
                </c:pt>
                <c:pt idx="3">
                  <c:v>3.9111681250699956E-3</c:v>
                </c:pt>
                <c:pt idx="4">
                  <c:v>3.0331163655990057E-3</c:v>
                </c:pt>
                <c:pt idx="5">
                  <c:v>3.0489300675068188E-3</c:v>
                </c:pt>
                <c:pt idx="6">
                  <c:v>3.10498319922096E-3</c:v>
                </c:pt>
                <c:pt idx="7">
                  <c:v>3.1374637442678904E-3</c:v>
                </c:pt>
                <c:pt idx="8">
                  <c:v>3.4044598030768601E-3</c:v>
                </c:pt>
                <c:pt idx="9">
                  <c:v>3.3243025865247163E-3</c:v>
                </c:pt>
                <c:pt idx="10">
                  <c:v>3.1453378293543649E-3</c:v>
                </c:pt>
              </c:numCache>
            </c:numRef>
          </c:val>
          <c:smooth val="0"/>
          <c:extLst>
            <c:ext xmlns:c16="http://schemas.microsoft.com/office/drawing/2014/chart" uri="{C3380CC4-5D6E-409C-BE32-E72D297353CC}">
              <c16:uniqueId val="{00000002-3B13-4982-B572-30B52D5B99B7}"/>
            </c:ext>
          </c:extLst>
        </c:ser>
        <c:dLbls>
          <c:showLegendKey val="0"/>
          <c:showVal val="0"/>
          <c:showCatName val="0"/>
          <c:showSerName val="0"/>
          <c:showPercent val="0"/>
          <c:showBubbleSize val="0"/>
        </c:dLbls>
        <c:marker val="1"/>
        <c:smooth val="0"/>
        <c:axId val="953133519"/>
        <c:axId val="1426076399"/>
        <c:extLst/>
      </c:lineChart>
      <c:catAx>
        <c:axId val="142607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26075567"/>
        <c:crosses val="autoZero"/>
        <c:auto val="1"/>
        <c:lblAlgn val="ctr"/>
        <c:lblOffset val="100"/>
        <c:noMultiLvlLbl val="0"/>
      </c:catAx>
      <c:valAx>
        <c:axId val="1426075567"/>
        <c:scaling>
          <c:orientation val="minMax"/>
          <c:max val="30"/>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26075151"/>
        <c:crosses val="autoZero"/>
        <c:crossBetween val="between"/>
        <c:majorUnit val="2"/>
        <c:minorUnit val="1"/>
      </c:valAx>
      <c:valAx>
        <c:axId val="1426076399"/>
        <c:scaling>
          <c:orientation val="minMax"/>
          <c:max val="4.2000000000000006E-3"/>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53133519"/>
        <c:crosses val="max"/>
        <c:crossBetween val="between"/>
        <c:majorUnit val="1.0000000000000003E-4"/>
      </c:valAx>
      <c:catAx>
        <c:axId val="953133519"/>
        <c:scaling>
          <c:orientation val="minMax"/>
        </c:scaling>
        <c:delete val="1"/>
        <c:axPos val="b"/>
        <c:numFmt formatCode="General" sourceLinked="1"/>
        <c:majorTickMark val="none"/>
        <c:minorTickMark val="none"/>
        <c:tickLblPos val="nextTo"/>
        <c:crossAx val="1426076399"/>
        <c:crosses val="autoZero"/>
        <c:auto val="1"/>
        <c:lblAlgn val="ctr"/>
        <c:lblOffset val="100"/>
        <c:noMultiLvlLbl val="0"/>
      </c:catAx>
      <c:spPr>
        <a:noFill/>
        <a:ln>
          <a:noFill/>
        </a:ln>
        <a:effectLst/>
      </c:spPr>
    </c:plotArea>
    <c:legend>
      <c:legendPos val="b"/>
      <c:layout>
        <c:manualLayout>
          <c:xMode val="edge"/>
          <c:yMode val="edge"/>
          <c:x val="0.13349157079138069"/>
          <c:y val="0.7680983058935813"/>
          <c:w val="0.83055775027187684"/>
          <c:h val="0.19949435025478601"/>
        </c:manualLayout>
      </c:layout>
      <c:overlay val="0"/>
      <c:spPr>
        <a:no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2.0920447074293226E-2"/>
          <c:y val="2.7698558228166685E-2"/>
          <c:w val="0.96248027613412224"/>
          <c:h val="0.72694156651471198"/>
        </c:manualLayout>
      </c:layout>
      <c:barChart>
        <c:barDir val="col"/>
        <c:grouping val="clustered"/>
        <c:varyColors val="0"/>
        <c:ser>
          <c:idx val="0"/>
          <c:order val="0"/>
          <c:spPr>
            <a:solidFill>
              <a:srgbClr val="0070C0"/>
            </a:solidFill>
          </c:spPr>
          <c:invertIfNegative val="0"/>
          <c:dPt>
            <c:idx val="1"/>
            <c:invertIfNegative val="0"/>
            <c:bubble3D val="0"/>
            <c:extLst>
              <c:ext xmlns:c16="http://schemas.microsoft.com/office/drawing/2014/chart" uri="{C3380CC4-5D6E-409C-BE32-E72D297353CC}">
                <c16:uniqueId val="{00000000-C506-4A2E-81B0-4FC73C8CB5D3}"/>
              </c:ext>
            </c:extLst>
          </c:dPt>
          <c:dPt>
            <c:idx val="3"/>
            <c:invertIfNegative val="0"/>
            <c:bubble3D val="0"/>
            <c:spPr>
              <a:solidFill>
                <a:srgbClr val="FF0000"/>
              </a:solidFill>
            </c:spPr>
            <c:extLst>
              <c:ext xmlns:c16="http://schemas.microsoft.com/office/drawing/2014/chart" uri="{C3380CC4-5D6E-409C-BE32-E72D297353CC}">
                <c16:uniqueId val="{00000002-C506-4A2E-81B0-4FC73C8CB5D3}"/>
              </c:ext>
            </c:extLst>
          </c:dPt>
          <c:dPt>
            <c:idx val="6"/>
            <c:invertIfNegative val="0"/>
            <c:bubble3D val="0"/>
            <c:extLst>
              <c:ext xmlns:c16="http://schemas.microsoft.com/office/drawing/2014/chart" uri="{C3380CC4-5D6E-409C-BE32-E72D297353CC}">
                <c16:uniqueId val="{00000003-C506-4A2E-81B0-4FC73C8CB5D3}"/>
              </c:ext>
            </c:extLst>
          </c:dPt>
          <c:dPt>
            <c:idx val="7"/>
            <c:invertIfNegative val="0"/>
            <c:bubble3D val="0"/>
            <c:extLst>
              <c:ext xmlns:c16="http://schemas.microsoft.com/office/drawing/2014/chart" uri="{C3380CC4-5D6E-409C-BE32-E72D297353CC}">
                <c16:uniqueId val="{00000004-C506-4A2E-81B0-4FC73C8CB5D3}"/>
              </c:ext>
            </c:extLst>
          </c:dPt>
          <c:dPt>
            <c:idx val="8"/>
            <c:invertIfNegative val="0"/>
            <c:bubble3D val="0"/>
            <c:spPr>
              <a:solidFill>
                <a:srgbClr val="00B050"/>
              </a:solidFill>
            </c:spPr>
            <c:extLst>
              <c:ext xmlns:c16="http://schemas.microsoft.com/office/drawing/2014/chart" uri="{C3380CC4-5D6E-409C-BE32-E72D297353CC}">
                <c16:uniqueId val="{00000006-C506-4A2E-81B0-4FC73C8CB5D3}"/>
              </c:ext>
            </c:extLst>
          </c:dPt>
          <c:dLbls>
            <c:spPr>
              <a:noFill/>
              <a:ln>
                <a:noFill/>
              </a:ln>
              <a:effectLst/>
            </c:spPr>
            <c:txPr>
              <a:bodyPr rot="-5400000" vert="horz"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MS!$A$70:$A$97</c:f>
              <c:strCache>
                <c:ptCount val="28"/>
                <c:pt idx="0">
                  <c:v>Německo</c:v>
                </c:pt>
                <c:pt idx="1">
                  <c:v>Slovinsko</c:v>
                </c:pt>
                <c:pt idx="2">
                  <c:v>Belgie</c:v>
                </c:pt>
                <c:pt idx="3">
                  <c:v>Česko</c:v>
                </c:pt>
                <c:pt idx="4">
                  <c:v>Řecko</c:v>
                </c:pt>
                <c:pt idx="5">
                  <c:v>Španělsko</c:v>
                </c:pt>
                <c:pt idx="6">
                  <c:v>Francie</c:v>
                </c:pt>
                <c:pt idx="7">
                  <c:v>Chorvatsko</c:v>
                </c:pt>
                <c:pt idx="8">
                  <c:v>EU27</c:v>
                </c:pt>
                <c:pt idx="9">
                  <c:v>Lucembursko</c:v>
                </c:pt>
                <c:pt idx="10">
                  <c:v>Rakousko</c:v>
                </c:pt>
                <c:pt idx="11">
                  <c:v>Finsko</c:v>
                </c:pt>
                <c:pt idx="12">
                  <c:v>Itálie</c:v>
                </c:pt>
                <c:pt idx="13">
                  <c:v>Bulharsko</c:v>
                </c:pt>
                <c:pt idx="14">
                  <c:v>Estonsko</c:v>
                </c:pt>
                <c:pt idx="15">
                  <c:v>Maďarsko</c:v>
                </c:pt>
                <c:pt idx="16">
                  <c:v>Slovensko</c:v>
                </c:pt>
                <c:pt idx="17">
                  <c:v>Litva</c:v>
                </c:pt>
                <c:pt idx="18">
                  <c:v>Švédsko</c:v>
                </c:pt>
                <c:pt idx="19">
                  <c:v>Lotyšsko</c:v>
                </c:pt>
                <c:pt idx="20">
                  <c:v>Rumunsko</c:v>
                </c:pt>
                <c:pt idx="21">
                  <c:v>Nizozemsko</c:v>
                </c:pt>
                <c:pt idx="22">
                  <c:v>Dánsko</c:v>
                </c:pt>
                <c:pt idx="23">
                  <c:v>Portugalsko</c:v>
                </c:pt>
                <c:pt idx="24">
                  <c:v>Kypr</c:v>
                </c:pt>
                <c:pt idx="25">
                  <c:v>Irsko</c:v>
                </c:pt>
                <c:pt idx="26">
                  <c:v>Polsko</c:v>
                </c:pt>
                <c:pt idx="27">
                  <c:v>Malta</c:v>
                </c:pt>
              </c:strCache>
            </c:strRef>
          </c:cat>
          <c:val>
            <c:numRef>
              <c:f>MS!$B$70:$B$97</c:f>
              <c:numCache>
                <c:formatCode>0.00</c:formatCode>
                <c:ptCount val="28"/>
                <c:pt idx="0">
                  <c:v>0.37</c:v>
                </c:pt>
                <c:pt idx="1">
                  <c:v>0.33</c:v>
                </c:pt>
                <c:pt idx="2">
                  <c:v>0.31</c:v>
                </c:pt>
                <c:pt idx="3">
                  <c:v>0.31</c:v>
                </c:pt>
                <c:pt idx="4">
                  <c:v>0.31</c:v>
                </c:pt>
                <c:pt idx="5">
                  <c:v>0.25</c:v>
                </c:pt>
                <c:pt idx="6">
                  <c:v>0.25</c:v>
                </c:pt>
                <c:pt idx="7">
                  <c:v>0.25</c:v>
                </c:pt>
                <c:pt idx="8">
                  <c:v>0.24</c:v>
                </c:pt>
                <c:pt idx="9">
                  <c:v>0.24</c:v>
                </c:pt>
                <c:pt idx="10">
                  <c:v>0.24</c:v>
                </c:pt>
                <c:pt idx="11">
                  <c:v>0.22</c:v>
                </c:pt>
                <c:pt idx="12">
                  <c:v>0.2</c:v>
                </c:pt>
                <c:pt idx="13">
                  <c:v>0.19</c:v>
                </c:pt>
                <c:pt idx="14">
                  <c:v>0.18</c:v>
                </c:pt>
                <c:pt idx="15">
                  <c:v>0.17</c:v>
                </c:pt>
                <c:pt idx="16">
                  <c:v>0.17</c:v>
                </c:pt>
                <c:pt idx="17">
                  <c:v>0.15</c:v>
                </c:pt>
                <c:pt idx="18">
                  <c:v>0.14000000000000001</c:v>
                </c:pt>
                <c:pt idx="19">
                  <c:v>0.13</c:v>
                </c:pt>
                <c:pt idx="20">
                  <c:v>0.13</c:v>
                </c:pt>
                <c:pt idx="21">
                  <c:v>0.11</c:v>
                </c:pt>
                <c:pt idx="22">
                  <c:v>0.09</c:v>
                </c:pt>
                <c:pt idx="23">
                  <c:v>7.0000000000000007E-2</c:v>
                </c:pt>
                <c:pt idx="24">
                  <c:v>0.05</c:v>
                </c:pt>
                <c:pt idx="25">
                  <c:v>0.04</c:v>
                </c:pt>
                <c:pt idx="26">
                  <c:v>0.03</c:v>
                </c:pt>
                <c:pt idx="27">
                  <c:v>0.01</c:v>
                </c:pt>
              </c:numCache>
            </c:numRef>
          </c:val>
          <c:extLst>
            <c:ext xmlns:c16="http://schemas.microsoft.com/office/drawing/2014/chart" uri="{C3380CC4-5D6E-409C-BE32-E72D297353CC}">
              <c16:uniqueId val="{00000007-C506-4A2E-81B0-4FC73C8CB5D3}"/>
            </c:ext>
          </c:extLst>
        </c:ser>
        <c:dLbls>
          <c:showLegendKey val="0"/>
          <c:showVal val="0"/>
          <c:showCatName val="0"/>
          <c:showSerName val="0"/>
          <c:showPercent val="0"/>
          <c:showBubbleSize val="0"/>
        </c:dLbls>
        <c:gapWidth val="100"/>
        <c:axId val="132765568"/>
        <c:axId val="132767744"/>
      </c:barChart>
      <c:catAx>
        <c:axId val="132765568"/>
        <c:scaling>
          <c:orientation val="minMax"/>
        </c:scaling>
        <c:delete val="0"/>
        <c:axPos val="b"/>
        <c:numFmt formatCode="General" sourceLinked="1"/>
        <c:majorTickMark val="out"/>
        <c:minorTickMark val="none"/>
        <c:tickLblPos val="nextTo"/>
        <c:spPr>
          <a:ln>
            <a:solidFill>
              <a:schemeClr val="bg1">
                <a:lumMod val="65000"/>
              </a:schemeClr>
            </a:solidFill>
          </a:ln>
        </c:spPr>
        <c:txPr>
          <a:bodyPr rot="-5400000" vert="horz"/>
          <a:lstStyle/>
          <a:p>
            <a:pPr>
              <a:defRPr/>
            </a:pPr>
            <a:endParaRPr lang="cs-CZ"/>
          </a:p>
        </c:txPr>
        <c:crossAx val="132767744"/>
        <c:crosses val="autoZero"/>
        <c:auto val="1"/>
        <c:lblAlgn val="ctr"/>
        <c:lblOffset val="100"/>
        <c:noMultiLvlLbl val="0"/>
      </c:catAx>
      <c:valAx>
        <c:axId val="132767744"/>
        <c:scaling>
          <c:orientation val="minMax"/>
          <c:max val="0.45"/>
          <c:min val="0"/>
        </c:scaling>
        <c:delete val="0"/>
        <c:axPos val="l"/>
        <c:numFmt formatCode="#,##0.0" sourceLinked="0"/>
        <c:majorTickMark val="none"/>
        <c:minorTickMark val="none"/>
        <c:tickLblPos val="none"/>
        <c:spPr>
          <a:ln>
            <a:solidFill>
              <a:schemeClr val="bg1">
                <a:lumMod val="65000"/>
              </a:schemeClr>
            </a:solidFill>
          </a:ln>
        </c:spPr>
        <c:crossAx val="132765568"/>
        <c:crosses val="autoZero"/>
        <c:crossBetween val="between"/>
        <c:majorUnit val="5.000000000000001E-2"/>
      </c:valAx>
      <c:spPr>
        <a:ln>
          <a:solidFill>
            <a:schemeClr val="bg1">
              <a:lumMod val="65000"/>
            </a:schemeClr>
          </a:solidFill>
        </a:ln>
      </c:spPr>
    </c:plotArea>
    <c:plotVisOnly val="1"/>
    <c:dispBlanksAs val="gap"/>
    <c:showDLblsOverMax val="0"/>
  </c:chart>
  <c:spPr>
    <a:noFill/>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Grafy_GOV!$A$94</c:f>
              <c:strCache>
                <c:ptCount val="1"/>
                <c:pt idx="0">
                  <c:v> Pracoviště
 AV ČR</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Grafy_GOV!$B$93:$N$93</c:f>
              <c:numCache>
                <c:formatCode>General</c:formatCode>
                <c:ptCount val="2"/>
                <c:pt idx="0">
                  <c:v>2012</c:v>
                </c:pt>
                <c:pt idx="1">
                  <c:v>2022</c:v>
                </c:pt>
              </c:numCache>
            </c:numRef>
          </c:cat>
          <c:val>
            <c:numRef>
              <c:f>Grafy_GOV!$B$94:$N$94</c:f>
              <c:numCache>
                <c:formatCode>0%</c:formatCode>
                <c:ptCount val="2"/>
                <c:pt idx="0">
                  <c:v>0.76075704597134552</c:v>
                </c:pt>
                <c:pt idx="1">
                  <c:v>0.736238074228311</c:v>
                </c:pt>
              </c:numCache>
            </c:numRef>
          </c:val>
          <c:extLst>
            <c:ext xmlns:c16="http://schemas.microsoft.com/office/drawing/2014/chart" uri="{C3380CC4-5D6E-409C-BE32-E72D297353CC}">
              <c16:uniqueId val="{00000000-4EF8-4AA0-8337-7C595AF9E4A8}"/>
            </c:ext>
          </c:extLst>
        </c:ser>
        <c:ser>
          <c:idx val="1"/>
          <c:order val="1"/>
          <c:tx>
            <c:strRef>
              <c:f>Grafy_GOV!$A$95</c:f>
              <c:strCache>
                <c:ptCount val="1"/>
                <c:pt idx="0">
                  <c:v> ostatní veřejné 
 výzkumné instituce</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Grafy_GOV!$B$93:$N$93</c:f>
              <c:numCache>
                <c:formatCode>General</c:formatCode>
                <c:ptCount val="2"/>
                <c:pt idx="0">
                  <c:v>2012</c:v>
                </c:pt>
                <c:pt idx="1">
                  <c:v>2022</c:v>
                </c:pt>
              </c:numCache>
            </c:numRef>
          </c:cat>
          <c:val>
            <c:numRef>
              <c:f>Grafy_GOV!$B$95:$N$95</c:f>
              <c:numCache>
                <c:formatCode>0%</c:formatCode>
                <c:ptCount val="2"/>
                <c:pt idx="0">
                  <c:v>9.0583322793917911E-2</c:v>
                </c:pt>
                <c:pt idx="1">
                  <c:v>7.7755752643262122E-2</c:v>
                </c:pt>
              </c:numCache>
            </c:numRef>
          </c:val>
          <c:extLst>
            <c:ext xmlns:c16="http://schemas.microsoft.com/office/drawing/2014/chart" uri="{C3380CC4-5D6E-409C-BE32-E72D297353CC}">
              <c16:uniqueId val="{00000001-4EF8-4AA0-8337-7C595AF9E4A8}"/>
            </c:ext>
          </c:extLst>
        </c:ser>
        <c:ser>
          <c:idx val="2"/>
          <c:order val="2"/>
          <c:tx>
            <c:strRef>
              <c:f>Grafy_GOV!$A$96</c:f>
              <c:strCache>
                <c:ptCount val="1"/>
                <c:pt idx="0">
                  <c:v> Knihovny, archívy 
 a muzea</c:v>
                </c:pt>
              </c:strCache>
            </c:strRef>
          </c:tx>
          <c:spPr>
            <a:solidFill>
              <a:srgbClr val="FFC00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EF8-4AA0-8337-7C595AF9E4A8}"/>
                </c:ext>
              </c:extLst>
            </c:dLbl>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Grafy_GOV!$B$93:$N$93</c:f>
              <c:numCache>
                <c:formatCode>General</c:formatCode>
                <c:ptCount val="2"/>
                <c:pt idx="0">
                  <c:v>2012</c:v>
                </c:pt>
                <c:pt idx="1">
                  <c:v>2022</c:v>
                </c:pt>
              </c:numCache>
            </c:numRef>
          </c:cat>
          <c:val>
            <c:numRef>
              <c:f>Grafy_GOV!$B$96:$N$96</c:f>
              <c:numCache>
                <c:formatCode>0%</c:formatCode>
                <c:ptCount val="2"/>
                <c:pt idx="0">
                  <c:v>3.1762076945703349E-2</c:v>
                </c:pt>
                <c:pt idx="1">
                  <c:v>6.4540062857606828E-2</c:v>
                </c:pt>
              </c:numCache>
            </c:numRef>
          </c:val>
          <c:extLst>
            <c:ext xmlns:c16="http://schemas.microsoft.com/office/drawing/2014/chart" uri="{C3380CC4-5D6E-409C-BE32-E72D297353CC}">
              <c16:uniqueId val="{00000003-4EF8-4AA0-8337-7C595AF9E4A8}"/>
            </c:ext>
          </c:extLst>
        </c:ser>
        <c:ser>
          <c:idx val="3"/>
          <c:order val="3"/>
          <c:tx>
            <c:strRef>
              <c:f>Grafy_GOV!$A$97</c:f>
              <c:strCache>
                <c:ptCount val="1"/>
                <c:pt idx="0">
                  <c:v> Zdravotnická
 zařízení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Grafy_GOV!$B$93:$N$93</c:f>
              <c:numCache>
                <c:formatCode>General</c:formatCode>
                <c:ptCount val="2"/>
                <c:pt idx="0">
                  <c:v>2012</c:v>
                </c:pt>
                <c:pt idx="1">
                  <c:v>2022</c:v>
                </c:pt>
              </c:numCache>
            </c:numRef>
          </c:cat>
          <c:val>
            <c:numRef>
              <c:f>Grafy_GOV!$B$97:$N$97</c:f>
              <c:numCache>
                <c:formatCode>0%</c:formatCode>
                <c:ptCount val="2"/>
                <c:pt idx="0">
                  <c:v>4.527920135910924E-2</c:v>
                </c:pt>
                <c:pt idx="1">
                  <c:v>5.0766131255839814E-2</c:v>
                </c:pt>
              </c:numCache>
            </c:numRef>
          </c:val>
          <c:extLst>
            <c:ext xmlns:c16="http://schemas.microsoft.com/office/drawing/2014/chart" uri="{C3380CC4-5D6E-409C-BE32-E72D297353CC}">
              <c16:uniqueId val="{00000004-4EF8-4AA0-8337-7C595AF9E4A8}"/>
            </c:ext>
          </c:extLst>
        </c:ser>
        <c:ser>
          <c:idx val="4"/>
          <c:order val="4"/>
          <c:tx>
            <c:strRef>
              <c:f>Grafy_GOV!$A$98</c:f>
              <c:strCache>
                <c:ptCount val="1"/>
                <c:pt idx="0">
                  <c:v> ostatní</c:v>
                </c:pt>
              </c:strCache>
            </c:strRef>
          </c:tx>
          <c:spPr>
            <a:solidFill>
              <a:schemeClr val="bg1">
                <a:lumMod val="75000"/>
              </a:schemeClr>
            </a:solidFill>
          </c:spPr>
          <c:invertIfNegative val="0"/>
          <c:cat>
            <c:numRef>
              <c:f>Grafy_GOV!$B$93:$N$93</c:f>
              <c:numCache>
                <c:formatCode>General</c:formatCode>
                <c:ptCount val="2"/>
                <c:pt idx="0">
                  <c:v>2012</c:v>
                </c:pt>
                <c:pt idx="1">
                  <c:v>2022</c:v>
                </c:pt>
              </c:numCache>
            </c:numRef>
          </c:cat>
          <c:val>
            <c:numRef>
              <c:f>Grafy_GOV!$B$98:$N$98</c:f>
              <c:numCache>
                <c:formatCode>0%</c:formatCode>
                <c:ptCount val="2"/>
                <c:pt idx="0">
                  <c:v>7.1618352929923884E-2</c:v>
                </c:pt>
                <c:pt idx="1">
                  <c:v>7.0699979014980333E-2</c:v>
                </c:pt>
              </c:numCache>
            </c:numRef>
          </c:val>
          <c:extLst>
            <c:ext xmlns:c16="http://schemas.microsoft.com/office/drawing/2014/chart" uri="{C3380CC4-5D6E-409C-BE32-E72D297353CC}">
              <c16:uniqueId val="{00000005-4EF8-4AA0-8337-7C595AF9E4A8}"/>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894494949494945"/>
          <c:y val="5.4953571428571428E-2"/>
          <c:w val="0.37950303030303029"/>
          <c:h val="0.83073253968253957"/>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Grafy_GOV!$A$103</c:f>
              <c:strCache>
                <c:ptCount val="1"/>
                <c:pt idx="0">
                  <c:v> Praha </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i="0">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Grafy_GOV!$B$102:$N$102</c:f>
              <c:numCache>
                <c:formatCode>General</c:formatCode>
                <c:ptCount val="2"/>
                <c:pt idx="0">
                  <c:v>2012</c:v>
                </c:pt>
                <c:pt idx="1">
                  <c:v>2022</c:v>
                </c:pt>
              </c:numCache>
            </c:numRef>
          </c:cat>
          <c:val>
            <c:numRef>
              <c:f>Grafy_GOV!$B$103:$N$103</c:f>
              <c:numCache>
                <c:formatCode>0%</c:formatCode>
                <c:ptCount val="2"/>
                <c:pt idx="0">
                  <c:v>0.72822792045281359</c:v>
                </c:pt>
                <c:pt idx="1">
                  <c:v>0.66360938496557098</c:v>
                </c:pt>
              </c:numCache>
            </c:numRef>
          </c:val>
          <c:extLst>
            <c:ext xmlns:c16="http://schemas.microsoft.com/office/drawing/2014/chart" uri="{C3380CC4-5D6E-409C-BE32-E72D297353CC}">
              <c16:uniqueId val="{00000000-F424-4D80-A59B-F4657EF3F236}"/>
            </c:ext>
          </c:extLst>
        </c:ser>
        <c:ser>
          <c:idx val="1"/>
          <c:order val="1"/>
          <c:tx>
            <c:strRef>
              <c:f>Grafy_GOV!$A$104</c:f>
              <c:strCache>
                <c:ptCount val="1"/>
                <c:pt idx="0">
                  <c:v> Středočeský </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Grafy_GOV!$B$102:$N$102</c:f>
              <c:numCache>
                <c:formatCode>General</c:formatCode>
                <c:ptCount val="2"/>
                <c:pt idx="0">
                  <c:v>2012</c:v>
                </c:pt>
                <c:pt idx="1">
                  <c:v>2022</c:v>
                </c:pt>
              </c:numCache>
            </c:numRef>
          </c:cat>
          <c:val>
            <c:numRef>
              <c:f>Grafy_GOV!$B$104:$N$104</c:f>
              <c:numCache>
                <c:formatCode>0%</c:formatCode>
                <c:ptCount val="2"/>
                <c:pt idx="0">
                  <c:v>6.9571449602243901E-2</c:v>
                </c:pt>
                <c:pt idx="1">
                  <c:v>0.16542656398015773</c:v>
                </c:pt>
              </c:numCache>
            </c:numRef>
          </c:val>
          <c:extLst>
            <c:ext xmlns:c16="http://schemas.microsoft.com/office/drawing/2014/chart" uri="{C3380CC4-5D6E-409C-BE32-E72D297353CC}">
              <c16:uniqueId val="{00000001-F424-4D80-A59B-F4657EF3F236}"/>
            </c:ext>
          </c:extLst>
        </c:ser>
        <c:ser>
          <c:idx val="2"/>
          <c:order val="2"/>
          <c:tx>
            <c:strRef>
              <c:f>Grafy_GOV!$A$105</c:f>
              <c:strCache>
                <c:ptCount val="1"/>
                <c:pt idx="0">
                  <c:v> Jihomoravský</c:v>
                </c:pt>
              </c:strCache>
            </c:strRef>
          </c:tx>
          <c:spPr>
            <a:solidFill>
              <a:srgbClr val="FFC00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Grafy_GOV!$B$102:$N$102</c:f>
              <c:numCache>
                <c:formatCode>General</c:formatCode>
                <c:ptCount val="2"/>
                <c:pt idx="0">
                  <c:v>2012</c:v>
                </c:pt>
                <c:pt idx="1">
                  <c:v>2022</c:v>
                </c:pt>
              </c:numCache>
            </c:numRef>
          </c:cat>
          <c:val>
            <c:numRef>
              <c:f>Grafy_GOV!$B$105:$N$105</c:f>
              <c:numCache>
                <c:formatCode>0%</c:formatCode>
                <c:ptCount val="2"/>
                <c:pt idx="0">
                  <c:v>0.1350744447648683</c:v>
                </c:pt>
                <c:pt idx="1">
                  <c:v>0.10256909771021526</c:v>
                </c:pt>
              </c:numCache>
            </c:numRef>
          </c:val>
          <c:extLst>
            <c:ext xmlns:c16="http://schemas.microsoft.com/office/drawing/2014/chart" uri="{C3380CC4-5D6E-409C-BE32-E72D297353CC}">
              <c16:uniqueId val="{00000002-F424-4D80-A59B-F4657EF3F236}"/>
            </c:ext>
          </c:extLst>
        </c:ser>
        <c:ser>
          <c:idx val="3"/>
          <c:order val="3"/>
          <c:tx>
            <c:strRef>
              <c:f>Grafy_GOV!$A$106</c:f>
              <c:strCache>
                <c:ptCount val="1"/>
                <c:pt idx="0">
                  <c:v> Jihočeský</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Grafy_GOV!$B$102:$N$102</c:f>
              <c:numCache>
                <c:formatCode>General</c:formatCode>
                <c:ptCount val="2"/>
                <c:pt idx="0">
                  <c:v>2012</c:v>
                </c:pt>
                <c:pt idx="1">
                  <c:v>2022</c:v>
                </c:pt>
              </c:numCache>
            </c:numRef>
          </c:cat>
          <c:val>
            <c:numRef>
              <c:f>Grafy_GOV!$B$106:$N$106</c:f>
              <c:numCache>
                <c:formatCode>0%</c:formatCode>
                <c:ptCount val="2"/>
                <c:pt idx="0">
                  <c:v>3.2110741935474585E-2</c:v>
                </c:pt>
                <c:pt idx="1">
                  <c:v>4.4747801902351281E-2</c:v>
                </c:pt>
              </c:numCache>
            </c:numRef>
          </c:val>
          <c:extLst>
            <c:ext xmlns:c16="http://schemas.microsoft.com/office/drawing/2014/chart" uri="{C3380CC4-5D6E-409C-BE32-E72D297353CC}">
              <c16:uniqueId val="{00000003-F424-4D80-A59B-F4657EF3F236}"/>
            </c:ext>
          </c:extLst>
        </c:ser>
        <c:ser>
          <c:idx val="4"/>
          <c:order val="4"/>
          <c:tx>
            <c:strRef>
              <c:f>Grafy_GOV!$A$107</c:f>
              <c:strCache>
                <c:ptCount val="1"/>
                <c:pt idx="0">
                  <c:v> ostatní kraje</c:v>
                </c:pt>
              </c:strCache>
            </c:strRef>
          </c:tx>
          <c:spPr>
            <a:solidFill>
              <a:schemeClr val="bg1">
                <a:lumMod val="75000"/>
              </a:schemeClr>
            </a:solidFill>
          </c:spPr>
          <c:invertIfNegative val="0"/>
          <c:cat>
            <c:numRef>
              <c:f>Grafy_GOV!$B$102:$N$102</c:f>
              <c:numCache>
                <c:formatCode>General</c:formatCode>
                <c:ptCount val="2"/>
                <c:pt idx="0">
                  <c:v>2012</c:v>
                </c:pt>
                <c:pt idx="1">
                  <c:v>2022</c:v>
                </c:pt>
              </c:numCache>
            </c:numRef>
          </c:cat>
          <c:val>
            <c:numRef>
              <c:f>Grafy_GOV!$B$107:$N$107</c:f>
              <c:numCache>
                <c:formatCode>0%</c:formatCode>
                <c:ptCount val="2"/>
                <c:pt idx="0">
                  <c:v>3.5015443244599598E-2</c:v>
                </c:pt>
                <c:pt idx="1">
                  <c:v>2.3647151441704747E-2</c:v>
                </c:pt>
              </c:numCache>
            </c:numRef>
          </c:val>
          <c:extLst>
            <c:ext xmlns:c16="http://schemas.microsoft.com/office/drawing/2014/chart" uri="{C3380CC4-5D6E-409C-BE32-E72D297353CC}">
              <c16:uniqueId val="{00000004-F424-4D80-A59B-F4657EF3F236}"/>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894494949494945"/>
          <c:y val="5.4953571428571428E-2"/>
          <c:w val="0.37950303030303029"/>
          <c:h val="0.83073253968253957"/>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6770222222222233"/>
          <c:h val="0.85091166505958815"/>
        </c:manualLayout>
      </c:layout>
      <c:barChart>
        <c:barDir val="col"/>
        <c:grouping val="percentStacked"/>
        <c:varyColors val="0"/>
        <c:ser>
          <c:idx val="0"/>
          <c:order val="0"/>
          <c:tx>
            <c:strRef>
              <c:f>Grafy_GOV!$A$31</c:f>
              <c:strCache>
                <c:ptCount val="1"/>
                <c:pt idx="0">
                  <c:v> mzdové</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Grafy_GOV!$B$30:$N$30</c:f>
              <c:numCache>
                <c:formatCode>General</c:formatCode>
                <c:ptCount val="2"/>
                <c:pt idx="0">
                  <c:v>2012</c:v>
                </c:pt>
                <c:pt idx="1">
                  <c:v>2022</c:v>
                </c:pt>
              </c:numCache>
            </c:numRef>
          </c:cat>
          <c:val>
            <c:numRef>
              <c:f>Grafy_GOV!$B$31:$N$31</c:f>
              <c:numCache>
                <c:formatCode>0%</c:formatCode>
                <c:ptCount val="2"/>
                <c:pt idx="0">
                  <c:v>0.39698760939265049</c:v>
                </c:pt>
                <c:pt idx="1">
                  <c:v>0.51677918413485702</c:v>
                </c:pt>
              </c:numCache>
            </c:numRef>
          </c:val>
          <c:extLst>
            <c:ext xmlns:c16="http://schemas.microsoft.com/office/drawing/2014/chart" uri="{C3380CC4-5D6E-409C-BE32-E72D297353CC}">
              <c16:uniqueId val="{00000000-7AA1-4D9C-B57A-F5C0B6BCEF96}"/>
            </c:ext>
          </c:extLst>
        </c:ser>
        <c:ser>
          <c:idx val="1"/>
          <c:order val="1"/>
          <c:tx>
            <c:strRef>
              <c:f>Grafy_GOV!$A$32</c:f>
              <c:strCache>
                <c:ptCount val="1"/>
                <c:pt idx="0">
                  <c:v> ostatní běžné</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Grafy_GOV!$B$30:$N$30</c:f>
              <c:numCache>
                <c:formatCode>General</c:formatCode>
                <c:ptCount val="2"/>
                <c:pt idx="0">
                  <c:v>2012</c:v>
                </c:pt>
                <c:pt idx="1">
                  <c:v>2022</c:v>
                </c:pt>
              </c:numCache>
            </c:numRef>
          </c:cat>
          <c:val>
            <c:numRef>
              <c:f>Grafy_GOV!$B$32:$N$32</c:f>
              <c:numCache>
                <c:formatCode>0%</c:formatCode>
                <c:ptCount val="2"/>
                <c:pt idx="0">
                  <c:v>0.38493486353161566</c:v>
                </c:pt>
                <c:pt idx="1">
                  <c:v>0.35289138104152734</c:v>
                </c:pt>
              </c:numCache>
            </c:numRef>
          </c:val>
          <c:extLst>
            <c:ext xmlns:c16="http://schemas.microsoft.com/office/drawing/2014/chart" uri="{C3380CC4-5D6E-409C-BE32-E72D297353CC}">
              <c16:uniqueId val="{00000001-7AA1-4D9C-B57A-F5C0B6BCEF96}"/>
            </c:ext>
          </c:extLst>
        </c:ser>
        <c:ser>
          <c:idx val="2"/>
          <c:order val="2"/>
          <c:tx>
            <c:strRef>
              <c:f>Grafy_GOV!$A$33</c:f>
              <c:strCache>
                <c:ptCount val="1"/>
                <c:pt idx="0">
                  <c:v> investiční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Grafy_GOV!$B$30:$N$30</c:f>
              <c:numCache>
                <c:formatCode>General</c:formatCode>
                <c:ptCount val="2"/>
                <c:pt idx="0">
                  <c:v>2012</c:v>
                </c:pt>
                <c:pt idx="1">
                  <c:v>2022</c:v>
                </c:pt>
              </c:numCache>
            </c:numRef>
          </c:cat>
          <c:val>
            <c:numRef>
              <c:f>Grafy_GOV!$B$33:$N$33</c:f>
              <c:numCache>
                <c:formatCode>0%</c:formatCode>
                <c:ptCount val="2"/>
                <c:pt idx="0">
                  <c:v>0.21807752707573436</c:v>
                </c:pt>
                <c:pt idx="1">
                  <c:v>0.13032943482361661</c:v>
                </c:pt>
              </c:numCache>
            </c:numRef>
          </c:val>
          <c:extLst>
            <c:ext xmlns:c16="http://schemas.microsoft.com/office/drawing/2014/chart" uri="{C3380CC4-5D6E-409C-BE32-E72D297353CC}">
              <c16:uniqueId val="{00000002-7AA1-4D9C-B57A-F5C0B6BCEF96}"/>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2603055555555553"/>
          <c:y val="7.5112110986126732E-2"/>
          <c:w val="0.34785388888888891"/>
          <c:h val="0.7752804316981774"/>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6770222222222233"/>
          <c:h val="0.85091166505958815"/>
        </c:manualLayout>
      </c:layout>
      <c:barChart>
        <c:barDir val="col"/>
        <c:grouping val="percentStacked"/>
        <c:varyColors val="0"/>
        <c:ser>
          <c:idx val="0"/>
          <c:order val="0"/>
          <c:tx>
            <c:strRef>
              <c:f>Grafy_GOV!$A$38</c:f>
              <c:strCache>
                <c:ptCount val="1"/>
                <c:pt idx="0">
                  <c:v> veřejné domácí </c:v>
                </c:pt>
              </c:strCache>
            </c:strRef>
          </c:tx>
          <c:spPr>
            <a:solidFill>
              <a:srgbClr val="C00000"/>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Grafy_GOV!$B$37:$N$37</c:f>
              <c:numCache>
                <c:formatCode>General</c:formatCode>
                <c:ptCount val="2"/>
                <c:pt idx="0">
                  <c:v>2012</c:v>
                </c:pt>
                <c:pt idx="1">
                  <c:v>2022</c:v>
                </c:pt>
              </c:numCache>
            </c:numRef>
          </c:cat>
          <c:val>
            <c:numRef>
              <c:f>Grafy_GOV!$B$38:$N$38</c:f>
              <c:numCache>
                <c:formatCode>0%</c:formatCode>
                <c:ptCount val="2"/>
                <c:pt idx="0">
                  <c:v>0.70894071816489168</c:v>
                </c:pt>
                <c:pt idx="1">
                  <c:v>0.78034826699298165</c:v>
                </c:pt>
              </c:numCache>
            </c:numRef>
          </c:val>
          <c:extLst>
            <c:ext xmlns:c16="http://schemas.microsoft.com/office/drawing/2014/chart" uri="{C3380CC4-5D6E-409C-BE32-E72D297353CC}">
              <c16:uniqueId val="{00000000-718E-4714-92CA-8AE20916E5E4}"/>
            </c:ext>
          </c:extLst>
        </c:ser>
        <c:ser>
          <c:idx val="1"/>
          <c:order val="1"/>
          <c:tx>
            <c:strRef>
              <c:f>Grafy_GOV!$A$39</c:f>
              <c:strCache>
                <c:ptCount val="1"/>
                <c:pt idx="0">
                  <c:v> veřejné zahraniční </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Grafy_GOV!$B$37:$N$37</c:f>
              <c:numCache>
                <c:formatCode>General</c:formatCode>
                <c:ptCount val="2"/>
                <c:pt idx="0">
                  <c:v>2012</c:v>
                </c:pt>
                <c:pt idx="1">
                  <c:v>2022</c:v>
                </c:pt>
              </c:numCache>
            </c:numRef>
          </c:cat>
          <c:val>
            <c:numRef>
              <c:f>Grafy_GOV!$B$39:$N$39</c:f>
              <c:numCache>
                <c:formatCode>0%</c:formatCode>
                <c:ptCount val="2"/>
                <c:pt idx="0">
                  <c:v>0.16021836900553341</c:v>
                </c:pt>
                <c:pt idx="1">
                  <c:v>0.10501228998757828</c:v>
                </c:pt>
              </c:numCache>
            </c:numRef>
          </c:val>
          <c:extLst>
            <c:ext xmlns:c16="http://schemas.microsoft.com/office/drawing/2014/chart" uri="{C3380CC4-5D6E-409C-BE32-E72D297353CC}">
              <c16:uniqueId val="{00000001-718E-4714-92CA-8AE20916E5E4}"/>
            </c:ext>
          </c:extLst>
        </c:ser>
        <c:ser>
          <c:idx val="2"/>
          <c:order val="2"/>
          <c:tx>
            <c:strRef>
              <c:f>Grafy_GOV!$A$40</c:f>
              <c:strCache>
                <c:ptCount val="1"/>
                <c:pt idx="0">
                  <c:v> podnikové </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Grafy_GOV!$B$37:$N$37</c:f>
              <c:numCache>
                <c:formatCode>General</c:formatCode>
                <c:ptCount val="2"/>
                <c:pt idx="0">
                  <c:v>2012</c:v>
                </c:pt>
                <c:pt idx="1">
                  <c:v>2022</c:v>
                </c:pt>
              </c:numCache>
            </c:numRef>
          </c:cat>
          <c:val>
            <c:numRef>
              <c:f>Grafy_GOV!$B$40:$N$40</c:f>
              <c:numCache>
                <c:formatCode>0%</c:formatCode>
                <c:ptCount val="2"/>
                <c:pt idx="0">
                  <c:v>0.13023663700553464</c:v>
                </c:pt>
                <c:pt idx="1">
                  <c:v>0.10972007464276405</c:v>
                </c:pt>
              </c:numCache>
            </c:numRef>
          </c:val>
          <c:extLst>
            <c:ext xmlns:c16="http://schemas.microsoft.com/office/drawing/2014/chart" uri="{C3380CC4-5D6E-409C-BE32-E72D297353CC}">
              <c16:uniqueId val="{00000002-718E-4714-92CA-8AE20916E5E4}"/>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2603055555555553"/>
          <c:y val="7.5112110986126732E-2"/>
          <c:w val="0.34785388888888891"/>
          <c:h val="0.7752804316981774"/>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38805244550409E-2"/>
          <c:y val="4.750165077502938E-2"/>
          <c:w val="0.67580631313131312"/>
          <c:h val="0.83821788538836173"/>
        </c:manualLayout>
      </c:layout>
      <c:lineChart>
        <c:grouping val="standard"/>
        <c:varyColors val="0"/>
        <c:ser>
          <c:idx val="0"/>
          <c:order val="0"/>
          <c:tx>
            <c:strRef>
              <c:f>Grafy_GOV!$A$47</c:f>
              <c:strCache>
                <c:ptCount val="1"/>
                <c:pt idx="0">
                  <c:v> Přírodní</c:v>
                </c:pt>
              </c:strCache>
            </c:strRef>
          </c:tx>
          <c:spPr>
            <a:ln>
              <a:solidFill>
                <a:srgbClr val="7030A0"/>
              </a:solidFill>
            </a:ln>
          </c:spPr>
          <c:marker>
            <c:symbol val="triangle"/>
            <c:size val="5"/>
            <c:spPr>
              <a:solidFill>
                <a:schemeClr val="tx1"/>
              </a:solidFill>
              <a:ln>
                <a:noFill/>
              </a:ln>
            </c:spPr>
          </c:marker>
          <c:cat>
            <c:numRef>
              <c:f>Grafy_GOV!$D$46:$N$46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Grafy_GOV!$D$47:$N$47</c:f>
              <c:numCache>
                <c:formatCode>0.0</c:formatCode>
                <c:ptCount val="11"/>
                <c:pt idx="0">
                  <c:v>7.5853299999999999</c:v>
                </c:pt>
                <c:pt idx="1">
                  <c:v>7.3474700000000022</c:v>
                </c:pt>
                <c:pt idx="2">
                  <c:v>7.5967759999999993</c:v>
                </c:pt>
                <c:pt idx="3">
                  <c:v>8.134466999999999</c:v>
                </c:pt>
                <c:pt idx="4">
                  <c:v>8.2041979999999999</c:v>
                </c:pt>
                <c:pt idx="5">
                  <c:v>8.6086170000000006</c:v>
                </c:pt>
                <c:pt idx="6">
                  <c:v>9.2122529999999969</c:v>
                </c:pt>
                <c:pt idx="7">
                  <c:v>10.133103999999998</c:v>
                </c:pt>
                <c:pt idx="8">
                  <c:v>11.404297000000001</c:v>
                </c:pt>
                <c:pt idx="9">
                  <c:v>12.238599000000001</c:v>
                </c:pt>
                <c:pt idx="10">
                  <c:v>12.84576</c:v>
                </c:pt>
              </c:numCache>
            </c:numRef>
          </c:val>
          <c:smooth val="0"/>
          <c:extLst>
            <c:ext xmlns:c16="http://schemas.microsoft.com/office/drawing/2014/chart" uri="{C3380CC4-5D6E-409C-BE32-E72D297353CC}">
              <c16:uniqueId val="{00000000-FEFA-4028-B404-4FD4BC7EA407}"/>
            </c:ext>
          </c:extLst>
        </c:ser>
        <c:ser>
          <c:idx val="1"/>
          <c:order val="1"/>
          <c:tx>
            <c:strRef>
              <c:f>Grafy_GOV!$A$48</c:f>
              <c:strCache>
                <c:ptCount val="1"/>
                <c:pt idx="0">
                  <c:v> Sociální a
 Humanitní</c:v>
                </c:pt>
              </c:strCache>
            </c:strRef>
          </c:tx>
          <c:spPr>
            <a:ln>
              <a:solidFill>
                <a:srgbClr val="FF0000"/>
              </a:solidFill>
            </a:ln>
          </c:spPr>
          <c:marker>
            <c:symbol val="star"/>
            <c:size val="5"/>
            <c:spPr>
              <a:solidFill>
                <a:schemeClr val="tx1"/>
              </a:solidFill>
              <a:ln>
                <a:noFill/>
              </a:ln>
            </c:spPr>
          </c:marker>
          <c:cat>
            <c:numRef>
              <c:f>Grafy_GOV!$D$46:$N$46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Grafy_GOV!$D$48:$N$48</c:f>
              <c:numCache>
                <c:formatCode>0.0</c:formatCode>
                <c:ptCount val="11"/>
                <c:pt idx="0">
                  <c:v>1.7859100000000003</c:v>
                </c:pt>
                <c:pt idx="1">
                  <c:v>1.8061040000000002</c:v>
                </c:pt>
                <c:pt idx="2">
                  <c:v>1.9239343899999999</c:v>
                </c:pt>
                <c:pt idx="3">
                  <c:v>2.0007230000000007</c:v>
                </c:pt>
                <c:pt idx="4">
                  <c:v>1.9783269999999997</c:v>
                </c:pt>
                <c:pt idx="5">
                  <c:v>2.0356109999999998</c:v>
                </c:pt>
                <c:pt idx="6">
                  <c:v>2.4909880000000002</c:v>
                </c:pt>
                <c:pt idx="7">
                  <c:v>2.725511</c:v>
                </c:pt>
                <c:pt idx="8">
                  <c:v>2.6886899999999998</c:v>
                </c:pt>
                <c:pt idx="9">
                  <c:v>2.8301949999999998</c:v>
                </c:pt>
                <c:pt idx="10">
                  <c:v>2.9657279999999999</c:v>
                </c:pt>
              </c:numCache>
            </c:numRef>
          </c:val>
          <c:smooth val="0"/>
          <c:extLst>
            <c:ext xmlns:c16="http://schemas.microsoft.com/office/drawing/2014/chart" uri="{C3380CC4-5D6E-409C-BE32-E72D297353CC}">
              <c16:uniqueId val="{00000001-FEFA-4028-B404-4FD4BC7EA407}"/>
            </c:ext>
          </c:extLst>
        </c:ser>
        <c:ser>
          <c:idx val="2"/>
          <c:order val="2"/>
          <c:tx>
            <c:strRef>
              <c:f>Grafy_GOV!$A$49</c:f>
              <c:strCache>
                <c:ptCount val="1"/>
                <c:pt idx="0">
                  <c:v> Lékařské</c:v>
                </c:pt>
              </c:strCache>
            </c:strRef>
          </c:tx>
          <c:spPr>
            <a:ln>
              <a:solidFill>
                <a:srgbClr val="FFC000"/>
              </a:solidFill>
            </a:ln>
          </c:spPr>
          <c:marker>
            <c:symbol val="diamond"/>
            <c:size val="5"/>
            <c:spPr>
              <a:solidFill>
                <a:schemeClr val="tx1"/>
              </a:solidFill>
              <a:ln>
                <a:noFill/>
              </a:ln>
            </c:spPr>
          </c:marker>
          <c:cat>
            <c:numRef>
              <c:f>Grafy_GOV!$D$46:$N$46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Grafy_GOV!$D$49:$N$49</c:f>
              <c:numCache>
                <c:formatCode>0.0</c:formatCode>
                <c:ptCount val="11"/>
                <c:pt idx="0">
                  <c:v>0.78159899999999993</c:v>
                </c:pt>
                <c:pt idx="1">
                  <c:v>0.85613769000000006</c:v>
                </c:pt>
                <c:pt idx="2">
                  <c:v>0.71019318999999992</c:v>
                </c:pt>
                <c:pt idx="3">
                  <c:v>0.86603500000000011</c:v>
                </c:pt>
                <c:pt idx="4">
                  <c:v>0.87629899999999994</c:v>
                </c:pt>
                <c:pt idx="5">
                  <c:v>1.0032160000000001</c:v>
                </c:pt>
                <c:pt idx="6">
                  <c:v>1.1575820000000001</c:v>
                </c:pt>
                <c:pt idx="7">
                  <c:v>1.2507559999999995</c:v>
                </c:pt>
                <c:pt idx="8">
                  <c:v>1.0040739999999999</c:v>
                </c:pt>
                <c:pt idx="9">
                  <c:v>0.98045000000000004</c:v>
                </c:pt>
                <c:pt idx="10">
                  <c:v>1.194558</c:v>
                </c:pt>
              </c:numCache>
            </c:numRef>
          </c:val>
          <c:smooth val="0"/>
          <c:extLst>
            <c:ext xmlns:c16="http://schemas.microsoft.com/office/drawing/2014/chart" uri="{C3380CC4-5D6E-409C-BE32-E72D297353CC}">
              <c16:uniqueId val="{00000002-FEFA-4028-B404-4FD4BC7EA407}"/>
            </c:ext>
          </c:extLst>
        </c:ser>
        <c:ser>
          <c:idx val="3"/>
          <c:order val="3"/>
          <c:tx>
            <c:strRef>
              <c:f>Grafy_GOV!$A$50</c:f>
              <c:strCache>
                <c:ptCount val="1"/>
                <c:pt idx="0">
                  <c:v> Zemědělské</c:v>
                </c:pt>
              </c:strCache>
            </c:strRef>
          </c:tx>
          <c:spPr>
            <a:ln>
              <a:solidFill>
                <a:srgbClr val="00B050"/>
              </a:solidFill>
            </a:ln>
          </c:spPr>
          <c:marker>
            <c:symbol val="circle"/>
            <c:size val="5"/>
            <c:spPr>
              <a:solidFill>
                <a:schemeClr val="tx1"/>
              </a:solidFill>
              <a:ln>
                <a:noFill/>
              </a:ln>
            </c:spPr>
          </c:marker>
          <c:cat>
            <c:numRef>
              <c:f>Grafy_GOV!$D$46:$N$46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Grafy_GOV!$D$50:$N$50</c:f>
              <c:numCache>
                <c:formatCode>0.0</c:formatCode>
                <c:ptCount val="11"/>
                <c:pt idx="0">
                  <c:v>0.44861099999999993</c:v>
                </c:pt>
                <c:pt idx="1">
                  <c:v>0.39498899999999998</c:v>
                </c:pt>
                <c:pt idx="2">
                  <c:v>0.62328700000000004</c:v>
                </c:pt>
                <c:pt idx="3">
                  <c:v>0.70755899999999983</c:v>
                </c:pt>
                <c:pt idx="4">
                  <c:v>0.75552400000000008</c:v>
                </c:pt>
                <c:pt idx="5">
                  <c:v>0.78700200000000009</c:v>
                </c:pt>
                <c:pt idx="6">
                  <c:v>0.78704300000000005</c:v>
                </c:pt>
                <c:pt idx="7">
                  <c:v>0.91653899999999988</c:v>
                </c:pt>
                <c:pt idx="8">
                  <c:v>0.88185399999999969</c:v>
                </c:pt>
                <c:pt idx="9">
                  <c:v>0.93003800000000003</c:v>
                </c:pt>
                <c:pt idx="10">
                  <c:v>0.97218700000000002</c:v>
                </c:pt>
              </c:numCache>
            </c:numRef>
          </c:val>
          <c:smooth val="0"/>
          <c:extLst>
            <c:ext xmlns:c16="http://schemas.microsoft.com/office/drawing/2014/chart" uri="{C3380CC4-5D6E-409C-BE32-E72D297353CC}">
              <c16:uniqueId val="{00000003-FEFA-4028-B404-4FD4BC7EA407}"/>
            </c:ext>
          </c:extLst>
        </c:ser>
        <c:ser>
          <c:idx val="4"/>
          <c:order val="4"/>
          <c:tx>
            <c:strRef>
              <c:f>Grafy_GOV!$A$51</c:f>
              <c:strCache>
                <c:ptCount val="1"/>
                <c:pt idx="0">
                  <c:v> Technické</c:v>
                </c:pt>
              </c:strCache>
            </c:strRef>
          </c:tx>
          <c:marker>
            <c:symbol val="dash"/>
            <c:size val="5"/>
            <c:spPr>
              <a:solidFill>
                <a:schemeClr val="tx1"/>
              </a:solidFill>
              <a:ln>
                <a:noFill/>
              </a:ln>
            </c:spPr>
          </c:marker>
          <c:cat>
            <c:numRef>
              <c:f>Grafy_GOV!$D$46:$N$46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Grafy_GOV!$D$51:$N$51</c:f>
              <c:numCache>
                <c:formatCode>0.0</c:formatCode>
                <c:ptCount val="11"/>
                <c:pt idx="0">
                  <c:v>0.25506499999999999</c:v>
                </c:pt>
                <c:pt idx="1">
                  <c:v>0.380384</c:v>
                </c:pt>
                <c:pt idx="2">
                  <c:v>0.45261199999999996</c:v>
                </c:pt>
                <c:pt idx="3">
                  <c:v>0.48054599999999992</c:v>
                </c:pt>
                <c:pt idx="4">
                  <c:v>0.45907800000000004</c:v>
                </c:pt>
                <c:pt idx="5">
                  <c:v>0.48082799999999998</c:v>
                </c:pt>
                <c:pt idx="6">
                  <c:v>0.56088199999999999</c:v>
                </c:pt>
                <c:pt idx="7">
                  <c:v>0.54142499999999993</c:v>
                </c:pt>
                <c:pt idx="8">
                  <c:v>0.54166499999999995</c:v>
                </c:pt>
                <c:pt idx="9">
                  <c:v>0.56930599999999998</c:v>
                </c:pt>
                <c:pt idx="10">
                  <c:v>0.583839</c:v>
                </c:pt>
              </c:numCache>
            </c:numRef>
          </c:val>
          <c:smooth val="0"/>
          <c:extLst>
            <c:ext xmlns:c16="http://schemas.microsoft.com/office/drawing/2014/chart" uri="{C3380CC4-5D6E-409C-BE32-E72D297353CC}">
              <c16:uniqueId val="{00000004-FEFA-4028-B404-4FD4BC7EA407}"/>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a:pPr>
            <a:endParaRPr lang="cs-CZ"/>
          </a:p>
        </c:txPr>
        <c:crossAx val="154340736"/>
        <c:crosses val="autoZero"/>
        <c:auto val="0"/>
        <c:lblAlgn val="ctr"/>
        <c:lblOffset val="100"/>
        <c:tickLblSkip val="2"/>
        <c:noMultiLvlLbl val="0"/>
      </c:catAx>
      <c:valAx>
        <c:axId val="154340736"/>
        <c:scaling>
          <c:orientation val="minMax"/>
          <c:max val="13"/>
          <c:min val="0"/>
        </c:scaling>
        <c:delete val="0"/>
        <c:axPos val="l"/>
        <c:majorGridlines>
          <c:spPr>
            <a:ln>
              <a:solidFill>
                <a:schemeClr val="bg1">
                  <a:lumMod val="85000"/>
                </a:schemeClr>
              </a:solidFill>
              <a:prstDash val="solid"/>
            </a:ln>
          </c:spPr>
        </c:majorGridlines>
        <c:title>
          <c:tx>
            <c:rich>
              <a:bodyPr rot="0" vert="horz"/>
              <a:lstStyle/>
              <a:p>
                <a:pPr>
                  <a:defRPr b="1"/>
                </a:pPr>
                <a:r>
                  <a:rPr lang="cs-CZ" b="1"/>
                  <a:t>Mld. Kč</a:t>
                </a:r>
              </a:p>
            </c:rich>
          </c:tx>
          <c:layout>
            <c:manualLayout>
              <c:xMode val="edge"/>
              <c:yMode val="edge"/>
              <c:x val="8.017676767676768E-2"/>
              <c:y val="5.8928518518518519E-2"/>
            </c:manualLayout>
          </c:layout>
          <c:overlay val="0"/>
        </c:title>
        <c:numFmt formatCode="0" sourceLinked="0"/>
        <c:majorTickMark val="none"/>
        <c:minorTickMark val="none"/>
        <c:tickLblPos val="nextTo"/>
        <c:spPr>
          <a:ln>
            <a:noFill/>
          </a:ln>
        </c:spPr>
        <c:crossAx val="154339200"/>
        <c:crosses val="autoZero"/>
        <c:crossBetween val="between"/>
        <c:majorUnit val="1"/>
        <c:minorUnit val="1"/>
      </c:valAx>
      <c:spPr>
        <a:ln>
          <a:noFill/>
        </a:ln>
      </c:spPr>
    </c:plotArea>
    <c:legend>
      <c:legendPos val="r"/>
      <c:layout>
        <c:manualLayout>
          <c:xMode val="edge"/>
          <c:yMode val="edge"/>
          <c:x val="0.7499580808080808"/>
          <c:y val="0.12597185185185186"/>
          <c:w val="0.23400656565656566"/>
          <c:h val="0.6702555555555556"/>
        </c:manualLayout>
      </c:layout>
      <c:overlay val="0"/>
      <c:spPr>
        <a:solidFill>
          <a:schemeClr val="bg1"/>
        </a:solidFill>
        <a:ln w="6350">
          <a:solidFill>
            <a:schemeClr val="bg1">
              <a:lumMod val="75000"/>
            </a:schemeClr>
          </a:solidFill>
        </a:ln>
      </c:spPr>
    </c:legend>
    <c:plotVisOnly val="1"/>
    <c:dispBlanksAs val="gap"/>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2280303030303032"/>
          <c:h val="0.77951620370370367"/>
        </c:manualLayout>
      </c:layout>
      <c:barChart>
        <c:barDir val="col"/>
        <c:grouping val="percentStacked"/>
        <c:varyColors val="0"/>
        <c:ser>
          <c:idx val="0"/>
          <c:order val="0"/>
          <c:tx>
            <c:strRef>
              <c:f>Grafy_celkem!$B$20</c:f>
              <c:strCache>
                <c:ptCount val="1"/>
                <c:pt idx="0">
                  <c:v>Podni
-katelský</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Grafy_celkem!$A$21:$A$22</c:f>
              <c:strCache>
                <c:ptCount val="2"/>
                <c:pt idx="0">
                  <c:v>
Celkem</c:v>
                </c:pt>
                <c:pt idx="1">
                  <c:v>100+ 
mil. Kč</c:v>
                </c:pt>
              </c:strCache>
            </c:strRef>
          </c:cat>
          <c:val>
            <c:numRef>
              <c:f>Grafy_celkem!$B$21:$B$22</c:f>
              <c:numCache>
                <c:formatCode>#,##0</c:formatCode>
                <c:ptCount val="2"/>
                <c:pt idx="0">
                  <c:v>2915</c:v>
                </c:pt>
                <c:pt idx="1">
                  <c:v>135</c:v>
                </c:pt>
              </c:numCache>
            </c:numRef>
          </c:val>
          <c:extLst>
            <c:ext xmlns:c16="http://schemas.microsoft.com/office/drawing/2014/chart" uri="{C3380CC4-5D6E-409C-BE32-E72D297353CC}">
              <c16:uniqueId val="{00000000-3515-4705-939E-294348802331}"/>
            </c:ext>
          </c:extLst>
        </c:ser>
        <c:ser>
          <c:idx val="1"/>
          <c:order val="1"/>
          <c:tx>
            <c:strRef>
              <c:f>Grafy_celkem!$C$20</c:f>
              <c:strCache>
                <c:ptCount val="1"/>
                <c:pt idx="0">
                  <c:v>Vysoko
-školský</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Grafy_celkem!$A$21:$A$22</c:f>
              <c:strCache>
                <c:ptCount val="2"/>
                <c:pt idx="0">
                  <c:v>
Celkem</c:v>
                </c:pt>
                <c:pt idx="1">
                  <c:v>100+ 
mil. Kč</c:v>
                </c:pt>
              </c:strCache>
            </c:strRef>
          </c:cat>
          <c:val>
            <c:numRef>
              <c:f>Grafy_celkem!$C$21:$C$22</c:f>
              <c:numCache>
                <c:formatCode>#,##0</c:formatCode>
                <c:ptCount val="2"/>
                <c:pt idx="0">
                  <c:v>222</c:v>
                </c:pt>
                <c:pt idx="1">
                  <c:v>69</c:v>
                </c:pt>
              </c:numCache>
            </c:numRef>
          </c:val>
          <c:extLst>
            <c:ext xmlns:c16="http://schemas.microsoft.com/office/drawing/2014/chart" uri="{C3380CC4-5D6E-409C-BE32-E72D297353CC}">
              <c16:uniqueId val="{00000001-3515-4705-939E-294348802331}"/>
            </c:ext>
          </c:extLst>
        </c:ser>
        <c:ser>
          <c:idx val="2"/>
          <c:order val="2"/>
          <c:tx>
            <c:strRef>
              <c:f>Grafy_celkem!$D$20</c:f>
              <c:strCache>
                <c:ptCount val="1"/>
                <c:pt idx="0">
                  <c:v>Vládní</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Grafy_celkem!$A$21:$A$22</c:f>
              <c:strCache>
                <c:ptCount val="2"/>
                <c:pt idx="0">
                  <c:v>
Celkem</c:v>
                </c:pt>
                <c:pt idx="1">
                  <c:v>100+ 
mil. Kč</c:v>
                </c:pt>
              </c:strCache>
            </c:strRef>
          </c:cat>
          <c:val>
            <c:numRef>
              <c:f>Grafy_celkem!$D$21:$D$22</c:f>
              <c:numCache>
                <c:formatCode>#,##0</c:formatCode>
                <c:ptCount val="2"/>
                <c:pt idx="0">
                  <c:v>211</c:v>
                </c:pt>
                <c:pt idx="1">
                  <c:v>54</c:v>
                </c:pt>
              </c:numCache>
            </c:numRef>
          </c:val>
          <c:extLst>
            <c:ext xmlns:c16="http://schemas.microsoft.com/office/drawing/2014/chart" uri="{C3380CC4-5D6E-409C-BE32-E72D297353CC}">
              <c16:uniqueId val="{00000002-3515-4705-939E-294348802331}"/>
            </c:ext>
          </c:extLst>
        </c:ser>
        <c:ser>
          <c:idx val="3"/>
          <c:order val="3"/>
          <c:tx>
            <c:strRef>
              <c:f>Grafy_celkem!$E$20</c:f>
              <c:strCache>
                <c:ptCount val="1"/>
                <c:pt idx="0">
                  <c:v>Soukromý neziskový</c:v>
                </c:pt>
              </c:strCache>
            </c:strRef>
          </c:tx>
          <c:spPr>
            <a:solidFill>
              <a:srgbClr val="00B050"/>
            </a:solidFill>
          </c:spPr>
          <c:invertIfNegative val="0"/>
          <c:cat>
            <c:strRef>
              <c:f>Grafy_celkem!$A$21:$A$22</c:f>
              <c:strCache>
                <c:ptCount val="2"/>
                <c:pt idx="0">
                  <c:v>
Celkem</c:v>
                </c:pt>
                <c:pt idx="1">
                  <c:v>100+ 
mil. Kč</c:v>
                </c:pt>
              </c:strCache>
            </c:strRef>
          </c:cat>
          <c:val>
            <c:numRef>
              <c:f>Grafy_celkem!$E$21:$E$22</c:f>
              <c:numCache>
                <c:formatCode>#,##0</c:formatCode>
                <c:ptCount val="2"/>
                <c:pt idx="0">
                  <c:v>109</c:v>
                </c:pt>
                <c:pt idx="1">
                  <c:v>0</c:v>
                </c:pt>
              </c:numCache>
            </c:numRef>
          </c:val>
          <c:extLst>
            <c:ext xmlns:c16="http://schemas.microsoft.com/office/drawing/2014/chart" uri="{C3380CC4-5D6E-409C-BE32-E72D297353CC}">
              <c16:uniqueId val="{00000003-3515-4705-939E-294348802331}"/>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solidFill>
                <a:schemeClr val="bg1">
                  <a:lumMod val="85000"/>
                </a:schemeClr>
              </a:solidFill>
              <a:prstDash val="solid"/>
            </a:ln>
          </c:spPr>
        </c:majorGridlines>
        <c:numFmt formatCode="0%" sourceLinked="1"/>
        <c:majorTickMark val="none"/>
        <c:minorTickMark val="none"/>
        <c:tickLblPos val="none"/>
        <c:spPr>
          <a:ln>
            <a:noFill/>
          </a:ln>
        </c:spPr>
        <c:crossAx val="36885632"/>
        <c:crosses val="autoZero"/>
        <c:crossBetween val="between"/>
        <c:majorUnit val="0.1"/>
        <c:minorUnit val="5.000000000000001E-2"/>
      </c:valAx>
      <c:spPr>
        <a:ln>
          <a:noFill/>
        </a:ln>
      </c:spPr>
    </c:plotArea>
    <c:legend>
      <c:legendPos val="r"/>
      <c:layout>
        <c:manualLayout>
          <c:xMode val="edge"/>
          <c:yMode val="edge"/>
          <c:x val="0.59460151515151516"/>
          <c:y val="7.5112110986126732E-2"/>
          <c:w val="0.35955505050505049"/>
          <c:h val="0.7471600529100529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Grafy_GOV!$A$57</c:f>
              <c:strCache>
                <c:ptCount val="1"/>
                <c:pt idx="0">
                  <c:v> Přírodní</c:v>
                </c:pt>
              </c:strCache>
            </c:strRef>
          </c:tx>
          <c:spPr>
            <a:solidFill>
              <a:srgbClr val="7030A0"/>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Grafy_GOV!$C$56:$N$56</c:f>
              <c:numCache>
                <c:formatCode>General</c:formatCode>
                <c:ptCount val="2"/>
                <c:pt idx="0">
                  <c:v>2012</c:v>
                </c:pt>
                <c:pt idx="1">
                  <c:v>2022</c:v>
                </c:pt>
              </c:numCache>
            </c:numRef>
          </c:cat>
          <c:val>
            <c:numRef>
              <c:f>Grafy_GOV!$C$57:$N$57</c:f>
              <c:numCache>
                <c:formatCode>0%</c:formatCode>
                <c:ptCount val="2"/>
                <c:pt idx="0">
                  <c:v>0.6986892202516185</c:v>
                </c:pt>
                <c:pt idx="1">
                  <c:v>0.69204343135830959</c:v>
                </c:pt>
              </c:numCache>
            </c:numRef>
          </c:val>
          <c:extLst>
            <c:ext xmlns:c16="http://schemas.microsoft.com/office/drawing/2014/chart" uri="{C3380CC4-5D6E-409C-BE32-E72D297353CC}">
              <c16:uniqueId val="{00000000-0D95-4759-ADF7-2E56274BC8A8}"/>
            </c:ext>
          </c:extLst>
        </c:ser>
        <c:ser>
          <c:idx val="1"/>
          <c:order val="1"/>
          <c:tx>
            <c:strRef>
              <c:f>Grafy_GOV!$A$58</c:f>
              <c:strCache>
                <c:ptCount val="1"/>
                <c:pt idx="0">
                  <c:v> Sociální a
 Humanitní</c:v>
                </c:pt>
              </c:strCache>
            </c:strRef>
          </c:tx>
          <c:spPr>
            <a:solidFill>
              <a:srgbClr val="C00000"/>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Grafy_GOV!$C$56:$N$56</c:f>
              <c:numCache>
                <c:formatCode>General</c:formatCode>
                <c:ptCount val="2"/>
                <c:pt idx="0">
                  <c:v>2012</c:v>
                </c:pt>
                <c:pt idx="1">
                  <c:v>2022</c:v>
                </c:pt>
              </c:numCache>
            </c:numRef>
          </c:cat>
          <c:val>
            <c:numRef>
              <c:f>Grafy_GOV!$C$58:$N$58</c:f>
              <c:numCache>
                <c:formatCode>0%</c:formatCode>
                <c:ptCount val="2"/>
                <c:pt idx="0">
                  <c:v>0.16450122345890927</c:v>
                </c:pt>
                <c:pt idx="1">
                  <c:v>0.15977354252262355</c:v>
                </c:pt>
              </c:numCache>
            </c:numRef>
          </c:val>
          <c:extLst>
            <c:ext xmlns:c16="http://schemas.microsoft.com/office/drawing/2014/chart" uri="{C3380CC4-5D6E-409C-BE32-E72D297353CC}">
              <c16:uniqueId val="{00000001-0D95-4759-ADF7-2E56274BC8A8}"/>
            </c:ext>
          </c:extLst>
        </c:ser>
        <c:ser>
          <c:idx val="2"/>
          <c:order val="2"/>
          <c:tx>
            <c:strRef>
              <c:f>Grafy_GOV!$A$59</c:f>
              <c:strCache>
                <c:ptCount val="1"/>
                <c:pt idx="0">
                  <c:v> Lékařské</c:v>
                </c:pt>
              </c:strCache>
            </c:strRef>
          </c:tx>
          <c:spPr>
            <a:solidFill>
              <a:srgbClr val="FFC000"/>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Grafy_GOV!$C$56:$N$56</c:f>
              <c:numCache>
                <c:formatCode>General</c:formatCode>
                <c:ptCount val="2"/>
                <c:pt idx="0">
                  <c:v>2012</c:v>
                </c:pt>
                <c:pt idx="1">
                  <c:v>2022</c:v>
                </c:pt>
              </c:numCache>
            </c:numRef>
          </c:cat>
          <c:val>
            <c:numRef>
              <c:f>Grafy_GOV!$C$59:$N$59</c:f>
              <c:numCache>
                <c:formatCode>0%</c:formatCode>
                <c:ptCount val="2"/>
                <c:pt idx="0">
                  <c:v>7.199354488986566E-2</c:v>
                </c:pt>
                <c:pt idx="1">
                  <c:v>6.4354776772765451E-2</c:v>
                </c:pt>
              </c:numCache>
            </c:numRef>
          </c:val>
          <c:extLst>
            <c:ext xmlns:c16="http://schemas.microsoft.com/office/drawing/2014/chart" uri="{C3380CC4-5D6E-409C-BE32-E72D297353CC}">
              <c16:uniqueId val="{00000002-0D95-4759-ADF7-2E56274BC8A8}"/>
            </c:ext>
          </c:extLst>
        </c:ser>
        <c:ser>
          <c:idx val="3"/>
          <c:order val="3"/>
          <c:tx>
            <c:strRef>
              <c:f>Grafy_GOV!$A$60</c:f>
              <c:strCache>
                <c:ptCount val="1"/>
                <c:pt idx="0">
                  <c:v> Zemědělské</c:v>
                </c:pt>
              </c:strCache>
            </c:strRef>
          </c:tx>
          <c:spPr>
            <a:solidFill>
              <a:srgbClr val="00B050"/>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Grafy_GOV!$C$56:$N$56</c:f>
              <c:numCache>
                <c:formatCode>General</c:formatCode>
                <c:ptCount val="2"/>
                <c:pt idx="0">
                  <c:v>2012</c:v>
                </c:pt>
                <c:pt idx="1">
                  <c:v>2022</c:v>
                </c:pt>
              </c:numCache>
            </c:numRef>
          </c:cat>
          <c:val>
            <c:numRef>
              <c:f>Grafy_GOV!$C$60:$N$60</c:f>
              <c:numCache>
                <c:formatCode>0%</c:formatCode>
                <c:ptCount val="2"/>
                <c:pt idx="0">
                  <c:v>4.1321823808100476E-2</c:v>
                </c:pt>
                <c:pt idx="1">
                  <c:v>5.2374918058716718E-2</c:v>
                </c:pt>
              </c:numCache>
            </c:numRef>
          </c:val>
          <c:extLst>
            <c:ext xmlns:c16="http://schemas.microsoft.com/office/drawing/2014/chart" uri="{C3380CC4-5D6E-409C-BE32-E72D297353CC}">
              <c16:uniqueId val="{00000003-0D95-4759-ADF7-2E56274BC8A8}"/>
            </c:ext>
          </c:extLst>
        </c:ser>
        <c:ser>
          <c:idx val="4"/>
          <c:order val="4"/>
          <c:tx>
            <c:strRef>
              <c:f>Grafy_GOV!$A$61</c:f>
              <c:strCache>
                <c:ptCount val="1"/>
                <c:pt idx="0">
                  <c:v> Technické</c:v>
                </c:pt>
              </c:strCache>
            </c:strRef>
          </c:tx>
          <c:invertIfNegative val="0"/>
          <c:cat>
            <c:numRef>
              <c:f>Grafy_GOV!$C$56:$N$56</c:f>
              <c:numCache>
                <c:formatCode>General</c:formatCode>
                <c:ptCount val="2"/>
                <c:pt idx="0">
                  <c:v>2012</c:v>
                </c:pt>
                <c:pt idx="1">
                  <c:v>2022</c:v>
                </c:pt>
              </c:numCache>
            </c:numRef>
          </c:cat>
          <c:val>
            <c:numRef>
              <c:f>Grafy_GOV!$C$61:$N$61</c:f>
              <c:numCache>
                <c:formatCode>0%</c:formatCode>
                <c:ptCount val="2"/>
                <c:pt idx="0">
                  <c:v>2.3494187591506115E-2</c:v>
                </c:pt>
                <c:pt idx="1">
                  <c:v>3.1453331287584707E-2</c:v>
                </c:pt>
              </c:numCache>
            </c:numRef>
          </c:val>
          <c:extLst>
            <c:ext xmlns:c16="http://schemas.microsoft.com/office/drawing/2014/chart" uri="{C3380CC4-5D6E-409C-BE32-E72D297353CC}">
              <c16:uniqueId val="{00000004-0D95-4759-ADF7-2E56274BC8A8}"/>
            </c:ext>
          </c:extLst>
        </c:ser>
        <c:dLbls>
          <c:showLegendKey val="0"/>
          <c:showVal val="0"/>
          <c:showCatName val="0"/>
          <c:showSerName val="0"/>
          <c:showPercent val="0"/>
          <c:showBubbleSize val="0"/>
        </c:dLbls>
        <c:gapWidth val="2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894494949494945"/>
          <c:y val="7.5112110986126732E-2"/>
          <c:w val="0.37950303030303029"/>
          <c:h val="0.76521666666666666"/>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Grafy_GOV!$A$139</c:f>
              <c:strCache>
                <c:ptCount val="1"/>
                <c:pt idx="0">
                  <c:v> Pracoviště
 AV ČR</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Grafy_GOV!$B$138:$N$138</c:f>
              <c:numCache>
                <c:formatCode>General</c:formatCode>
                <c:ptCount val="2"/>
                <c:pt idx="0">
                  <c:v>2012</c:v>
                </c:pt>
                <c:pt idx="1">
                  <c:v>2022</c:v>
                </c:pt>
              </c:numCache>
            </c:numRef>
          </c:cat>
          <c:val>
            <c:numRef>
              <c:f>Grafy_GOV!$B$139:$N$139</c:f>
              <c:numCache>
                <c:formatCode>0%</c:formatCode>
                <c:ptCount val="2"/>
                <c:pt idx="0">
                  <c:v>0.64130484805472632</c:v>
                </c:pt>
                <c:pt idx="1">
                  <c:v>0.66619621555817343</c:v>
                </c:pt>
              </c:numCache>
            </c:numRef>
          </c:val>
          <c:extLst>
            <c:ext xmlns:c16="http://schemas.microsoft.com/office/drawing/2014/chart" uri="{C3380CC4-5D6E-409C-BE32-E72D297353CC}">
              <c16:uniqueId val="{00000000-C580-4789-AD1B-55EAF385794F}"/>
            </c:ext>
          </c:extLst>
        </c:ser>
        <c:ser>
          <c:idx val="1"/>
          <c:order val="1"/>
          <c:tx>
            <c:strRef>
              <c:f>Grafy_GOV!$A$140</c:f>
              <c:strCache>
                <c:ptCount val="1"/>
                <c:pt idx="0">
                  <c:v> ostatní veřejné 
 výzkumné instituce</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Grafy_GOV!$B$138:$N$138</c:f>
              <c:numCache>
                <c:formatCode>General</c:formatCode>
                <c:ptCount val="2"/>
                <c:pt idx="0">
                  <c:v>2012</c:v>
                </c:pt>
                <c:pt idx="1">
                  <c:v>2022</c:v>
                </c:pt>
              </c:numCache>
            </c:numRef>
          </c:cat>
          <c:val>
            <c:numRef>
              <c:f>Grafy_GOV!$B$140:$N$140</c:f>
              <c:numCache>
                <c:formatCode>0%</c:formatCode>
                <c:ptCount val="2"/>
                <c:pt idx="0">
                  <c:v>0.15502050717540422</c:v>
                </c:pt>
                <c:pt idx="1">
                  <c:v>0.13331535038713327</c:v>
                </c:pt>
              </c:numCache>
            </c:numRef>
          </c:val>
          <c:extLst>
            <c:ext xmlns:c16="http://schemas.microsoft.com/office/drawing/2014/chart" uri="{C3380CC4-5D6E-409C-BE32-E72D297353CC}">
              <c16:uniqueId val="{00000001-C580-4789-AD1B-55EAF385794F}"/>
            </c:ext>
          </c:extLst>
        </c:ser>
        <c:ser>
          <c:idx val="2"/>
          <c:order val="2"/>
          <c:tx>
            <c:strRef>
              <c:f>Grafy_GOV!$A$141</c:f>
              <c:strCache>
                <c:ptCount val="1"/>
                <c:pt idx="0">
                  <c:v> Knihovny, archívy 
 a muzea</c:v>
                </c:pt>
              </c:strCache>
            </c:strRef>
          </c:tx>
          <c:spPr>
            <a:solidFill>
              <a:srgbClr val="FFC00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Grafy_GOV!$B$138:$N$138</c:f>
              <c:numCache>
                <c:formatCode>General</c:formatCode>
                <c:ptCount val="2"/>
                <c:pt idx="0">
                  <c:v>2012</c:v>
                </c:pt>
                <c:pt idx="1">
                  <c:v>2022</c:v>
                </c:pt>
              </c:numCache>
            </c:numRef>
          </c:cat>
          <c:val>
            <c:numRef>
              <c:f>Grafy_GOV!$B$141:$N$141</c:f>
              <c:numCache>
                <c:formatCode>0%</c:formatCode>
                <c:ptCount val="2"/>
                <c:pt idx="0">
                  <c:v>5.8120605454756967E-2</c:v>
                </c:pt>
                <c:pt idx="1">
                  <c:v>8.2169722666858513E-2</c:v>
                </c:pt>
              </c:numCache>
            </c:numRef>
          </c:val>
          <c:extLst>
            <c:ext xmlns:c16="http://schemas.microsoft.com/office/drawing/2014/chart" uri="{C3380CC4-5D6E-409C-BE32-E72D297353CC}">
              <c16:uniqueId val="{00000002-C580-4789-AD1B-55EAF385794F}"/>
            </c:ext>
          </c:extLst>
        </c:ser>
        <c:ser>
          <c:idx val="3"/>
          <c:order val="3"/>
          <c:tx>
            <c:strRef>
              <c:f>Grafy_GOV!$A$142</c:f>
              <c:strCache>
                <c:ptCount val="1"/>
                <c:pt idx="0">
                  <c:v> Zdravotnická
 zařízení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Grafy_GOV!$B$138:$N$138</c:f>
              <c:numCache>
                <c:formatCode>General</c:formatCode>
                <c:ptCount val="2"/>
                <c:pt idx="0">
                  <c:v>2012</c:v>
                </c:pt>
                <c:pt idx="1">
                  <c:v>2022</c:v>
                </c:pt>
              </c:numCache>
            </c:numRef>
          </c:cat>
          <c:val>
            <c:numRef>
              <c:f>Grafy_GOV!$B$142:$N$142</c:f>
              <c:numCache>
                <c:formatCode>0%</c:formatCode>
                <c:ptCount val="2"/>
                <c:pt idx="0">
                  <c:v>4.9737907678095515E-2</c:v>
                </c:pt>
                <c:pt idx="1">
                  <c:v>5.7210604069621036E-2</c:v>
                </c:pt>
              </c:numCache>
            </c:numRef>
          </c:val>
          <c:extLst>
            <c:ext xmlns:c16="http://schemas.microsoft.com/office/drawing/2014/chart" uri="{C3380CC4-5D6E-409C-BE32-E72D297353CC}">
              <c16:uniqueId val="{00000003-C580-4789-AD1B-55EAF385794F}"/>
            </c:ext>
          </c:extLst>
        </c:ser>
        <c:ser>
          <c:idx val="4"/>
          <c:order val="4"/>
          <c:tx>
            <c:strRef>
              <c:f>Grafy_GOV!$A$143</c:f>
              <c:strCache>
                <c:ptCount val="1"/>
                <c:pt idx="0">
                  <c:v> ostatní</c:v>
                </c:pt>
              </c:strCache>
            </c:strRef>
          </c:tx>
          <c:spPr>
            <a:solidFill>
              <a:schemeClr val="bg1">
                <a:lumMod val="75000"/>
              </a:schemeClr>
            </a:solidFill>
          </c:spPr>
          <c:invertIfNegative val="0"/>
          <c:cat>
            <c:numRef>
              <c:f>Grafy_GOV!$B$138:$N$138</c:f>
              <c:numCache>
                <c:formatCode>General</c:formatCode>
                <c:ptCount val="2"/>
                <c:pt idx="0">
                  <c:v>2012</c:v>
                </c:pt>
                <c:pt idx="1">
                  <c:v>2022</c:v>
                </c:pt>
              </c:numCache>
            </c:numRef>
          </c:cat>
          <c:val>
            <c:numRef>
              <c:f>Grafy_GOV!$B$143:$N$143</c:f>
              <c:numCache>
                <c:formatCode>0%</c:formatCode>
                <c:ptCount val="2"/>
                <c:pt idx="0">
                  <c:v>9.5816131637017105E-2</c:v>
                </c:pt>
                <c:pt idx="1">
                  <c:v>6.1108107318213679E-2</c:v>
                </c:pt>
              </c:numCache>
            </c:numRef>
          </c:val>
          <c:extLst>
            <c:ext xmlns:c16="http://schemas.microsoft.com/office/drawing/2014/chart" uri="{C3380CC4-5D6E-409C-BE32-E72D297353CC}">
              <c16:uniqueId val="{00000004-C580-4789-AD1B-55EAF385794F}"/>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894494949494945"/>
          <c:y val="5.4953571428571428E-2"/>
          <c:w val="0.37950303030303029"/>
          <c:h val="0.83073253968253957"/>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Grafy_GOV!$A$148</c:f>
              <c:strCache>
                <c:ptCount val="1"/>
                <c:pt idx="0">
                  <c:v> Praha </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Grafy_GOV!$B$147:$N$147</c:f>
              <c:numCache>
                <c:formatCode>General</c:formatCode>
                <c:ptCount val="2"/>
                <c:pt idx="0">
                  <c:v>2012</c:v>
                </c:pt>
                <c:pt idx="1">
                  <c:v>2022</c:v>
                </c:pt>
              </c:numCache>
            </c:numRef>
          </c:cat>
          <c:val>
            <c:numRef>
              <c:f>Grafy_GOV!$B$148:$N$148</c:f>
              <c:numCache>
                <c:formatCode>0%</c:formatCode>
                <c:ptCount val="2"/>
                <c:pt idx="0">
                  <c:v>0.70547865247712849</c:v>
                </c:pt>
                <c:pt idx="1">
                  <c:v>0.64163723449218524</c:v>
                </c:pt>
              </c:numCache>
            </c:numRef>
          </c:val>
          <c:extLst>
            <c:ext xmlns:c16="http://schemas.microsoft.com/office/drawing/2014/chart" uri="{C3380CC4-5D6E-409C-BE32-E72D297353CC}">
              <c16:uniqueId val="{00000000-6D27-48D0-BC9B-C979DFF375F7}"/>
            </c:ext>
          </c:extLst>
        </c:ser>
        <c:ser>
          <c:idx val="1"/>
          <c:order val="1"/>
          <c:tx>
            <c:strRef>
              <c:f>Grafy_GOV!$A$149</c:f>
              <c:strCache>
                <c:ptCount val="1"/>
                <c:pt idx="0">
                  <c:v> Středočeský </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Grafy_GOV!$B$147:$N$147</c:f>
              <c:numCache>
                <c:formatCode>General</c:formatCode>
                <c:ptCount val="2"/>
                <c:pt idx="0">
                  <c:v>2012</c:v>
                </c:pt>
                <c:pt idx="1">
                  <c:v>2022</c:v>
                </c:pt>
              </c:numCache>
            </c:numRef>
          </c:cat>
          <c:val>
            <c:numRef>
              <c:f>Grafy_GOV!$B$149:$N$149</c:f>
              <c:numCache>
                <c:formatCode>0%</c:formatCode>
                <c:ptCount val="2"/>
                <c:pt idx="0">
                  <c:v>8.1185994096495837E-2</c:v>
                </c:pt>
                <c:pt idx="1">
                  <c:v>0.13660054590969584</c:v>
                </c:pt>
              </c:numCache>
            </c:numRef>
          </c:val>
          <c:extLst>
            <c:ext xmlns:c16="http://schemas.microsoft.com/office/drawing/2014/chart" uri="{C3380CC4-5D6E-409C-BE32-E72D297353CC}">
              <c16:uniqueId val="{00000001-6D27-48D0-BC9B-C979DFF375F7}"/>
            </c:ext>
          </c:extLst>
        </c:ser>
        <c:ser>
          <c:idx val="2"/>
          <c:order val="2"/>
          <c:tx>
            <c:strRef>
              <c:f>Grafy_GOV!$A$150</c:f>
              <c:strCache>
                <c:ptCount val="1"/>
                <c:pt idx="0">
                  <c:v> Jihomoravský</c:v>
                </c:pt>
              </c:strCache>
            </c:strRef>
          </c:tx>
          <c:spPr>
            <a:solidFill>
              <a:srgbClr val="FFC00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Grafy_GOV!$B$147:$N$147</c:f>
              <c:numCache>
                <c:formatCode>General</c:formatCode>
                <c:ptCount val="2"/>
                <c:pt idx="0">
                  <c:v>2012</c:v>
                </c:pt>
                <c:pt idx="1">
                  <c:v>2022</c:v>
                </c:pt>
              </c:numCache>
            </c:numRef>
          </c:cat>
          <c:val>
            <c:numRef>
              <c:f>Grafy_GOV!$B$150:$N$150</c:f>
              <c:numCache>
                <c:formatCode>0%</c:formatCode>
                <c:ptCount val="2"/>
                <c:pt idx="0">
                  <c:v>0.130910584332282</c:v>
                </c:pt>
                <c:pt idx="1">
                  <c:v>0.13015844055187853</c:v>
                </c:pt>
              </c:numCache>
            </c:numRef>
          </c:val>
          <c:extLst>
            <c:ext xmlns:c16="http://schemas.microsoft.com/office/drawing/2014/chart" uri="{C3380CC4-5D6E-409C-BE32-E72D297353CC}">
              <c16:uniqueId val="{00000002-6D27-48D0-BC9B-C979DFF375F7}"/>
            </c:ext>
          </c:extLst>
        </c:ser>
        <c:ser>
          <c:idx val="3"/>
          <c:order val="3"/>
          <c:tx>
            <c:strRef>
              <c:f>Grafy_GOV!$A$151</c:f>
              <c:strCache>
                <c:ptCount val="1"/>
                <c:pt idx="0">
                  <c:v> Jihočeský</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Grafy_GOV!$B$147:$N$147</c:f>
              <c:numCache>
                <c:formatCode>General</c:formatCode>
                <c:ptCount val="2"/>
                <c:pt idx="0">
                  <c:v>2012</c:v>
                </c:pt>
                <c:pt idx="1">
                  <c:v>2022</c:v>
                </c:pt>
              </c:numCache>
            </c:numRef>
          </c:cat>
          <c:val>
            <c:numRef>
              <c:f>Grafy_GOV!$B$151:$N$151</c:f>
              <c:numCache>
                <c:formatCode>0%</c:formatCode>
                <c:ptCount val="2"/>
                <c:pt idx="0">
                  <c:v>4.0030967267749705E-2</c:v>
                </c:pt>
                <c:pt idx="1">
                  <c:v>5.025019221776586E-2</c:v>
                </c:pt>
              </c:numCache>
            </c:numRef>
          </c:val>
          <c:extLst>
            <c:ext xmlns:c16="http://schemas.microsoft.com/office/drawing/2014/chart" uri="{C3380CC4-5D6E-409C-BE32-E72D297353CC}">
              <c16:uniqueId val="{00000003-6D27-48D0-BC9B-C979DFF375F7}"/>
            </c:ext>
          </c:extLst>
        </c:ser>
        <c:ser>
          <c:idx val="4"/>
          <c:order val="4"/>
          <c:tx>
            <c:strRef>
              <c:f>Grafy_GOV!$A$152</c:f>
              <c:strCache>
                <c:ptCount val="1"/>
                <c:pt idx="0">
                  <c:v> ostatní kraje</c:v>
                </c:pt>
              </c:strCache>
            </c:strRef>
          </c:tx>
          <c:spPr>
            <a:solidFill>
              <a:schemeClr val="bg1">
                <a:lumMod val="75000"/>
              </a:schemeClr>
            </a:solidFill>
          </c:spPr>
          <c:invertIfNegative val="0"/>
          <c:cat>
            <c:numRef>
              <c:f>Grafy_GOV!$B$147:$N$147</c:f>
              <c:numCache>
                <c:formatCode>General</c:formatCode>
                <c:ptCount val="2"/>
                <c:pt idx="0">
                  <c:v>2012</c:v>
                </c:pt>
                <c:pt idx="1">
                  <c:v>2022</c:v>
                </c:pt>
              </c:numCache>
            </c:numRef>
          </c:cat>
          <c:val>
            <c:numRef>
              <c:f>Grafy_GOV!$B$152:$N$152</c:f>
              <c:numCache>
                <c:formatCode>0%</c:formatCode>
                <c:ptCount val="2"/>
                <c:pt idx="0">
                  <c:v>4.2393801826344002E-2</c:v>
                </c:pt>
                <c:pt idx="1">
                  <c:v>4.1353586828474564E-2</c:v>
                </c:pt>
              </c:numCache>
            </c:numRef>
          </c:val>
          <c:extLst>
            <c:ext xmlns:c16="http://schemas.microsoft.com/office/drawing/2014/chart" uri="{C3380CC4-5D6E-409C-BE32-E72D297353CC}">
              <c16:uniqueId val="{00000004-6D27-48D0-BC9B-C979DFF375F7}"/>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894494949494945"/>
          <c:y val="5.4953571428571428E-2"/>
          <c:w val="0.37950303030303029"/>
          <c:h val="0.83073253968253957"/>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Grafy_GOV!$N$200</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34C8-473C-9510-AB4D6D83084B}"/>
              </c:ext>
            </c:extLst>
          </c:dPt>
          <c:dPt>
            <c:idx val="1"/>
            <c:bubble3D val="0"/>
            <c:spPr>
              <a:solidFill>
                <a:srgbClr val="C00000"/>
              </a:solidFill>
              <a:effectLst/>
            </c:spPr>
            <c:extLst>
              <c:ext xmlns:c16="http://schemas.microsoft.com/office/drawing/2014/chart" uri="{C3380CC4-5D6E-409C-BE32-E72D297353CC}">
                <c16:uniqueId val="{00000003-34C8-473C-9510-AB4D6D83084B}"/>
              </c:ext>
            </c:extLst>
          </c:dPt>
          <c:dPt>
            <c:idx val="4"/>
            <c:bubble3D val="0"/>
            <c:extLst>
              <c:ext xmlns:c16="http://schemas.microsoft.com/office/drawing/2014/chart" uri="{C3380CC4-5D6E-409C-BE32-E72D297353CC}">
                <c16:uniqueId val="{00000004-34C8-473C-9510-AB4D6D83084B}"/>
              </c:ext>
            </c:extLst>
          </c:dPt>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Grafy_GOV!$A$201:$A$202</c:f>
              <c:strCache>
                <c:ptCount val="2"/>
                <c:pt idx="0">
                  <c:v> muži</c:v>
                </c:pt>
                <c:pt idx="1">
                  <c:v> ženy</c:v>
                </c:pt>
              </c:strCache>
            </c:strRef>
          </c:cat>
          <c:val>
            <c:numRef>
              <c:f>Grafy_GOV!$N$201:$N$202</c:f>
              <c:numCache>
                <c:formatCode>#,##0</c:formatCode>
                <c:ptCount val="2"/>
                <c:pt idx="0">
                  <c:v>7342.0925000000016</c:v>
                </c:pt>
                <c:pt idx="1">
                  <c:v>6891.7634999999982</c:v>
                </c:pt>
              </c:numCache>
            </c:numRef>
          </c:val>
          <c:extLst>
            <c:ext xmlns:c16="http://schemas.microsoft.com/office/drawing/2014/chart" uri="{C3380CC4-5D6E-409C-BE32-E72D297353CC}">
              <c16:uniqueId val="{00000005-34C8-473C-9510-AB4D6D83084B}"/>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0.11467613081211564"/>
          <c:y val="0.8326005683261366"/>
          <c:w val="0.76031388888888884"/>
          <c:h val="0.11987464065224562"/>
        </c:manualLayout>
      </c:layout>
      <c:overlay val="0"/>
      <c:spPr>
        <a:ln w="6350">
          <a:solidFill>
            <a:schemeClr val="bg1">
              <a:lumMod val="85000"/>
            </a:schemeClr>
          </a:solidFill>
        </a:ln>
      </c:spPr>
      <c:txPr>
        <a:bodyPr/>
        <a:lstStyle/>
        <a:p>
          <a:pPr rtl="0">
            <a:defRPr/>
          </a:pPr>
          <a:endParaRPr lang="cs-CZ"/>
        </a:p>
      </c:txPr>
    </c:legend>
    <c:plotVisOnly val="1"/>
    <c:dispBlanksAs val="zero"/>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Grafy_GOV!$N$206</c:f>
              <c:strCache>
                <c:ptCount val="1"/>
                <c:pt idx="0">
                  <c:v>2021</c:v>
                </c:pt>
              </c:strCache>
            </c:strRef>
          </c:tx>
          <c:spPr>
            <a:effectLst/>
          </c:spPr>
          <c:dPt>
            <c:idx val="0"/>
            <c:bubble3D val="0"/>
            <c:spPr>
              <a:solidFill>
                <a:srgbClr val="0070C0"/>
              </a:solidFill>
              <a:effectLst/>
            </c:spPr>
            <c:extLst>
              <c:ext xmlns:c16="http://schemas.microsoft.com/office/drawing/2014/chart" uri="{C3380CC4-5D6E-409C-BE32-E72D297353CC}">
                <c16:uniqueId val="{00000001-7D5F-44D0-9880-5BB66FDE989C}"/>
              </c:ext>
            </c:extLst>
          </c:dPt>
          <c:dPt>
            <c:idx val="1"/>
            <c:bubble3D val="0"/>
            <c:spPr>
              <a:solidFill>
                <a:srgbClr val="C00000"/>
              </a:solidFill>
              <a:effectLst/>
            </c:spPr>
            <c:extLst>
              <c:ext xmlns:c16="http://schemas.microsoft.com/office/drawing/2014/chart" uri="{C3380CC4-5D6E-409C-BE32-E72D297353CC}">
                <c16:uniqueId val="{00000003-7D5F-44D0-9880-5BB66FDE989C}"/>
              </c:ext>
            </c:extLst>
          </c:dPt>
          <c:dPt>
            <c:idx val="2"/>
            <c:bubble3D val="0"/>
            <c:spPr>
              <a:solidFill>
                <a:srgbClr val="00B050"/>
              </a:solidFill>
              <a:effectLst/>
            </c:spPr>
            <c:extLst>
              <c:ext xmlns:c16="http://schemas.microsoft.com/office/drawing/2014/chart" uri="{C3380CC4-5D6E-409C-BE32-E72D297353CC}">
                <c16:uniqueId val="{00000005-7D5F-44D0-9880-5BB66FDE989C}"/>
              </c:ext>
            </c:extLst>
          </c:dPt>
          <c:dPt>
            <c:idx val="4"/>
            <c:bubble3D val="0"/>
            <c:extLst>
              <c:ext xmlns:c16="http://schemas.microsoft.com/office/drawing/2014/chart" uri="{C3380CC4-5D6E-409C-BE32-E72D297353CC}">
                <c16:uniqueId val="{00000006-7D5F-44D0-9880-5BB66FDE989C}"/>
              </c:ext>
            </c:extLst>
          </c:dPt>
          <c:dLbls>
            <c:dLbl>
              <c:idx val="2"/>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D5F-44D0-9880-5BB66FDE989C}"/>
                </c:ext>
              </c:extLst>
            </c:dLbl>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Grafy_GOV!$A$207:$A$209</c:f>
              <c:strCache>
                <c:ptCount val="3"/>
                <c:pt idx="0">
                  <c:v> výzkumní </c:v>
                </c:pt>
                <c:pt idx="1">
                  <c:v> techničtí </c:v>
                </c:pt>
                <c:pt idx="2">
                  <c:v> ostatní</c:v>
                </c:pt>
              </c:strCache>
            </c:strRef>
          </c:cat>
          <c:val>
            <c:numRef>
              <c:f>Grafy_GOV!$N$207:$N$209</c:f>
              <c:numCache>
                <c:formatCode>#,##0</c:formatCode>
                <c:ptCount val="3"/>
                <c:pt idx="0">
                  <c:v>8245.3185000000049</c:v>
                </c:pt>
                <c:pt idx="1">
                  <c:v>3491.0964999999992</c:v>
                </c:pt>
                <c:pt idx="2">
                  <c:v>2497.4410000000007</c:v>
                </c:pt>
              </c:numCache>
            </c:numRef>
          </c:val>
          <c:extLst>
            <c:ext xmlns:c16="http://schemas.microsoft.com/office/drawing/2014/chart" uri="{C3380CC4-5D6E-409C-BE32-E72D297353CC}">
              <c16:uniqueId val="{00000007-7D5F-44D0-9880-5BB66FDE989C}"/>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3.7065000000000001E-2"/>
          <c:y val="0.82717307692307696"/>
          <c:w val="0.92765722222222224"/>
          <c:h val="0.11987464065224562"/>
        </c:manualLayout>
      </c:layout>
      <c:overlay val="0"/>
      <c:spPr>
        <a:ln w="6350">
          <a:solidFill>
            <a:schemeClr val="bg1">
              <a:lumMod val="85000"/>
            </a:schemeClr>
          </a:solidFill>
        </a:ln>
      </c:spPr>
      <c:txPr>
        <a:bodyPr/>
        <a:lstStyle/>
        <a:p>
          <a:pPr rtl="0">
            <a:defRPr/>
          </a:pPr>
          <a:endParaRPr lang="cs-CZ"/>
        </a:p>
      </c:txPr>
    </c:legend>
    <c:plotVisOnly val="1"/>
    <c:dispBlanksAs val="zero"/>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Grafy_GOV!$N$213</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7255-47DF-86E7-CBEEE6EE08FD}"/>
              </c:ext>
            </c:extLst>
          </c:dPt>
          <c:dPt>
            <c:idx val="1"/>
            <c:bubble3D val="0"/>
            <c:spPr>
              <a:solidFill>
                <a:srgbClr val="C00000"/>
              </a:solidFill>
              <a:effectLst/>
            </c:spPr>
            <c:extLst>
              <c:ext xmlns:c16="http://schemas.microsoft.com/office/drawing/2014/chart" uri="{C3380CC4-5D6E-409C-BE32-E72D297353CC}">
                <c16:uniqueId val="{00000003-7255-47DF-86E7-CBEEE6EE08FD}"/>
              </c:ext>
            </c:extLst>
          </c:dPt>
          <c:dPt>
            <c:idx val="2"/>
            <c:bubble3D val="0"/>
            <c:spPr>
              <a:solidFill>
                <a:srgbClr val="00B050"/>
              </a:solidFill>
              <a:effectLst/>
            </c:spPr>
            <c:extLst>
              <c:ext xmlns:c16="http://schemas.microsoft.com/office/drawing/2014/chart" uri="{C3380CC4-5D6E-409C-BE32-E72D297353CC}">
                <c16:uniqueId val="{00000005-7255-47DF-86E7-CBEEE6EE08FD}"/>
              </c:ext>
            </c:extLst>
          </c:dPt>
          <c:dPt>
            <c:idx val="3"/>
            <c:bubble3D val="0"/>
            <c:spPr>
              <a:solidFill>
                <a:srgbClr val="FFC000"/>
              </a:solidFill>
              <a:effectLst/>
            </c:spPr>
            <c:extLst>
              <c:ext xmlns:c16="http://schemas.microsoft.com/office/drawing/2014/chart" uri="{C3380CC4-5D6E-409C-BE32-E72D297353CC}">
                <c16:uniqueId val="{00000007-7255-47DF-86E7-CBEEE6EE08FD}"/>
              </c:ext>
            </c:extLst>
          </c:dPt>
          <c:dPt>
            <c:idx val="4"/>
            <c:bubble3D val="0"/>
            <c:spPr>
              <a:solidFill>
                <a:srgbClr val="7030A0"/>
              </a:solidFill>
              <a:effectLst/>
            </c:spPr>
            <c:extLst>
              <c:ext xmlns:c16="http://schemas.microsoft.com/office/drawing/2014/chart" uri="{C3380CC4-5D6E-409C-BE32-E72D297353CC}">
                <c16:uniqueId val="{00000009-7255-47DF-86E7-CBEEE6EE08FD}"/>
              </c:ext>
            </c:extLst>
          </c:dPt>
          <c:dPt>
            <c:idx val="5"/>
            <c:bubble3D val="0"/>
            <c:spPr>
              <a:solidFill>
                <a:schemeClr val="accent6">
                  <a:lumMod val="60000"/>
                  <a:lumOff val="40000"/>
                </a:schemeClr>
              </a:solidFill>
              <a:effectLst/>
            </c:spPr>
            <c:extLst>
              <c:ext xmlns:c16="http://schemas.microsoft.com/office/drawing/2014/chart" uri="{C3380CC4-5D6E-409C-BE32-E72D297353CC}">
                <c16:uniqueId val="{0000000B-7255-47DF-86E7-CBEEE6EE08FD}"/>
              </c:ext>
            </c:extLst>
          </c:dPt>
          <c:dLbls>
            <c:dLbl>
              <c:idx val="2"/>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55-47DF-86E7-CBEEE6EE08FD}"/>
                </c:ext>
              </c:extLst>
            </c:dLbl>
            <c:dLbl>
              <c:idx val="3"/>
              <c:layout>
                <c:manualLayout>
                  <c:x val="-1.6282225237449145E-2"/>
                  <c:y val="-5.8806233460746843E-3"/>
                </c:manualLayout>
              </c:layout>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255-47DF-86E7-CBEEE6EE08FD}"/>
                </c:ext>
              </c:extLst>
            </c:dLbl>
            <c:dLbl>
              <c:idx val="5"/>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255-47DF-86E7-CBEEE6EE08FD}"/>
                </c:ext>
              </c:extLst>
            </c:dLbl>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Grafy_GOV!$A$214:$A$219</c:f>
              <c:strCache>
                <c:ptCount val="6"/>
                <c:pt idx="0">
                  <c:v> Přírodní</c:v>
                </c:pt>
                <c:pt idx="1">
                  <c:v> Lékařské</c:v>
                </c:pt>
                <c:pt idx="2">
                  <c:v> Zemědělské</c:v>
                </c:pt>
                <c:pt idx="3">
                  <c:v> Technické</c:v>
                </c:pt>
                <c:pt idx="4">
                  <c:v> Humanitní </c:v>
                </c:pt>
                <c:pt idx="5">
                  <c:v> Sociální </c:v>
                </c:pt>
              </c:strCache>
            </c:strRef>
          </c:cat>
          <c:val>
            <c:numRef>
              <c:f>Grafy_GOV!$N$214:$N$219</c:f>
              <c:numCache>
                <c:formatCode>#,##0</c:formatCode>
                <c:ptCount val="6"/>
                <c:pt idx="0">
                  <c:v>8876.9985000000015</c:v>
                </c:pt>
                <c:pt idx="1">
                  <c:v>966.42899999999997</c:v>
                </c:pt>
                <c:pt idx="2">
                  <c:v>1104.883</c:v>
                </c:pt>
                <c:pt idx="3">
                  <c:v>419.64649999999995</c:v>
                </c:pt>
                <c:pt idx="4">
                  <c:v>2273.6090000000004</c:v>
                </c:pt>
                <c:pt idx="5">
                  <c:v>592.29</c:v>
                </c:pt>
              </c:numCache>
            </c:numRef>
          </c:val>
          <c:extLst>
            <c:ext xmlns:c16="http://schemas.microsoft.com/office/drawing/2014/chart" uri="{C3380CC4-5D6E-409C-BE32-E72D297353CC}">
              <c16:uniqueId val="{0000000C-7255-47DF-86E7-CBEEE6EE08FD}"/>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3.7065000000000001E-2"/>
          <c:y val="0.81631837606837609"/>
          <c:w val="0.92765722222222224"/>
          <c:h val="0.13072948717948718"/>
        </c:manualLayout>
      </c:layout>
      <c:overlay val="0"/>
      <c:spPr>
        <a:ln w="6350">
          <a:solidFill>
            <a:schemeClr val="bg1">
              <a:lumMod val="85000"/>
            </a:schemeClr>
          </a:solidFill>
        </a:ln>
      </c:spPr>
      <c:txPr>
        <a:bodyPr/>
        <a:lstStyle/>
        <a:p>
          <a:pPr rtl="0">
            <a:defRPr/>
          </a:pPr>
          <a:endParaRPr lang="cs-CZ"/>
        </a:p>
      </c:txPr>
    </c:legend>
    <c:plotVisOnly val="1"/>
    <c:dispBlanksAs val="zero"/>
    <c:showDLblsOverMax val="0"/>
  </c:chart>
  <c:spPr>
    <a:ln>
      <a:noFill/>
    </a:ln>
    <a:effectLst/>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8681124831378E-2"/>
          <c:y val="3.1210891026164981E-2"/>
          <c:w val="0.95434263775033723"/>
          <c:h val="0.64877712085297301"/>
        </c:manualLayout>
      </c:layout>
      <c:barChart>
        <c:barDir val="col"/>
        <c:grouping val="clustered"/>
        <c:varyColors val="0"/>
        <c:ser>
          <c:idx val="0"/>
          <c:order val="0"/>
          <c:tx>
            <c:strRef>
              <c:f>Grafy_HES!$A$4</c:f>
              <c:strCache>
                <c:ptCount val="1"/>
                <c:pt idx="0">
                  <c:v> Výdaje na VaV (HERD) - mld. Kč</c:v>
                </c:pt>
              </c:strCache>
            </c:strRef>
          </c:tx>
          <c:spPr>
            <a:solidFill>
              <a:srgbClr val="00206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Grafy_HES!$D$3:$N$3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Grafy_HES!$D$4:$N$4</c:f>
              <c:numCache>
                <c:formatCode>0.0</c:formatCode>
                <c:ptCount val="11"/>
                <c:pt idx="0">
                  <c:v>19.878533000000015</c:v>
                </c:pt>
                <c:pt idx="1">
                  <c:v>21.197760999999993</c:v>
                </c:pt>
                <c:pt idx="2">
                  <c:v>21.627737000000003</c:v>
                </c:pt>
                <c:pt idx="3">
                  <c:v>22.082697000000014</c:v>
                </c:pt>
                <c:pt idx="4">
                  <c:v>16.382228999999995</c:v>
                </c:pt>
                <c:pt idx="5">
                  <c:v>17.74125200000001</c:v>
                </c:pt>
                <c:pt idx="6">
                  <c:v>22.07265884095089</c:v>
                </c:pt>
                <c:pt idx="7">
                  <c:v>24.326299999999996</c:v>
                </c:pt>
                <c:pt idx="8">
                  <c:v>24.502345999999974</c:v>
                </c:pt>
                <c:pt idx="9">
                  <c:v>24.747975073566501</c:v>
                </c:pt>
                <c:pt idx="10">
                  <c:v>25.9024885920598</c:v>
                </c:pt>
              </c:numCache>
            </c:numRef>
          </c:val>
          <c:extLst>
            <c:ext xmlns:c16="http://schemas.microsoft.com/office/drawing/2014/chart" uri="{C3380CC4-5D6E-409C-BE32-E72D297353CC}">
              <c16:uniqueId val="{00000000-FD4C-4F3C-88FC-E2DC5F7778FB}"/>
            </c:ext>
          </c:extLst>
        </c:ser>
        <c:ser>
          <c:idx val="1"/>
          <c:order val="1"/>
          <c:tx>
            <c:strRef>
              <c:f>Grafy_HES!$A$5</c:f>
              <c:strCache>
                <c:ptCount val="1"/>
                <c:pt idx="0">
                  <c:v> Pracovníci ve VaV - tis. přepočtených osob (FTE)</c:v>
                </c:pt>
              </c:strCache>
            </c:strRef>
          </c:tx>
          <c:spPr>
            <a:solidFill>
              <a:srgbClr val="C0000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Grafy_HES!$D$3:$N$3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Grafy_HES!$D$5:$N$5</c:f>
              <c:numCache>
                <c:formatCode>0.0</c:formatCode>
                <c:ptCount val="11"/>
                <c:pt idx="0">
                  <c:v>16.4412445</c:v>
                </c:pt>
                <c:pt idx="1">
                  <c:v>16.240071</c:v>
                </c:pt>
                <c:pt idx="2">
                  <c:v>16.525383500000011</c:v>
                </c:pt>
                <c:pt idx="3">
                  <c:v>16.86785600000001</c:v>
                </c:pt>
                <c:pt idx="4">
                  <c:v>15.200775499999999</c:v>
                </c:pt>
                <c:pt idx="5">
                  <c:v>15.802936500000005</c:v>
                </c:pt>
                <c:pt idx="6">
                  <c:v>18.225543236944272</c:v>
                </c:pt>
                <c:pt idx="7">
                  <c:v>19.646888000000004</c:v>
                </c:pt>
                <c:pt idx="8">
                  <c:v>20.00707950000001</c:v>
                </c:pt>
                <c:pt idx="9">
                  <c:v>20.9108365768104</c:v>
                </c:pt>
                <c:pt idx="10">
                  <c:v>20.844901453663802</c:v>
                </c:pt>
              </c:numCache>
            </c:numRef>
          </c:val>
          <c:extLst>
            <c:ext xmlns:c16="http://schemas.microsoft.com/office/drawing/2014/chart" uri="{C3380CC4-5D6E-409C-BE32-E72D297353CC}">
              <c16:uniqueId val="{00000001-FD4C-4F3C-88FC-E2DC5F7778FB}"/>
            </c:ext>
          </c:extLst>
        </c:ser>
        <c:dLbls>
          <c:showLegendKey val="0"/>
          <c:showVal val="0"/>
          <c:showCatName val="0"/>
          <c:showSerName val="0"/>
          <c:showPercent val="0"/>
          <c:showBubbleSize val="0"/>
        </c:dLbls>
        <c:gapWidth val="30"/>
        <c:overlap val="-10"/>
        <c:axId val="1426075151"/>
        <c:axId val="1426075567"/>
      </c:barChart>
      <c:lineChart>
        <c:grouping val="standard"/>
        <c:varyColors val="0"/>
        <c:ser>
          <c:idx val="2"/>
          <c:order val="2"/>
          <c:tx>
            <c:strRef>
              <c:f>Grafy_HES!$A$6</c:f>
              <c:strCache>
                <c:ptCount val="1"/>
                <c:pt idx="0">
                  <c:v> Podíl výdajů na VaV na HDP (Intenzita VaV)</c:v>
                </c:pt>
              </c:strCache>
            </c:strRef>
          </c:tx>
          <c:spPr>
            <a:ln w="28575" cap="rnd">
              <a:solidFill>
                <a:srgbClr val="0070C0"/>
              </a:solidFill>
              <a:round/>
            </a:ln>
            <a:effectLst/>
          </c:spPr>
          <c:marker>
            <c:symbol val="triangle"/>
            <c:size val="5"/>
            <c:spPr>
              <a:solidFill>
                <a:schemeClr val="tx1"/>
              </a:solidFill>
              <a:ln w="9525">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Grafy_HES!$D$3:$N$3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Grafy_HES!$D$6:$N$6</c:f>
              <c:numCache>
                <c:formatCode>0.00%</c:formatCode>
                <c:ptCount val="11"/>
                <c:pt idx="0">
                  <c:v>4.8615702661245867E-3</c:v>
                </c:pt>
                <c:pt idx="1">
                  <c:v>5.116757921131327E-3</c:v>
                </c:pt>
                <c:pt idx="2">
                  <c:v>4.9767375878038544E-3</c:v>
                </c:pt>
                <c:pt idx="3">
                  <c:v>4.7742469912729311E-3</c:v>
                </c:pt>
                <c:pt idx="4">
                  <c:v>3.4151892284828055E-3</c:v>
                </c:pt>
                <c:pt idx="5">
                  <c:v>3.4713645354501306E-3</c:v>
                </c:pt>
                <c:pt idx="6">
                  <c:v>4.0794000771704544E-3</c:v>
                </c:pt>
                <c:pt idx="7">
                  <c:v>4.2003467841998741E-3</c:v>
                </c:pt>
                <c:pt idx="8">
                  <c:v>4.2917820593011431E-3</c:v>
                </c:pt>
                <c:pt idx="9">
                  <c:v>4.0514474548224945E-3</c:v>
                </c:pt>
                <c:pt idx="10">
                  <c:v>3.8171313774688635E-3</c:v>
                </c:pt>
              </c:numCache>
            </c:numRef>
          </c:val>
          <c:smooth val="0"/>
          <c:extLst>
            <c:ext xmlns:c16="http://schemas.microsoft.com/office/drawing/2014/chart" uri="{C3380CC4-5D6E-409C-BE32-E72D297353CC}">
              <c16:uniqueId val="{00000002-FD4C-4F3C-88FC-E2DC5F7778FB}"/>
            </c:ext>
          </c:extLst>
        </c:ser>
        <c:dLbls>
          <c:showLegendKey val="0"/>
          <c:showVal val="0"/>
          <c:showCatName val="0"/>
          <c:showSerName val="0"/>
          <c:showPercent val="0"/>
          <c:showBubbleSize val="0"/>
        </c:dLbls>
        <c:marker val="1"/>
        <c:smooth val="0"/>
        <c:axId val="953133519"/>
        <c:axId val="1426076399"/>
        <c:extLst/>
      </c:lineChart>
      <c:catAx>
        <c:axId val="142607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26075567"/>
        <c:crosses val="autoZero"/>
        <c:auto val="1"/>
        <c:lblAlgn val="ctr"/>
        <c:lblOffset val="100"/>
        <c:noMultiLvlLbl val="0"/>
      </c:catAx>
      <c:valAx>
        <c:axId val="1426075567"/>
        <c:scaling>
          <c:orientation val="minMax"/>
          <c:max val="40"/>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26075151"/>
        <c:crosses val="autoZero"/>
        <c:crossBetween val="between"/>
        <c:majorUnit val="2"/>
        <c:minorUnit val="1"/>
      </c:valAx>
      <c:valAx>
        <c:axId val="1426076399"/>
        <c:scaling>
          <c:orientation val="minMax"/>
          <c:max val="5.5000000000000014E-3"/>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53133519"/>
        <c:crosses val="max"/>
        <c:crossBetween val="between"/>
        <c:majorUnit val="1.0000000000000003E-4"/>
      </c:valAx>
      <c:catAx>
        <c:axId val="953133519"/>
        <c:scaling>
          <c:orientation val="minMax"/>
        </c:scaling>
        <c:delete val="1"/>
        <c:axPos val="b"/>
        <c:numFmt formatCode="General" sourceLinked="1"/>
        <c:majorTickMark val="none"/>
        <c:minorTickMark val="none"/>
        <c:tickLblPos val="nextTo"/>
        <c:crossAx val="1426076399"/>
        <c:crosses val="autoZero"/>
        <c:auto val="1"/>
        <c:lblAlgn val="ctr"/>
        <c:lblOffset val="100"/>
        <c:noMultiLvlLbl val="0"/>
      </c:catAx>
      <c:spPr>
        <a:noFill/>
        <a:ln>
          <a:noFill/>
        </a:ln>
        <a:effectLst/>
      </c:spPr>
    </c:plotArea>
    <c:legend>
      <c:legendPos val="b"/>
      <c:layout>
        <c:manualLayout>
          <c:xMode val="edge"/>
          <c:yMode val="edge"/>
          <c:x val="0.13349157079138069"/>
          <c:y val="0.7680983058935813"/>
          <c:w val="0.83055775027187684"/>
          <c:h val="0.19949435025478601"/>
        </c:manualLayout>
      </c:layout>
      <c:overlay val="0"/>
      <c:spPr>
        <a:no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2.0920447074293226E-2"/>
          <c:y val="1.8345551633631999E-2"/>
          <c:w val="0.96248027613412224"/>
          <c:h val="0.69263969590008134"/>
        </c:manualLayout>
      </c:layout>
      <c:barChart>
        <c:barDir val="col"/>
        <c:grouping val="clustered"/>
        <c:varyColors val="0"/>
        <c:ser>
          <c:idx val="0"/>
          <c:order val="0"/>
          <c:tx>
            <c:strRef>
              <c:f>MS!$B$103</c:f>
              <c:strCache>
                <c:ptCount val="1"/>
                <c:pt idx="0">
                  <c:v>%HDP</c:v>
                </c:pt>
              </c:strCache>
            </c:strRef>
          </c:tx>
          <c:spPr>
            <a:solidFill>
              <a:srgbClr val="0070C0"/>
            </a:solidFill>
          </c:spPr>
          <c:invertIfNegative val="0"/>
          <c:dPt>
            <c:idx val="9"/>
            <c:invertIfNegative val="0"/>
            <c:bubble3D val="0"/>
            <c:spPr>
              <a:solidFill>
                <a:srgbClr val="00B050"/>
              </a:solidFill>
            </c:spPr>
            <c:extLst>
              <c:ext xmlns:c16="http://schemas.microsoft.com/office/drawing/2014/chart" uri="{C3380CC4-5D6E-409C-BE32-E72D297353CC}">
                <c16:uniqueId val="{00000001-EBCA-463A-A17E-00ADC4AB043C}"/>
              </c:ext>
            </c:extLst>
          </c:dPt>
          <c:dPt>
            <c:idx val="10"/>
            <c:invertIfNegative val="0"/>
            <c:bubble3D val="0"/>
            <c:extLst>
              <c:ext xmlns:c16="http://schemas.microsoft.com/office/drawing/2014/chart" uri="{C3380CC4-5D6E-409C-BE32-E72D297353CC}">
                <c16:uniqueId val="{00000002-EBCA-463A-A17E-00ADC4AB043C}"/>
              </c:ext>
            </c:extLst>
          </c:dPt>
          <c:dPt>
            <c:idx val="13"/>
            <c:invertIfNegative val="0"/>
            <c:bubble3D val="0"/>
            <c:extLst>
              <c:ext xmlns:c16="http://schemas.microsoft.com/office/drawing/2014/chart" uri="{C3380CC4-5D6E-409C-BE32-E72D297353CC}">
                <c16:uniqueId val="{00000003-EBCA-463A-A17E-00ADC4AB043C}"/>
              </c:ext>
            </c:extLst>
          </c:dPt>
          <c:dPt>
            <c:idx val="14"/>
            <c:invertIfNegative val="0"/>
            <c:bubble3D val="0"/>
            <c:spPr>
              <a:solidFill>
                <a:srgbClr val="FF0000"/>
              </a:solidFill>
            </c:spPr>
            <c:extLst>
              <c:ext xmlns:c16="http://schemas.microsoft.com/office/drawing/2014/chart" uri="{C3380CC4-5D6E-409C-BE32-E72D297353CC}">
                <c16:uniqueId val="{00000005-EBCA-463A-A17E-00ADC4AB043C}"/>
              </c:ext>
            </c:extLst>
          </c:dPt>
          <c:dLbls>
            <c:dLbl>
              <c:idx val="0"/>
              <c:spPr>
                <a:noFill/>
                <a:ln>
                  <a:noFill/>
                </a:ln>
                <a:effectLst/>
              </c:spPr>
              <c:txPr>
                <a:bodyPr rot="-5400000" vert="horz" wrap="square" lIns="38100" tIns="19050" rIns="38100" bIns="19050" anchor="ctr">
                  <a:spAutoFit/>
                </a:bodyPr>
                <a:lstStyle/>
                <a:p>
                  <a:pPr>
                    <a:defRPr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CA-463A-A17E-00ADC4AB043C}"/>
                </c:ext>
              </c:extLst>
            </c:dLbl>
            <c:spPr>
              <a:noFill/>
              <a:ln>
                <a:noFill/>
              </a:ln>
              <a:effectLst/>
            </c:spPr>
            <c:txPr>
              <a:bodyPr rot="-5400000" vert="horz"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MS!$A$104:$A$131</c:f>
              <c:strCache>
                <c:ptCount val="28"/>
                <c:pt idx="0">
                  <c:v>Dánsko</c:v>
                </c:pt>
                <c:pt idx="1">
                  <c:v>Švédsko</c:v>
                </c:pt>
                <c:pt idx="2">
                  <c:v>Rakousko</c:v>
                </c:pt>
                <c:pt idx="3">
                  <c:v>Finsko</c:v>
                </c:pt>
                <c:pt idx="4">
                  <c:v>Nizozemsko</c:v>
                </c:pt>
                <c:pt idx="5">
                  <c:v>Belgie</c:v>
                </c:pt>
                <c:pt idx="6">
                  <c:v>Estonsko</c:v>
                </c:pt>
                <c:pt idx="7">
                  <c:v>Německo</c:v>
                </c:pt>
                <c:pt idx="8">
                  <c:v>Portugalsko</c:v>
                </c:pt>
                <c:pt idx="9">
                  <c:v>EU27</c:v>
                </c:pt>
                <c:pt idx="10">
                  <c:v>Polsko</c:v>
                </c:pt>
                <c:pt idx="11">
                  <c:v>Francie</c:v>
                </c:pt>
                <c:pt idx="12">
                  <c:v>Řecko</c:v>
                </c:pt>
                <c:pt idx="13">
                  <c:v>Chorvatsko</c:v>
                </c:pt>
                <c:pt idx="14">
                  <c:v>Česko</c:v>
                </c:pt>
                <c:pt idx="15">
                  <c:v>Španělsko</c:v>
                </c:pt>
                <c:pt idx="16">
                  <c:v>Litva</c:v>
                </c:pt>
                <c:pt idx="17">
                  <c:v>Lotyšsko</c:v>
                </c:pt>
                <c:pt idx="18">
                  <c:v>Itálie</c:v>
                </c:pt>
                <c:pt idx="19">
                  <c:v>Kypr</c:v>
                </c:pt>
                <c:pt idx="20">
                  <c:v>Slovinsko</c:v>
                </c:pt>
                <c:pt idx="21">
                  <c:v>Slovensko</c:v>
                </c:pt>
                <c:pt idx="22">
                  <c:v>Lucembursko</c:v>
                </c:pt>
                <c:pt idx="23">
                  <c:v>Malta</c:v>
                </c:pt>
                <c:pt idx="24">
                  <c:v>Maďarsko</c:v>
                </c:pt>
                <c:pt idx="25">
                  <c:v>Irsko</c:v>
                </c:pt>
                <c:pt idx="26">
                  <c:v>Bulharsko</c:v>
                </c:pt>
                <c:pt idx="27">
                  <c:v>Rumunsko</c:v>
                </c:pt>
              </c:strCache>
            </c:strRef>
          </c:cat>
          <c:val>
            <c:numRef>
              <c:f>MS!$B$104:$B$131</c:f>
              <c:numCache>
                <c:formatCode>0.00</c:formatCode>
                <c:ptCount val="28"/>
                <c:pt idx="0">
                  <c:v>0.94</c:v>
                </c:pt>
                <c:pt idx="1">
                  <c:v>0.75</c:v>
                </c:pt>
                <c:pt idx="2">
                  <c:v>0.74</c:v>
                </c:pt>
                <c:pt idx="3">
                  <c:v>0.71</c:v>
                </c:pt>
                <c:pt idx="4">
                  <c:v>0.63</c:v>
                </c:pt>
                <c:pt idx="5">
                  <c:v>0.59</c:v>
                </c:pt>
                <c:pt idx="6">
                  <c:v>0.59</c:v>
                </c:pt>
                <c:pt idx="7">
                  <c:v>0.56999999999999995</c:v>
                </c:pt>
                <c:pt idx="8">
                  <c:v>0.53</c:v>
                </c:pt>
                <c:pt idx="9">
                  <c:v>0.48</c:v>
                </c:pt>
                <c:pt idx="10">
                  <c:v>0.47</c:v>
                </c:pt>
                <c:pt idx="11">
                  <c:v>0.45</c:v>
                </c:pt>
                <c:pt idx="12">
                  <c:v>0.44</c:v>
                </c:pt>
                <c:pt idx="13">
                  <c:v>0.4</c:v>
                </c:pt>
                <c:pt idx="14">
                  <c:v>0.38</c:v>
                </c:pt>
                <c:pt idx="15">
                  <c:v>0.37</c:v>
                </c:pt>
                <c:pt idx="16">
                  <c:v>0.37</c:v>
                </c:pt>
                <c:pt idx="17">
                  <c:v>0.35</c:v>
                </c:pt>
                <c:pt idx="18">
                  <c:v>0.33</c:v>
                </c:pt>
                <c:pt idx="19">
                  <c:v>0.31</c:v>
                </c:pt>
                <c:pt idx="20">
                  <c:v>0.27</c:v>
                </c:pt>
                <c:pt idx="21">
                  <c:v>0.25</c:v>
                </c:pt>
                <c:pt idx="22">
                  <c:v>0.24</c:v>
                </c:pt>
                <c:pt idx="23">
                  <c:v>0.22</c:v>
                </c:pt>
                <c:pt idx="24">
                  <c:v>0.21</c:v>
                </c:pt>
                <c:pt idx="25">
                  <c:v>0.16</c:v>
                </c:pt>
                <c:pt idx="26">
                  <c:v>0.05</c:v>
                </c:pt>
                <c:pt idx="27">
                  <c:v>0.04</c:v>
                </c:pt>
              </c:numCache>
            </c:numRef>
          </c:val>
          <c:extLst>
            <c:ext xmlns:c16="http://schemas.microsoft.com/office/drawing/2014/chart" uri="{C3380CC4-5D6E-409C-BE32-E72D297353CC}">
              <c16:uniqueId val="{00000007-EBCA-463A-A17E-00ADC4AB043C}"/>
            </c:ext>
          </c:extLst>
        </c:ser>
        <c:dLbls>
          <c:showLegendKey val="0"/>
          <c:showVal val="0"/>
          <c:showCatName val="0"/>
          <c:showSerName val="0"/>
          <c:showPercent val="0"/>
          <c:showBubbleSize val="0"/>
        </c:dLbls>
        <c:gapWidth val="100"/>
        <c:axId val="132765568"/>
        <c:axId val="132767744"/>
      </c:barChart>
      <c:catAx>
        <c:axId val="132765568"/>
        <c:scaling>
          <c:orientation val="minMax"/>
        </c:scaling>
        <c:delete val="0"/>
        <c:axPos val="b"/>
        <c:numFmt formatCode="General" sourceLinked="1"/>
        <c:majorTickMark val="out"/>
        <c:minorTickMark val="none"/>
        <c:tickLblPos val="nextTo"/>
        <c:spPr>
          <a:ln>
            <a:solidFill>
              <a:schemeClr val="bg1">
                <a:lumMod val="65000"/>
              </a:schemeClr>
            </a:solidFill>
          </a:ln>
        </c:spPr>
        <c:txPr>
          <a:bodyPr rot="-5400000" vert="horz"/>
          <a:lstStyle/>
          <a:p>
            <a:pPr>
              <a:defRPr/>
            </a:pPr>
            <a:endParaRPr lang="cs-CZ"/>
          </a:p>
        </c:txPr>
        <c:crossAx val="132767744"/>
        <c:crosses val="autoZero"/>
        <c:auto val="1"/>
        <c:lblAlgn val="ctr"/>
        <c:lblOffset val="100"/>
        <c:noMultiLvlLbl val="0"/>
      </c:catAx>
      <c:valAx>
        <c:axId val="132767744"/>
        <c:scaling>
          <c:orientation val="minMax"/>
          <c:max val="1.1500000000000001"/>
          <c:min val="0"/>
        </c:scaling>
        <c:delete val="0"/>
        <c:axPos val="l"/>
        <c:numFmt formatCode="#,##0.0" sourceLinked="0"/>
        <c:majorTickMark val="none"/>
        <c:minorTickMark val="none"/>
        <c:tickLblPos val="none"/>
        <c:spPr>
          <a:ln>
            <a:solidFill>
              <a:schemeClr val="bg1">
                <a:lumMod val="65000"/>
              </a:schemeClr>
            </a:solidFill>
          </a:ln>
        </c:spPr>
        <c:crossAx val="132765568"/>
        <c:crosses val="autoZero"/>
        <c:crossBetween val="between"/>
        <c:majorUnit val="5.000000000000001E-2"/>
      </c:valAx>
      <c:spPr>
        <a:ln>
          <a:solidFill>
            <a:schemeClr val="bg1">
              <a:lumMod val="65000"/>
            </a:schemeClr>
          </a:solidFill>
        </a:ln>
      </c:spPr>
    </c:plotArea>
    <c:plotVisOnly val="1"/>
    <c:dispBlanksAs val="gap"/>
    <c:showDLblsOverMax val="0"/>
  </c:chart>
  <c:spPr>
    <a:noFill/>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Grafy_HES!$A$116</c:f>
              <c:strCache>
                <c:ptCount val="1"/>
                <c:pt idx="0">
                  <c:v> Veřejné a státní VŠ</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Grafy_HES!$B$115:$N$115</c:f>
              <c:numCache>
                <c:formatCode>General</c:formatCode>
                <c:ptCount val="2"/>
                <c:pt idx="0">
                  <c:v>2012</c:v>
                </c:pt>
                <c:pt idx="1">
                  <c:v>2022</c:v>
                </c:pt>
              </c:numCache>
            </c:numRef>
          </c:cat>
          <c:val>
            <c:numRef>
              <c:f>Grafy_HES!$B$116:$N$116</c:f>
              <c:numCache>
                <c:formatCode>0%</c:formatCode>
                <c:ptCount val="2"/>
                <c:pt idx="0">
                  <c:v>0.95478559710618494</c:v>
                </c:pt>
                <c:pt idx="1">
                  <c:v>0.93920531664503626</c:v>
                </c:pt>
              </c:numCache>
            </c:numRef>
          </c:val>
          <c:extLst>
            <c:ext xmlns:c16="http://schemas.microsoft.com/office/drawing/2014/chart" uri="{C3380CC4-5D6E-409C-BE32-E72D297353CC}">
              <c16:uniqueId val="{00000000-76AF-4098-AF7F-1930D1FBF8E6}"/>
            </c:ext>
          </c:extLst>
        </c:ser>
        <c:ser>
          <c:idx val="1"/>
          <c:order val="1"/>
          <c:tx>
            <c:strRef>
              <c:f>Grafy_HES!$A$117</c:f>
              <c:strCache>
                <c:ptCount val="1"/>
                <c:pt idx="0">
                  <c:v> Fakultní
 nemocnice</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Grafy_HES!$B$115:$N$115</c:f>
              <c:numCache>
                <c:formatCode>General</c:formatCode>
                <c:ptCount val="2"/>
                <c:pt idx="0">
                  <c:v>2012</c:v>
                </c:pt>
                <c:pt idx="1">
                  <c:v>2022</c:v>
                </c:pt>
              </c:numCache>
            </c:numRef>
          </c:cat>
          <c:val>
            <c:numRef>
              <c:f>Grafy_HES!$B$117:$N$117</c:f>
              <c:numCache>
                <c:formatCode>0%</c:formatCode>
                <c:ptCount val="2"/>
                <c:pt idx="0">
                  <c:v>3.7570780499748137E-2</c:v>
                </c:pt>
                <c:pt idx="1">
                  <c:v>5.1671907710453886E-2</c:v>
                </c:pt>
              </c:numCache>
            </c:numRef>
          </c:val>
          <c:extLst>
            <c:ext xmlns:c16="http://schemas.microsoft.com/office/drawing/2014/chart" uri="{C3380CC4-5D6E-409C-BE32-E72D297353CC}">
              <c16:uniqueId val="{00000001-76AF-4098-AF7F-1930D1FBF8E6}"/>
            </c:ext>
          </c:extLst>
        </c:ser>
        <c:ser>
          <c:idx val="2"/>
          <c:order val="2"/>
          <c:tx>
            <c:strRef>
              <c:f>Grafy_HES!$A$118</c:f>
              <c:strCache>
                <c:ptCount val="1"/>
                <c:pt idx="0">
                  <c:v> Soukromé VŠ</c:v>
                </c:pt>
              </c:strCache>
            </c:strRef>
          </c:tx>
          <c:spPr>
            <a:solidFill>
              <a:srgbClr val="0070C0"/>
            </a:solidFill>
          </c:spPr>
          <c:invertIfNegative val="0"/>
          <c:cat>
            <c:numRef>
              <c:f>Grafy_HES!$B$115:$N$115</c:f>
              <c:numCache>
                <c:formatCode>General</c:formatCode>
                <c:ptCount val="2"/>
                <c:pt idx="0">
                  <c:v>2012</c:v>
                </c:pt>
                <c:pt idx="1">
                  <c:v>2022</c:v>
                </c:pt>
              </c:numCache>
            </c:numRef>
          </c:cat>
          <c:val>
            <c:numRef>
              <c:f>Grafy_HES!$B$118:$N$118</c:f>
              <c:numCache>
                <c:formatCode>0%</c:formatCode>
                <c:ptCount val="2"/>
                <c:pt idx="0">
                  <c:v>7.6436223940670039E-3</c:v>
                </c:pt>
                <c:pt idx="1">
                  <c:v>9.1227756445098982E-3</c:v>
                </c:pt>
              </c:numCache>
            </c:numRef>
          </c:val>
          <c:extLst>
            <c:ext xmlns:c16="http://schemas.microsoft.com/office/drawing/2014/chart" uri="{C3380CC4-5D6E-409C-BE32-E72D297353CC}">
              <c16:uniqueId val="{00000002-76AF-4098-AF7F-1930D1FBF8E6}"/>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894494949494945"/>
          <c:y val="5.4953571428571428E-2"/>
          <c:w val="0.37950303030303029"/>
          <c:h val="0.83073253968253957"/>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Grafy_HES!$A$123</c:f>
              <c:strCache>
                <c:ptCount val="1"/>
                <c:pt idx="0">
                  <c:v> Praha </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i="0">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Grafy_HES!$B$122:$N$122</c:f>
              <c:numCache>
                <c:formatCode>General</c:formatCode>
                <c:ptCount val="2"/>
                <c:pt idx="0">
                  <c:v>2012</c:v>
                </c:pt>
                <c:pt idx="1">
                  <c:v>2022</c:v>
                </c:pt>
              </c:numCache>
            </c:numRef>
          </c:cat>
          <c:val>
            <c:numRef>
              <c:f>Grafy_HES!$B$123:$N$123</c:f>
              <c:numCache>
                <c:formatCode>0%</c:formatCode>
                <c:ptCount val="2"/>
                <c:pt idx="0">
                  <c:v>0.26368389458115449</c:v>
                </c:pt>
                <c:pt idx="1">
                  <c:v>0.40377047027079871</c:v>
                </c:pt>
              </c:numCache>
            </c:numRef>
          </c:val>
          <c:extLst>
            <c:ext xmlns:c16="http://schemas.microsoft.com/office/drawing/2014/chart" uri="{C3380CC4-5D6E-409C-BE32-E72D297353CC}">
              <c16:uniqueId val="{00000000-DA2B-4E76-A3F3-4A5693B34C74}"/>
            </c:ext>
          </c:extLst>
        </c:ser>
        <c:ser>
          <c:idx val="1"/>
          <c:order val="1"/>
          <c:tx>
            <c:strRef>
              <c:f>Grafy_HES!$A$124</c:f>
              <c:strCache>
                <c:ptCount val="1"/>
                <c:pt idx="0">
                  <c:v> Jihomoravský</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Grafy_HES!$B$122:$N$122</c:f>
              <c:numCache>
                <c:formatCode>General</c:formatCode>
                <c:ptCount val="2"/>
                <c:pt idx="0">
                  <c:v>2012</c:v>
                </c:pt>
                <c:pt idx="1">
                  <c:v>2022</c:v>
                </c:pt>
              </c:numCache>
            </c:numRef>
          </c:cat>
          <c:val>
            <c:numRef>
              <c:f>Grafy_HES!$B$124:$N$124</c:f>
              <c:numCache>
                <c:formatCode>0%</c:formatCode>
                <c:ptCount val="2"/>
                <c:pt idx="0">
                  <c:v>0.33754346963128518</c:v>
                </c:pt>
                <c:pt idx="1">
                  <c:v>0.2677461498500876</c:v>
                </c:pt>
              </c:numCache>
            </c:numRef>
          </c:val>
          <c:extLst>
            <c:ext xmlns:c16="http://schemas.microsoft.com/office/drawing/2014/chart" uri="{C3380CC4-5D6E-409C-BE32-E72D297353CC}">
              <c16:uniqueId val="{00000001-DA2B-4E76-A3F3-4A5693B34C74}"/>
            </c:ext>
          </c:extLst>
        </c:ser>
        <c:ser>
          <c:idx val="2"/>
          <c:order val="2"/>
          <c:tx>
            <c:strRef>
              <c:f>Grafy_HES!$A$125</c:f>
              <c:strCache>
                <c:ptCount val="1"/>
                <c:pt idx="0">
                  <c:v> Moravskoslezský</c:v>
                </c:pt>
              </c:strCache>
            </c:strRef>
          </c:tx>
          <c:spPr>
            <a:solidFill>
              <a:srgbClr val="FFC00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Grafy_HES!$B$122:$N$122</c:f>
              <c:numCache>
                <c:formatCode>General</c:formatCode>
                <c:ptCount val="2"/>
                <c:pt idx="0">
                  <c:v>2012</c:v>
                </c:pt>
                <c:pt idx="1">
                  <c:v>2022</c:v>
                </c:pt>
              </c:numCache>
            </c:numRef>
          </c:cat>
          <c:val>
            <c:numRef>
              <c:f>Grafy_HES!$B$125:$N$125</c:f>
              <c:numCache>
                <c:formatCode>0%</c:formatCode>
                <c:ptCount val="2"/>
                <c:pt idx="0">
                  <c:v>9.0272758055134156E-2</c:v>
                </c:pt>
                <c:pt idx="1">
                  <c:v>7.8001694424810836E-2</c:v>
                </c:pt>
              </c:numCache>
            </c:numRef>
          </c:val>
          <c:extLst>
            <c:ext xmlns:c16="http://schemas.microsoft.com/office/drawing/2014/chart" uri="{C3380CC4-5D6E-409C-BE32-E72D297353CC}">
              <c16:uniqueId val="{00000002-DA2B-4E76-A3F3-4A5693B34C74}"/>
            </c:ext>
          </c:extLst>
        </c:ser>
        <c:ser>
          <c:idx val="3"/>
          <c:order val="3"/>
          <c:tx>
            <c:strRef>
              <c:f>Grafy_HES!$A$126</c:f>
              <c:strCache>
                <c:ptCount val="1"/>
                <c:pt idx="0">
                  <c:v> Olomoucký</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Grafy_HES!$B$122:$N$122</c:f>
              <c:numCache>
                <c:formatCode>General</c:formatCode>
                <c:ptCount val="2"/>
                <c:pt idx="0">
                  <c:v>2012</c:v>
                </c:pt>
                <c:pt idx="1">
                  <c:v>2022</c:v>
                </c:pt>
              </c:numCache>
            </c:numRef>
          </c:cat>
          <c:val>
            <c:numRef>
              <c:f>Grafy_HES!$B$126:$N$126</c:f>
              <c:numCache>
                <c:formatCode>0%</c:formatCode>
                <c:ptCount val="2"/>
                <c:pt idx="0">
                  <c:v>0.11664286293158554</c:v>
                </c:pt>
                <c:pt idx="1">
                  <c:v>7.404358053024751E-2</c:v>
                </c:pt>
              </c:numCache>
            </c:numRef>
          </c:val>
          <c:extLst>
            <c:ext xmlns:c16="http://schemas.microsoft.com/office/drawing/2014/chart" uri="{C3380CC4-5D6E-409C-BE32-E72D297353CC}">
              <c16:uniqueId val="{00000003-DA2B-4E76-A3F3-4A5693B34C74}"/>
            </c:ext>
          </c:extLst>
        </c:ser>
        <c:ser>
          <c:idx val="4"/>
          <c:order val="4"/>
          <c:tx>
            <c:strRef>
              <c:f>Grafy_HES!$A$127</c:f>
              <c:strCache>
                <c:ptCount val="1"/>
                <c:pt idx="0">
                  <c:v> Plzeňský </c:v>
                </c:pt>
              </c:strCache>
            </c:strRef>
          </c:tx>
          <c:spPr>
            <a:solidFill>
              <a:srgbClr val="7030A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Grafy_HES!$B$122:$N$122</c:f>
              <c:numCache>
                <c:formatCode>General</c:formatCode>
                <c:ptCount val="2"/>
                <c:pt idx="0">
                  <c:v>2012</c:v>
                </c:pt>
                <c:pt idx="1">
                  <c:v>2022</c:v>
                </c:pt>
              </c:numCache>
            </c:numRef>
          </c:cat>
          <c:val>
            <c:numRef>
              <c:f>Grafy_HES!$B$127:$N$127</c:f>
              <c:numCache>
                <c:formatCode>0%</c:formatCode>
                <c:ptCount val="2"/>
                <c:pt idx="0">
                  <c:v>4.6096862379130292E-2</c:v>
                </c:pt>
                <c:pt idx="1">
                  <c:v>3.8909543244001206E-2</c:v>
                </c:pt>
              </c:numCache>
            </c:numRef>
          </c:val>
          <c:extLst>
            <c:ext xmlns:c16="http://schemas.microsoft.com/office/drawing/2014/chart" uri="{C3380CC4-5D6E-409C-BE32-E72D297353CC}">
              <c16:uniqueId val="{00000004-DA2B-4E76-A3F3-4A5693B34C74}"/>
            </c:ext>
          </c:extLst>
        </c:ser>
        <c:ser>
          <c:idx val="5"/>
          <c:order val="5"/>
          <c:tx>
            <c:strRef>
              <c:f>Grafy_HES!$A$128</c:f>
              <c:strCache>
                <c:ptCount val="1"/>
                <c:pt idx="0">
                  <c:v> ostatní kraje</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Grafy_HES!$B$122:$N$122</c:f>
              <c:numCache>
                <c:formatCode>General</c:formatCode>
                <c:ptCount val="2"/>
                <c:pt idx="0">
                  <c:v>2012</c:v>
                </c:pt>
                <c:pt idx="1">
                  <c:v>2022</c:v>
                </c:pt>
              </c:numCache>
            </c:numRef>
          </c:cat>
          <c:val>
            <c:numRef>
              <c:f>Grafy_HES!$B$128:$N$128</c:f>
              <c:numCache>
                <c:formatCode>0%</c:formatCode>
                <c:ptCount val="2"/>
                <c:pt idx="0">
                  <c:v>0.14576015242171037</c:v>
                </c:pt>
                <c:pt idx="1">
                  <c:v>0.13752856168005412</c:v>
                </c:pt>
              </c:numCache>
            </c:numRef>
          </c:val>
          <c:extLst>
            <c:ext xmlns:c16="http://schemas.microsoft.com/office/drawing/2014/chart" uri="{C3380CC4-5D6E-409C-BE32-E72D297353CC}">
              <c16:uniqueId val="{00000005-DA2B-4E76-A3F3-4A5693B34C74}"/>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894494949494945"/>
          <c:y val="5.4953571428571428E-2"/>
          <c:w val="0.34684684684684686"/>
          <c:h val="0.86324671142269682"/>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348419213555755E-2"/>
          <c:y val="4.3091614650704491E-2"/>
          <c:w val="0.76557046004428597"/>
          <c:h val="0.83821788538836173"/>
        </c:manualLayout>
      </c:layout>
      <c:lineChart>
        <c:grouping val="standard"/>
        <c:varyColors val="0"/>
        <c:ser>
          <c:idx val="0"/>
          <c:order val="0"/>
          <c:tx>
            <c:strRef>
              <c:f>Grafy_celkem!$A$57</c:f>
              <c:strCache>
                <c:ptCount val="1"/>
                <c:pt idx="0">
                  <c:v> podnikové </c:v>
                </c:pt>
              </c:strCache>
            </c:strRef>
          </c:tx>
          <c:spPr>
            <a:ln>
              <a:solidFill>
                <a:srgbClr val="002060"/>
              </a:solidFill>
            </a:ln>
          </c:spPr>
          <c:marker>
            <c:symbol val="triangle"/>
            <c:size val="5"/>
            <c:spPr>
              <a:solidFill>
                <a:schemeClr val="tx1"/>
              </a:solidFill>
              <a:ln>
                <a:noFill/>
              </a:ln>
            </c:spPr>
          </c:marker>
          <c:dLbls>
            <c:spPr>
              <a:noFill/>
              <a:ln>
                <a:noFill/>
              </a:ln>
              <a:effectLst/>
            </c:spPr>
            <c:txPr>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Grafy_celkem!$D$56:$N$56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Grafy_celkem!$D$57:$N$57</c:f>
              <c:numCache>
                <c:formatCode>0.0</c:formatCode>
                <c:ptCount val="11"/>
                <c:pt idx="0">
                  <c:v>33.464307599999898</c:v>
                </c:pt>
                <c:pt idx="1">
                  <c:v>37.832045329999993</c:v>
                </c:pt>
                <c:pt idx="2">
                  <c:v>43.262481299999948</c:v>
                </c:pt>
                <c:pt idx="3">
                  <c:v>45.60693126999994</c:v>
                </c:pt>
                <c:pt idx="4">
                  <c:v>48.216793418811534</c:v>
                </c:pt>
                <c:pt idx="5">
                  <c:v>53.838753012773843</c:v>
                </c:pt>
                <c:pt idx="6">
                  <c:v>59.946624939610963</c:v>
                </c:pt>
                <c:pt idx="7">
                  <c:v>64.735662536227537</c:v>
                </c:pt>
                <c:pt idx="8">
                  <c:v>66.086176781938121</c:v>
                </c:pt>
                <c:pt idx="9">
                  <c:v>72.833366280904158</c:v>
                </c:pt>
                <c:pt idx="10">
                  <c:v>81.723509764168099</c:v>
                </c:pt>
              </c:numCache>
            </c:numRef>
          </c:val>
          <c:smooth val="0"/>
          <c:extLst>
            <c:ext xmlns:c16="http://schemas.microsoft.com/office/drawing/2014/chart" uri="{C3380CC4-5D6E-409C-BE32-E72D297353CC}">
              <c16:uniqueId val="{00000000-810F-4D6A-A325-A510382BE69D}"/>
            </c:ext>
          </c:extLst>
        </c:ser>
        <c:ser>
          <c:idx val="1"/>
          <c:order val="1"/>
          <c:tx>
            <c:strRef>
              <c:f>Grafy_celkem!$A$58</c:f>
              <c:strCache>
                <c:ptCount val="1"/>
                <c:pt idx="0">
                  <c:v>veřejné 
domácí </c:v>
                </c:pt>
              </c:strCache>
            </c:strRef>
          </c:tx>
          <c:spPr>
            <a:ln>
              <a:solidFill>
                <a:srgbClr val="C00000"/>
              </a:solidFill>
            </a:ln>
          </c:spPr>
          <c:marker>
            <c:symbol val="star"/>
            <c:size val="5"/>
            <c:spPr>
              <a:solidFill>
                <a:schemeClr val="tx1"/>
              </a:solidFill>
              <a:ln>
                <a:noFill/>
              </a:ln>
            </c:spPr>
          </c:marker>
          <c:dLbls>
            <c:dLbl>
              <c:idx val="0"/>
              <c:layout>
                <c:manualLayout>
                  <c:x val="-3.3801972221564044E-2"/>
                  <c:y val="4.33344710439420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0F-4D6A-A325-A510382BE69D}"/>
                </c:ext>
              </c:extLst>
            </c:dLbl>
            <c:spPr>
              <a:noFill/>
              <a:ln>
                <a:noFill/>
              </a:ln>
              <a:effectLst/>
            </c:spPr>
            <c:txPr>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Grafy_celkem!$D$56:$N$56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Grafy_celkem!$D$58:$N$58</c:f>
              <c:numCache>
                <c:formatCode>0.0</c:formatCode>
                <c:ptCount val="11"/>
                <c:pt idx="0">
                  <c:v>26.616461850000025</c:v>
                </c:pt>
                <c:pt idx="1">
                  <c:v>27.045283730000069</c:v>
                </c:pt>
                <c:pt idx="2">
                  <c:v>28.03448045000005</c:v>
                </c:pt>
                <c:pt idx="3">
                  <c:v>28.562501869999998</c:v>
                </c:pt>
                <c:pt idx="4">
                  <c:v>28.534980418193335</c:v>
                </c:pt>
                <c:pt idx="5">
                  <c:v>31.232402071476429</c:v>
                </c:pt>
                <c:pt idx="6">
                  <c:v>35.036515198448662</c:v>
                </c:pt>
                <c:pt idx="7">
                  <c:v>37.580898000000005</c:v>
                </c:pt>
                <c:pt idx="8">
                  <c:v>38.568942999999983</c:v>
                </c:pt>
                <c:pt idx="9">
                  <c:v>39.406282332316373</c:v>
                </c:pt>
                <c:pt idx="10">
                  <c:v>40.401496000000002</c:v>
                </c:pt>
              </c:numCache>
            </c:numRef>
          </c:val>
          <c:smooth val="0"/>
          <c:extLst>
            <c:ext xmlns:c16="http://schemas.microsoft.com/office/drawing/2014/chart" uri="{C3380CC4-5D6E-409C-BE32-E72D297353CC}">
              <c16:uniqueId val="{00000002-810F-4D6A-A325-A510382BE69D}"/>
            </c:ext>
          </c:extLst>
        </c:ser>
        <c:ser>
          <c:idx val="2"/>
          <c:order val="2"/>
          <c:tx>
            <c:strRef>
              <c:f>Grafy_celkem!$A$59</c:f>
              <c:strCache>
                <c:ptCount val="1"/>
                <c:pt idx="0">
                  <c:v> veřejné 
 zahraniční</c:v>
                </c:pt>
              </c:strCache>
            </c:strRef>
          </c:tx>
          <c:spPr>
            <a:ln>
              <a:solidFill>
                <a:srgbClr val="00B050"/>
              </a:solidFill>
            </a:ln>
          </c:spPr>
          <c:marker>
            <c:symbol val="diamond"/>
            <c:size val="5"/>
            <c:spPr>
              <a:solidFill>
                <a:schemeClr val="tx1"/>
              </a:solidFill>
              <a:ln>
                <a:noFill/>
              </a:ln>
            </c:spPr>
          </c:marker>
          <c:dLbls>
            <c:spPr>
              <a:noFill/>
              <a:ln>
                <a:noFill/>
              </a:ln>
              <a:effectLst/>
            </c:spPr>
            <c:txPr>
              <a:bodyPr/>
              <a:lstStyle/>
              <a:p>
                <a:pPr>
                  <a:defRPr sz="800"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Grafy_celkem!$D$56:$N$56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Grafy_celkem!$D$59:$N$59</c:f>
              <c:numCache>
                <c:formatCode>0.0</c:formatCode>
                <c:ptCount val="11"/>
                <c:pt idx="0">
                  <c:v>11.622015259999994</c:v>
                </c:pt>
                <c:pt idx="1">
                  <c:v>12.575684980000002</c:v>
                </c:pt>
                <c:pt idx="2">
                  <c:v>13.251651590000002</c:v>
                </c:pt>
                <c:pt idx="3">
                  <c:v>13.819510729999998</c:v>
                </c:pt>
                <c:pt idx="4">
                  <c:v>2.6665532901295328</c:v>
                </c:pt>
                <c:pt idx="5">
                  <c:v>4.3073332370686916</c:v>
                </c:pt>
                <c:pt idx="6">
                  <c:v>6.6206036794058356</c:v>
                </c:pt>
                <c:pt idx="7">
                  <c:v>8.0642760516075409</c:v>
                </c:pt>
                <c:pt idx="8">
                  <c:v>7.2361107984393538</c:v>
                </c:pt>
                <c:pt idx="9">
                  <c:v>8.3719220644168253</c:v>
                </c:pt>
                <c:pt idx="10">
                  <c:v>9.4953537395824092</c:v>
                </c:pt>
              </c:numCache>
            </c:numRef>
          </c:val>
          <c:smooth val="0"/>
          <c:extLst>
            <c:ext xmlns:c16="http://schemas.microsoft.com/office/drawing/2014/chart" uri="{C3380CC4-5D6E-409C-BE32-E72D297353CC}">
              <c16:uniqueId val="{00000003-810F-4D6A-A325-A510382BE69D}"/>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alpha val="97000"/>
              </a:schemeClr>
            </a:solidFill>
          </a:ln>
        </c:spPr>
        <c:txPr>
          <a:bodyPr rot="0" vert="horz"/>
          <a:lstStyle/>
          <a:p>
            <a:pPr>
              <a:defRPr sz="800"/>
            </a:pPr>
            <a:endParaRPr lang="cs-CZ"/>
          </a:p>
        </c:txPr>
        <c:crossAx val="154340736"/>
        <c:crosses val="autoZero"/>
        <c:auto val="0"/>
        <c:lblAlgn val="ctr"/>
        <c:lblOffset val="100"/>
        <c:tickLblSkip val="1"/>
        <c:noMultiLvlLbl val="0"/>
      </c:catAx>
      <c:valAx>
        <c:axId val="154340736"/>
        <c:scaling>
          <c:orientation val="minMax"/>
          <c:max val="85"/>
          <c:min val="0"/>
        </c:scaling>
        <c:delete val="0"/>
        <c:axPos val="l"/>
        <c:majorGridlines>
          <c:spPr>
            <a:ln>
              <a:solidFill>
                <a:schemeClr val="bg1">
                  <a:lumMod val="85000"/>
                </a:schemeClr>
              </a:solidFill>
              <a:prstDash val="solid"/>
            </a:ln>
          </c:spPr>
        </c:majorGridlines>
        <c:numFmt formatCode="0" sourceLinked="0"/>
        <c:majorTickMark val="none"/>
        <c:minorTickMark val="none"/>
        <c:tickLblPos val="none"/>
        <c:spPr>
          <a:ln>
            <a:noFill/>
          </a:ln>
        </c:spPr>
        <c:crossAx val="154339200"/>
        <c:crosses val="autoZero"/>
        <c:crossBetween val="between"/>
        <c:majorUnit val="10"/>
        <c:minorUnit val="1"/>
      </c:valAx>
      <c:spPr>
        <a:ln>
          <a:noFill/>
        </a:ln>
      </c:spPr>
    </c:plotArea>
    <c:legend>
      <c:legendPos val="r"/>
      <c:layout>
        <c:manualLayout>
          <c:xMode val="edge"/>
          <c:yMode val="edge"/>
          <c:x val="0.8315278668342353"/>
          <c:y val="3.6307980796777467E-2"/>
          <c:w val="0.15210424836601308"/>
          <c:h val="0.85965882158886697"/>
        </c:manualLayout>
      </c:layout>
      <c:overlay val="0"/>
      <c:spPr>
        <a:solidFill>
          <a:schemeClr val="bg1"/>
        </a:solidFill>
        <a:ln w="6350">
          <a:solidFill>
            <a:schemeClr val="bg1">
              <a:lumMod val="75000"/>
            </a:schemeClr>
          </a:solidFill>
        </a:ln>
      </c:spPr>
      <c:txPr>
        <a:bodyPr/>
        <a:lstStyle/>
        <a:p>
          <a:pPr>
            <a:defRPr sz="800"/>
          </a:pPr>
          <a:endParaRPr lang="cs-CZ"/>
        </a:p>
      </c:txPr>
    </c:legend>
    <c:plotVisOnly val="1"/>
    <c:dispBlanksAs val="gap"/>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6770222222222233"/>
          <c:h val="0.85091166505958815"/>
        </c:manualLayout>
      </c:layout>
      <c:barChart>
        <c:barDir val="col"/>
        <c:grouping val="percentStacked"/>
        <c:varyColors val="0"/>
        <c:ser>
          <c:idx val="0"/>
          <c:order val="0"/>
          <c:tx>
            <c:strRef>
              <c:f>Grafy_HES!$A$31</c:f>
              <c:strCache>
                <c:ptCount val="1"/>
                <c:pt idx="0">
                  <c:v> mzdové</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Grafy_HES!$B$30:$N$30</c:f>
              <c:numCache>
                <c:formatCode>General</c:formatCode>
                <c:ptCount val="2"/>
                <c:pt idx="0">
                  <c:v>2012</c:v>
                </c:pt>
                <c:pt idx="1">
                  <c:v>2022</c:v>
                </c:pt>
              </c:numCache>
            </c:numRef>
          </c:cat>
          <c:val>
            <c:numRef>
              <c:f>Grafy_HES!$B$31:$N$31</c:f>
              <c:numCache>
                <c:formatCode>0%</c:formatCode>
                <c:ptCount val="2"/>
                <c:pt idx="0">
                  <c:v>0.33852155991591537</c:v>
                </c:pt>
                <c:pt idx="1">
                  <c:v>0.54609366535620862</c:v>
                </c:pt>
              </c:numCache>
            </c:numRef>
          </c:val>
          <c:extLst>
            <c:ext xmlns:c16="http://schemas.microsoft.com/office/drawing/2014/chart" uri="{C3380CC4-5D6E-409C-BE32-E72D297353CC}">
              <c16:uniqueId val="{00000000-D241-4B70-A7CC-60FA635A4E48}"/>
            </c:ext>
          </c:extLst>
        </c:ser>
        <c:ser>
          <c:idx val="1"/>
          <c:order val="1"/>
          <c:tx>
            <c:strRef>
              <c:f>Grafy_HES!$A$32</c:f>
              <c:strCache>
                <c:ptCount val="1"/>
                <c:pt idx="0">
                  <c:v> ostatní běžné</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Grafy_HES!$B$30:$N$30</c:f>
              <c:numCache>
                <c:formatCode>General</c:formatCode>
                <c:ptCount val="2"/>
                <c:pt idx="0">
                  <c:v>2012</c:v>
                </c:pt>
                <c:pt idx="1">
                  <c:v>2022</c:v>
                </c:pt>
              </c:numCache>
            </c:numRef>
          </c:cat>
          <c:val>
            <c:numRef>
              <c:f>Grafy_HES!$B$32:$N$32</c:f>
              <c:numCache>
                <c:formatCode>0%</c:formatCode>
                <c:ptCount val="2"/>
                <c:pt idx="0">
                  <c:v>0.29531832152805249</c:v>
                </c:pt>
                <c:pt idx="1">
                  <c:v>0.40093358667313417</c:v>
                </c:pt>
              </c:numCache>
            </c:numRef>
          </c:val>
          <c:extLst>
            <c:ext xmlns:c16="http://schemas.microsoft.com/office/drawing/2014/chart" uri="{C3380CC4-5D6E-409C-BE32-E72D297353CC}">
              <c16:uniqueId val="{00000001-D241-4B70-A7CC-60FA635A4E48}"/>
            </c:ext>
          </c:extLst>
        </c:ser>
        <c:ser>
          <c:idx val="2"/>
          <c:order val="2"/>
          <c:tx>
            <c:strRef>
              <c:f>Grafy_HES!$A$33</c:f>
              <c:strCache>
                <c:ptCount val="1"/>
                <c:pt idx="0">
                  <c:v> investiční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Grafy_HES!$B$30:$N$30</c:f>
              <c:numCache>
                <c:formatCode>General</c:formatCode>
                <c:ptCount val="2"/>
                <c:pt idx="0">
                  <c:v>2012</c:v>
                </c:pt>
                <c:pt idx="1">
                  <c:v>2022</c:v>
                </c:pt>
              </c:numCache>
            </c:numRef>
          </c:cat>
          <c:val>
            <c:numRef>
              <c:f>Grafy_HES!$B$33:$N$33</c:f>
              <c:numCache>
                <c:formatCode>0%</c:formatCode>
                <c:ptCount val="2"/>
                <c:pt idx="0">
                  <c:v>0.36616011855603253</c:v>
                </c:pt>
                <c:pt idx="1">
                  <c:v>5.2972747970656847E-2</c:v>
                </c:pt>
              </c:numCache>
            </c:numRef>
          </c:val>
          <c:extLst>
            <c:ext xmlns:c16="http://schemas.microsoft.com/office/drawing/2014/chart" uri="{C3380CC4-5D6E-409C-BE32-E72D297353CC}">
              <c16:uniqueId val="{00000002-D241-4B70-A7CC-60FA635A4E48}"/>
            </c:ext>
          </c:extLst>
        </c:ser>
        <c:dLbls>
          <c:showLegendKey val="0"/>
          <c:showVal val="0"/>
          <c:showCatName val="0"/>
          <c:showSerName val="0"/>
          <c:showPercent val="0"/>
          <c:showBubbleSize val="0"/>
        </c:dLbls>
        <c:gapWidth val="2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2603055555555553"/>
          <c:y val="7.5112110986126732E-2"/>
          <c:w val="0.34785388888888891"/>
          <c:h val="0.7752804316981774"/>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6770222222222233"/>
          <c:h val="0.85091166505958815"/>
        </c:manualLayout>
      </c:layout>
      <c:barChart>
        <c:barDir val="col"/>
        <c:grouping val="percentStacked"/>
        <c:varyColors val="0"/>
        <c:ser>
          <c:idx val="0"/>
          <c:order val="0"/>
          <c:tx>
            <c:strRef>
              <c:f>Grafy_HES!$A$38</c:f>
              <c:strCache>
                <c:ptCount val="1"/>
                <c:pt idx="0">
                  <c:v> veřejné domácí </c:v>
                </c:pt>
              </c:strCache>
            </c:strRef>
          </c:tx>
          <c:spPr>
            <a:solidFill>
              <a:srgbClr val="C00000"/>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Grafy_HES!$B$37:$N$37</c:f>
              <c:numCache>
                <c:formatCode>General</c:formatCode>
                <c:ptCount val="2"/>
                <c:pt idx="0">
                  <c:v>2012</c:v>
                </c:pt>
                <c:pt idx="1">
                  <c:v>2022</c:v>
                </c:pt>
              </c:numCache>
            </c:numRef>
          </c:cat>
          <c:val>
            <c:numRef>
              <c:f>Grafy_HES!$B$38:$N$38</c:f>
              <c:numCache>
                <c:formatCode>0%</c:formatCode>
                <c:ptCount val="2"/>
                <c:pt idx="0">
                  <c:v>0.58556800947031673</c:v>
                </c:pt>
                <c:pt idx="1">
                  <c:v>0.74847649989673259</c:v>
                </c:pt>
              </c:numCache>
            </c:numRef>
          </c:val>
          <c:extLst>
            <c:ext xmlns:c16="http://schemas.microsoft.com/office/drawing/2014/chart" uri="{C3380CC4-5D6E-409C-BE32-E72D297353CC}">
              <c16:uniqueId val="{00000000-6D97-4A52-AC4D-C95F81AFBADD}"/>
            </c:ext>
          </c:extLst>
        </c:ser>
        <c:ser>
          <c:idx val="1"/>
          <c:order val="1"/>
          <c:tx>
            <c:strRef>
              <c:f>Grafy_HES!$A$39</c:f>
              <c:strCache>
                <c:ptCount val="1"/>
                <c:pt idx="0">
                  <c:v> veřejné zahraniční </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Grafy_HES!$B$37:$N$37</c:f>
              <c:numCache>
                <c:formatCode>General</c:formatCode>
                <c:ptCount val="2"/>
                <c:pt idx="0">
                  <c:v>2012</c:v>
                </c:pt>
                <c:pt idx="1">
                  <c:v>2022</c:v>
                </c:pt>
              </c:numCache>
            </c:numRef>
          </c:cat>
          <c:val>
            <c:numRef>
              <c:f>Grafy_HES!$B$39:$N$39</c:f>
              <c:numCache>
                <c:formatCode>0%</c:formatCode>
                <c:ptCount val="2"/>
                <c:pt idx="0">
                  <c:v>0.37441968177430401</c:v>
                </c:pt>
                <c:pt idx="1">
                  <c:v>0.15056510829602332</c:v>
                </c:pt>
              </c:numCache>
            </c:numRef>
          </c:val>
          <c:extLst>
            <c:ext xmlns:c16="http://schemas.microsoft.com/office/drawing/2014/chart" uri="{C3380CC4-5D6E-409C-BE32-E72D297353CC}">
              <c16:uniqueId val="{00000001-6D97-4A52-AC4D-C95F81AFBADD}"/>
            </c:ext>
          </c:extLst>
        </c:ser>
        <c:ser>
          <c:idx val="2"/>
          <c:order val="2"/>
          <c:tx>
            <c:strRef>
              <c:f>Grafy_HES!$A$40</c:f>
              <c:strCache>
                <c:ptCount val="1"/>
                <c:pt idx="0">
                  <c:v> podnikové </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Grafy_HES!$B$37:$N$37</c:f>
              <c:numCache>
                <c:formatCode>General</c:formatCode>
                <c:ptCount val="2"/>
                <c:pt idx="0">
                  <c:v>2012</c:v>
                </c:pt>
                <c:pt idx="1">
                  <c:v>2022</c:v>
                </c:pt>
              </c:numCache>
            </c:numRef>
          </c:cat>
          <c:val>
            <c:numRef>
              <c:f>Grafy_HES!$B$40:$N$40</c:f>
              <c:numCache>
                <c:formatCode>0%</c:formatCode>
                <c:ptCount val="2"/>
                <c:pt idx="0">
                  <c:v>8.1200660028584639E-3</c:v>
                </c:pt>
                <c:pt idx="1">
                  <c:v>4.1918906600072497E-2</c:v>
                </c:pt>
              </c:numCache>
            </c:numRef>
          </c:val>
          <c:extLst>
            <c:ext xmlns:c16="http://schemas.microsoft.com/office/drawing/2014/chart" uri="{C3380CC4-5D6E-409C-BE32-E72D297353CC}">
              <c16:uniqueId val="{00000002-6D97-4A52-AC4D-C95F81AFBADD}"/>
            </c:ext>
          </c:extLst>
        </c:ser>
        <c:ser>
          <c:idx val="3"/>
          <c:order val="3"/>
          <c:tx>
            <c:strRef>
              <c:f>Grafy_HES!$A$41</c:f>
              <c:strCache>
                <c:ptCount val="1"/>
                <c:pt idx="0">
                  <c:v> ostatní</c:v>
                </c:pt>
              </c:strCache>
            </c:strRef>
          </c:tx>
          <c:invertIfNegative val="0"/>
          <c:cat>
            <c:numRef>
              <c:f>Grafy_HES!$B$37:$N$37</c:f>
              <c:numCache>
                <c:formatCode>General</c:formatCode>
                <c:ptCount val="2"/>
                <c:pt idx="0">
                  <c:v>2012</c:v>
                </c:pt>
                <c:pt idx="1">
                  <c:v>2022</c:v>
                </c:pt>
              </c:numCache>
            </c:numRef>
          </c:cat>
          <c:val>
            <c:numRef>
              <c:f>Grafy_HES!$B$41:$N$41</c:f>
              <c:numCache>
                <c:formatCode>0%</c:formatCode>
                <c:ptCount val="2"/>
                <c:pt idx="0">
                  <c:v>3.1892242752521033E-2</c:v>
                </c:pt>
                <c:pt idx="1">
                  <c:v>5.9039485207171234E-2</c:v>
                </c:pt>
              </c:numCache>
            </c:numRef>
          </c:val>
          <c:extLst>
            <c:ext xmlns:c16="http://schemas.microsoft.com/office/drawing/2014/chart" uri="{C3380CC4-5D6E-409C-BE32-E72D297353CC}">
              <c16:uniqueId val="{00000003-6D97-4A52-AC4D-C95F81AFBADD}"/>
            </c:ext>
          </c:extLst>
        </c:ser>
        <c:dLbls>
          <c:showLegendKey val="0"/>
          <c:showVal val="0"/>
          <c:showCatName val="0"/>
          <c:showSerName val="0"/>
          <c:showPercent val="0"/>
          <c:showBubbleSize val="0"/>
        </c:dLbls>
        <c:gapWidth val="2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2603055555555553"/>
          <c:y val="7.5112110986126732E-2"/>
          <c:w val="0.35256363636363636"/>
          <c:h val="0.79863608353303672"/>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38805244550409E-2"/>
          <c:y val="4.750165077502938E-2"/>
          <c:w val="0.67580631313131312"/>
          <c:h val="0.83821788538836173"/>
        </c:manualLayout>
      </c:layout>
      <c:lineChart>
        <c:grouping val="standard"/>
        <c:varyColors val="0"/>
        <c:ser>
          <c:idx val="0"/>
          <c:order val="0"/>
          <c:tx>
            <c:strRef>
              <c:f>Grafy_HES!$A$61</c:f>
              <c:strCache>
                <c:ptCount val="1"/>
                <c:pt idx="0">
                  <c:v> Přírodní</c:v>
                </c:pt>
              </c:strCache>
            </c:strRef>
          </c:tx>
          <c:spPr>
            <a:ln>
              <a:solidFill>
                <a:srgbClr val="7030A0"/>
              </a:solidFill>
            </a:ln>
          </c:spPr>
          <c:marker>
            <c:symbol val="triangle"/>
            <c:size val="5"/>
            <c:spPr>
              <a:solidFill>
                <a:schemeClr val="tx1"/>
              </a:solidFill>
              <a:ln>
                <a:noFill/>
              </a:ln>
            </c:spPr>
          </c:marker>
          <c:cat>
            <c:numRef>
              <c:f>Grafy_HES!$D$60:$N$60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Grafy_HES!$D$61:$N$61</c:f>
              <c:numCache>
                <c:formatCode>0.0</c:formatCode>
                <c:ptCount val="11"/>
                <c:pt idx="0">
                  <c:v>4.5071319999999986</c:v>
                </c:pt>
                <c:pt idx="1">
                  <c:v>5.1891810000000005</c:v>
                </c:pt>
                <c:pt idx="2">
                  <c:v>5.5162070000000005</c:v>
                </c:pt>
                <c:pt idx="3">
                  <c:v>5.4452349999999985</c:v>
                </c:pt>
                <c:pt idx="4">
                  <c:v>5.2530610000000006</c:v>
                </c:pt>
                <c:pt idx="5">
                  <c:v>5.6853810000000005</c:v>
                </c:pt>
                <c:pt idx="6">
                  <c:v>6.5599169999999987</c:v>
                </c:pt>
                <c:pt idx="7">
                  <c:v>7.7445809999999993</c:v>
                </c:pt>
                <c:pt idx="8">
                  <c:v>7.6791800000000006</c:v>
                </c:pt>
                <c:pt idx="9">
                  <c:v>8.8571489999999997</c:v>
                </c:pt>
                <c:pt idx="10">
                  <c:v>8.9247139999999998</c:v>
                </c:pt>
              </c:numCache>
            </c:numRef>
          </c:val>
          <c:smooth val="0"/>
          <c:extLst>
            <c:ext xmlns:c16="http://schemas.microsoft.com/office/drawing/2014/chart" uri="{C3380CC4-5D6E-409C-BE32-E72D297353CC}">
              <c16:uniqueId val="{00000000-EE88-4A5F-9561-B8DD5E945590}"/>
            </c:ext>
          </c:extLst>
        </c:ser>
        <c:ser>
          <c:idx val="1"/>
          <c:order val="1"/>
          <c:tx>
            <c:strRef>
              <c:f>Grafy_HES!$A$62</c:f>
              <c:strCache>
                <c:ptCount val="1"/>
                <c:pt idx="0">
                  <c:v> Technické </c:v>
                </c:pt>
              </c:strCache>
            </c:strRef>
          </c:tx>
          <c:spPr>
            <a:ln>
              <a:solidFill>
                <a:srgbClr val="002060"/>
              </a:solidFill>
            </a:ln>
          </c:spPr>
          <c:marker>
            <c:symbol val="star"/>
            <c:size val="5"/>
            <c:spPr>
              <a:solidFill>
                <a:schemeClr val="tx1"/>
              </a:solidFill>
              <a:ln>
                <a:noFill/>
              </a:ln>
            </c:spPr>
          </c:marker>
          <c:cat>
            <c:numRef>
              <c:f>Grafy_HES!$D$60:$N$60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Grafy_HES!$D$62:$N$62</c:f>
              <c:numCache>
                <c:formatCode>0.0</c:formatCode>
                <c:ptCount val="11"/>
                <c:pt idx="0">
                  <c:v>3.6882040000000003</c:v>
                </c:pt>
                <c:pt idx="1">
                  <c:v>4.6867480000000006</c:v>
                </c:pt>
                <c:pt idx="2">
                  <c:v>4.9179769999999987</c:v>
                </c:pt>
                <c:pt idx="3">
                  <c:v>4.9445959999999998</c:v>
                </c:pt>
                <c:pt idx="4">
                  <c:v>5.2883110000000002</c:v>
                </c:pt>
                <c:pt idx="5">
                  <c:v>5.6654170000000006</c:v>
                </c:pt>
                <c:pt idx="6">
                  <c:v>6.7358459999999996</c:v>
                </c:pt>
                <c:pt idx="7">
                  <c:v>7.1619660000000014</c:v>
                </c:pt>
                <c:pt idx="8">
                  <c:v>6.9701529999999963</c:v>
                </c:pt>
                <c:pt idx="9">
                  <c:v>7.115551</c:v>
                </c:pt>
                <c:pt idx="10">
                  <c:v>6.8693660000000003</c:v>
                </c:pt>
              </c:numCache>
            </c:numRef>
          </c:val>
          <c:smooth val="0"/>
          <c:extLst>
            <c:ext xmlns:c16="http://schemas.microsoft.com/office/drawing/2014/chart" uri="{C3380CC4-5D6E-409C-BE32-E72D297353CC}">
              <c16:uniqueId val="{00000001-EE88-4A5F-9561-B8DD5E945590}"/>
            </c:ext>
          </c:extLst>
        </c:ser>
        <c:ser>
          <c:idx val="2"/>
          <c:order val="2"/>
          <c:tx>
            <c:strRef>
              <c:f>Grafy_HES!$A$63</c:f>
              <c:strCache>
                <c:ptCount val="1"/>
                <c:pt idx="0">
                  <c:v> Sociální a
 Humanitní</c:v>
                </c:pt>
              </c:strCache>
            </c:strRef>
          </c:tx>
          <c:spPr>
            <a:ln>
              <a:solidFill>
                <a:srgbClr val="FF0000"/>
              </a:solidFill>
            </a:ln>
          </c:spPr>
          <c:marker>
            <c:symbol val="diamond"/>
            <c:size val="5"/>
            <c:spPr>
              <a:solidFill>
                <a:schemeClr val="tx1"/>
              </a:solidFill>
              <a:ln>
                <a:noFill/>
              </a:ln>
            </c:spPr>
          </c:marker>
          <c:cat>
            <c:numRef>
              <c:f>Grafy_HES!$D$60:$N$60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Grafy_HES!$D$63:$N$63</c:f>
              <c:numCache>
                <c:formatCode>0.0</c:formatCode>
                <c:ptCount val="11"/>
                <c:pt idx="0">
                  <c:v>1.9676800000000001</c:v>
                </c:pt>
                <c:pt idx="1">
                  <c:v>2.1871669999999996</c:v>
                </c:pt>
                <c:pt idx="2">
                  <c:v>2.4910280000000005</c:v>
                </c:pt>
                <c:pt idx="3">
                  <c:v>2.5049200000000003</c:v>
                </c:pt>
                <c:pt idx="4">
                  <c:v>2.3573140000000006</c:v>
                </c:pt>
                <c:pt idx="5">
                  <c:v>2.584015</c:v>
                </c:pt>
                <c:pt idx="6">
                  <c:v>3.0610738409508693</c:v>
                </c:pt>
                <c:pt idx="7">
                  <c:v>3.3538939999999999</c:v>
                </c:pt>
                <c:pt idx="8">
                  <c:v>3.3737649999999997</c:v>
                </c:pt>
                <c:pt idx="9">
                  <c:v>3.5457610735664602</c:v>
                </c:pt>
                <c:pt idx="10">
                  <c:v>3.7220285920598402</c:v>
                </c:pt>
              </c:numCache>
            </c:numRef>
          </c:val>
          <c:smooth val="0"/>
          <c:extLst>
            <c:ext xmlns:c16="http://schemas.microsoft.com/office/drawing/2014/chart" uri="{C3380CC4-5D6E-409C-BE32-E72D297353CC}">
              <c16:uniqueId val="{00000002-EE88-4A5F-9561-B8DD5E945590}"/>
            </c:ext>
          </c:extLst>
        </c:ser>
        <c:ser>
          <c:idx val="3"/>
          <c:order val="3"/>
          <c:tx>
            <c:strRef>
              <c:f>Grafy_HES!$A$64</c:f>
              <c:strCache>
                <c:ptCount val="1"/>
                <c:pt idx="0">
                  <c:v> Lékařské </c:v>
                </c:pt>
              </c:strCache>
            </c:strRef>
          </c:tx>
          <c:spPr>
            <a:ln>
              <a:solidFill>
                <a:srgbClr val="FFC000"/>
              </a:solidFill>
            </a:ln>
          </c:spPr>
          <c:marker>
            <c:symbol val="circle"/>
            <c:size val="5"/>
            <c:spPr>
              <a:solidFill>
                <a:schemeClr val="tx1"/>
              </a:solidFill>
              <a:ln>
                <a:noFill/>
              </a:ln>
            </c:spPr>
          </c:marker>
          <c:cat>
            <c:numRef>
              <c:f>Grafy_HES!$D$60:$N$60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Grafy_HES!$D$64:$N$64</c:f>
              <c:numCache>
                <c:formatCode>0.0</c:formatCode>
                <c:ptCount val="11"/>
                <c:pt idx="0">
                  <c:v>1.8662439999999996</c:v>
                </c:pt>
                <c:pt idx="1">
                  <c:v>2.3537509999999999</c:v>
                </c:pt>
                <c:pt idx="2">
                  <c:v>2.6018460000000005</c:v>
                </c:pt>
                <c:pt idx="3">
                  <c:v>2.357351</c:v>
                </c:pt>
                <c:pt idx="4">
                  <c:v>2.1857219999999997</c:v>
                </c:pt>
                <c:pt idx="5">
                  <c:v>2.5343230000000001</c:v>
                </c:pt>
                <c:pt idx="6">
                  <c:v>2.7095090000000002</c:v>
                </c:pt>
                <c:pt idx="7">
                  <c:v>2.8510250000000004</c:v>
                </c:pt>
                <c:pt idx="8">
                  <c:v>3.1784119999999993</c:v>
                </c:pt>
                <c:pt idx="9">
                  <c:v>3.544235</c:v>
                </c:pt>
                <c:pt idx="10">
                  <c:v>3.5487880000000001</c:v>
                </c:pt>
              </c:numCache>
            </c:numRef>
          </c:val>
          <c:smooth val="0"/>
          <c:extLst>
            <c:ext xmlns:c16="http://schemas.microsoft.com/office/drawing/2014/chart" uri="{C3380CC4-5D6E-409C-BE32-E72D297353CC}">
              <c16:uniqueId val="{00000003-EE88-4A5F-9561-B8DD5E945590}"/>
            </c:ext>
          </c:extLst>
        </c:ser>
        <c:ser>
          <c:idx val="4"/>
          <c:order val="4"/>
          <c:tx>
            <c:strRef>
              <c:f>Grafy_HES!$A$65</c:f>
              <c:strCache>
                <c:ptCount val="1"/>
                <c:pt idx="0">
                  <c:v> Zemědělské</c:v>
                </c:pt>
              </c:strCache>
            </c:strRef>
          </c:tx>
          <c:spPr>
            <a:ln>
              <a:solidFill>
                <a:srgbClr val="00B050"/>
              </a:solidFill>
            </a:ln>
          </c:spPr>
          <c:marker>
            <c:symbol val="dash"/>
            <c:size val="5"/>
            <c:spPr>
              <a:solidFill>
                <a:schemeClr val="tx1"/>
              </a:solidFill>
              <a:ln>
                <a:noFill/>
              </a:ln>
            </c:spPr>
          </c:marker>
          <c:cat>
            <c:numRef>
              <c:f>Grafy_HES!$D$60:$N$60</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Grafy_HES!$D$65:$N$65</c:f>
              <c:numCache>
                <c:formatCode>0.0</c:formatCode>
                <c:ptCount val="11"/>
                <c:pt idx="0">
                  <c:v>0.57054700000000003</c:v>
                </c:pt>
                <c:pt idx="1">
                  <c:v>0.56449700000000003</c:v>
                </c:pt>
                <c:pt idx="2">
                  <c:v>0.65127199999999996</c:v>
                </c:pt>
                <c:pt idx="3">
                  <c:v>0.59693300000000005</c:v>
                </c:pt>
                <c:pt idx="4">
                  <c:v>0.64810999999999985</c:v>
                </c:pt>
                <c:pt idx="5">
                  <c:v>0.68585200000000013</c:v>
                </c:pt>
                <c:pt idx="6">
                  <c:v>0.83946699999999996</c:v>
                </c:pt>
                <c:pt idx="7">
                  <c:v>0.94267999999999996</c:v>
                </c:pt>
                <c:pt idx="8">
                  <c:v>1.368212</c:v>
                </c:pt>
                <c:pt idx="9">
                  <c:v>1.685279</c:v>
                </c:pt>
                <c:pt idx="10">
                  <c:v>1.4654659999999999</c:v>
                </c:pt>
              </c:numCache>
            </c:numRef>
          </c:val>
          <c:smooth val="0"/>
          <c:extLst>
            <c:ext xmlns:c16="http://schemas.microsoft.com/office/drawing/2014/chart" uri="{C3380CC4-5D6E-409C-BE32-E72D297353CC}">
              <c16:uniqueId val="{00000004-EE88-4A5F-9561-B8DD5E945590}"/>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a:pPr>
            <a:endParaRPr lang="cs-CZ"/>
          </a:p>
        </c:txPr>
        <c:crossAx val="154340736"/>
        <c:crosses val="autoZero"/>
        <c:auto val="0"/>
        <c:lblAlgn val="ctr"/>
        <c:lblOffset val="100"/>
        <c:tickLblSkip val="2"/>
        <c:noMultiLvlLbl val="0"/>
      </c:catAx>
      <c:valAx>
        <c:axId val="154340736"/>
        <c:scaling>
          <c:orientation val="minMax"/>
          <c:max val="9"/>
          <c:min val="0"/>
        </c:scaling>
        <c:delete val="0"/>
        <c:axPos val="l"/>
        <c:majorGridlines>
          <c:spPr>
            <a:ln>
              <a:solidFill>
                <a:schemeClr val="bg1">
                  <a:lumMod val="85000"/>
                </a:schemeClr>
              </a:solidFill>
              <a:prstDash val="solid"/>
            </a:ln>
          </c:spPr>
        </c:majorGridlines>
        <c:title>
          <c:tx>
            <c:rich>
              <a:bodyPr rot="0" vert="horz"/>
              <a:lstStyle/>
              <a:p>
                <a:pPr>
                  <a:defRPr b="1"/>
                </a:pPr>
                <a:r>
                  <a:rPr lang="cs-CZ" b="1"/>
                  <a:t>Mld. Kč</a:t>
                </a:r>
              </a:p>
            </c:rich>
          </c:tx>
          <c:layout>
            <c:manualLayout>
              <c:xMode val="edge"/>
              <c:yMode val="edge"/>
              <c:x val="8.017676767676768E-2"/>
              <c:y val="5.8928518518518519E-2"/>
            </c:manualLayout>
          </c:layout>
          <c:overlay val="0"/>
        </c:title>
        <c:numFmt formatCode="0.0" sourceLinked="0"/>
        <c:majorTickMark val="none"/>
        <c:minorTickMark val="none"/>
        <c:tickLblPos val="nextTo"/>
        <c:spPr>
          <a:ln>
            <a:noFill/>
          </a:ln>
        </c:spPr>
        <c:crossAx val="154339200"/>
        <c:crosses val="autoZero"/>
        <c:crossBetween val="between"/>
        <c:majorUnit val="1"/>
      </c:valAx>
      <c:spPr>
        <a:ln>
          <a:noFill/>
        </a:ln>
      </c:spPr>
    </c:plotArea>
    <c:legend>
      <c:legendPos val="r"/>
      <c:layout>
        <c:manualLayout>
          <c:xMode val="edge"/>
          <c:yMode val="edge"/>
          <c:x val="0.7499580808080808"/>
          <c:y val="0.12597185185185186"/>
          <c:w val="0.23400656565656566"/>
          <c:h val="0.6702555555555556"/>
        </c:manualLayout>
      </c:layout>
      <c:overlay val="0"/>
      <c:spPr>
        <a:solidFill>
          <a:schemeClr val="bg1"/>
        </a:solidFill>
        <a:ln w="6350">
          <a:solidFill>
            <a:schemeClr val="bg1">
              <a:lumMod val="75000"/>
            </a:schemeClr>
          </a:solidFill>
        </a:ln>
      </c:spPr>
    </c:legend>
    <c:plotVisOnly val="1"/>
    <c:dispBlanksAs val="gap"/>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788888888888889E-2"/>
          <c:y val="4.3317732136629775E-2"/>
          <c:w val="0.53563131313131318"/>
          <c:h val="0.85091166505958815"/>
        </c:manualLayout>
      </c:layout>
      <c:barChart>
        <c:barDir val="col"/>
        <c:grouping val="percentStacked"/>
        <c:varyColors val="0"/>
        <c:ser>
          <c:idx val="0"/>
          <c:order val="0"/>
          <c:tx>
            <c:strRef>
              <c:f>Grafy_HES!$A$71</c:f>
              <c:strCache>
                <c:ptCount val="1"/>
                <c:pt idx="0">
                  <c:v> Přírodní</c:v>
                </c:pt>
              </c:strCache>
            </c:strRef>
          </c:tx>
          <c:spPr>
            <a:solidFill>
              <a:srgbClr val="7030A0"/>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Grafy_HES!$B$70:$N$70</c:f>
              <c:numCache>
                <c:formatCode>General</c:formatCode>
                <c:ptCount val="2"/>
                <c:pt idx="0">
                  <c:v>2012</c:v>
                </c:pt>
                <c:pt idx="1">
                  <c:v>2022</c:v>
                </c:pt>
              </c:numCache>
            </c:numRef>
          </c:cat>
          <c:val>
            <c:numRef>
              <c:f>Grafy_HES!$B$71:$N$71</c:f>
              <c:numCache>
                <c:formatCode>0%</c:formatCode>
                <c:ptCount val="2"/>
                <c:pt idx="0">
                  <c:v>0.35771436816452817</c:v>
                </c:pt>
                <c:pt idx="1">
                  <c:v>0.36382315860625841</c:v>
                </c:pt>
              </c:numCache>
            </c:numRef>
          </c:val>
          <c:extLst>
            <c:ext xmlns:c16="http://schemas.microsoft.com/office/drawing/2014/chart" uri="{C3380CC4-5D6E-409C-BE32-E72D297353CC}">
              <c16:uniqueId val="{00000000-F13F-482C-B0CA-6B90AB2E5821}"/>
            </c:ext>
          </c:extLst>
        </c:ser>
        <c:ser>
          <c:idx val="1"/>
          <c:order val="1"/>
          <c:tx>
            <c:strRef>
              <c:f>Grafy_HES!$A$72</c:f>
              <c:strCache>
                <c:ptCount val="1"/>
                <c:pt idx="0">
                  <c:v> Technické </c:v>
                </c:pt>
              </c:strCache>
            </c:strRef>
          </c:tx>
          <c:spPr>
            <a:solidFill>
              <a:srgbClr val="0070C0"/>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Grafy_HES!$B$70:$N$70</c:f>
              <c:numCache>
                <c:formatCode>General</c:formatCode>
                <c:ptCount val="2"/>
                <c:pt idx="0">
                  <c:v>2012</c:v>
                </c:pt>
                <c:pt idx="1">
                  <c:v>2022</c:v>
                </c:pt>
              </c:numCache>
            </c:numRef>
          </c:cat>
          <c:val>
            <c:numRef>
              <c:f>Grafy_HES!$B$72:$N$72</c:f>
              <c:numCache>
                <c:formatCode>0%</c:formatCode>
                <c:ptCount val="2"/>
                <c:pt idx="0">
                  <c:v>0.29271908688760079</c:v>
                </c:pt>
                <c:pt idx="1">
                  <c:v>0.28003524098838783</c:v>
                </c:pt>
              </c:numCache>
            </c:numRef>
          </c:val>
          <c:extLst>
            <c:ext xmlns:c16="http://schemas.microsoft.com/office/drawing/2014/chart" uri="{C3380CC4-5D6E-409C-BE32-E72D297353CC}">
              <c16:uniqueId val="{00000001-F13F-482C-B0CA-6B90AB2E5821}"/>
            </c:ext>
          </c:extLst>
        </c:ser>
        <c:ser>
          <c:idx val="2"/>
          <c:order val="2"/>
          <c:tx>
            <c:strRef>
              <c:f>Grafy_HES!$A$73</c:f>
              <c:strCache>
                <c:ptCount val="1"/>
                <c:pt idx="0">
                  <c:v> Sociální a
 Humanitní</c:v>
                </c:pt>
              </c:strCache>
            </c:strRef>
          </c:tx>
          <c:spPr>
            <a:solidFill>
              <a:srgbClr val="FF0000"/>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Grafy_HES!$B$70:$N$70</c:f>
              <c:numCache>
                <c:formatCode>General</c:formatCode>
                <c:ptCount val="2"/>
                <c:pt idx="0">
                  <c:v>2012</c:v>
                </c:pt>
                <c:pt idx="1">
                  <c:v>2022</c:v>
                </c:pt>
              </c:numCache>
            </c:numRef>
          </c:cat>
          <c:val>
            <c:numRef>
              <c:f>Grafy_HES!$B$73:$N$73</c:f>
              <c:numCache>
                <c:formatCode>0%</c:formatCode>
                <c:ptCount val="2"/>
                <c:pt idx="0">
                  <c:v>0.15616747145412627</c:v>
                </c:pt>
                <c:pt idx="1">
                  <c:v>0.15173149512533576</c:v>
                </c:pt>
              </c:numCache>
            </c:numRef>
          </c:val>
          <c:extLst>
            <c:ext xmlns:c16="http://schemas.microsoft.com/office/drawing/2014/chart" uri="{C3380CC4-5D6E-409C-BE32-E72D297353CC}">
              <c16:uniqueId val="{00000002-F13F-482C-B0CA-6B90AB2E5821}"/>
            </c:ext>
          </c:extLst>
        </c:ser>
        <c:ser>
          <c:idx val="3"/>
          <c:order val="3"/>
          <c:tx>
            <c:strRef>
              <c:f>Grafy_HES!$A$74</c:f>
              <c:strCache>
                <c:ptCount val="1"/>
                <c:pt idx="0">
                  <c:v> Lékařské </c:v>
                </c:pt>
              </c:strCache>
            </c:strRef>
          </c:tx>
          <c:spPr>
            <a:solidFill>
              <a:srgbClr val="FFC000"/>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Grafy_HES!$B$70:$N$70</c:f>
              <c:numCache>
                <c:formatCode>General</c:formatCode>
                <c:ptCount val="2"/>
                <c:pt idx="0">
                  <c:v>2012</c:v>
                </c:pt>
                <c:pt idx="1">
                  <c:v>2022</c:v>
                </c:pt>
              </c:numCache>
            </c:numRef>
          </c:cat>
          <c:val>
            <c:numRef>
              <c:f>Grafy_HES!$B$74:$N$74</c:f>
              <c:numCache>
                <c:formatCode>0%</c:formatCode>
                <c:ptCount val="2"/>
                <c:pt idx="0">
                  <c:v>0.14811687194891157</c:v>
                </c:pt>
                <c:pt idx="1">
                  <c:v>0.14466920277602022</c:v>
                </c:pt>
              </c:numCache>
            </c:numRef>
          </c:val>
          <c:extLst>
            <c:ext xmlns:c16="http://schemas.microsoft.com/office/drawing/2014/chart" uri="{C3380CC4-5D6E-409C-BE32-E72D297353CC}">
              <c16:uniqueId val="{00000003-F13F-482C-B0CA-6B90AB2E5821}"/>
            </c:ext>
          </c:extLst>
        </c:ser>
        <c:ser>
          <c:idx val="4"/>
          <c:order val="4"/>
          <c:tx>
            <c:strRef>
              <c:f>Grafy_HES!$A$75</c:f>
              <c:strCache>
                <c:ptCount val="1"/>
                <c:pt idx="0">
                  <c:v> Zemědělské</c:v>
                </c:pt>
              </c:strCache>
            </c:strRef>
          </c:tx>
          <c:spPr>
            <a:solidFill>
              <a:srgbClr val="00B050"/>
            </a:solidFill>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3F-482C-B0CA-6B90AB2E5821}"/>
                </c:ext>
              </c:extLst>
            </c:dLbl>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Grafy_HES!$B$70:$N$70</c:f>
              <c:numCache>
                <c:formatCode>General</c:formatCode>
                <c:ptCount val="2"/>
                <c:pt idx="0">
                  <c:v>2012</c:v>
                </c:pt>
                <c:pt idx="1">
                  <c:v>2022</c:v>
                </c:pt>
              </c:numCache>
            </c:numRef>
          </c:cat>
          <c:val>
            <c:numRef>
              <c:f>Grafy_HES!$B$75:$N$75</c:f>
              <c:numCache>
                <c:formatCode>0%</c:formatCode>
                <c:ptCount val="2"/>
                <c:pt idx="0">
                  <c:v>4.5282201544833194E-2</c:v>
                </c:pt>
                <c:pt idx="1">
                  <c:v>5.9740902503999459E-2</c:v>
                </c:pt>
              </c:numCache>
            </c:numRef>
          </c:val>
          <c:extLst>
            <c:ext xmlns:c16="http://schemas.microsoft.com/office/drawing/2014/chart" uri="{C3380CC4-5D6E-409C-BE32-E72D297353CC}">
              <c16:uniqueId val="{00000005-F13F-482C-B0CA-6B90AB2E5821}"/>
            </c:ext>
          </c:extLst>
        </c:ser>
        <c:dLbls>
          <c:showLegendKey val="0"/>
          <c:showVal val="0"/>
          <c:showCatName val="0"/>
          <c:showSerName val="0"/>
          <c:showPercent val="0"/>
          <c:showBubbleSize val="0"/>
        </c:dLbls>
        <c:gapWidth val="2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9460151515151516"/>
          <c:y val="7.5112110986126732E-2"/>
          <c:w val="0.35384646464646463"/>
          <c:h val="0.76521666666666666"/>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Grafy_HES!$A$158</c:f>
              <c:strCache>
                <c:ptCount val="1"/>
                <c:pt idx="0">
                  <c:v> Veřejné a státní VŠ</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Grafy_HES!$B$157:$N$157</c:f>
              <c:numCache>
                <c:formatCode>General</c:formatCode>
                <c:ptCount val="2"/>
                <c:pt idx="0">
                  <c:v>2012</c:v>
                </c:pt>
                <c:pt idx="1">
                  <c:v>2022</c:v>
                </c:pt>
              </c:numCache>
            </c:numRef>
          </c:cat>
          <c:val>
            <c:numRef>
              <c:f>Grafy_HES!$B$158:$N$158</c:f>
              <c:numCache>
                <c:formatCode>0%</c:formatCode>
                <c:ptCount val="2"/>
                <c:pt idx="0">
                  <c:v>0.95285104482206262</c:v>
                </c:pt>
                <c:pt idx="1">
                  <c:v>0.93399630807935496</c:v>
                </c:pt>
              </c:numCache>
            </c:numRef>
          </c:val>
          <c:extLst>
            <c:ext xmlns:c16="http://schemas.microsoft.com/office/drawing/2014/chart" uri="{C3380CC4-5D6E-409C-BE32-E72D297353CC}">
              <c16:uniqueId val="{00000000-DCD4-41C5-9B31-28D080DEF10E}"/>
            </c:ext>
          </c:extLst>
        </c:ser>
        <c:ser>
          <c:idx val="1"/>
          <c:order val="1"/>
          <c:tx>
            <c:strRef>
              <c:f>Grafy_HES!$A$159</c:f>
              <c:strCache>
                <c:ptCount val="1"/>
                <c:pt idx="0">
                  <c:v> Fakultní
 nemocnice</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Grafy_HES!$B$157:$N$157</c:f>
              <c:numCache>
                <c:formatCode>General</c:formatCode>
                <c:ptCount val="2"/>
                <c:pt idx="0">
                  <c:v>2012</c:v>
                </c:pt>
                <c:pt idx="1">
                  <c:v>2022</c:v>
                </c:pt>
              </c:numCache>
            </c:numRef>
          </c:cat>
          <c:val>
            <c:numRef>
              <c:f>Grafy_HES!$B$159:$N$159</c:f>
              <c:numCache>
                <c:formatCode>0%</c:formatCode>
                <c:ptCount val="2"/>
                <c:pt idx="0">
                  <c:v>3.0770541731193146E-2</c:v>
                </c:pt>
                <c:pt idx="1">
                  <c:v>5.1120486339008495E-2</c:v>
                </c:pt>
              </c:numCache>
            </c:numRef>
          </c:val>
          <c:extLst>
            <c:ext xmlns:c16="http://schemas.microsoft.com/office/drawing/2014/chart" uri="{C3380CC4-5D6E-409C-BE32-E72D297353CC}">
              <c16:uniqueId val="{00000001-DCD4-41C5-9B31-28D080DEF10E}"/>
            </c:ext>
          </c:extLst>
        </c:ser>
        <c:ser>
          <c:idx val="2"/>
          <c:order val="2"/>
          <c:tx>
            <c:strRef>
              <c:f>Grafy_HES!$A$160</c:f>
              <c:strCache>
                <c:ptCount val="1"/>
                <c:pt idx="0">
                  <c:v> Soukromé VŠ</c:v>
                </c:pt>
              </c:strCache>
            </c:strRef>
          </c:tx>
          <c:spPr>
            <a:solidFill>
              <a:srgbClr val="0070C0"/>
            </a:solidFill>
          </c:spPr>
          <c:invertIfNegative val="0"/>
          <c:cat>
            <c:numRef>
              <c:f>Grafy_HES!$B$157:$N$157</c:f>
              <c:numCache>
                <c:formatCode>General</c:formatCode>
                <c:ptCount val="2"/>
                <c:pt idx="0">
                  <c:v>2012</c:v>
                </c:pt>
                <c:pt idx="1">
                  <c:v>2022</c:v>
                </c:pt>
              </c:numCache>
            </c:numRef>
          </c:cat>
          <c:val>
            <c:numRef>
              <c:f>Grafy_HES!$B$160:$N$160</c:f>
              <c:numCache>
                <c:formatCode>0%</c:formatCode>
                <c:ptCount val="2"/>
                <c:pt idx="0">
                  <c:v>1.6378413446743637E-2</c:v>
                </c:pt>
                <c:pt idx="1">
                  <c:v>1.4883205581636513E-2</c:v>
                </c:pt>
              </c:numCache>
            </c:numRef>
          </c:val>
          <c:extLst>
            <c:ext xmlns:c16="http://schemas.microsoft.com/office/drawing/2014/chart" uri="{C3380CC4-5D6E-409C-BE32-E72D297353CC}">
              <c16:uniqueId val="{00000002-DCD4-41C5-9B31-28D080DEF10E}"/>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9981595464844728"/>
          <c:y val="5.4953571428571428E-2"/>
          <c:w val="0.35745218727482658"/>
          <c:h val="0.83073253968253957"/>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50997474747474747"/>
          <c:h val="0.85091166505958815"/>
        </c:manualLayout>
      </c:layout>
      <c:barChart>
        <c:barDir val="col"/>
        <c:grouping val="percentStacked"/>
        <c:varyColors val="0"/>
        <c:ser>
          <c:idx val="0"/>
          <c:order val="0"/>
          <c:tx>
            <c:strRef>
              <c:f>Grafy_HES!$A$165</c:f>
              <c:strCache>
                <c:ptCount val="1"/>
                <c:pt idx="0">
                  <c:v> Praha </c:v>
                </c:pt>
              </c:strCache>
            </c:strRef>
          </c:tx>
          <c:spPr>
            <a:solidFill>
              <a:srgbClr val="C0000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Grafy_HES!$B$164:$N$164</c:f>
              <c:numCache>
                <c:formatCode>General</c:formatCode>
                <c:ptCount val="2"/>
                <c:pt idx="0">
                  <c:v>2012</c:v>
                </c:pt>
                <c:pt idx="1">
                  <c:v>2022</c:v>
                </c:pt>
              </c:numCache>
            </c:numRef>
          </c:cat>
          <c:val>
            <c:numRef>
              <c:f>Grafy_HES!$B$165:$N$165</c:f>
              <c:numCache>
                <c:formatCode>0%</c:formatCode>
                <c:ptCount val="2"/>
                <c:pt idx="0">
                  <c:v>0.34078521245760907</c:v>
                </c:pt>
                <c:pt idx="1">
                  <c:v>0.36830087765421438</c:v>
                </c:pt>
              </c:numCache>
            </c:numRef>
          </c:val>
          <c:extLst>
            <c:ext xmlns:c16="http://schemas.microsoft.com/office/drawing/2014/chart" uri="{C3380CC4-5D6E-409C-BE32-E72D297353CC}">
              <c16:uniqueId val="{00000000-AE69-4267-9D12-CA40CE8F4CED}"/>
            </c:ext>
          </c:extLst>
        </c:ser>
        <c:ser>
          <c:idx val="1"/>
          <c:order val="1"/>
          <c:tx>
            <c:strRef>
              <c:f>Grafy_HES!$A$166</c:f>
              <c:strCache>
                <c:ptCount val="1"/>
                <c:pt idx="0">
                  <c:v> Jihomoravský</c:v>
                </c:pt>
              </c:strCache>
            </c:strRef>
          </c:tx>
          <c:spPr>
            <a:solidFill>
              <a:srgbClr val="0070C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Grafy_HES!$B$164:$N$164</c:f>
              <c:numCache>
                <c:formatCode>General</c:formatCode>
                <c:ptCount val="2"/>
                <c:pt idx="0">
                  <c:v>2012</c:v>
                </c:pt>
                <c:pt idx="1">
                  <c:v>2022</c:v>
                </c:pt>
              </c:numCache>
            </c:numRef>
          </c:cat>
          <c:val>
            <c:numRef>
              <c:f>Grafy_HES!$B$166:$N$166</c:f>
              <c:numCache>
                <c:formatCode>0%</c:formatCode>
                <c:ptCount val="2"/>
                <c:pt idx="0">
                  <c:v>0.24715571257394772</c:v>
                </c:pt>
                <c:pt idx="1">
                  <c:v>0.27138038844839635</c:v>
                </c:pt>
              </c:numCache>
            </c:numRef>
          </c:val>
          <c:extLst>
            <c:ext xmlns:c16="http://schemas.microsoft.com/office/drawing/2014/chart" uri="{C3380CC4-5D6E-409C-BE32-E72D297353CC}">
              <c16:uniqueId val="{00000001-AE69-4267-9D12-CA40CE8F4CED}"/>
            </c:ext>
          </c:extLst>
        </c:ser>
        <c:ser>
          <c:idx val="2"/>
          <c:order val="2"/>
          <c:tx>
            <c:strRef>
              <c:f>Grafy_HES!$A$167</c:f>
              <c:strCache>
                <c:ptCount val="1"/>
                <c:pt idx="0">
                  <c:v> Moravskoslezský</c:v>
                </c:pt>
              </c:strCache>
            </c:strRef>
          </c:tx>
          <c:spPr>
            <a:solidFill>
              <a:srgbClr val="FFC00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Grafy_HES!$B$164:$N$164</c:f>
              <c:numCache>
                <c:formatCode>General</c:formatCode>
                <c:ptCount val="2"/>
                <c:pt idx="0">
                  <c:v>2012</c:v>
                </c:pt>
                <c:pt idx="1">
                  <c:v>2022</c:v>
                </c:pt>
              </c:numCache>
            </c:numRef>
          </c:cat>
          <c:val>
            <c:numRef>
              <c:f>Grafy_HES!$B$167:$N$167</c:f>
              <c:numCache>
                <c:formatCode>0%</c:formatCode>
                <c:ptCount val="2"/>
                <c:pt idx="0">
                  <c:v>0.13613668357039513</c:v>
                </c:pt>
                <c:pt idx="1">
                  <c:v>7.5985631475441767E-2</c:v>
                </c:pt>
              </c:numCache>
            </c:numRef>
          </c:val>
          <c:extLst>
            <c:ext xmlns:c16="http://schemas.microsoft.com/office/drawing/2014/chart" uri="{C3380CC4-5D6E-409C-BE32-E72D297353CC}">
              <c16:uniqueId val="{00000002-AE69-4267-9D12-CA40CE8F4CED}"/>
            </c:ext>
          </c:extLst>
        </c:ser>
        <c:ser>
          <c:idx val="3"/>
          <c:order val="3"/>
          <c:tx>
            <c:strRef>
              <c:f>Grafy_HES!$A$168</c:f>
              <c:strCache>
                <c:ptCount val="1"/>
                <c:pt idx="0">
                  <c:v> Olomoucký</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Grafy_HES!$B$164:$N$164</c:f>
              <c:numCache>
                <c:formatCode>General</c:formatCode>
                <c:ptCount val="2"/>
                <c:pt idx="0">
                  <c:v>2012</c:v>
                </c:pt>
                <c:pt idx="1">
                  <c:v>2022</c:v>
                </c:pt>
              </c:numCache>
            </c:numRef>
          </c:cat>
          <c:val>
            <c:numRef>
              <c:f>Grafy_HES!$B$168:$N$168</c:f>
              <c:numCache>
                <c:formatCode>0%</c:formatCode>
                <c:ptCount val="2"/>
                <c:pt idx="0">
                  <c:v>7.5841582430089136E-2</c:v>
                </c:pt>
                <c:pt idx="1">
                  <c:v>8.2369974442753263E-2</c:v>
                </c:pt>
              </c:numCache>
            </c:numRef>
          </c:val>
          <c:extLst>
            <c:ext xmlns:c16="http://schemas.microsoft.com/office/drawing/2014/chart" uri="{C3380CC4-5D6E-409C-BE32-E72D297353CC}">
              <c16:uniqueId val="{00000003-AE69-4267-9D12-CA40CE8F4CED}"/>
            </c:ext>
          </c:extLst>
        </c:ser>
        <c:ser>
          <c:idx val="4"/>
          <c:order val="4"/>
          <c:tx>
            <c:strRef>
              <c:f>Grafy_HES!$A$169</c:f>
              <c:strCache>
                <c:ptCount val="1"/>
                <c:pt idx="0">
                  <c:v> Plzeňský </c:v>
                </c:pt>
              </c:strCache>
            </c:strRef>
          </c:tx>
          <c:spPr>
            <a:solidFill>
              <a:srgbClr val="7030A0"/>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Grafy_HES!$B$164:$N$164</c:f>
              <c:numCache>
                <c:formatCode>General</c:formatCode>
                <c:ptCount val="2"/>
                <c:pt idx="0">
                  <c:v>2012</c:v>
                </c:pt>
                <c:pt idx="1">
                  <c:v>2022</c:v>
                </c:pt>
              </c:numCache>
            </c:numRef>
          </c:cat>
          <c:val>
            <c:numRef>
              <c:f>Grafy_HES!$B$169:$N$169</c:f>
              <c:numCache>
                <c:formatCode>0%</c:formatCode>
                <c:ptCount val="2"/>
                <c:pt idx="0">
                  <c:v>4.7635901284723302E-2</c:v>
                </c:pt>
                <c:pt idx="1">
                  <c:v>5.3859645366789097E-2</c:v>
                </c:pt>
              </c:numCache>
            </c:numRef>
          </c:val>
          <c:extLst>
            <c:ext xmlns:c16="http://schemas.microsoft.com/office/drawing/2014/chart" uri="{C3380CC4-5D6E-409C-BE32-E72D297353CC}">
              <c16:uniqueId val="{00000004-AE69-4267-9D12-CA40CE8F4CED}"/>
            </c:ext>
          </c:extLst>
        </c:ser>
        <c:ser>
          <c:idx val="5"/>
          <c:order val="5"/>
          <c:tx>
            <c:strRef>
              <c:f>Grafy_HES!$A$170</c:f>
              <c:strCache>
                <c:ptCount val="1"/>
                <c:pt idx="0">
                  <c:v> ostatní kraje</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Grafy_HES!$B$164:$N$164</c:f>
              <c:numCache>
                <c:formatCode>General</c:formatCode>
                <c:ptCount val="2"/>
                <c:pt idx="0">
                  <c:v>2012</c:v>
                </c:pt>
                <c:pt idx="1">
                  <c:v>2022</c:v>
                </c:pt>
              </c:numCache>
            </c:numRef>
          </c:cat>
          <c:val>
            <c:numRef>
              <c:f>Grafy_HES!$B$170:$N$170</c:f>
              <c:numCache>
                <c:formatCode>0%</c:formatCode>
                <c:ptCount val="2"/>
                <c:pt idx="0">
                  <c:v>0.15244490768323571</c:v>
                </c:pt>
                <c:pt idx="1">
                  <c:v>0.14810348261240502</c:v>
                </c:pt>
              </c:numCache>
            </c:numRef>
          </c:val>
          <c:extLst>
            <c:ext xmlns:c16="http://schemas.microsoft.com/office/drawing/2014/chart" uri="{C3380CC4-5D6E-409C-BE32-E72D297353CC}">
              <c16:uniqueId val="{00000005-AE69-4267-9D12-CA40CE8F4CED}"/>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613046384637422"/>
          <c:y val="5.4953571428571428E-2"/>
          <c:w val="0.35134465964632039"/>
          <c:h val="0.911903629970782"/>
        </c:manualLayout>
      </c:layout>
      <c:overlay val="0"/>
      <c:spPr>
        <a:ln w="6350">
          <a:solidFill>
            <a:schemeClr val="bg1">
              <a:lumMod val="7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Grafy_HES!$N$217</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E70E-4A3A-BDBF-811CDF61E616}"/>
              </c:ext>
            </c:extLst>
          </c:dPt>
          <c:dPt>
            <c:idx val="1"/>
            <c:bubble3D val="0"/>
            <c:spPr>
              <a:solidFill>
                <a:srgbClr val="C00000"/>
              </a:solidFill>
              <a:effectLst/>
            </c:spPr>
            <c:extLst>
              <c:ext xmlns:c16="http://schemas.microsoft.com/office/drawing/2014/chart" uri="{C3380CC4-5D6E-409C-BE32-E72D297353CC}">
                <c16:uniqueId val="{00000003-E70E-4A3A-BDBF-811CDF61E616}"/>
              </c:ext>
            </c:extLst>
          </c:dPt>
          <c:dPt>
            <c:idx val="4"/>
            <c:bubble3D val="0"/>
            <c:extLst>
              <c:ext xmlns:c16="http://schemas.microsoft.com/office/drawing/2014/chart" uri="{C3380CC4-5D6E-409C-BE32-E72D297353CC}">
                <c16:uniqueId val="{00000004-E70E-4A3A-BDBF-811CDF61E616}"/>
              </c:ext>
            </c:extLst>
          </c:dPt>
          <c:dLbls>
            <c:dLbl>
              <c:idx val="0"/>
              <c:showLegendKey val="0"/>
              <c:showVal val="1"/>
              <c:showCatName val="0"/>
              <c:showSerName val="0"/>
              <c:showPercent val="1"/>
              <c:showBubbleSize val="0"/>
              <c:separator>
</c:separator>
              <c:extLst>
                <c:ext xmlns:c15="http://schemas.microsoft.com/office/drawing/2012/chart" uri="{CE6537A1-D6FC-4f65-9D91-7224C49458BB}">
                  <c15:layout>
                    <c:manualLayout>
                      <c:w val="0.2471768569507499"/>
                      <c:h val="0.16644919385076865"/>
                    </c:manualLayout>
                  </c15:layout>
                </c:ext>
                <c:ext xmlns:c16="http://schemas.microsoft.com/office/drawing/2014/chart" uri="{C3380CC4-5D6E-409C-BE32-E72D297353CC}">
                  <c16:uniqueId val="{00000001-E70E-4A3A-BDBF-811CDF61E616}"/>
                </c:ext>
              </c:extLst>
            </c:dLbl>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Grafy_HES!$A$218:$A$219</c:f>
              <c:strCache>
                <c:ptCount val="2"/>
                <c:pt idx="0">
                  <c:v> muži</c:v>
                </c:pt>
                <c:pt idx="1">
                  <c:v> ženy</c:v>
                </c:pt>
              </c:strCache>
            </c:strRef>
          </c:cat>
          <c:val>
            <c:numRef>
              <c:f>Grafy_HES!$N$218:$N$219</c:f>
              <c:numCache>
                <c:formatCode>#,##0</c:formatCode>
                <c:ptCount val="2"/>
                <c:pt idx="0">
                  <c:v>12412.653104612526</c:v>
                </c:pt>
                <c:pt idx="1">
                  <c:v>8432.2483490513023</c:v>
                </c:pt>
              </c:numCache>
            </c:numRef>
          </c:val>
          <c:extLst>
            <c:ext xmlns:c16="http://schemas.microsoft.com/office/drawing/2014/chart" uri="{C3380CC4-5D6E-409C-BE32-E72D297353CC}">
              <c16:uniqueId val="{00000005-E70E-4A3A-BDBF-811CDF61E616}"/>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0.11467613081211564"/>
          <c:y val="0.8326005683261366"/>
          <c:w val="0.76031388888888884"/>
          <c:h val="0.11987464065224562"/>
        </c:manualLayout>
      </c:layout>
      <c:overlay val="0"/>
      <c:spPr>
        <a:ln w="6350">
          <a:solidFill>
            <a:schemeClr val="bg1">
              <a:lumMod val="85000"/>
            </a:schemeClr>
          </a:solidFill>
        </a:ln>
      </c:spPr>
      <c:txPr>
        <a:bodyPr/>
        <a:lstStyle/>
        <a:p>
          <a:pPr rtl="0">
            <a:defRPr/>
          </a:pPr>
          <a:endParaRPr lang="cs-CZ"/>
        </a:p>
      </c:txPr>
    </c:legend>
    <c:plotVisOnly val="1"/>
    <c:dispBlanksAs val="zero"/>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Grafy_HES!$N$223</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0577-45CD-8CB7-CAB3E0AFE774}"/>
              </c:ext>
            </c:extLst>
          </c:dPt>
          <c:dPt>
            <c:idx val="1"/>
            <c:bubble3D val="0"/>
            <c:spPr>
              <a:solidFill>
                <a:srgbClr val="C00000"/>
              </a:solidFill>
              <a:effectLst/>
            </c:spPr>
            <c:extLst>
              <c:ext xmlns:c16="http://schemas.microsoft.com/office/drawing/2014/chart" uri="{C3380CC4-5D6E-409C-BE32-E72D297353CC}">
                <c16:uniqueId val="{00000003-0577-45CD-8CB7-CAB3E0AFE774}"/>
              </c:ext>
            </c:extLst>
          </c:dPt>
          <c:dPt>
            <c:idx val="2"/>
            <c:bubble3D val="0"/>
            <c:spPr>
              <a:solidFill>
                <a:srgbClr val="00B050"/>
              </a:solidFill>
              <a:effectLst/>
            </c:spPr>
            <c:extLst>
              <c:ext xmlns:c16="http://schemas.microsoft.com/office/drawing/2014/chart" uri="{C3380CC4-5D6E-409C-BE32-E72D297353CC}">
                <c16:uniqueId val="{00000005-0577-45CD-8CB7-CAB3E0AFE774}"/>
              </c:ext>
            </c:extLst>
          </c:dPt>
          <c:dPt>
            <c:idx val="4"/>
            <c:bubble3D val="0"/>
            <c:extLst>
              <c:ext xmlns:c16="http://schemas.microsoft.com/office/drawing/2014/chart" uri="{C3380CC4-5D6E-409C-BE32-E72D297353CC}">
                <c16:uniqueId val="{00000006-0577-45CD-8CB7-CAB3E0AFE774}"/>
              </c:ext>
            </c:extLst>
          </c:dPt>
          <c:dLbls>
            <c:dLbl>
              <c:idx val="0"/>
              <c:showLegendKey val="0"/>
              <c:showVal val="1"/>
              <c:showCatName val="0"/>
              <c:showSerName val="0"/>
              <c:showPercent val="1"/>
              <c:showBubbleSize val="0"/>
              <c:separator>
</c:separator>
              <c:extLst>
                <c:ext xmlns:c15="http://schemas.microsoft.com/office/drawing/2012/chart" uri="{CE6537A1-D6FC-4f65-9D91-7224C49458BB}">
                  <c15:layout>
                    <c:manualLayout>
                      <c:w val="0.2189482048688868"/>
                      <c:h val="0.16644919385076865"/>
                    </c:manualLayout>
                  </c15:layout>
                </c:ext>
                <c:ext xmlns:c16="http://schemas.microsoft.com/office/drawing/2014/chart" uri="{C3380CC4-5D6E-409C-BE32-E72D297353CC}">
                  <c16:uniqueId val="{00000001-0577-45CD-8CB7-CAB3E0AFE774}"/>
                </c:ext>
              </c:extLst>
            </c:dLbl>
            <c:dLbl>
              <c:idx val="2"/>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77-45CD-8CB7-CAB3E0AFE774}"/>
                </c:ext>
              </c:extLst>
            </c:dLbl>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Grafy_HES!$A$224:$A$226</c:f>
              <c:strCache>
                <c:ptCount val="3"/>
                <c:pt idx="0">
                  <c:v> výzkumní </c:v>
                </c:pt>
                <c:pt idx="1">
                  <c:v> techničtí </c:v>
                </c:pt>
                <c:pt idx="2">
                  <c:v> ostatní</c:v>
                </c:pt>
              </c:strCache>
            </c:strRef>
          </c:cat>
          <c:val>
            <c:numRef>
              <c:f>Grafy_HES!$N$224:$N$226</c:f>
              <c:numCache>
                <c:formatCode>#,##0</c:formatCode>
                <c:ptCount val="3"/>
                <c:pt idx="0">
                  <c:v>14442.098828901919</c:v>
                </c:pt>
                <c:pt idx="1">
                  <c:v>4064.8633682454638</c:v>
                </c:pt>
                <c:pt idx="2">
                  <c:v>2337.9392565164453</c:v>
                </c:pt>
              </c:numCache>
            </c:numRef>
          </c:val>
          <c:extLst>
            <c:ext xmlns:c16="http://schemas.microsoft.com/office/drawing/2014/chart" uri="{C3380CC4-5D6E-409C-BE32-E72D297353CC}">
              <c16:uniqueId val="{00000007-0577-45CD-8CB7-CAB3E0AFE774}"/>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3.7065000000000001E-2"/>
          <c:y val="0.82717307692307696"/>
          <c:w val="0.92765722222222224"/>
          <c:h val="0.11987464065224562"/>
        </c:manualLayout>
      </c:layout>
      <c:overlay val="0"/>
      <c:spPr>
        <a:ln w="6350">
          <a:solidFill>
            <a:schemeClr val="bg1">
              <a:lumMod val="85000"/>
            </a:schemeClr>
          </a:solidFill>
        </a:ln>
      </c:spPr>
      <c:txPr>
        <a:bodyPr/>
        <a:lstStyle/>
        <a:p>
          <a:pPr rtl="0">
            <a:defRPr/>
          </a:pPr>
          <a:endParaRPr lang="cs-CZ"/>
        </a:p>
      </c:txPr>
    </c:legend>
    <c:plotVisOnly val="1"/>
    <c:dispBlanksAs val="zero"/>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1539743589743586E-2"/>
          <c:y val="7.7059553544779044E-2"/>
          <c:w val="0.92145198412698415"/>
          <c:h val="0.71668487654320989"/>
        </c:manualLayout>
      </c:layout>
      <c:doughnutChart>
        <c:varyColors val="1"/>
        <c:ser>
          <c:idx val="0"/>
          <c:order val="0"/>
          <c:tx>
            <c:strRef>
              <c:f>Grafy_HES!$N$230</c:f>
              <c:strCache>
                <c:ptCount val="1"/>
                <c:pt idx="0">
                  <c:v>2022</c:v>
                </c:pt>
              </c:strCache>
            </c:strRef>
          </c:tx>
          <c:spPr>
            <a:effectLst/>
          </c:spPr>
          <c:dPt>
            <c:idx val="0"/>
            <c:bubble3D val="0"/>
            <c:spPr>
              <a:solidFill>
                <a:srgbClr val="0070C0"/>
              </a:solidFill>
              <a:effectLst/>
            </c:spPr>
            <c:extLst>
              <c:ext xmlns:c16="http://schemas.microsoft.com/office/drawing/2014/chart" uri="{C3380CC4-5D6E-409C-BE32-E72D297353CC}">
                <c16:uniqueId val="{00000001-A92D-4FBA-B72B-7393E649DAC8}"/>
              </c:ext>
            </c:extLst>
          </c:dPt>
          <c:dPt>
            <c:idx val="1"/>
            <c:bubble3D val="0"/>
            <c:spPr>
              <a:solidFill>
                <a:srgbClr val="C00000"/>
              </a:solidFill>
              <a:effectLst/>
            </c:spPr>
            <c:extLst>
              <c:ext xmlns:c16="http://schemas.microsoft.com/office/drawing/2014/chart" uri="{C3380CC4-5D6E-409C-BE32-E72D297353CC}">
                <c16:uniqueId val="{00000003-A92D-4FBA-B72B-7393E649DAC8}"/>
              </c:ext>
            </c:extLst>
          </c:dPt>
          <c:dPt>
            <c:idx val="2"/>
            <c:bubble3D val="0"/>
            <c:spPr>
              <a:solidFill>
                <a:srgbClr val="00B050"/>
              </a:solidFill>
              <a:effectLst/>
            </c:spPr>
            <c:extLst>
              <c:ext xmlns:c16="http://schemas.microsoft.com/office/drawing/2014/chart" uri="{C3380CC4-5D6E-409C-BE32-E72D297353CC}">
                <c16:uniqueId val="{00000005-A92D-4FBA-B72B-7393E649DAC8}"/>
              </c:ext>
            </c:extLst>
          </c:dPt>
          <c:dPt>
            <c:idx val="3"/>
            <c:bubble3D val="0"/>
            <c:spPr>
              <a:solidFill>
                <a:srgbClr val="FFC000"/>
              </a:solidFill>
              <a:effectLst/>
            </c:spPr>
            <c:extLst>
              <c:ext xmlns:c16="http://schemas.microsoft.com/office/drawing/2014/chart" uri="{C3380CC4-5D6E-409C-BE32-E72D297353CC}">
                <c16:uniqueId val="{00000007-A92D-4FBA-B72B-7393E649DAC8}"/>
              </c:ext>
            </c:extLst>
          </c:dPt>
          <c:dPt>
            <c:idx val="4"/>
            <c:bubble3D val="0"/>
            <c:spPr>
              <a:solidFill>
                <a:srgbClr val="7030A0"/>
              </a:solidFill>
              <a:effectLst/>
            </c:spPr>
            <c:extLst>
              <c:ext xmlns:c16="http://schemas.microsoft.com/office/drawing/2014/chart" uri="{C3380CC4-5D6E-409C-BE32-E72D297353CC}">
                <c16:uniqueId val="{00000009-A92D-4FBA-B72B-7393E649DAC8}"/>
              </c:ext>
            </c:extLst>
          </c:dPt>
          <c:dPt>
            <c:idx val="5"/>
            <c:bubble3D val="0"/>
            <c:spPr>
              <a:solidFill>
                <a:schemeClr val="accent6">
                  <a:lumMod val="60000"/>
                  <a:lumOff val="40000"/>
                </a:schemeClr>
              </a:solidFill>
              <a:effectLst/>
            </c:spPr>
            <c:extLst>
              <c:ext xmlns:c16="http://schemas.microsoft.com/office/drawing/2014/chart" uri="{C3380CC4-5D6E-409C-BE32-E72D297353CC}">
                <c16:uniqueId val="{0000000B-A92D-4FBA-B72B-7393E649DAC8}"/>
              </c:ext>
            </c:extLst>
          </c:dPt>
          <c:dLbls>
            <c:dLbl>
              <c:idx val="2"/>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2D-4FBA-B72B-7393E649DAC8}"/>
                </c:ext>
              </c:extLst>
            </c:dLbl>
            <c:dLbl>
              <c:idx val="3"/>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92D-4FBA-B72B-7393E649DAC8}"/>
                </c:ext>
              </c:extLst>
            </c:dLbl>
            <c:dLbl>
              <c:idx val="5"/>
              <c:spPr>
                <a:noFill/>
                <a:ln>
                  <a:noFill/>
                </a:ln>
                <a:effectLst/>
              </c:spPr>
              <c:txPr>
                <a:bodyPr wrap="square" lIns="38100" tIns="19050" rIns="38100" bIns="19050" anchor="ctr">
                  <a:spAutoFit/>
                </a:bodyPr>
                <a:lstStyle/>
                <a:p>
                  <a:pPr>
                    <a:defRPr b="1">
                      <a:solidFill>
                        <a:sysClr val="windowText" lastClr="000000"/>
                      </a:solidFill>
                    </a:defRPr>
                  </a:pPr>
                  <a:endParaRPr lang="cs-CZ"/>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92D-4FBA-B72B-7393E649DAC8}"/>
                </c:ext>
              </c:extLst>
            </c:dLbl>
            <c:spPr>
              <a:noFill/>
              <a:ln>
                <a:noFill/>
              </a:ln>
              <a:effectLst/>
            </c:spPr>
            <c:txPr>
              <a:bodyPr wrap="square" lIns="38100" tIns="19050" rIns="38100" bIns="19050" anchor="ctr">
                <a:spAutoFit/>
              </a:bodyPr>
              <a:lstStyle/>
              <a:p>
                <a:pPr>
                  <a:defRPr b="1">
                    <a:solidFill>
                      <a:schemeClr val="bg1"/>
                    </a:solidFill>
                  </a:defRPr>
                </a:pPr>
                <a:endParaRPr lang="cs-CZ"/>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Grafy_HES!$A$231:$A$236</c:f>
              <c:strCache>
                <c:ptCount val="6"/>
                <c:pt idx="0">
                  <c:v> Přírodní</c:v>
                </c:pt>
                <c:pt idx="1">
                  <c:v> Technické </c:v>
                </c:pt>
                <c:pt idx="2">
                  <c:v> Lékařské </c:v>
                </c:pt>
                <c:pt idx="3">
                  <c:v> Zemědělské</c:v>
                </c:pt>
                <c:pt idx="4">
                  <c:v> Sociální </c:v>
                </c:pt>
                <c:pt idx="5">
                  <c:v> Humanitní</c:v>
                </c:pt>
              </c:strCache>
            </c:strRef>
          </c:cat>
          <c:val>
            <c:numRef>
              <c:f>Grafy_HES!$N$231:$N$236</c:f>
              <c:numCache>
                <c:formatCode>#,##0</c:formatCode>
                <c:ptCount val="6"/>
                <c:pt idx="0">
                  <c:v>6202.0625000000009</c:v>
                </c:pt>
                <c:pt idx="1">
                  <c:v>5444.6259999999993</c:v>
                </c:pt>
                <c:pt idx="2">
                  <c:v>3380.9674999999997</c:v>
                </c:pt>
                <c:pt idx="3">
                  <c:v>2112.5814999999998</c:v>
                </c:pt>
                <c:pt idx="4">
                  <c:v>2083.3269536638327</c:v>
                </c:pt>
                <c:pt idx="5">
                  <c:v>1621.3370000000002</c:v>
                </c:pt>
              </c:numCache>
            </c:numRef>
          </c:val>
          <c:extLst>
            <c:ext xmlns:c16="http://schemas.microsoft.com/office/drawing/2014/chart" uri="{C3380CC4-5D6E-409C-BE32-E72D297353CC}">
              <c16:uniqueId val="{0000000C-A92D-4FBA-B72B-7393E649DAC8}"/>
            </c:ext>
          </c:extLst>
        </c:ser>
        <c:dLbls>
          <c:showLegendKey val="0"/>
          <c:showVal val="0"/>
          <c:showCatName val="0"/>
          <c:showSerName val="0"/>
          <c:showPercent val="0"/>
          <c:showBubbleSize val="0"/>
          <c:showLeaderLines val="1"/>
        </c:dLbls>
        <c:firstSliceAng val="0"/>
        <c:holeSize val="50"/>
      </c:doughnutChart>
      <c:spPr>
        <a:ln>
          <a:noFill/>
        </a:ln>
      </c:spPr>
    </c:plotArea>
    <c:legend>
      <c:legendPos val="b"/>
      <c:layout>
        <c:manualLayout>
          <c:xMode val="edge"/>
          <c:yMode val="edge"/>
          <c:x val="3.7065000000000001E-2"/>
          <c:y val="0.81631837606837609"/>
          <c:w val="0.92765722222222224"/>
          <c:h val="0.18150459775221003"/>
        </c:manualLayout>
      </c:layout>
      <c:overlay val="0"/>
      <c:spPr>
        <a:ln w="6350">
          <a:solidFill>
            <a:schemeClr val="bg1">
              <a:lumMod val="85000"/>
            </a:schemeClr>
          </a:solidFill>
        </a:ln>
      </c:spPr>
      <c:txPr>
        <a:bodyPr/>
        <a:lstStyle/>
        <a:p>
          <a:pPr rtl="0">
            <a:defRPr/>
          </a:pPr>
          <a:endParaRPr lang="cs-CZ"/>
        </a:p>
      </c:txPr>
    </c:legend>
    <c:plotVisOnly val="1"/>
    <c:dispBlanksAs val="zero"/>
    <c:showDLblsOverMax val="0"/>
  </c:chart>
  <c:spPr>
    <a:ln>
      <a:noFill/>
    </a:ln>
  </c:spPr>
  <c:txPr>
    <a:bodyPr/>
    <a:lstStyle/>
    <a:p>
      <a:pPr>
        <a:defRPr sz="800" b="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5984848484849E-2"/>
          <c:y val="4.750165077502938E-2"/>
          <c:w val="0.73994772727272728"/>
          <c:h val="0.83821788538836173"/>
        </c:manualLayout>
      </c:layout>
      <c:lineChart>
        <c:grouping val="standard"/>
        <c:varyColors val="0"/>
        <c:ser>
          <c:idx val="0"/>
          <c:order val="0"/>
          <c:tx>
            <c:strRef>
              <c:f>Grafy_celkem!$A$85</c:f>
              <c:strCache>
                <c:ptCount val="1"/>
                <c:pt idx="0">
                  <c:v> vysoko-
 školský 
 sektor</c:v>
                </c:pt>
              </c:strCache>
            </c:strRef>
          </c:tx>
          <c:spPr>
            <a:ln>
              <a:solidFill>
                <a:srgbClr val="FFC000"/>
              </a:solidFill>
            </a:ln>
          </c:spPr>
          <c:marker>
            <c:symbol val="triangle"/>
            <c:size val="5"/>
            <c:spPr>
              <a:solidFill>
                <a:schemeClr val="tx1"/>
              </a:solidFill>
              <a:ln>
                <a:noFill/>
              </a:ln>
            </c:spPr>
          </c:marker>
          <c:dLbls>
            <c:spPr>
              <a:noFill/>
              <a:ln>
                <a:noFill/>
              </a:ln>
              <a:effectLst/>
            </c:spPr>
            <c:txPr>
              <a:bodyPr wrap="square" lIns="38100" tIns="19050" rIns="38100" bIns="19050" anchor="ctr">
                <a:spAutoFit/>
              </a:bodyPr>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Grafy_celkem!$D$84:$N$84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Grafy_celkem!$D$85:$N$85</c:f>
              <c:numCache>
                <c:formatCode>0.0</c:formatCode>
                <c:ptCount val="11"/>
                <c:pt idx="0">
                  <c:v>11.640232999999993</c:v>
                </c:pt>
                <c:pt idx="1">
                  <c:v>12.587671999999992</c:v>
                </c:pt>
                <c:pt idx="2">
                  <c:v>13.357968000000005</c:v>
                </c:pt>
                <c:pt idx="3">
                  <c:v>13.629428000000008</c:v>
                </c:pt>
                <c:pt idx="4">
                  <c:v>14.180638999999999</c:v>
                </c:pt>
                <c:pt idx="5">
                  <c:v>14.974321999999999</c:v>
                </c:pt>
                <c:pt idx="6">
                  <c:v>16.833950000000002</c:v>
                </c:pt>
                <c:pt idx="7">
                  <c:v>18.201638999999997</c:v>
                </c:pt>
                <c:pt idx="8">
                  <c:v>18.722678999999996</c:v>
                </c:pt>
                <c:pt idx="9">
                  <c:v>18.81347533231639</c:v>
                </c:pt>
                <c:pt idx="10">
                  <c:v>19.387404</c:v>
                </c:pt>
              </c:numCache>
            </c:numRef>
          </c:val>
          <c:smooth val="0"/>
          <c:extLst>
            <c:ext xmlns:c16="http://schemas.microsoft.com/office/drawing/2014/chart" uri="{C3380CC4-5D6E-409C-BE32-E72D297353CC}">
              <c16:uniqueId val="{00000000-0BC2-4761-ACD1-B4F2089FECDF}"/>
            </c:ext>
          </c:extLst>
        </c:ser>
        <c:ser>
          <c:idx val="1"/>
          <c:order val="1"/>
          <c:tx>
            <c:strRef>
              <c:f>Grafy_celkem!$A$86</c:f>
              <c:strCache>
                <c:ptCount val="1"/>
                <c:pt idx="0">
                  <c:v> vládní 
 sektor</c:v>
                </c:pt>
              </c:strCache>
            </c:strRef>
          </c:tx>
          <c:spPr>
            <a:ln>
              <a:solidFill>
                <a:srgbClr val="C00000"/>
              </a:solidFill>
            </a:ln>
          </c:spPr>
          <c:marker>
            <c:symbol val="star"/>
            <c:size val="5"/>
            <c:spPr>
              <a:solidFill>
                <a:schemeClr val="tx1"/>
              </a:solidFill>
              <a:ln>
                <a:noFill/>
              </a:ln>
            </c:spPr>
          </c:marker>
          <c:dLbls>
            <c:spPr>
              <a:noFill/>
              <a:ln>
                <a:noFill/>
              </a:ln>
              <a:effectLst/>
            </c:spPr>
            <c:txPr>
              <a:bodyPr wrap="square" lIns="38100" tIns="19050" rIns="38100" bIns="19050" anchor="ctr">
                <a:spAutoFit/>
              </a:bodyPr>
              <a:lstStyle/>
              <a:p>
                <a:pPr>
                  <a:defRPr sz="800"/>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Grafy_celkem!$D$84:$N$84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Grafy_celkem!$D$86:$N$86</c:f>
              <c:numCache>
                <c:formatCode>0.0</c:formatCode>
                <c:ptCount val="11"/>
                <c:pt idx="0">
                  <c:v>9.8432079999999988</c:v>
                </c:pt>
                <c:pt idx="1">
                  <c:v>9.8806766899999996</c:v>
                </c:pt>
                <c:pt idx="2">
                  <c:v>10.209347010000002</c:v>
                </c:pt>
                <c:pt idx="3">
                  <c:v>11.099890000000002</c:v>
                </c:pt>
                <c:pt idx="4">
                  <c:v>11.242382000000001</c:v>
                </c:pt>
                <c:pt idx="5">
                  <c:v>12.141389999999999</c:v>
                </c:pt>
                <c:pt idx="6">
                  <c:v>13.632542999999998</c:v>
                </c:pt>
                <c:pt idx="7">
                  <c:v>14.556724000000003</c:v>
                </c:pt>
                <c:pt idx="8">
                  <c:v>15.004120999999996</c:v>
                </c:pt>
                <c:pt idx="9">
                  <c:v>15.900478999999986</c:v>
                </c:pt>
                <c:pt idx="10">
                  <c:v>16.655595000000002</c:v>
                </c:pt>
              </c:numCache>
            </c:numRef>
          </c:val>
          <c:smooth val="0"/>
          <c:extLst>
            <c:ext xmlns:c16="http://schemas.microsoft.com/office/drawing/2014/chart" uri="{C3380CC4-5D6E-409C-BE32-E72D297353CC}">
              <c16:uniqueId val="{00000001-0BC2-4761-ACD1-B4F2089FECDF}"/>
            </c:ext>
          </c:extLst>
        </c:ser>
        <c:ser>
          <c:idx val="2"/>
          <c:order val="2"/>
          <c:tx>
            <c:strRef>
              <c:f>Grafy_celkem!$A$87</c:f>
              <c:strCache>
                <c:ptCount val="1"/>
                <c:pt idx="0">
                  <c:v> podnika-
 telský
 sektor</c:v>
                </c:pt>
              </c:strCache>
            </c:strRef>
          </c:tx>
          <c:spPr>
            <a:ln>
              <a:solidFill>
                <a:srgbClr val="002060"/>
              </a:solidFill>
            </a:ln>
          </c:spPr>
          <c:marker>
            <c:symbol val="diamond"/>
            <c:size val="5"/>
            <c:spPr>
              <a:solidFill>
                <a:schemeClr val="tx1"/>
              </a:solidFill>
              <a:ln>
                <a:noFill/>
              </a:ln>
            </c:spPr>
          </c:marker>
          <c:dLbls>
            <c:spPr>
              <a:noFill/>
              <a:ln>
                <a:noFill/>
              </a:ln>
              <a:effectLst/>
            </c:spPr>
            <c:txPr>
              <a:bodyPr wrap="square" lIns="38100" tIns="19050" rIns="38100" bIns="19050" anchor="ctr">
                <a:spAutoFit/>
              </a:bodyPr>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Grafy_celkem!$D$84:$N$84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Grafy_celkem!$D$87:$N$87</c:f>
              <c:numCache>
                <c:formatCode>0.0</c:formatCode>
                <c:ptCount val="11"/>
                <c:pt idx="0">
                  <c:v>4.9676750599999941</c:v>
                </c:pt>
                <c:pt idx="1">
                  <c:v>4.4474872900000024</c:v>
                </c:pt>
                <c:pt idx="2">
                  <c:v>4.3312892300000012</c:v>
                </c:pt>
                <c:pt idx="3">
                  <c:v>3.658127900000002</c:v>
                </c:pt>
                <c:pt idx="4">
                  <c:v>2.9955557007866398</c:v>
                </c:pt>
                <c:pt idx="5">
                  <c:v>3.9913647810149073</c:v>
                </c:pt>
                <c:pt idx="6">
                  <c:v>4.4472211984487133</c:v>
                </c:pt>
                <c:pt idx="7">
                  <c:v>4.6834640000000016</c:v>
                </c:pt>
                <c:pt idx="8">
                  <c:v>4.6988830000000021</c:v>
                </c:pt>
                <c:pt idx="9">
                  <c:v>4.5375440000000005</c:v>
                </c:pt>
                <c:pt idx="10">
                  <c:v>4.2032819999999997</c:v>
                </c:pt>
              </c:numCache>
            </c:numRef>
          </c:val>
          <c:smooth val="0"/>
          <c:extLst>
            <c:ext xmlns:c16="http://schemas.microsoft.com/office/drawing/2014/chart" uri="{C3380CC4-5D6E-409C-BE32-E72D297353CC}">
              <c16:uniqueId val="{00000002-0BC2-4761-ACD1-B4F2089FECDF}"/>
            </c:ext>
          </c:extLst>
        </c:ser>
        <c:dLbls>
          <c:showLegendKey val="0"/>
          <c:showVal val="0"/>
          <c:showCatName val="0"/>
          <c:showSerName val="0"/>
          <c:showPercent val="0"/>
          <c:showBubbleSize val="0"/>
        </c:dLbls>
        <c:marker val="1"/>
        <c:smooth val="0"/>
        <c:axId val="154339200"/>
        <c:axId val="154340736"/>
      </c:lineChart>
      <c:catAx>
        <c:axId val="15433920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800"/>
            </a:pPr>
            <a:endParaRPr lang="cs-CZ"/>
          </a:p>
        </c:txPr>
        <c:crossAx val="154340736"/>
        <c:crosses val="autoZero"/>
        <c:auto val="0"/>
        <c:lblAlgn val="ctr"/>
        <c:lblOffset val="100"/>
        <c:tickLblSkip val="2"/>
        <c:noMultiLvlLbl val="0"/>
      </c:catAx>
      <c:valAx>
        <c:axId val="154340736"/>
        <c:scaling>
          <c:orientation val="minMax"/>
          <c:max val="20"/>
          <c:min val="0"/>
        </c:scaling>
        <c:delete val="0"/>
        <c:axPos val="l"/>
        <c:majorGridlines>
          <c:spPr>
            <a:ln>
              <a:solidFill>
                <a:schemeClr val="bg1">
                  <a:lumMod val="85000"/>
                </a:schemeClr>
              </a:solidFill>
              <a:prstDash val="solid"/>
            </a:ln>
          </c:spPr>
        </c:majorGridlines>
        <c:title>
          <c:tx>
            <c:rich>
              <a:bodyPr rot="0" vert="horz"/>
              <a:lstStyle/>
              <a:p>
                <a:pPr>
                  <a:defRPr sz="800" b="1"/>
                </a:pPr>
                <a:r>
                  <a:rPr lang="cs-CZ" sz="800" b="1"/>
                  <a:t>Mld. Kč</a:t>
                </a:r>
              </a:p>
            </c:rich>
          </c:tx>
          <c:layout>
            <c:manualLayout>
              <c:xMode val="edge"/>
              <c:yMode val="edge"/>
              <c:x val="4.8106060606060604E-2"/>
              <c:y val="5.8928518518518505E-2"/>
            </c:manualLayout>
          </c:layout>
          <c:overlay val="0"/>
        </c:title>
        <c:numFmt formatCode="0" sourceLinked="0"/>
        <c:majorTickMark val="none"/>
        <c:minorTickMark val="none"/>
        <c:tickLblPos val="none"/>
        <c:spPr>
          <a:ln>
            <a:noFill/>
          </a:ln>
        </c:spPr>
        <c:crossAx val="154339200"/>
        <c:crosses val="autoZero"/>
        <c:crossBetween val="between"/>
        <c:majorUnit val="2"/>
        <c:minorUnit val="1"/>
      </c:valAx>
      <c:spPr>
        <a:ln>
          <a:noFill/>
        </a:ln>
      </c:spPr>
    </c:plotArea>
    <c:legend>
      <c:legendPos val="r"/>
      <c:layout>
        <c:manualLayout>
          <c:xMode val="edge"/>
          <c:yMode val="edge"/>
          <c:x val="0.77240757575757579"/>
          <c:y val="3.1897837467119258E-2"/>
          <c:w val="0.20858535353535354"/>
          <c:h val="0.85965882158886697"/>
        </c:manualLayout>
      </c:layout>
      <c:overlay val="0"/>
      <c:spPr>
        <a:solidFill>
          <a:schemeClr val="bg1"/>
        </a:solidFill>
        <a:ln w="6350">
          <a:solidFill>
            <a:schemeClr val="bg1">
              <a:lumMod val="75000"/>
            </a:schemeClr>
          </a:solidFill>
        </a:ln>
      </c:spPr>
      <c:txPr>
        <a:bodyPr/>
        <a:lstStyle/>
        <a:p>
          <a:pPr>
            <a:defRPr sz="800"/>
          </a:pPr>
          <a:endParaRPr lang="cs-CZ"/>
        </a:p>
      </c:txPr>
    </c:legend>
    <c:plotVisOnly val="1"/>
    <c:dispBlanksAs val="gap"/>
    <c:showDLblsOverMax val="0"/>
  </c:chart>
  <c:spPr>
    <a:ln>
      <a:noFill/>
    </a:ln>
  </c:spPr>
  <c:txPr>
    <a:bodyPr/>
    <a:lstStyle/>
    <a:p>
      <a:pPr>
        <a:defRPr sz="900" b="0">
          <a:latin typeface="Arial" panose="020B0604020202020204" pitchFamily="34" charset="0"/>
          <a:cs typeface="Arial" panose="020B0604020202020204"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49027601486093175"/>
          <c:h val="0.85091166505958815"/>
        </c:manualLayout>
      </c:layout>
      <c:barChart>
        <c:barDir val="col"/>
        <c:grouping val="percentStacked"/>
        <c:varyColors val="0"/>
        <c:ser>
          <c:idx val="0"/>
          <c:order val="0"/>
          <c:tx>
            <c:strRef>
              <c:f>Grafy_celkem!$A$92</c:f>
              <c:strCache>
                <c:ptCount val="1"/>
                <c:pt idx="0">
                  <c:v> vysoko-
 školský 
 sektor</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Grafy_celkem!$B$91:$N$91</c:f>
              <c:numCache>
                <c:formatCode>General</c:formatCode>
                <c:ptCount val="2"/>
                <c:pt idx="0">
                  <c:v>2012</c:v>
                </c:pt>
                <c:pt idx="1">
                  <c:v>2022</c:v>
                </c:pt>
              </c:numCache>
            </c:numRef>
          </c:cat>
          <c:val>
            <c:numRef>
              <c:f>Grafy_celkem!$B$92:$N$92</c:f>
              <c:numCache>
                <c:formatCode>0%</c:formatCode>
                <c:ptCount val="2"/>
                <c:pt idx="0">
                  <c:v>0.43733209416036639</c:v>
                </c:pt>
                <c:pt idx="1">
                  <c:v>0.47986846823691875</c:v>
                </c:pt>
              </c:numCache>
            </c:numRef>
          </c:val>
          <c:extLst>
            <c:ext xmlns:c16="http://schemas.microsoft.com/office/drawing/2014/chart" uri="{C3380CC4-5D6E-409C-BE32-E72D297353CC}">
              <c16:uniqueId val="{00000000-EDA9-4C05-99BF-D844F983FC03}"/>
            </c:ext>
          </c:extLst>
        </c:ser>
        <c:ser>
          <c:idx val="1"/>
          <c:order val="1"/>
          <c:tx>
            <c:strRef>
              <c:f>Grafy_celkem!$A$93</c:f>
              <c:strCache>
                <c:ptCount val="1"/>
                <c:pt idx="0">
                  <c:v> vládní 
 sektor</c:v>
                </c:pt>
              </c:strCache>
            </c:strRef>
          </c:tx>
          <c:spPr>
            <a:solidFill>
              <a:srgbClr val="C0000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Grafy_celkem!$B$91:$N$91</c:f>
              <c:numCache>
                <c:formatCode>General</c:formatCode>
                <c:ptCount val="2"/>
                <c:pt idx="0">
                  <c:v>2012</c:v>
                </c:pt>
                <c:pt idx="1">
                  <c:v>2022</c:v>
                </c:pt>
              </c:numCache>
            </c:numRef>
          </c:cat>
          <c:val>
            <c:numRef>
              <c:f>Grafy_celkem!$B$93:$N$93</c:f>
              <c:numCache>
                <c:formatCode>0%</c:formatCode>
                <c:ptCount val="2"/>
                <c:pt idx="0">
                  <c:v>0.36981654644679995</c:v>
                </c:pt>
                <c:pt idx="1">
                  <c:v>0.41225193740350607</c:v>
                </c:pt>
              </c:numCache>
            </c:numRef>
          </c:val>
          <c:extLst>
            <c:ext xmlns:c16="http://schemas.microsoft.com/office/drawing/2014/chart" uri="{C3380CC4-5D6E-409C-BE32-E72D297353CC}">
              <c16:uniqueId val="{00000001-EDA9-4C05-99BF-D844F983FC03}"/>
            </c:ext>
          </c:extLst>
        </c:ser>
        <c:ser>
          <c:idx val="2"/>
          <c:order val="2"/>
          <c:tx>
            <c:strRef>
              <c:f>Grafy_celkem!$A$94</c:f>
              <c:strCache>
                <c:ptCount val="1"/>
                <c:pt idx="0">
                  <c:v> podnika-
 telský
 sektor</c:v>
                </c:pt>
              </c:strCache>
            </c:strRef>
          </c:tx>
          <c:spPr>
            <a:solidFill>
              <a:srgbClr val="0070C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Grafy_celkem!$B$91:$N$91</c:f>
              <c:numCache>
                <c:formatCode>General</c:formatCode>
                <c:ptCount val="2"/>
                <c:pt idx="0">
                  <c:v>2012</c:v>
                </c:pt>
                <c:pt idx="1">
                  <c:v>2022</c:v>
                </c:pt>
              </c:numCache>
            </c:numRef>
          </c:cat>
          <c:val>
            <c:numRef>
              <c:f>Grafy_celkem!$B$94:$N$94</c:f>
              <c:numCache>
                <c:formatCode>0%</c:formatCode>
                <c:ptCount val="2"/>
                <c:pt idx="0">
                  <c:v>0.18663919674958587</c:v>
                </c:pt>
                <c:pt idx="1">
                  <c:v>0.10403778117523171</c:v>
                </c:pt>
              </c:numCache>
            </c:numRef>
          </c:val>
          <c:extLst>
            <c:ext xmlns:c16="http://schemas.microsoft.com/office/drawing/2014/chart" uri="{C3380CC4-5D6E-409C-BE32-E72D297353CC}">
              <c16:uniqueId val="{00000002-EDA9-4C05-99BF-D844F983FC03}"/>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6340282172368772"/>
          <c:y val="7.5112110986126732E-2"/>
          <c:w val="0.38482471602531404"/>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49584002057613158"/>
          <c:h val="0.85091166505958815"/>
        </c:manualLayout>
      </c:layout>
      <c:barChart>
        <c:barDir val="col"/>
        <c:grouping val="percentStacked"/>
        <c:varyColors val="0"/>
        <c:ser>
          <c:idx val="0"/>
          <c:order val="0"/>
          <c:tx>
            <c:strRef>
              <c:f>Grafy_celkem!$A$120</c:f>
              <c:strCache>
                <c:ptCount val="1"/>
                <c:pt idx="0">
                  <c:v> mzdové</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Grafy_celkem!$B$119:$N$119</c:f>
              <c:numCache>
                <c:formatCode>General</c:formatCode>
                <c:ptCount val="2"/>
                <c:pt idx="0">
                  <c:v>2012</c:v>
                </c:pt>
                <c:pt idx="1">
                  <c:v>2022</c:v>
                </c:pt>
              </c:numCache>
            </c:numRef>
          </c:cat>
          <c:val>
            <c:numRef>
              <c:f>Grafy_celkem!$B$120:$N$120</c:f>
              <c:numCache>
                <c:formatCode>0%</c:formatCode>
                <c:ptCount val="2"/>
                <c:pt idx="0">
                  <c:v>0.42218034370102175</c:v>
                </c:pt>
                <c:pt idx="1">
                  <c:v>0.57002716432426326</c:v>
                </c:pt>
              </c:numCache>
            </c:numRef>
          </c:val>
          <c:extLst>
            <c:ext xmlns:c16="http://schemas.microsoft.com/office/drawing/2014/chart" uri="{C3380CC4-5D6E-409C-BE32-E72D297353CC}">
              <c16:uniqueId val="{00000000-C54E-4ACD-9F33-1C0CC0D07A07}"/>
            </c:ext>
          </c:extLst>
        </c:ser>
        <c:ser>
          <c:idx val="1"/>
          <c:order val="1"/>
          <c:tx>
            <c:strRef>
              <c:f>Grafy_celkem!$A$121</c:f>
              <c:strCache>
                <c:ptCount val="1"/>
                <c:pt idx="0">
                  <c:v> ostatní běžné</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Grafy_celkem!$B$119:$N$119</c:f>
              <c:numCache>
                <c:formatCode>General</c:formatCode>
                <c:ptCount val="2"/>
                <c:pt idx="0">
                  <c:v>2012</c:v>
                </c:pt>
                <c:pt idx="1">
                  <c:v>2022</c:v>
                </c:pt>
              </c:numCache>
            </c:numRef>
          </c:cat>
          <c:val>
            <c:numRef>
              <c:f>Grafy_celkem!$B$121:$N$121</c:f>
              <c:numCache>
                <c:formatCode>0%</c:formatCode>
                <c:ptCount val="2"/>
                <c:pt idx="0">
                  <c:v>0.34473591590760294</c:v>
                </c:pt>
                <c:pt idx="1">
                  <c:v>0.3408622485363525</c:v>
                </c:pt>
              </c:numCache>
            </c:numRef>
          </c:val>
          <c:extLst>
            <c:ext xmlns:c16="http://schemas.microsoft.com/office/drawing/2014/chart" uri="{C3380CC4-5D6E-409C-BE32-E72D297353CC}">
              <c16:uniqueId val="{00000001-C54E-4ACD-9F33-1C0CC0D07A07}"/>
            </c:ext>
          </c:extLst>
        </c:ser>
        <c:ser>
          <c:idx val="2"/>
          <c:order val="2"/>
          <c:tx>
            <c:strRef>
              <c:f>Grafy_celkem!$A$122</c:f>
              <c:strCache>
                <c:ptCount val="1"/>
                <c:pt idx="0">
                  <c:v> investiční</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Grafy_celkem!$B$119:$N$119</c:f>
              <c:numCache>
                <c:formatCode>General</c:formatCode>
                <c:ptCount val="2"/>
                <c:pt idx="0">
                  <c:v>2012</c:v>
                </c:pt>
                <c:pt idx="1">
                  <c:v>2022</c:v>
                </c:pt>
              </c:numCache>
            </c:numRef>
          </c:cat>
          <c:val>
            <c:numRef>
              <c:f>Grafy_celkem!$B$122:$N$122</c:f>
              <c:numCache>
                <c:formatCode>0%</c:formatCode>
                <c:ptCount val="2"/>
                <c:pt idx="0">
                  <c:v>0.2330837399767825</c:v>
                </c:pt>
                <c:pt idx="1">
                  <c:v>8.9110587139385286E-2</c:v>
                </c:pt>
              </c:numCache>
            </c:numRef>
          </c:val>
          <c:extLst>
            <c:ext xmlns:c16="http://schemas.microsoft.com/office/drawing/2014/chart" uri="{C3380CC4-5D6E-409C-BE32-E72D297353CC}">
              <c16:uniqueId val="{00000002-C54E-4ACD-9F33-1C0CC0D07A07}"/>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9336574074074078"/>
          <c:y val="7.5112110986126732E-2"/>
          <c:w val="0.38051851851851853"/>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02966186721007E-2"/>
          <c:y val="4.3317732136629775E-2"/>
          <c:w val="0.48431818181818181"/>
          <c:h val="0.85091166505958815"/>
        </c:manualLayout>
      </c:layout>
      <c:barChart>
        <c:barDir val="col"/>
        <c:grouping val="percentStacked"/>
        <c:varyColors val="0"/>
        <c:ser>
          <c:idx val="0"/>
          <c:order val="0"/>
          <c:tx>
            <c:strRef>
              <c:f>Grafy_celkem!$A$127</c:f>
              <c:strCache>
                <c:ptCount val="1"/>
                <c:pt idx="0">
                  <c:v> podnikové </c:v>
                </c:pt>
              </c:strCache>
            </c:strRef>
          </c:tx>
          <c:spPr>
            <a:solidFill>
              <a:srgbClr val="0070C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Grafy_celkem!$B$126:$N$126</c:f>
              <c:numCache>
                <c:formatCode>General</c:formatCode>
                <c:ptCount val="2"/>
                <c:pt idx="0">
                  <c:v>2012</c:v>
                </c:pt>
                <c:pt idx="1">
                  <c:v>2022</c:v>
                </c:pt>
              </c:numCache>
            </c:numRef>
          </c:cat>
          <c:val>
            <c:numRef>
              <c:f>Grafy_celkem!$B$127:$N$127</c:f>
              <c:numCache>
                <c:formatCode>0%</c:formatCode>
                <c:ptCount val="2"/>
                <c:pt idx="0">
                  <c:v>0.4624677369633346</c:v>
                </c:pt>
                <c:pt idx="1">
                  <c:v>0.6130563684431356</c:v>
                </c:pt>
              </c:numCache>
            </c:numRef>
          </c:val>
          <c:extLst>
            <c:ext xmlns:c16="http://schemas.microsoft.com/office/drawing/2014/chart" uri="{C3380CC4-5D6E-409C-BE32-E72D297353CC}">
              <c16:uniqueId val="{00000000-55DA-46B9-9C54-60B4D4C2BEA3}"/>
            </c:ext>
          </c:extLst>
        </c:ser>
        <c:ser>
          <c:idx val="1"/>
          <c:order val="1"/>
          <c:tx>
            <c:strRef>
              <c:f>Grafy_celkem!$A$128</c:f>
              <c:strCache>
                <c:ptCount val="1"/>
                <c:pt idx="0">
                  <c:v> veřejné domácí </c:v>
                </c:pt>
              </c:strCache>
            </c:strRef>
          </c:tx>
          <c:spPr>
            <a:solidFill>
              <a:srgbClr val="C00000"/>
            </a:solidFill>
          </c:spPr>
          <c:invertIfNegative val="0"/>
          <c:dLbls>
            <c:spPr>
              <a:noFill/>
              <a:ln>
                <a:noFill/>
              </a:ln>
              <a:effectLst/>
            </c:spPr>
            <c:txPr>
              <a:bodyPr/>
              <a:lstStyle/>
              <a:p>
                <a:pPr>
                  <a:defRPr sz="800"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Grafy_celkem!$B$126:$N$126</c:f>
              <c:numCache>
                <c:formatCode>General</c:formatCode>
                <c:ptCount val="2"/>
                <c:pt idx="0">
                  <c:v>2012</c:v>
                </c:pt>
                <c:pt idx="1">
                  <c:v>2022</c:v>
                </c:pt>
              </c:numCache>
            </c:numRef>
          </c:cat>
          <c:val>
            <c:numRef>
              <c:f>Grafy_celkem!$B$128:$N$128</c:f>
              <c:numCache>
                <c:formatCode>0%</c:formatCode>
                <c:ptCount val="2"/>
                <c:pt idx="0">
                  <c:v>0.36783234916656338</c:v>
                </c:pt>
                <c:pt idx="1">
                  <c:v>0.30307551020391482</c:v>
                </c:pt>
              </c:numCache>
            </c:numRef>
          </c:val>
          <c:extLst>
            <c:ext xmlns:c16="http://schemas.microsoft.com/office/drawing/2014/chart" uri="{C3380CC4-5D6E-409C-BE32-E72D297353CC}">
              <c16:uniqueId val="{00000001-55DA-46B9-9C54-60B4D4C2BEA3}"/>
            </c:ext>
          </c:extLst>
        </c:ser>
        <c:ser>
          <c:idx val="2"/>
          <c:order val="2"/>
          <c:tx>
            <c:strRef>
              <c:f>Grafy_celkem!$A$129</c:f>
              <c:strCache>
                <c:ptCount val="1"/>
                <c:pt idx="0">
                  <c:v> veřejné zahraniční </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Grafy_celkem!$B$126:$N$126</c:f>
              <c:numCache>
                <c:formatCode>General</c:formatCode>
                <c:ptCount val="2"/>
                <c:pt idx="0">
                  <c:v>2012</c:v>
                </c:pt>
                <c:pt idx="1">
                  <c:v>2022</c:v>
                </c:pt>
              </c:numCache>
            </c:numRef>
          </c:cat>
          <c:val>
            <c:numRef>
              <c:f>Grafy_celkem!$B$129:$N$129</c:f>
              <c:numCache>
                <c:formatCode>0%</c:formatCode>
                <c:ptCount val="2"/>
                <c:pt idx="0">
                  <c:v>0.16061312729044944</c:v>
                </c:pt>
                <c:pt idx="1">
                  <c:v>7.1230262839539232E-2</c:v>
                </c:pt>
              </c:numCache>
            </c:numRef>
          </c:val>
          <c:extLst>
            <c:ext xmlns:c16="http://schemas.microsoft.com/office/drawing/2014/chart" uri="{C3380CC4-5D6E-409C-BE32-E72D297353CC}">
              <c16:uniqueId val="{00000002-55DA-46B9-9C54-60B4D4C2BEA3}"/>
            </c:ext>
          </c:extLst>
        </c:ser>
        <c:ser>
          <c:idx val="3"/>
          <c:order val="3"/>
          <c:tx>
            <c:strRef>
              <c:f>Grafy_celkem!$A$130</c:f>
              <c:strCache>
                <c:ptCount val="1"/>
                <c:pt idx="0">
                  <c:v> ostatní</c:v>
                </c:pt>
              </c:strCache>
            </c:strRef>
          </c:tx>
          <c:invertIfNegative val="0"/>
          <c:cat>
            <c:numRef>
              <c:f>Grafy_celkem!$B$126:$N$126</c:f>
              <c:numCache>
                <c:formatCode>General</c:formatCode>
                <c:ptCount val="2"/>
                <c:pt idx="0">
                  <c:v>2012</c:v>
                </c:pt>
                <c:pt idx="1">
                  <c:v>2022</c:v>
                </c:pt>
              </c:numCache>
            </c:numRef>
          </c:cat>
          <c:val>
            <c:numRef>
              <c:f>Grafy_celkem!$B$130:$N$130</c:f>
              <c:numCache>
                <c:formatCode>0%</c:formatCode>
                <c:ptCount val="2"/>
                <c:pt idx="0">
                  <c:v>9.0867865796525754E-3</c:v>
                </c:pt>
                <c:pt idx="1">
                  <c:v>1.2637858513410323E-2</c:v>
                </c:pt>
              </c:numCache>
            </c:numRef>
          </c:val>
          <c:extLst>
            <c:ext xmlns:c16="http://schemas.microsoft.com/office/drawing/2014/chart" uri="{C3380CC4-5D6E-409C-BE32-E72D297353CC}">
              <c16:uniqueId val="{00000003-55DA-46B9-9C54-60B4D4C2BEA3}"/>
            </c:ext>
          </c:extLst>
        </c:ser>
        <c:dLbls>
          <c:showLegendKey val="0"/>
          <c:showVal val="0"/>
          <c:showCatName val="0"/>
          <c:showSerName val="0"/>
          <c:showPercent val="0"/>
          <c:showBubbleSize val="0"/>
        </c:dLbls>
        <c:gapWidth val="30"/>
        <c:overlap val="100"/>
        <c:axId val="36885632"/>
        <c:axId val="36887168"/>
      </c:barChart>
      <c:catAx>
        <c:axId val="36885632"/>
        <c:scaling>
          <c:orientation val="minMax"/>
        </c:scaling>
        <c:delete val="0"/>
        <c:axPos val="b"/>
        <c:numFmt formatCode="General" sourceLinked="1"/>
        <c:majorTickMark val="out"/>
        <c:minorTickMark val="none"/>
        <c:tickLblPos val="nextTo"/>
        <c:txPr>
          <a:bodyPr/>
          <a:lstStyle/>
          <a:p>
            <a:pPr>
              <a:defRPr sz="800"/>
            </a:pPr>
            <a:endParaRPr lang="cs-CZ"/>
          </a:p>
        </c:txPr>
        <c:crossAx val="36887168"/>
        <c:crosses val="autoZero"/>
        <c:auto val="1"/>
        <c:lblAlgn val="ctr"/>
        <c:lblOffset val="100"/>
        <c:tickLblSkip val="1"/>
        <c:noMultiLvlLbl val="0"/>
      </c:catAx>
      <c:valAx>
        <c:axId val="36887168"/>
        <c:scaling>
          <c:orientation val="minMax"/>
        </c:scaling>
        <c:delete val="0"/>
        <c:axPos val="l"/>
        <c:majorGridlines>
          <c:spPr>
            <a:ln>
              <a:noFill/>
              <a:prstDash val="dash"/>
            </a:ln>
          </c:spPr>
        </c:majorGridlines>
        <c:numFmt formatCode="0%" sourceLinked="1"/>
        <c:majorTickMark val="none"/>
        <c:minorTickMark val="none"/>
        <c:tickLblPos val="none"/>
        <c:spPr>
          <a:ln>
            <a:noFill/>
          </a:ln>
        </c:spPr>
        <c:crossAx val="36885632"/>
        <c:crosses val="autoZero"/>
        <c:crossBetween val="between"/>
        <c:majorUnit val="0.25"/>
        <c:minorUnit val="5.000000000000001E-2"/>
      </c:valAx>
      <c:spPr>
        <a:ln>
          <a:noFill/>
        </a:ln>
      </c:spPr>
    </c:plotArea>
    <c:legend>
      <c:legendPos val="r"/>
      <c:layout>
        <c:manualLayout>
          <c:xMode val="edge"/>
          <c:yMode val="edge"/>
          <c:x val="0.58113181818181803"/>
          <c:y val="7.5112110986126732E-2"/>
          <c:w val="0.39275303030303033"/>
          <c:h val="0.7752804316981774"/>
        </c:manualLayout>
      </c:layout>
      <c:overlay val="0"/>
      <c:spPr>
        <a:ln w="6350">
          <a:solidFill>
            <a:schemeClr val="bg1">
              <a:lumMod val="75000"/>
            </a:schemeClr>
          </a:solidFill>
        </a:ln>
      </c:spPr>
      <c:txPr>
        <a:bodyPr/>
        <a:lstStyle/>
        <a:p>
          <a:pPr>
            <a:defRPr sz="80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0.35439</cdr:x>
      <cdr:y>0.37845</cdr:y>
    </cdr:from>
    <cdr:to>
      <cdr:x>0.67351</cdr:x>
      <cdr:y>0.58371</cdr:y>
    </cdr:to>
    <cdr:sp macro="" textlink="">
      <cdr:nvSpPr>
        <cdr:cNvPr id="2" name="TextovéPole 14"/>
        <cdr:cNvSpPr txBox="1"/>
      </cdr:nvSpPr>
      <cdr:spPr>
        <a:xfrm xmlns:a="http://schemas.openxmlformats.org/drawingml/2006/main">
          <a:off x="701675" y="749300"/>
          <a:ext cx="631835" cy="406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800" b="0">
              <a:latin typeface="Arial" pitchFamily="34" charset="0"/>
              <a:cs typeface="Arial" pitchFamily="34" charset="0"/>
            </a:rPr>
            <a:t>3 457</a:t>
          </a:r>
          <a:r>
            <a:rPr lang="cs-CZ" sz="800" b="0" baseline="0">
              <a:latin typeface="Arial" pitchFamily="34" charset="0"/>
              <a:cs typeface="Arial" pitchFamily="34" charset="0"/>
            </a:rPr>
            <a:t> </a:t>
          </a:r>
        </a:p>
        <a:p xmlns:a="http://schemas.openxmlformats.org/drawingml/2006/main">
          <a:pPr algn="ctr"/>
          <a:r>
            <a:rPr lang="cs-CZ" sz="800" b="0" baseline="0">
              <a:latin typeface="Arial" pitchFamily="34" charset="0"/>
              <a:cs typeface="Arial" pitchFamily="34" charset="0"/>
            </a:rPr>
            <a:t>celkem</a:t>
          </a:r>
          <a:endParaRPr lang="cs-CZ" sz="800" b="0">
            <a:latin typeface="Arial" pitchFamily="34" charset="0"/>
            <a:cs typeface="Arial"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0.37584</cdr:x>
      <cdr:y>0.3812</cdr:y>
    </cdr:from>
    <cdr:to>
      <cdr:x>0.64585</cdr:x>
      <cdr:y>0.5483</cdr:y>
    </cdr:to>
    <cdr:sp macro="" textlink="">
      <cdr:nvSpPr>
        <cdr:cNvPr id="2" name="TextovéPole 14"/>
        <cdr:cNvSpPr txBox="1"/>
      </cdr:nvSpPr>
      <cdr:spPr>
        <a:xfrm xmlns:a="http://schemas.openxmlformats.org/drawingml/2006/main">
          <a:off x="879475" y="927100"/>
          <a:ext cx="631825" cy="406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900" b="0">
              <a:latin typeface="Arial" pitchFamily="34" charset="0"/>
              <a:cs typeface="Arial" pitchFamily="34" charset="0"/>
            </a:rPr>
            <a:t>14 234</a:t>
          </a:r>
          <a:r>
            <a:rPr lang="cs-CZ" sz="900" b="0" baseline="0">
              <a:latin typeface="Arial" pitchFamily="34" charset="0"/>
              <a:cs typeface="Arial" pitchFamily="34" charset="0"/>
            </a:rPr>
            <a:t> </a:t>
          </a:r>
        </a:p>
        <a:p xmlns:a="http://schemas.openxmlformats.org/drawingml/2006/main">
          <a:pPr algn="ctr"/>
          <a:r>
            <a:rPr lang="cs-CZ" sz="900" b="0" baseline="0">
              <a:latin typeface="Arial" pitchFamily="34" charset="0"/>
              <a:cs typeface="Arial" pitchFamily="34" charset="0"/>
            </a:rPr>
            <a:t>celkem</a:t>
          </a:r>
          <a:endParaRPr lang="cs-CZ" sz="900" b="0">
            <a:latin typeface="Arial" pitchFamily="34" charset="0"/>
            <a:cs typeface="Arial"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0.7657</cdr:x>
      <cdr:y>0.04677</cdr:y>
    </cdr:from>
    <cdr:to>
      <cdr:x>0.78834</cdr:x>
      <cdr:y>0.08302</cdr:y>
    </cdr:to>
    <cdr:grpSp>
      <cdr:nvGrpSpPr>
        <cdr:cNvPr id="5" name="Skupina 4"/>
        <cdr:cNvGrpSpPr/>
      </cdr:nvGrpSpPr>
      <cdr:grpSpPr>
        <a:xfrm xmlns:a="http://schemas.openxmlformats.org/drawingml/2006/main">
          <a:off x="4658519" y="151535"/>
          <a:ext cx="137742" cy="117450"/>
          <a:chOff x="6660203" y="2675856"/>
          <a:chExt cx="216024" cy="208773"/>
        </a:xfrm>
      </cdr:grpSpPr>
      <cdr:cxnSp macro="">
        <cdr:nvCxnSpPr>
          <cdr:cNvPr id="6" name="Přímá spojnice 5"/>
          <cdr:cNvCxnSpPr/>
        </cdr:nvCxnSpPr>
        <cdr:spPr>
          <a:xfrm xmlns:a="http://schemas.openxmlformats.org/drawingml/2006/main" flipV="1">
            <a:off x="6660203" y="2675856"/>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Přímá spojnice 6"/>
          <cdr:cNvCxnSpPr/>
        </cdr:nvCxnSpPr>
        <cdr:spPr>
          <a:xfrm xmlns:a="http://schemas.openxmlformats.org/drawingml/2006/main" flipV="1">
            <a:off x="6660203" y="2740613"/>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12.xml><?xml version="1.0" encoding="utf-8"?>
<c:userShapes xmlns:c="http://schemas.openxmlformats.org/drawingml/2006/chart">
  <cdr:relSizeAnchor xmlns:cdr="http://schemas.openxmlformats.org/drawingml/2006/chartDrawing">
    <cdr:from>
      <cdr:x>0.33514</cdr:x>
      <cdr:y>0.37279</cdr:y>
    </cdr:from>
    <cdr:to>
      <cdr:x>0.68615</cdr:x>
      <cdr:y>0.54694</cdr:y>
    </cdr:to>
    <cdr:sp macro="" textlink="">
      <cdr:nvSpPr>
        <cdr:cNvPr id="2" name="TextovéPole 14"/>
        <cdr:cNvSpPr txBox="1"/>
      </cdr:nvSpPr>
      <cdr:spPr>
        <a:xfrm xmlns:a="http://schemas.openxmlformats.org/drawingml/2006/main">
          <a:off x="603250" y="869950"/>
          <a:ext cx="631818" cy="40641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800" b="0">
              <a:latin typeface="Arial" pitchFamily="34" charset="0"/>
              <a:cs typeface="Arial" pitchFamily="34" charset="0"/>
            </a:rPr>
            <a:t>20 845</a:t>
          </a:r>
          <a:r>
            <a:rPr lang="cs-CZ" sz="800" b="0" baseline="0">
              <a:latin typeface="Arial" pitchFamily="34" charset="0"/>
              <a:cs typeface="Arial" pitchFamily="34" charset="0"/>
            </a:rPr>
            <a:t> </a:t>
          </a:r>
        </a:p>
        <a:p xmlns:a="http://schemas.openxmlformats.org/drawingml/2006/main">
          <a:pPr algn="ctr"/>
          <a:r>
            <a:rPr lang="cs-CZ" sz="800" b="0" baseline="0">
              <a:latin typeface="Arial" pitchFamily="34" charset="0"/>
              <a:cs typeface="Arial" pitchFamily="34" charset="0"/>
            </a:rPr>
            <a:t>celkem</a:t>
          </a:r>
          <a:endParaRPr lang="cs-CZ" sz="800" b="0">
            <a:latin typeface="Arial" pitchFamily="34" charset="0"/>
            <a:cs typeface="Arial"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0.33514</cdr:x>
      <cdr:y>0.37279</cdr:y>
    </cdr:from>
    <cdr:to>
      <cdr:x>0.68615</cdr:x>
      <cdr:y>0.54694</cdr:y>
    </cdr:to>
    <cdr:sp macro="" textlink="">
      <cdr:nvSpPr>
        <cdr:cNvPr id="2" name="TextovéPole 14"/>
        <cdr:cNvSpPr txBox="1"/>
      </cdr:nvSpPr>
      <cdr:spPr>
        <a:xfrm xmlns:a="http://schemas.openxmlformats.org/drawingml/2006/main">
          <a:off x="603120" y="869952"/>
          <a:ext cx="631674" cy="40640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800" b="0">
              <a:latin typeface="Arial" pitchFamily="34" charset="0"/>
              <a:cs typeface="Arial" pitchFamily="34" charset="0"/>
            </a:rPr>
            <a:t>20 845</a:t>
          </a:r>
          <a:r>
            <a:rPr lang="cs-CZ" sz="800" b="0" baseline="0">
              <a:latin typeface="Arial" pitchFamily="34" charset="0"/>
              <a:cs typeface="Arial" pitchFamily="34" charset="0"/>
            </a:rPr>
            <a:t> </a:t>
          </a:r>
        </a:p>
        <a:p xmlns:a="http://schemas.openxmlformats.org/drawingml/2006/main">
          <a:pPr algn="ctr"/>
          <a:r>
            <a:rPr lang="cs-CZ" sz="800" b="0" baseline="0">
              <a:latin typeface="Arial" pitchFamily="34" charset="0"/>
              <a:cs typeface="Arial" pitchFamily="34" charset="0"/>
            </a:rPr>
            <a:t>celkem</a:t>
          </a:r>
          <a:endParaRPr lang="cs-CZ" sz="800" b="0">
            <a:latin typeface="Arial" pitchFamily="34" charset="0"/>
            <a:cs typeface="Arial" pitchFamily="34"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0.38399</cdr:x>
      <cdr:y>0.38199</cdr:y>
    </cdr:from>
    <cdr:to>
      <cdr:x>0.65399</cdr:x>
      <cdr:y>0.55662</cdr:y>
    </cdr:to>
    <cdr:sp macro="" textlink="">
      <cdr:nvSpPr>
        <cdr:cNvPr id="2" name="TextovéPole 14"/>
        <cdr:cNvSpPr txBox="1"/>
      </cdr:nvSpPr>
      <cdr:spPr>
        <a:xfrm xmlns:a="http://schemas.openxmlformats.org/drawingml/2006/main">
          <a:off x="898525" y="889000"/>
          <a:ext cx="631818" cy="40641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800" b="0">
              <a:latin typeface="Arial" pitchFamily="34" charset="0"/>
              <a:cs typeface="Arial" pitchFamily="34" charset="0"/>
            </a:rPr>
            <a:t>20 845</a:t>
          </a:r>
          <a:r>
            <a:rPr lang="cs-CZ" sz="800" b="0" baseline="0">
              <a:latin typeface="Arial" pitchFamily="34" charset="0"/>
              <a:cs typeface="Arial" pitchFamily="34" charset="0"/>
            </a:rPr>
            <a:t> </a:t>
          </a:r>
        </a:p>
        <a:p xmlns:a="http://schemas.openxmlformats.org/drawingml/2006/main">
          <a:pPr algn="ctr"/>
          <a:r>
            <a:rPr lang="cs-CZ" sz="800" b="0" baseline="0">
              <a:latin typeface="Arial" pitchFamily="34" charset="0"/>
              <a:cs typeface="Arial" pitchFamily="34" charset="0"/>
            </a:rPr>
            <a:t>celkem</a:t>
          </a:r>
          <a:endParaRPr lang="cs-CZ" sz="800" b="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0.356</cdr:x>
      <cdr:y>0.36081</cdr:y>
    </cdr:from>
    <cdr:to>
      <cdr:x>0.67512</cdr:x>
      <cdr:y>0.56607</cdr:y>
    </cdr:to>
    <cdr:sp macro="" textlink="">
      <cdr:nvSpPr>
        <cdr:cNvPr id="2" name="TextovéPole 14"/>
        <cdr:cNvSpPr txBox="1"/>
      </cdr:nvSpPr>
      <cdr:spPr>
        <a:xfrm xmlns:a="http://schemas.openxmlformats.org/drawingml/2006/main">
          <a:off x="704850" y="714375"/>
          <a:ext cx="631835" cy="406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800" b="0">
              <a:latin typeface="Arial" pitchFamily="34" charset="0"/>
              <a:cs typeface="Arial" pitchFamily="34" charset="0"/>
            </a:rPr>
            <a:t>3 457</a:t>
          </a:r>
          <a:r>
            <a:rPr lang="cs-CZ" sz="800" b="0" baseline="0">
              <a:latin typeface="Arial" pitchFamily="34" charset="0"/>
              <a:cs typeface="Arial" pitchFamily="34" charset="0"/>
            </a:rPr>
            <a:t> </a:t>
          </a:r>
        </a:p>
        <a:p xmlns:a="http://schemas.openxmlformats.org/drawingml/2006/main">
          <a:pPr algn="ctr"/>
          <a:r>
            <a:rPr lang="cs-CZ" sz="800" b="0" baseline="0">
              <a:latin typeface="Arial" pitchFamily="34" charset="0"/>
              <a:cs typeface="Arial" pitchFamily="34" charset="0"/>
            </a:rPr>
            <a:t>celkem</a:t>
          </a:r>
          <a:endParaRPr lang="cs-CZ" sz="800" b="0">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0.7657</cdr:x>
      <cdr:y>0.04677</cdr:y>
    </cdr:from>
    <cdr:to>
      <cdr:x>0.78834</cdr:x>
      <cdr:y>0.08302</cdr:y>
    </cdr:to>
    <cdr:grpSp>
      <cdr:nvGrpSpPr>
        <cdr:cNvPr id="5" name="Skupina 4"/>
        <cdr:cNvGrpSpPr/>
      </cdr:nvGrpSpPr>
      <cdr:grpSpPr>
        <a:xfrm xmlns:a="http://schemas.openxmlformats.org/drawingml/2006/main">
          <a:off x="4658519" y="144800"/>
          <a:ext cx="137742" cy="112230"/>
          <a:chOff x="6660203" y="2675856"/>
          <a:chExt cx="216024" cy="208773"/>
        </a:xfrm>
      </cdr:grpSpPr>
      <cdr:cxnSp macro="">
        <cdr:nvCxnSpPr>
          <cdr:cNvPr id="6" name="Přímá spojnice 5"/>
          <cdr:cNvCxnSpPr/>
        </cdr:nvCxnSpPr>
        <cdr:spPr>
          <a:xfrm xmlns:a="http://schemas.openxmlformats.org/drawingml/2006/main" flipV="1">
            <a:off x="6660203" y="2675856"/>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Přímá spojnice 6"/>
          <cdr:cNvCxnSpPr/>
        </cdr:nvCxnSpPr>
        <cdr:spPr>
          <a:xfrm xmlns:a="http://schemas.openxmlformats.org/drawingml/2006/main" flipV="1">
            <a:off x="6660203" y="2740613"/>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4.xml><?xml version="1.0" encoding="utf-8"?>
<c:userShapes xmlns:c="http://schemas.openxmlformats.org/drawingml/2006/chart">
  <cdr:relSizeAnchor xmlns:cdr="http://schemas.openxmlformats.org/drawingml/2006/chartDrawing">
    <cdr:from>
      <cdr:x>0.7657</cdr:x>
      <cdr:y>0.04677</cdr:y>
    </cdr:from>
    <cdr:to>
      <cdr:x>0.78834</cdr:x>
      <cdr:y>0.08302</cdr:y>
    </cdr:to>
    <cdr:grpSp>
      <cdr:nvGrpSpPr>
        <cdr:cNvPr id="5" name="Skupina 4"/>
        <cdr:cNvGrpSpPr/>
      </cdr:nvGrpSpPr>
      <cdr:grpSpPr>
        <a:xfrm xmlns:a="http://schemas.openxmlformats.org/drawingml/2006/main">
          <a:off x="4658519" y="143116"/>
          <a:ext cx="137742" cy="110925"/>
          <a:chOff x="6660203" y="2675856"/>
          <a:chExt cx="216024" cy="208773"/>
        </a:xfrm>
      </cdr:grpSpPr>
      <cdr:cxnSp macro="">
        <cdr:nvCxnSpPr>
          <cdr:cNvPr id="6" name="Přímá spojnice 5"/>
          <cdr:cNvCxnSpPr/>
        </cdr:nvCxnSpPr>
        <cdr:spPr>
          <a:xfrm xmlns:a="http://schemas.openxmlformats.org/drawingml/2006/main" flipV="1">
            <a:off x="6660203" y="2675856"/>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Přímá spojnice 6"/>
          <cdr:cNvCxnSpPr/>
        </cdr:nvCxnSpPr>
        <cdr:spPr>
          <a:xfrm xmlns:a="http://schemas.openxmlformats.org/drawingml/2006/main" flipV="1">
            <a:off x="6660203" y="2740613"/>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5.xml><?xml version="1.0" encoding="utf-8"?>
<c:userShapes xmlns:c="http://schemas.openxmlformats.org/drawingml/2006/chart">
  <cdr:relSizeAnchor xmlns:cdr="http://schemas.openxmlformats.org/drawingml/2006/chartDrawing">
    <cdr:from>
      <cdr:x>0.36344</cdr:x>
      <cdr:y>0.37213</cdr:y>
    </cdr:from>
    <cdr:to>
      <cdr:x>0.66606</cdr:x>
      <cdr:y>0.5283</cdr:y>
    </cdr:to>
    <cdr:sp macro="" textlink="">
      <cdr:nvSpPr>
        <cdr:cNvPr id="2" name="TextovéPole 14"/>
        <cdr:cNvSpPr txBox="1"/>
      </cdr:nvSpPr>
      <cdr:spPr>
        <a:xfrm xmlns:a="http://schemas.openxmlformats.org/drawingml/2006/main">
          <a:off x="758823" y="968366"/>
          <a:ext cx="631835" cy="40639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800" b="0">
              <a:latin typeface="Arial" pitchFamily="34" charset="0"/>
              <a:cs typeface="Arial" pitchFamily="34" charset="0"/>
            </a:rPr>
            <a:t>2 886</a:t>
          </a:r>
          <a:r>
            <a:rPr lang="cs-CZ" sz="800" b="0" baseline="0">
              <a:latin typeface="Arial" pitchFamily="34" charset="0"/>
              <a:cs typeface="Arial" pitchFamily="34" charset="0"/>
            </a:rPr>
            <a:t> </a:t>
          </a:r>
        </a:p>
        <a:p xmlns:a="http://schemas.openxmlformats.org/drawingml/2006/main">
          <a:pPr algn="ctr"/>
          <a:r>
            <a:rPr lang="cs-CZ" sz="800" b="0" baseline="0">
              <a:latin typeface="Arial" pitchFamily="34" charset="0"/>
              <a:cs typeface="Arial" pitchFamily="34" charset="0"/>
            </a:rPr>
            <a:t>celkem</a:t>
          </a:r>
          <a:endParaRPr lang="cs-CZ" sz="800" b="0">
            <a:latin typeface="Arial" pitchFamily="34" charset="0"/>
            <a:cs typeface="Arial"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0.39607</cdr:x>
      <cdr:y>0.34895</cdr:y>
    </cdr:from>
    <cdr:to>
      <cdr:x>0.66645</cdr:x>
      <cdr:y>0.50512</cdr:y>
    </cdr:to>
    <cdr:sp macro="" textlink="">
      <cdr:nvSpPr>
        <cdr:cNvPr id="2" name="TextovéPole 14"/>
        <cdr:cNvSpPr txBox="1"/>
      </cdr:nvSpPr>
      <cdr:spPr>
        <a:xfrm xmlns:a="http://schemas.openxmlformats.org/drawingml/2006/main">
          <a:off x="855365" y="908053"/>
          <a:ext cx="583922" cy="40639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800" b="0">
              <a:latin typeface="Arial" pitchFamily="34" charset="0"/>
              <a:cs typeface="Arial" pitchFamily="34" charset="0"/>
            </a:rPr>
            <a:t>2 886</a:t>
          </a:r>
          <a:r>
            <a:rPr lang="cs-CZ" sz="800" b="0" baseline="0">
              <a:latin typeface="Arial" pitchFamily="34" charset="0"/>
              <a:cs typeface="Arial" pitchFamily="34" charset="0"/>
            </a:rPr>
            <a:t> </a:t>
          </a:r>
        </a:p>
        <a:p xmlns:a="http://schemas.openxmlformats.org/drawingml/2006/main">
          <a:pPr algn="ctr"/>
          <a:r>
            <a:rPr lang="cs-CZ" sz="800" b="0" baseline="0">
              <a:latin typeface="Arial" pitchFamily="34" charset="0"/>
              <a:cs typeface="Arial" pitchFamily="34" charset="0"/>
            </a:rPr>
            <a:t>celkem</a:t>
          </a:r>
          <a:endParaRPr lang="cs-CZ" sz="800" b="0">
            <a:latin typeface="Arial" pitchFamily="34" charset="0"/>
            <a:cs typeface="Arial"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0.7657</cdr:x>
      <cdr:y>0.04677</cdr:y>
    </cdr:from>
    <cdr:to>
      <cdr:x>0.78834</cdr:x>
      <cdr:y>0.08302</cdr:y>
    </cdr:to>
    <cdr:grpSp>
      <cdr:nvGrpSpPr>
        <cdr:cNvPr id="5" name="Skupina 4"/>
        <cdr:cNvGrpSpPr/>
      </cdr:nvGrpSpPr>
      <cdr:grpSpPr>
        <a:xfrm xmlns:a="http://schemas.openxmlformats.org/drawingml/2006/main">
          <a:off x="4658519" y="151535"/>
          <a:ext cx="137742" cy="117450"/>
          <a:chOff x="6660203" y="2675856"/>
          <a:chExt cx="216024" cy="208773"/>
        </a:xfrm>
      </cdr:grpSpPr>
      <cdr:cxnSp macro="">
        <cdr:nvCxnSpPr>
          <cdr:cNvPr id="6" name="Přímá spojnice 5"/>
          <cdr:cNvCxnSpPr/>
        </cdr:nvCxnSpPr>
        <cdr:spPr>
          <a:xfrm xmlns:a="http://schemas.openxmlformats.org/drawingml/2006/main" flipV="1">
            <a:off x="6660203" y="2675856"/>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Přímá spojnice 6"/>
          <cdr:cNvCxnSpPr/>
        </cdr:nvCxnSpPr>
        <cdr:spPr>
          <a:xfrm xmlns:a="http://schemas.openxmlformats.org/drawingml/2006/main" flipV="1">
            <a:off x="6660203" y="2740613"/>
            <a:ext cx="216024" cy="144016"/>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8.xml><?xml version="1.0" encoding="utf-8"?>
<c:userShapes xmlns:c="http://schemas.openxmlformats.org/drawingml/2006/chart">
  <cdr:relSizeAnchor xmlns:cdr="http://schemas.openxmlformats.org/drawingml/2006/chartDrawing">
    <cdr:from>
      <cdr:x>0.33514</cdr:x>
      <cdr:y>0.3802</cdr:y>
    </cdr:from>
    <cdr:to>
      <cdr:x>0.68615</cdr:x>
      <cdr:y>0.54687</cdr:y>
    </cdr:to>
    <cdr:sp macro="" textlink="">
      <cdr:nvSpPr>
        <cdr:cNvPr id="2" name="TextovéPole 14"/>
        <cdr:cNvSpPr txBox="1"/>
      </cdr:nvSpPr>
      <cdr:spPr>
        <a:xfrm xmlns:a="http://schemas.openxmlformats.org/drawingml/2006/main">
          <a:off x="603250" y="927100"/>
          <a:ext cx="631825" cy="406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900" b="0">
              <a:latin typeface="Arial" pitchFamily="34" charset="0"/>
              <a:cs typeface="Arial" pitchFamily="34" charset="0"/>
            </a:rPr>
            <a:t>14 234</a:t>
          </a:r>
          <a:r>
            <a:rPr lang="cs-CZ" sz="900" b="0" baseline="0">
              <a:latin typeface="Arial" pitchFamily="34" charset="0"/>
              <a:cs typeface="Arial" pitchFamily="34" charset="0"/>
            </a:rPr>
            <a:t> </a:t>
          </a:r>
        </a:p>
        <a:p xmlns:a="http://schemas.openxmlformats.org/drawingml/2006/main">
          <a:pPr algn="ctr"/>
          <a:r>
            <a:rPr lang="cs-CZ" sz="900" b="0" baseline="0">
              <a:latin typeface="Arial" pitchFamily="34" charset="0"/>
              <a:cs typeface="Arial" pitchFamily="34" charset="0"/>
            </a:rPr>
            <a:t>celkem</a:t>
          </a:r>
          <a:endParaRPr lang="cs-CZ" sz="900" b="0">
            <a:latin typeface="Arial" pitchFamily="34" charset="0"/>
            <a:cs typeface="Arial"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0.34043</cdr:x>
      <cdr:y>0.37239</cdr:y>
    </cdr:from>
    <cdr:to>
      <cdr:x>0.69144</cdr:x>
      <cdr:y>0.53906</cdr:y>
    </cdr:to>
    <cdr:sp macro="" textlink="">
      <cdr:nvSpPr>
        <cdr:cNvPr id="2" name="TextovéPole 14"/>
        <cdr:cNvSpPr txBox="1"/>
      </cdr:nvSpPr>
      <cdr:spPr>
        <a:xfrm xmlns:a="http://schemas.openxmlformats.org/drawingml/2006/main">
          <a:off x="612775" y="908050"/>
          <a:ext cx="631825" cy="406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900" b="0">
              <a:latin typeface="Arial" pitchFamily="34" charset="0"/>
              <a:cs typeface="Arial" pitchFamily="34" charset="0"/>
            </a:rPr>
            <a:t>14 234</a:t>
          </a:r>
          <a:r>
            <a:rPr lang="cs-CZ" sz="900" b="0" baseline="0">
              <a:latin typeface="Arial" pitchFamily="34" charset="0"/>
              <a:cs typeface="Arial" pitchFamily="34" charset="0"/>
            </a:rPr>
            <a:t> </a:t>
          </a:r>
        </a:p>
        <a:p xmlns:a="http://schemas.openxmlformats.org/drawingml/2006/main">
          <a:pPr algn="ctr"/>
          <a:r>
            <a:rPr lang="cs-CZ" sz="900" b="0" baseline="0">
              <a:latin typeface="Arial" pitchFamily="34" charset="0"/>
              <a:cs typeface="Arial" pitchFamily="34" charset="0"/>
            </a:rPr>
            <a:t>celkem</a:t>
          </a:r>
          <a:endParaRPr lang="cs-CZ" sz="900" b="0">
            <a:latin typeface="Arial" pitchFamily="34" charset="0"/>
            <a:cs typeface="Arial" pitchFamily="34" charset="0"/>
          </a:endParaRP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5E10-ABBF-4479-BABE-203DDB0C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7037</TotalTime>
  <Pages>21</Pages>
  <Words>6989</Words>
  <Characters>41240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Marek Štampach</dc:creator>
  <cp:lastModifiedBy>Štampach Marek</cp:lastModifiedBy>
  <cp:revision>336</cp:revision>
  <cp:lastPrinted>2024-01-24T11:25:00Z</cp:lastPrinted>
  <dcterms:created xsi:type="dcterms:W3CDTF">2022-01-20T14:32:00Z</dcterms:created>
  <dcterms:modified xsi:type="dcterms:W3CDTF">2024-01-24T11:27:00Z</dcterms:modified>
</cp:coreProperties>
</file>