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099B" w14:textId="3BCA63B9" w:rsidR="00B112AC" w:rsidRPr="00B112AC" w:rsidRDefault="00244339" w:rsidP="007D567D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12</w:t>
      </w:r>
      <w:r w:rsidR="006D0540">
        <w:rPr>
          <w:sz w:val="30"/>
          <w:szCs w:val="30"/>
        </w:rPr>
        <w:t xml:space="preserve">.  </w:t>
      </w:r>
      <w:r>
        <w:rPr>
          <w:sz w:val="30"/>
          <w:szCs w:val="30"/>
        </w:rPr>
        <w:t>Pokročilá analýza dat (data analytics)</w:t>
      </w:r>
    </w:p>
    <w:p w14:paraId="50CD48F6" w14:textId="70D3D5DA" w:rsidR="00C16BD2" w:rsidRPr="00C16BD2" w:rsidRDefault="00244339" w:rsidP="00DA7368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Podniky provádí pokročilou analýzu dat</w:t>
      </w:r>
      <w:r w:rsidRPr="00244339">
        <w:t xml:space="preserve"> </w:t>
      </w:r>
      <w:r w:rsidRPr="00244339">
        <w:rPr>
          <w:rFonts w:ascii="Arial" w:hAnsi="Arial" w:cs="Arial"/>
          <w:i/>
          <w:sz w:val="20"/>
          <w:szCs w:val="20"/>
        </w:rPr>
        <w:t>za účelem získání poznatků, zobrazení trendů a jejich použití k</w:t>
      </w:r>
      <w:r w:rsidR="00063E60">
        <w:rPr>
          <w:rFonts w:ascii="Arial" w:hAnsi="Arial" w:cs="Arial"/>
          <w:i/>
          <w:sz w:val="20"/>
          <w:szCs w:val="20"/>
        </w:rPr>
        <w:t> </w:t>
      </w:r>
      <w:r w:rsidRPr="00244339">
        <w:rPr>
          <w:rFonts w:ascii="Arial" w:hAnsi="Arial" w:cs="Arial"/>
          <w:i/>
          <w:sz w:val="20"/>
          <w:szCs w:val="20"/>
        </w:rPr>
        <w:t xml:space="preserve">vyvození informovaných závěrů, předpovědí nebo podpoře rozhodování s cílem zlepšení výkonu </w:t>
      </w:r>
      <w:r>
        <w:rPr>
          <w:rFonts w:ascii="Arial" w:hAnsi="Arial" w:cs="Arial"/>
          <w:i/>
          <w:sz w:val="20"/>
          <w:szCs w:val="20"/>
        </w:rPr>
        <w:t xml:space="preserve">firmy nebo </w:t>
      </w:r>
      <w:r w:rsidRPr="00244339">
        <w:rPr>
          <w:rFonts w:ascii="Arial" w:hAnsi="Arial" w:cs="Arial"/>
          <w:i/>
          <w:sz w:val="20"/>
          <w:szCs w:val="20"/>
        </w:rPr>
        <w:t>modelování budoucnosti</w:t>
      </w:r>
      <w:r w:rsidR="00FB551C">
        <w:rPr>
          <w:rFonts w:ascii="Arial" w:hAnsi="Arial" w:cs="Arial"/>
          <w:i/>
          <w:sz w:val="20"/>
          <w:szCs w:val="20"/>
        </w:rPr>
        <w:t>.</w:t>
      </w:r>
      <w:r w:rsidR="00EB593F">
        <w:rPr>
          <w:rFonts w:ascii="Arial" w:hAnsi="Arial" w:cs="Arial"/>
          <w:i/>
          <w:sz w:val="20"/>
          <w:szCs w:val="20"/>
        </w:rPr>
        <w:t xml:space="preserve"> Data analytics je např. </w:t>
      </w:r>
      <w:r w:rsidR="00EB593F" w:rsidRPr="00EB593F">
        <w:rPr>
          <w:rFonts w:ascii="Arial" w:hAnsi="Arial" w:cs="Arial"/>
          <w:i/>
          <w:sz w:val="20"/>
          <w:szCs w:val="20"/>
        </w:rPr>
        <w:t>použití dat</w:t>
      </w:r>
      <w:r w:rsidR="00EB593F">
        <w:rPr>
          <w:rFonts w:ascii="Arial" w:hAnsi="Arial" w:cs="Arial"/>
          <w:i/>
          <w:sz w:val="20"/>
          <w:szCs w:val="20"/>
        </w:rPr>
        <w:t xml:space="preserve"> z účetnictví</w:t>
      </w:r>
      <w:r w:rsidR="00EB593F" w:rsidRPr="00EB593F">
        <w:rPr>
          <w:rFonts w:ascii="Arial" w:hAnsi="Arial" w:cs="Arial"/>
          <w:i/>
          <w:sz w:val="20"/>
          <w:szCs w:val="20"/>
        </w:rPr>
        <w:t xml:space="preserve"> k předpovídání budoucích výdajů nebo k analýze dopadu potenciálních opatření na snížení nákladů</w:t>
      </w:r>
      <w:r w:rsidR="00EB593F">
        <w:rPr>
          <w:rFonts w:ascii="Arial" w:hAnsi="Arial" w:cs="Arial"/>
          <w:i/>
          <w:sz w:val="20"/>
          <w:szCs w:val="20"/>
        </w:rPr>
        <w:t xml:space="preserve"> nebo </w:t>
      </w:r>
      <w:r w:rsidR="00EB593F" w:rsidRPr="00EB593F">
        <w:rPr>
          <w:rFonts w:ascii="Arial" w:hAnsi="Arial" w:cs="Arial"/>
          <w:i/>
          <w:sz w:val="20"/>
          <w:szCs w:val="20"/>
        </w:rPr>
        <w:t>získávání dalších dat a</w:t>
      </w:r>
      <w:r w:rsidR="00EB593F">
        <w:rPr>
          <w:rFonts w:ascii="Arial" w:hAnsi="Arial" w:cs="Arial"/>
          <w:i/>
          <w:sz w:val="20"/>
          <w:szCs w:val="20"/>
        </w:rPr>
        <w:t xml:space="preserve"> statistik z výpočtů </w:t>
      </w:r>
      <w:r w:rsidR="00EB593F">
        <w:rPr>
          <w:rFonts w:ascii="Arial" w:hAnsi="Arial" w:cs="Arial"/>
          <w:i/>
          <w:sz w:val="20"/>
          <w:szCs w:val="20"/>
        </w:rPr>
        <w:br/>
        <w:t>(např.</w:t>
      </w:r>
      <w:r w:rsidR="00EB593F" w:rsidRPr="00EB593F">
        <w:rPr>
          <w:rFonts w:ascii="Arial" w:hAnsi="Arial" w:cs="Arial"/>
          <w:i/>
          <w:sz w:val="20"/>
          <w:szCs w:val="20"/>
        </w:rPr>
        <w:t xml:space="preserve"> aktivní sledování změn cen)</w:t>
      </w:r>
      <w:r w:rsidR="00EB593F">
        <w:rPr>
          <w:rFonts w:ascii="Arial" w:hAnsi="Arial" w:cs="Arial"/>
          <w:i/>
          <w:sz w:val="20"/>
          <w:szCs w:val="20"/>
        </w:rPr>
        <w:t>.</w:t>
      </w:r>
    </w:p>
    <w:p w14:paraId="6E74F469" w14:textId="77777777" w:rsidR="00B112AC" w:rsidRPr="00B112AC" w:rsidRDefault="00B112AC" w:rsidP="00DA7368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7FEA4EF8" w14:textId="09884777" w:rsidR="00010697" w:rsidRPr="00010697" w:rsidRDefault="00EB593F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Pokročilou analýzu dat prováděla</w:t>
      </w:r>
      <w:r w:rsidR="005705D6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 xml:space="preserve"> roce 2023 </w:t>
      </w:r>
      <w:r w:rsidRPr="000015A9">
        <w:rPr>
          <w:rFonts w:ascii="Arial" w:hAnsi="Arial" w:cs="Arial"/>
          <w:b/>
          <w:sz w:val="20"/>
        </w:rPr>
        <w:t>pětina t</w:t>
      </w:r>
      <w:r w:rsidR="005705D6" w:rsidRPr="000015A9">
        <w:rPr>
          <w:rFonts w:ascii="Arial" w:hAnsi="Arial" w:cs="Arial"/>
          <w:b/>
          <w:sz w:val="20"/>
        </w:rPr>
        <w:t>uzemských firem</w:t>
      </w:r>
      <w:r w:rsidR="005705D6">
        <w:rPr>
          <w:rFonts w:ascii="Arial" w:hAnsi="Arial" w:cs="Arial"/>
          <w:sz w:val="20"/>
        </w:rPr>
        <w:t xml:space="preserve"> s 10 a více zaměstnanci. Velké podniky </w:t>
      </w:r>
      <w:r>
        <w:rPr>
          <w:rFonts w:ascii="Arial" w:hAnsi="Arial" w:cs="Arial"/>
          <w:sz w:val="20"/>
        </w:rPr>
        <w:t>prováděly data analytics</w:t>
      </w:r>
      <w:r w:rsidR="005705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výrazně</w:t>
      </w:r>
      <w:r w:rsidR="005705D6">
        <w:rPr>
          <w:rFonts w:ascii="Arial" w:hAnsi="Arial" w:cs="Arial"/>
          <w:sz w:val="20"/>
        </w:rPr>
        <w:t xml:space="preserve"> častěji než malé firmy (</w:t>
      </w:r>
      <w:r>
        <w:rPr>
          <w:rFonts w:ascii="Arial" w:hAnsi="Arial" w:cs="Arial"/>
          <w:sz w:val="20"/>
        </w:rPr>
        <w:t>52 %</w:t>
      </w:r>
      <w:r w:rsidR="005705D6">
        <w:rPr>
          <w:rFonts w:ascii="Arial" w:hAnsi="Arial" w:cs="Arial"/>
          <w:sz w:val="20"/>
        </w:rPr>
        <w:t xml:space="preserve"> velkých, </w:t>
      </w:r>
      <w:r>
        <w:rPr>
          <w:rFonts w:ascii="Arial" w:hAnsi="Arial" w:cs="Arial"/>
          <w:sz w:val="20"/>
        </w:rPr>
        <w:t>třetina středně velkých a</w:t>
      </w:r>
      <w:r w:rsidR="0001069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15</w:t>
      </w:r>
      <w:r w:rsidR="005705D6">
        <w:rPr>
          <w:rFonts w:ascii="Arial" w:hAnsi="Arial" w:cs="Arial"/>
          <w:sz w:val="20"/>
        </w:rPr>
        <w:t xml:space="preserve"> % malých). </w:t>
      </w:r>
    </w:p>
    <w:p w14:paraId="6B1D9311" w14:textId="60619E14" w:rsidR="005705D6" w:rsidRPr="005705D6" w:rsidRDefault="00522AF7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</w:t>
      </w:r>
      <w:r w:rsidR="00C105CD">
        <w:rPr>
          <w:rFonts w:ascii="Arial" w:hAnsi="Arial" w:cs="Arial"/>
          <w:sz w:val="20"/>
        </w:rPr>
        <w:t xml:space="preserve">okročilou analýzu dat mohou v podnicích provádět </w:t>
      </w:r>
      <w:r w:rsidR="00EB593F" w:rsidRPr="000015A9">
        <w:rPr>
          <w:rFonts w:ascii="Arial" w:hAnsi="Arial" w:cs="Arial"/>
          <w:b/>
          <w:sz w:val="20"/>
        </w:rPr>
        <w:t xml:space="preserve">vlastní zaměstnanci </w:t>
      </w:r>
      <w:r w:rsidR="00EB593F">
        <w:rPr>
          <w:rFonts w:ascii="Arial" w:hAnsi="Arial" w:cs="Arial"/>
          <w:sz w:val="20"/>
        </w:rPr>
        <w:t xml:space="preserve">(datoví analytici) nebo ji pro firmu </w:t>
      </w:r>
      <w:r w:rsidR="00C105CD">
        <w:rPr>
          <w:rFonts w:ascii="Arial" w:hAnsi="Arial" w:cs="Arial"/>
          <w:sz w:val="20"/>
        </w:rPr>
        <w:t>vykonávají</w:t>
      </w:r>
      <w:r w:rsidR="00EB593F">
        <w:rPr>
          <w:rFonts w:ascii="Arial" w:hAnsi="Arial" w:cs="Arial"/>
          <w:sz w:val="20"/>
        </w:rPr>
        <w:t xml:space="preserve"> </w:t>
      </w:r>
      <w:r w:rsidR="00EB593F" w:rsidRPr="00C105CD">
        <w:rPr>
          <w:rFonts w:ascii="Arial" w:hAnsi="Arial" w:cs="Arial"/>
          <w:b/>
          <w:sz w:val="20"/>
        </w:rPr>
        <w:t xml:space="preserve">externí konzultanti </w:t>
      </w:r>
      <w:r w:rsidR="00C105CD">
        <w:rPr>
          <w:rFonts w:ascii="Arial" w:hAnsi="Arial" w:cs="Arial"/>
          <w:sz w:val="20"/>
        </w:rPr>
        <w:t>případně</w:t>
      </w:r>
      <w:r w:rsidR="00EB593F">
        <w:rPr>
          <w:rFonts w:ascii="Arial" w:hAnsi="Arial" w:cs="Arial"/>
          <w:sz w:val="20"/>
        </w:rPr>
        <w:t xml:space="preserve"> </w:t>
      </w:r>
      <w:r w:rsidR="00C105CD">
        <w:rPr>
          <w:rFonts w:ascii="Arial" w:hAnsi="Arial" w:cs="Arial"/>
          <w:sz w:val="20"/>
        </w:rPr>
        <w:t>jiné</w:t>
      </w:r>
      <w:r w:rsidR="00EB593F" w:rsidRPr="000015A9">
        <w:rPr>
          <w:rFonts w:ascii="Arial" w:hAnsi="Arial" w:cs="Arial"/>
          <w:b/>
          <w:sz w:val="20"/>
        </w:rPr>
        <w:t xml:space="preserve"> </w:t>
      </w:r>
      <w:r w:rsidR="00EB593F" w:rsidRPr="00C105CD">
        <w:rPr>
          <w:rFonts w:ascii="Arial" w:hAnsi="Arial" w:cs="Arial"/>
          <w:sz w:val="20"/>
        </w:rPr>
        <w:t>subjekty</w:t>
      </w:r>
      <w:r w:rsidR="00EB593F">
        <w:rPr>
          <w:rFonts w:ascii="Arial" w:hAnsi="Arial" w:cs="Arial"/>
          <w:sz w:val="20"/>
        </w:rPr>
        <w:t>, které se na data analytics specializují.</w:t>
      </w:r>
      <w:r w:rsidR="00FA2251">
        <w:rPr>
          <w:rFonts w:ascii="Arial" w:hAnsi="Arial" w:cs="Arial"/>
          <w:sz w:val="20"/>
        </w:rPr>
        <w:t xml:space="preserve"> V roce 2023 bylo v Česku 18</w:t>
      </w:r>
      <w:r w:rsidR="00383AC2">
        <w:rPr>
          <w:rFonts w:ascii="Arial" w:hAnsi="Arial" w:cs="Arial"/>
          <w:sz w:val="20"/>
        </w:rPr>
        <w:t> </w:t>
      </w:r>
      <w:r w:rsidR="00FA2251">
        <w:rPr>
          <w:rFonts w:ascii="Arial" w:hAnsi="Arial" w:cs="Arial"/>
          <w:sz w:val="20"/>
        </w:rPr>
        <w:t xml:space="preserve">% podniků, </w:t>
      </w:r>
      <w:r w:rsidR="00383AC2">
        <w:rPr>
          <w:rFonts w:ascii="Arial" w:hAnsi="Arial" w:cs="Arial"/>
          <w:sz w:val="20"/>
        </w:rPr>
        <w:t>v nichž</w:t>
      </w:r>
      <w:r w:rsidR="00FA2251">
        <w:rPr>
          <w:rFonts w:ascii="Arial" w:hAnsi="Arial" w:cs="Arial"/>
          <w:sz w:val="20"/>
        </w:rPr>
        <w:t xml:space="preserve"> pokročilou analýzu dat prováděli vlastní zaměstnanci</w:t>
      </w:r>
      <w:r w:rsidR="00383AC2">
        <w:rPr>
          <w:rFonts w:ascii="Arial" w:hAnsi="Arial" w:cs="Arial"/>
          <w:sz w:val="20"/>
        </w:rPr>
        <w:t>.</w:t>
      </w:r>
      <w:r w:rsidR="00FA2251">
        <w:rPr>
          <w:rFonts w:ascii="Arial" w:hAnsi="Arial" w:cs="Arial"/>
          <w:sz w:val="20"/>
        </w:rPr>
        <w:t xml:space="preserve"> </w:t>
      </w:r>
      <w:r w:rsidR="00383AC2">
        <w:rPr>
          <w:rFonts w:ascii="Arial" w:hAnsi="Arial" w:cs="Arial"/>
          <w:sz w:val="20"/>
        </w:rPr>
        <w:t>P</w:t>
      </w:r>
      <w:r w:rsidR="00FA2251">
        <w:rPr>
          <w:rFonts w:ascii="Arial" w:hAnsi="Arial" w:cs="Arial"/>
          <w:sz w:val="20"/>
        </w:rPr>
        <w:t>ro 5 % tuzemských firem, nejčastěji pro velké podniky (13 % z nich)</w:t>
      </w:r>
      <w:r w:rsidR="00383AC2">
        <w:rPr>
          <w:rFonts w:ascii="Arial" w:hAnsi="Arial" w:cs="Arial"/>
          <w:sz w:val="20"/>
        </w:rPr>
        <w:t>,</w:t>
      </w:r>
      <w:r w:rsidR="00FA2251">
        <w:rPr>
          <w:rFonts w:ascii="Arial" w:hAnsi="Arial" w:cs="Arial"/>
          <w:sz w:val="20"/>
        </w:rPr>
        <w:t xml:space="preserve"> prováděl </w:t>
      </w:r>
      <w:r w:rsidR="00383AC2">
        <w:rPr>
          <w:rFonts w:ascii="Arial" w:hAnsi="Arial" w:cs="Arial"/>
          <w:sz w:val="20"/>
        </w:rPr>
        <w:t>tuto</w:t>
      </w:r>
      <w:r w:rsidR="00FA2251">
        <w:rPr>
          <w:rFonts w:ascii="Arial" w:hAnsi="Arial" w:cs="Arial"/>
          <w:sz w:val="20"/>
        </w:rPr>
        <w:t xml:space="preserve"> analýzu dat externí subjekt.</w:t>
      </w:r>
    </w:p>
    <w:p w14:paraId="4AEFADD9" w14:textId="467947A4" w:rsidR="005705D6" w:rsidRPr="00F70B14" w:rsidRDefault="00522AF7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</w:t>
      </w:r>
      <w:r w:rsidR="00EC1A7F">
        <w:rPr>
          <w:rFonts w:ascii="Arial" w:hAnsi="Arial" w:cs="Arial"/>
          <w:sz w:val="20"/>
        </w:rPr>
        <w:t>okročil</w:t>
      </w:r>
      <w:r>
        <w:rPr>
          <w:rFonts w:ascii="Arial" w:hAnsi="Arial" w:cs="Arial"/>
          <w:sz w:val="20"/>
        </w:rPr>
        <w:t>á</w:t>
      </w:r>
      <w:r w:rsidR="00EC1A7F">
        <w:rPr>
          <w:rFonts w:ascii="Arial" w:hAnsi="Arial" w:cs="Arial"/>
          <w:sz w:val="20"/>
        </w:rPr>
        <w:t xml:space="preserve"> analýz</w:t>
      </w:r>
      <w:r>
        <w:rPr>
          <w:rFonts w:ascii="Arial" w:hAnsi="Arial" w:cs="Arial"/>
          <w:sz w:val="20"/>
        </w:rPr>
        <w:t>a</w:t>
      </w:r>
      <w:r w:rsidR="00EC1A7F">
        <w:rPr>
          <w:rFonts w:ascii="Arial" w:hAnsi="Arial" w:cs="Arial"/>
          <w:sz w:val="20"/>
        </w:rPr>
        <w:t xml:space="preserve"> dat je nejvíce </w:t>
      </w:r>
      <w:r>
        <w:rPr>
          <w:rFonts w:ascii="Arial" w:hAnsi="Arial" w:cs="Arial"/>
          <w:sz w:val="20"/>
        </w:rPr>
        <w:t xml:space="preserve">typická </w:t>
      </w:r>
      <w:r w:rsidR="00EC1A7F">
        <w:rPr>
          <w:rFonts w:ascii="Arial" w:hAnsi="Arial" w:cs="Arial"/>
          <w:sz w:val="20"/>
        </w:rPr>
        <w:t xml:space="preserve">pro </w:t>
      </w:r>
      <w:r w:rsidR="0062359F">
        <w:rPr>
          <w:rFonts w:ascii="Arial" w:hAnsi="Arial" w:cs="Arial"/>
          <w:sz w:val="20"/>
        </w:rPr>
        <w:t xml:space="preserve">podniky </w:t>
      </w:r>
      <w:r w:rsidR="0062359F" w:rsidRPr="000015A9">
        <w:rPr>
          <w:rFonts w:ascii="Arial" w:hAnsi="Arial" w:cs="Arial"/>
          <w:b/>
          <w:sz w:val="20"/>
        </w:rPr>
        <w:t>působící v IT</w:t>
      </w:r>
      <w:r w:rsidR="0062359F">
        <w:rPr>
          <w:rFonts w:ascii="Arial" w:hAnsi="Arial" w:cs="Arial"/>
          <w:sz w:val="20"/>
        </w:rPr>
        <w:t xml:space="preserve"> (data analytics </w:t>
      </w:r>
      <w:r>
        <w:rPr>
          <w:rFonts w:ascii="Arial" w:hAnsi="Arial" w:cs="Arial"/>
          <w:sz w:val="20"/>
        </w:rPr>
        <w:t>zde</w:t>
      </w:r>
      <w:r w:rsidR="00274394">
        <w:rPr>
          <w:rFonts w:ascii="Arial" w:hAnsi="Arial" w:cs="Arial"/>
          <w:sz w:val="20"/>
        </w:rPr>
        <w:t xml:space="preserve"> v roce 2023</w:t>
      </w:r>
      <w:r>
        <w:rPr>
          <w:rFonts w:ascii="Arial" w:hAnsi="Arial" w:cs="Arial"/>
          <w:sz w:val="20"/>
        </w:rPr>
        <w:t xml:space="preserve"> </w:t>
      </w:r>
      <w:r w:rsidR="0062359F">
        <w:rPr>
          <w:rFonts w:ascii="Arial" w:hAnsi="Arial" w:cs="Arial"/>
          <w:sz w:val="20"/>
        </w:rPr>
        <w:t>provád</w:t>
      </w:r>
      <w:r w:rsidR="00274394">
        <w:rPr>
          <w:rFonts w:ascii="Arial" w:hAnsi="Arial" w:cs="Arial"/>
          <w:sz w:val="20"/>
        </w:rPr>
        <w:t>ělo</w:t>
      </w:r>
      <w:r w:rsidR="00EC1A7F">
        <w:rPr>
          <w:rFonts w:ascii="Arial" w:hAnsi="Arial" w:cs="Arial"/>
          <w:sz w:val="20"/>
        </w:rPr>
        <w:t xml:space="preserve"> 43 %</w:t>
      </w:r>
      <w:r w:rsidR="00383AC2">
        <w:rPr>
          <w:rFonts w:ascii="Arial" w:hAnsi="Arial" w:cs="Arial"/>
          <w:sz w:val="20"/>
        </w:rPr>
        <w:t xml:space="preserve"> podniků s 10 a více zaměstnanci v Česku</w:t>
      </w:r>
      <w:r w:rsidR="00EC1A7F">
        <w:rPr>
          <w:rFonts w:ascii="Arial" w:hAnsi="Arial" w:cs="Arial"/>
          <w:sz w:val="20"/>
        </w:rPr>
        <w:t xml:space="preserve">) a pro podniky působící </w:t>
      </w:r>
      <w:r>
        <w:rPr>
          <w:rFonts w:ascii="Arial" w:hAnsi="Arial" w:cs="Arial"/>
          <w:sz w:val="20"/>
        </w:rPr>
        <w:t xml:space="preserve">v </w:t>
      </w:r>
      <w:r w:rsidR="00EC1A7F" w:rsidRPr="000015A9">
        <w:rPr>
          <w:rFonts w:ascii="Arial" w:hAnsi="Arial" w:cs="Arial"/>
          <w:b/>
          <w:sz w:val="20"/>
        </w:rPr>
        <w:t>energetice</w:t>
      </w:r>
      <w:r w:rsidR="00EC1A7F">
        <w:rPr>
          <w:rFonts w:ascii="Arial" w:hAnsi="Arial" w:cs="Arial"/>
          <w:sz w:val="20"/>
        </w:rPr>
        <w:t>, konkrétně v odvětví nazvaném Výroba a</w:t>
      </w:r>
      <w:r w:rsidR="000200F2">
        <w:rPr>
          <w:rFonts w:ascii="Arial" w:hAnsi="Arial" w:cs="Arial"/>
          <w:sz w:val="20"/>
        </w:rPr>
        <w:t> </w:t>
      </w:r>
      <w:r w:rsidR="00EC1A7F">
        <w:rPr>
          <w:rFonts w:ascii="Arial" w:hAnsi="Arial" w:cs="Arial"/>
          <w:sz w:val="20"/>
        </w:rPr>
        <w:t>rozvod elektřiny, plynu a tepla (NACE 35: 45 % podniků).</w:t>
      </w:r>
    </w:p>
    <w:p w14:paraId="059BF57F" w14:textId="3F5A1D1E" w:rsidR="00F70B14" w:rsidRPr="002554E5" w:rsidRDefault="00522AF7" w:rsidP="00FB55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</w:t>
      </w:r>
      <w:r w:rsidRPr="00AC7724">
        <w:rPr>
          <w:rFonts w:ascii="Arial" w:hAnsi="Arial" w:cs="Arial"/>
          <w:sz w:val="20"/>
        </w:rPr>
        <w:t xml:space="preserve"> průměru zemí EU27 </w:t>
      </w:r>
      <w:r>
        <w:rPr>
          <w:rFonts w:ascii="Arial" w:hAnsi="Arial" w:cs="Arial"/>
          <w:sz w:val="20"/>
        </w:rPr>
        <w:t>provádělo p</w:t>
      </w:r>
      <w:r w:rsidR="00AC7724" w:rsidRPr="00AC7724">
        <w:rPr>
          <w:rFonts w:ascii="Arial" w:hAnsi="Arial" w:cs="Arial"/>
          <w:sz w:val="20"/>
        </w:rPr>
        <w:t>okročilou analýzu dat</w:t>
      </w:r>
      <w:r>
        <w:rPr>
          <w:rFonts w:ascii="Arial" w:hAnsi="Arial" w:cs="Arial"/>
          <w:sz w:val="20"/>
        </w:rPr>
        <w:t xml:space="preserve"> </w:t>
      </w:r>
      <w:r w:rsidR="00AC7724" w:rsidRPr="00AC7724">
        <w:rPr>
          <w:rFonts w:ascii="Arial" w:hAnsi="Arial" w:cs="Arial"/>
          <w:sz w:val="20"/>
        </w:rPr>
        <w:t>33 %</w:t>
      </w:r>
      <w:r w:rsidR="00F70B14" w:rsidRPr="00AC7724">
        <w:rPr>
          <w:rFonts w:ascii="Arial" w:hAnsi="Arial" w:cs="Arial"/>
          <w:sz w:val="20"/>
        </w:rPr>
        <w:t xml:space="preserve"> podniků s více než </w:t>
      </w:r>
      <w:r w:rsidR="00B13BD5" w:rsidRPr="00AC7724">
        <w:rPr>
          <w:rFonts w:ascii="Arial" w:hAnsi="Arial" w:cs="Arial"/>
          <w:sz w:val="20"/>
        </w:rPr>
        <w:t>deseti</w:t>
      </w:r>
      <w:r w:rsidR="00AC7724" w:rsidRPr="00AC7724">
        <w:rPr>
          <w:rFonts w:ascii="Arial" w:hAnsi="Arial" w:cs="Arial"/>
          <w:sz w:val="20"/>
        </w:rPr>
        <w:t xml:space="preserve"> zaměstnanci, nejčastěji </w:t>
      </w:r>
      <w:r w:rsidR="00A11976" w:rsidRPr="00AC7724">
        <w:rPr>
          <w:rFonts w:ascii="Arial" w:hAnsi="Arial" w:cs="Arial"/>
          <w:sz w:val="20"/>
        </w:rPr>
        <w:t xml:space="preserve">podniky </w:t>
      </w:r>
      <w:r w:rsidR="00AC7724" w:rsidRPr="00AC7724">
        <w:rPr>
          <w:rFonts w:ascii="Arial" w:hAnsi="Arial" w:cs="Arial"/>
          <w:sz w:val="20"/>
        </w:rPr>
        <w:t>v Maďarsku a v Chorvatsku</w:t>
      </w:r>
      <w:r w:rsidR="00A11976" w:rsidRPr="00AC7724">
        <w:rPr>
          <w:rFonts w:ascii="Arial" w:hAnsi="Arial" w:cs="Arial"/>
          <w:sz w:val="20"/>
        </w:rPr>
        <w:t xml:space="preserve"> (</w:t>
      </w:r>
      <w:r w:rsidR="000C2204" w:rsidRPr="00AC7724">
        <w:rPr>
          <w:rFonts w:ascii="Arial" w:hAnsi="Arial" w:cs="Arial"/>
          <w:sz w:val="20"/>
        </w:rPr>
        <w:t xml:space="preserve">v každé z těchto zemí </w:t>
      </w:r>
      <w:r w:rsidR="00AC7724" w:rsidRPr="00AC7724">
        <w:rPr>
          <w:rFonts w:ascii="Arial" w:hAnsi="Arial" w:cs="Arial"/>
          <w:sz w:val="20"/>
        </w:rPr>
        <w:t>více než 52</w:t>
      </w:r>
      <w:r w:rsidR="00A11976" w:rsidRPr="00AC7724">
        <w:rPr>
          <w:rFonts w:ascii="Arial" w:hAnsi="Arial" w:cs="Arial"/>
          <w:sz w:val="20"/>
        </w:rPr>
        <w:t xml:space="preserve"> %</w:t>
      </w:r>
      <w:r w:rsidR="00AC7724" w:rsidRPr="00AC7724">
        <w:rPr>
          <w:rFonts w:ascii="Arial" w:hAnsi="Arial" w:cs="Arial"/>
          <w:sz w:val="20"/>
        </w:rPr>
        <w:t xml:space="preserve"> podniků</w:t>
      </w:r>
      <w:r w:rsidR="00A11976" w:rsidRPr="00AC7724">
        <w:rPr>
          <w:rFonts w:ascii="Arial" w:hAnsi="Arial" w:cs="Arial"/>
          <w:sz w:val="20"/>
        </w:rPr>
        <w:t>), relativně nejméně naopak podniky ve Slovinsku</w:t>
      </w:r>
      <w:r w:rsidR="00AC7724" w:rsidRPr="00AC7724">
        <w:rPr>
          <w:rFonts w:ascii="Arial" w:hAnsi="Arial" w:cs="Arial"/>
          <w:sz w:val="20"/>
        </w:rPr>
        <w:t>, v Polsku a v Česku</w:t>
      </w:r>
      <w:r w:rsidR="00A11976" w:rsidRPr="00AC7724">
        <w:rPr>
          <w:rFonts w:ascii="Arial" w:hAnsi="Arial" w:cs="Arial"/>
          <w:sz w:val="20"/>
        </w:rPr>
        <w:t xml:space="preserve"> (</w:t>
      </w:r>
      <w:r w:rsidR="00AC7724" w:rsidRPr="00AC7724">
        <w:rPr>
          <w:rFonts w:ascii="Arial" w:hAnsi="Arial" w:cs="Arial"/>
          <w:sz w:val="20"/>
        </w:rPr>
        <w:t xml:space="preserve">19 </w:t>
      </w:r>
      <w:r w:rsidR="00A11976" w:rsidRPr="00AC7724">
        <w:rPr>
          <w:rFonts w:ascii="Arial" w:hAnsi="Arial" w:cs="Arial"/>
          <w:sz w:val="20"/>
        </w:rPr>
        <w:t>%</w:t>
      </w:r>
      <w:r w:rsidR="00AC7724" w:rsidRPr="00AC7724">
        <w:rPr>
          <w:rFonts w:ascii="Arial" w:hAnsi="Arial" w:cs="Arial"/>
          <w:sz w:val="20"/>
        </w:rPr>
        <w:t xml:space="preserve"> podniků v každé zemi</w:t>
      </w:r>
      <w:r w:rsidR="00A11976" w:rsidRPr="00AC7724">
        <w:rPr>
          <w:rFonts w:ascii="Arial" w:hAnsi="Arial" w:cs="Arial"/>
          <w:sz w:val="20"/>
        </w:rPr>
        <w:t>).</w:t>
      </w:r>
    </w:p>
    <w:p w14:paraId="30E6CAB9" w14:textId="64CEE46A" w:rsidR="009C6E91" w:rsidRDefault="002554E5" w:rsidP="001E555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2554E5">
        <w:rPr>
          <w:rFonts w:ascii="Arial" w:hAnsi="Arial" w:cs="Arial"/>
          <w:sz w:val="20"/>
        </w:rPr>
        <w:t xml:space="preserve">U podniků, které uvedly, že pokročilou analýzu dat prováděli v roce 2023 jejich vlastní zaměstnanci, </w:t>
      </w:r>
      <w:r w:rsidR="0044041E">
        <w:rPr>
          <w:rFonts w:ascii="Arial" w:hAnsi="Arial" w:cs="Arial"/>
          <w:sz w:val="20"/>
        </w:rPr>
        <w:t>bylo</w:t>
      </w:r>
      <w:r w:rsidR="0044041E" w:rsidRPr="002554E5">
        <w:rPr>
          <w:rFonts w:ascii="Arial" w:hAnsi="Arial" w:cs="Arial"/>
          <w:sz w:val="20"/>
        </w:rPr>
        <w:t xml:space="preserve"> </w:t>
      </w:r>
      <w:r w:rsidRPr="002554E5">
        <w:rPr>
          <w:rFonts w:ascii="Arial" w:hAnsi="Arial" w:cs="Arial"/>
          <w:sz w:val="20"/>
        </w:rPr>
        <w:t>dále zjišťov</w:t>
      </w:r>
      <w:r w:rsidR="0044041E">
        <w:rPr>
          <w:rFonts w:ascii="Arial" w:hAnsi="Arial" w:cs="Arial"/>
          <w:sz w:val="20"/>
        </w:rPr>
        <w:t>áno</w:t>
      </w:r>
      <w:r w:rsidRPr="002554E5">
        <w:rPr>
          <w:rFonts w:ascii="Arial" w:hAnsi="Arial" w:cs="Arial"/>
          <w:sz w:val="20"/>
        </w:rPr>
        <w:t xml:space="preserve">, z jakých </w:t>
      </w:r>
      <w:r w:rsidRPr="002554E5">
        <w:rPr>
          <w:rFonts w:ascii="Arial" w:hAnsi="Arial" w:cs="Arial"/>
          <w:b/>
          <w:sz w:val="20"/>
        </w:rPr>
        <w:t>datových zdrojů podniky získávaly informace</w:t>
      </w:r>
      <w:r w:rsidRPr="002554E5">
        <w:rPr>
          <w:rFonts w:ascii="Arial" w:hAnsi="Arial" w:cs="Arial"/>
          <w:sz w:val="20"/>
        </w:rPr>
        <w:t xml:space="preserve">. </w:t>
      </w:r>
    </w:p>
    <w:p w14:paraId="50F7E63B" w14:textId="2B15309B" w:rsidR="00AD6980" w:rsidRPr="002554E5" w:rsidRDefault="002554E5" w:rsidP="001E555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2554E5">
        <w:rPr>
          <w:rFonts w:ascii="Arial" w:hAnsi="Arial" w:cs="Arial"/>
          <w:sz w:val="20"/>
        </w:rPr>
        <w:t xml:space="preserve">Nejčastěji </w:t>
      </w:r>
      <w:r w:rsidR="00C105CD">
        <w:rPr>
          <w:rFonts w:ascii="Arial" w:hAnsi="Arial" w:cs="Arial"/>
          <w:sz w:val="20"/>
        </w:rPr>
        <w:t>podniky čerpaly data z</w:t>
      </w:r>
      <w:r w:rsidRPr="002554E5">
        <w:rPr>
          <w:rFonts w:ascii="Arial" w:hAnsi="Arial" w:cs="Arial"/>
          <w:sz w:val="20"/>
        </w:rPr>
        <w:t xml:space="preserve"> </w:t>
      </w:r>
      <w:r w:rsidRPr="002554E5">
        <w:rPr>
          <w:rFonts w:ascii="Arial" w:hAnsi="Arial" w:cs="Arial"/>
          <w:b/>
          <w:sz w:val="20"/>
        </w:rPr>
        <w:t>transakční</w:t>
      </w:r>
      <w:r w:rsidR="00C105CD">
        <w:rPr>
          <w:rFonts w:ascii="Arial" w:hAnsi="Arial" w:cs="Arial"/>
          <w:b/>
          <w:sz w:val="20"/>
        </w:rPr>
        <w:t>ch</w:t>
      </w:r>
      <w:r w:rsidRPr="002554E5">
        <w:rPr>
          <w:rFonts w:ascii="Arial" w:hAnsi="Arial" w:cs="Arial"/>
          <w:b/>
          <w:sz w:val="20"/>
        </w:rPr>
        <w:t xml:space="preserve"> záznam</w:t>
      </w:r>
      <w:r w:rsidR="00C105CD">
        <w:rPr>
          <w:rFonts w:ascii="Arial" w:hAnsi="Arial" w:cs="Arial"/>
          <w:b/>
          <w:sz w:val="20"/>
        </w:rPr>
        <w:t>ů</w:t>
      </w:r>
      <w:r w:rsidRPr="002554E5">
        <w:rPr>
          <w:rFonts w:ascii="Arial" w:hAnsi="Arial" w:cs="Arial"/>
          <w:b/>
          <w:sz w:val="20"/>
        </w:rPr>
        <w:t xml:space="preserve"> z uskutečněných </w:t>
      </w:r>
      <w:r w:rsidR="00C105CD">
        <w:rPr>
          <w:rFonts w:ascii="Arial" w:hAnsi="Arial" w:cs="Arial"/>
          <w:b/>
          <w:sz w:val="20"/>
        </w:rPr>
        <w:t>prodejů</w:t>
      </w:r>
      <w:r w:rsidR="00782388">
        <w:rPr>
          <w:rFonts w:ascii="Arial" w:hAnsi="Arial" w:cs="Arial"/>
          <w:sz w:val="20"/>
        </w:rPr>
        <w:t>. Jedná se</w:t>
      </w:r>
      <w:r w:rsidRPr="002554E5">
        <w:rPr>
          <w:rFonts w:ascii="Arial" w:hAnsi="Arial" w:cs="Arial"/>
          <w:sz w:val="20"/>
        </w:rPr>
        <w:t xml:space="preserve"> </w:t>
      </w:r>
      <w:r w:rsidR="00782388">
        <w:rPr>
          <w:rFonts w:ascii="Arial" w:hAnsi="Arial" w:cs="Arial"/>
          <w:sz w:val="20"/>
        </w:rPr>
        <w:t xml:space="preserve">o </w:t>
      </w:r>
      <w:r w:rsidR="00AD6980" w:rsidRPr="002554E5">
        <w:rPr>
          <w:rFonts w:ascii="Arial" w:hAnsi="Arial" w:cs="Arial"/>
          <w:sz w:val="20"/>
        </w:rPr>
        <w:t>data generovaná různými aplikacemi</w:t>
      </w:r>
      <w:r w:rsidRPr="002554E5">
        <w:rPr>
          <w:rFonts w:ascii="Arial" w:hAnsi="Arial" w:cs="Arial"/>
          <w:sz w:val="20"/>
        </w:rPr>
        <w:t xml:space="preserve"> nebo </w:t>
      </w:r>
      <w:r w:rsidR="00AD6980" w:rsidRPr="002554E5">
        <w:rPr>
          <w:rFonts w:ascii="Arial" w:hAnsi="Arial" w:cs="Arial"/>
          <w:sz w:val="20"/>
        </w:rPr>
        <w:t>systémy (např. ERP systém, vlastní e-shop firmy</w:t>
      </w:r>
      <w:r w:rsidR="00782388">
        <w:rPr>
          <w:rFonts w:ascii="Arial" w:hAnsi="Arial" w:cs="Arial"/>
          <w:sz w:val="20"/>
        </w:rPr>
        <w:t>)</w:t>
      </w:r>
      <w:r w:rsidRPr="002554E5">
        <w:rPr>
          <w:rFonts w:ascii="Arial" w:hAnsi="Arial" w:cs="Arial"/>
          <w:sz w:val="20"/>
        </w:rPr>
        <w:t xml:space="preserve"> ze všech denních transakcí </w:t>
      </w:r>
      <w:r w:rsidR="00AD6980" w:rsidRPr="002554E5">
        <w:rPr>
          <w:rFonts w:ascii="Arial" w:hAnsi="Arial" w:cs="Arial"/>
          <w:sz w:val="20"/>
        </w:rPr>
        <w:t xml:space="preserve">(např. faktury, platební příkazy, skladové </w:t>
      </w:r>
      <w:r w:rsidRPr="002554E5">
        <w:rPr>
          <w:rFonts w:ascii="Arial" w:hAnsi="Arial" w:cs="Arial"/>
          <w:sz w:val="20"/>
        </w:rPr>
        <w:t>záznamy, potvrzení o doručení)</w:t>
      </w:r>
      <w:r w:rsidR="00A103BE">
        <w:rPr>
          <w:rFonts w:ascii="Arial" w:hAnsi="Arial" w:cs="Arial"/>
          <w:sz w:val="20"/>
        </w:rPr>
        <w:t xml:space="preserve">, </w:t>
      </w:r>
      <w:r w:rsidRPr="002554E5">
        <w:rPr>
          <w:rFonts w:ascii="Arial" w:hAnsi="Arial" w:cs="Arial"/>
          <w:sz w:val="20"/>
        </w:rPr>
        <w:t>a kromě přijaté částky se</w:t>
      </w:r>
      <w:r w:rsidR="00274394">
        <w:rPr>
          <w:rFonts w:ascii="Arial" w:hAnsi="Arial" w:cs="Arial"/>
          <w:sz w:val="20"/>
        </w:rPr>
        <w:t xml:space="preserve"> dále</w:t>
      </w:r>
      <w:r w:rsidRPr="002554E5">
        <w:rPr>
          <w:rFonts w:ascii="Arial" w:hAnsi="Arial" w:cs="Arial"/>
          <w:sz w:val="20"/>
        </w:rPr>
        <w:t xml:space="preserve"> eviduje způsob platby</w:t>
      </w:r>
      <w:r w:rsidR="00782388">
        <w:rPr>
          <w:rFonts w:ascii="Arial" w:hAnsi="Arial" w:cs="Arial"/>
          <w:sz w:val="20"/>
        </w:rPr>
        <w:t>,</w:t>
      </w:r>
      <w:r w:rsidR="00C105CD">
        <w:rPr>
          <w:rFonts w:ascii="Arial" w:hAnsi="Arial" w:cs="Arial"/>
          <w:sz w:val="20"/>
        </w:rPr>
        <w:t xml:space="preserve"> </w:t>
      </w:r>
      <w:r w:rsidRPr="002554E5">
        <w:rPr>
          <w:rFonts w:ascii="Arial" w:hAnsi="Arial" w:cs="Arial"/>
          <w:sz w:val="20"/>
        </w:rPr>
        <w:t>čas</w:t>
      </w:r>
      <w:r w:rsidR="00C105CD">
        <w:rPr>
          <w:rFonts w:ascii="Arial" w:hAnsi="Arial" w:cs="Arial"/>
          <w:sz w:val="20"/>
        </w:rPr>
        <w:t xml:space="preserve"> uskutečnění</w:t>
      </w:r>
      <w:r w:rsidRPr="002554E5">
        <w:rPr>
          <w:rFonts w:ascii="Arial" w:hAnsi="Arial" w:cs="Arial"/>
          <w:sz w:val="20"/>
        </w:rPr>
        <w:t xml:space="preserve"> transakce</w:t>
      </w:r>
      <w:r w:rsidR="00782388">
        <w:rPr>
          <w:rFonts w:ascii="Arial" w:hAnsi="Arial" w:cs="Arial"/>
          <w:sz w:val="20"/>
        </w:rPr>
        <w:t xml:space="preserve"> apod</w:t>
      </w:r>
      <w:r w:rsidR="00C105C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Tento zdroj informací využilo pro datovou analýzu celkem 14 % tuzemských podniků s více než 10 zaměstnanci, tedy 79 % těch, které prováděly data analytics.</w:t>
      </w:r>
    </w:p>
    <w:p w14:paraId="773C38EA" w14:textId="5D83BB2E" w:rsidR="00505B03" w:rsidRDefault="00505B03" w:rsidP="00274394">
      <w:pPr>
        <w:numPr>
          <w:ilvl w:val="0"/>
          <w:numId w:val="2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505B03">
        <w:rPr>
          <w:rFonts w:ascii="Arial" w:hAnsi="Arial" w:cs="Arial"/>
          <w:sz w:val="20"/>
        </w:rPr>
        <w:t xml:space="preserve">Pro polovinu podniků s 10 a více zaměstnanci, které prováděly pokročilou analýzu dat, resp. pro 9 % všech </w:t>
      </w:r>
      <w:r w:rsidR="00274394">
        <w:rPr>
          <w:rFonts w:ascii="Arial" w:hAnsi="Arial" w:cs="Arial"/>
          <w:sz w:val="20"/>
        </w:rPr>
        <w:t xml:space="preserve">tuzemských </w:t>
      </w:r>
      <w:r w:rsidRPr="00505B03">
        <w:rPr>
          <w:rFonts w:ascii="Arial" w:hAnsi="Arial" w:cs="Arial"/>
          <w:sz w:val="20"/>
        </w:rPr>
        <w:t>podniků</w:t>
      </w:r>
      <w:r w:rsidR="00E96B33">
        <w:rPr>
          <w:rFonts w:ascii="Arial" w:hAnsi="Arial" w:cs="Arial"/>
          <w:sz w:val="20"/>
        </w:rPr>
        <w:t>,</w:t>
      </w:r>
      <w:r w:rsidRPr="00505B03">
        <w:rPr>
          <w:rFonts w:ascii="Arial" w:hAnsi="Arial" w:cs="Arial"/>
          <w:sz w:val="20"/>
        </w:rPr>
        <w:t xml:space="preserve"> byly vstupními informacemi </w:t>
      </w:r>
      <w:r w:rsidRPr="00505B03">
        <w:rPr>
          <w:rFonts w:ascii="Arial" w:hAnsi="Arial" w:cs="Arial"/>
          <w:b/>
          <w:sz w:val="20"/>
        </w:rPr>
        <w:t>data ze zákaznických databází</w:t>
      </w:r>
      <w:r w:rsidRPr="00505B03">
        <w:rPr>
          <w:rFonts w:ascii="Arial" w:hAnsi="Arial" w:cs="Arial"/>
          <w:sz w:val="20"/>
        </w:rPr>
        <w:t xml:space="preserve">, tedy např. </w:t>
      </w:r>
      <w:r w:rsidR="00274394">
        <w:rPr>
          <w:rFonts w:ascii="Arial" w:hAnsi="Arial" w:cs="Arial"/>
          <w:sz w:val="20"/>
        </w:rPr>
        <w:t xml:space="preserve">informace o zákaznících, jejich preferencích, které poskytuje </w:t>
      </w:r>
      <w:r w:rsidR="001F5DF6" w:rsidRPr="00505B03">
        <w:rPr>
          <w:rFonts w:ascii="Arial" w:hAnsi="Arial" w:cs="Arial"/>
          <w:sz w:val="20"/>
        </w:rPr>
        <w:t>CRM systém</w:t>
      </w:r>
      <w:r w:rsidR="00274394">
        <w:rPr>
          <w:rFonts w:ascii="Arial" w:hAnsi="Arial" w:cs="Arial"/>
          <w:sz w:val="20"/>
        </w:rPr>
        <w:t>. Stejný podíl podniků používaly pro data analytics</w:t>
      </w:r>
      <w:r w:rsidRPr="00505B03">
        <w:rPr>
          <w:rFonts w:ascii="Arial" w:hAnsi="Arial" w:cs="Arial"/>
          <w:sz w:val="20"/>
        </w:rPr>
        <w:t xml:space="preserve"> také </w:t>
      </w:r>
      <w:r w:rsidRPr="00505B03">
        <w:rPr>
          <w:rFonts w:ascii="Arial" w:hAnsi="Arial" w:cs="Arial"/>
          <w:b/>
          <w:sz w:val="20"/>
        </w:rPr>
        <w:t>data generovaná z webových stránek</w:t>
      </w:r>
      <w:r w:rsidR="00274394">
        <w:rPr>
          <w:rFonts w:ascii="Arial" w:hAnsi="Arial" w:cs="Arial"/>
          <w:b/>
          <w:sz w:val="20"/>
        </w:rPr>
        <w:t xml:space="preserve">, </w:t>
      </w:r>
      <w:r w:rsidR="00274394" w:rsidRPr="00274394">
        <w:rPr>
          <w:rFonts w:ascii="Arial" w:hAnsi="Arial" w:cs="Arial"/>
          <w:sz w:val="20"/>
        </w:rPr>
        <w:t xml:space="preserve">kam patří také </w:t>
      </w:r>
      <w:r w:rsidR="00274394" w:rsidRPr="00274394">
        <w:rPr>
          <w:rFonts w:ascii="Arial" w:hAnsi="Arial" w:cs="Arial"/>
          <w:b/>
          <w:sz w:val="20"/>
        </w:rPr>
        <w:t>web scraping</w:t>
      </w:r>
      <w:r w:rsidR="00274394">
        <w:rPr>
          <w:rFonts w:ascii="Arial" w:hAnsi="Arial" w:cs="Arial"/>
          <w:sz w:val="20"/>
        </w:rPr>
        <w:t xml:space="preserve">, tedy </w:t>
      </w:r>
      <w:r w:rsidR="00274394" w:rsidRPr="00274394">
        <w:rPr>
          <w:rFonts w:ascii="Arial" w:hAnsi="Arial" w:cs="Arial"/>
          <w:sz w:val="20"/>
        </w:rPr>
        <w:t xml:space="preserve">technika používaná ke shromažďování </w:t>
      </w:r>
      <w:r w:rsidR="00274394">
        <w:rPr>
          <w:rFonts w:ascii="Arial" w:hAnsi="Arial" w:cs="Arial"/>
          <w:sz w:val="20"/>
        </w:rPr>
        <w:t>nejrůznějších</w:t>
      </w:r>
      <w:r w:rsidR="00274394" w:rsidRPr="00274394">
        <w:rPr>
          <w:rFonts w:ascii="Arial" w:hAnsi="Arial" w:cs="Arial"/>
          <w:sz w:val="20"/>
        </w:rPr>
        <w:t xml:space="preserve"> druhů dat</w:t>
      </w:r>
      <w:r w:rsidR="00274394">
        <w:rPr>
          <w:rFonts w:ascii="Arial" w:hAnsi="Arial" w:cs="Arial"/>
          <w:sz w:val="20"/>
        </w:rPr>
        <w:t xml:space="preserve"> z prostředí webových stránek</w:t>
      </w:r>
      <w:r w:rsidRPr="00274394">
        <w:rPr>
          <w:rFonts w:ascii="Arial" w:hAnsi="Arial" w:cs="Arial"/>
          <w:sz w:val="20"/>
        </w:rPr>
        <w:t>.</w:t>
      </w:r>
      <w:r w:rsidR="00274394" w:rsidRPr="00274394">
        <w:rPr>
          <w:rFonts w:ascii="Arial" w:hAnsi="Arial" w:cs="Arial"/>
          <w:sz w:val="20"/>
        </w:rPr>
        <w:t xml:space="preserve"> Počítačov</w:t>
      </w:r>
      <w:r w:rsidR="00274394">
        <w:rPr>
          <w:rFonts w:ascii="Arial" w:hAnsi="Arial" w:cs="Arial"/>
          <w:sz w:val="20"/>
        </w:rPr>
        <w:t>é</w:t>
      </w:r>
      <w:r w:rsidR="00274394" w:rsidRPr="00274394">
        <w:rPr>
          <w:rFonts w:ascii="Arial" w:hAnsi="Arial" w:cs="Arial"/>
          <w:sz w:val="20"/>
        </w:rPr>
        <w:t xml:space="preserve"> </w:t>
      </w:r>
      <w:r w:rsidR="00274394">
        <w:rPr>
          <w:rFonts w:ascii="Arial" w:hAnsi="Arial" w:cs="Arial"/>
          <w:sz w:val="20"/>
        </w:rPr>
        <w:t>programy</w:t>
      </w:r>
      <w:r w:rsidR="00274394" w:rsidRPr="00274394">
        <w:rPr>
          <w:rFonts w:ascii="Arial" w:hAnsi="Arial" w:cs="Arial"/>
          <w:sz w:val="20"/>
        </w:rPr>
        <w:t xml:space="preserve"> z nich </w:t>
      </w:r>
      <w:r w:rsidR="00274394">
        <w:rPr>
          <w:rFonts w:ascii="Arial" w:hAnsi="Arial" w:cs="Arial"/>
          <w:sz w:val="20"/>
        </w:rPr>
        <w:t>pak</w:t>
      </w:r>
      <w:r w:rsidR="00274394" w:rsidRPr="00274394">
        <w:rPr>
          <w:rFonts w:ascii="Arial" w:hAnsi="Arial" w:cs="Arial"/>
          <w:sz w:val="20"/>
        </w:rPr>
        <w:t xml:space="preserve"> získávají obrovské množství dat ve velmi krátkém čase</w:t>
      </w:r>
      <w:r w:rsidR="00274394">
        <w:rPr>
          <w:rFonts w:ascii="Arial" w:hAnsi="Arial" w:cs="Arial"/>
          <w:sz w:val="20"/>
        </w:rPr>
        <w:t>.</w:t>
      </w:r>
    </w:p>
    <w:p w14:paraId="20A0E2C4" w14:textId="355CF25F" w:rsidR="00505B03" w:rsidRPr="00773848" w:rsidRDefault="007606D9" w:rsidP="006F571C">
      <w:pPr>
        <w:numPr>
          <w:ilvl w:val="0"/>
          <w:numId w:val="2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7606D9">
        <w:rPr>
          <w:rFonts w:ascii="Arial" w:hAnsi="Arial" w:cs="Arial"/>
          <w:sz w:val="20"/>
        </w:rPr>
        <w:t>Necelá</w:t>
      </w:r>
      <w:r w:rsidR="00C105CD">
        <w:rPr>
          <w:rFonts w:ascii="Arial" w:hAnsi="Arial" w:cs="Arial"/>
          <w:sz w:val="20"/>
        </w:rPr>
        <w:t xml:space="preserve"> polovina podniků</w:t>
      </w:r>
      <w:r w:rsidR="00505B03" w:rsidRPr="00773848">
        <w:rPr>
          <w:rFonts w:ascii="Arial" w:hAnsi="Arial" w:cs="Arial"/>
          <w:sz w:val="20"/>
        </w:rPr>
        <w:t xml:space="preserve"> s 10 a více zaměstnanci v Česku </w:t>
      </w:r>
      <w:r w:rsidR="00773848" w:rsidRPr="00773848">
        <w:rPr>
          <w:rFonts w:ascii="Arial" w:hAnsi="Arial" w:cs="Arial"/>
          <w:sz w:val="20"/>
        </w:rPr>
        <w:t>(49 %</w:t>
      </w:r>
      <w:r>
        <w:rPr>
          <w:rFonts w:ascii="Arial" w:hAnsi="Arial" w:cs="Arial"/>
          <w:sz w:val="20"/>
        </w:rPr>
        <w:t xml:space="preserve">), </w:t>
      </w:r>
      <w:r w:rsidR="00773848" w:rsidRPr="00773848">
        <w:rPr>
          <w:rFonts w:ascii="Arial" w:hAnsi="Arial" w:cs="Arial"/>
          <w:sz w:val="20"/>
        </w:rPr>
        <w:t xml:space="preserve"> které prováděly pokročilou analýzu dat</w:t>
      </w:r>
      <w:r w:rsidR="00C105C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resp. </w:t>
      </w:r>
      <w:r w:rsidR="00773848" w:rsidRPr="00773848">
        <w:rPr>
          <w:rFonts w:ascii="Arial" w:hAnsi="Arial" w:cs="Arial"/>
          <w:sz w:val="20"/>
        </w:rPr>
        <w:t>9 % všech tuzemských podniků</w:t>
      </w:r>
      <w:r w:rsidR="00C105CD">
        <w:rPr>
          <w:rFonts w:ascii="Arial" w:hAnsi="Arial" w:cs="Arial"/>
          <w:sz w:val="20"/>
        </w:rPr>
        <w:t>),</w:t>
      </w:r>
      <w:r w:rsidR="00773848" w:rsidRPr="00773848">
        <w:rPr>
          <w:rFonts w:ascii="Arial" w:hAnsi="Arial" w:cs="Arial"/>
          <w:sz w:val="20"/>
        </w:rPr>
        <w:t xml:space="preserve"> v roce 2023 využíval</w:t>
      </w:r>
      <w:r w:rsidR="00C105CD">
        <w:rPr>
          <w:rFonts w:ascii="Arial" w:hAnsi="Arial" w:cs="Arial"/>
          <w:sz w:val="20"/>
        </w:rPr>
        <w:t>a</w:t>
      </w:r>
      <w:r w:rsidR="00773848" w:rsidRPr="00773848">
        <w:rPr>
          <w:rFonts w:ascii="Arial" w:hAnsi="Arial" w:cs="Arial"/>
          <w:sz w:val="20"/>
        </w:rPr>
        <w:t xml:space="preserve"> jako zdroj pro data analytics </w:t>
      </w:r>
      <w:r w:rsidR="00773848">
        <w:rPr>
          <w:rFonts w:ascii="Arial" w:hAnsi="Arial" w:cs="Arial"/>
          <w:sz w:val="20"/>
        </w:rPr>
        <w:t xml:space="preserve">také </w:t>
      </w:r>
      <w:r w:rsidR="00773848" w:rsidRPr="00773848">
        <w:rPr>
          <w:rFonts w:ascii="Arial" w:hAnsi="Arial" w:cs="Arial"/>
          <w:b/>
          <w:sz w:val="20"/>
        </w:rPr>
        <w:t>otevřená data z veřejných registrů</w:t>
      </w:r>
      <w:r w:rsidR="00773848" w:rsidRPr="00773848">
        <w:rPr>
          <w:rFonts w:ascii="Arial" w:hAnsi="Arial" w:cs="Arial"/>
          <w:sz w:val="20"/>
        </w:rPr>
        <w:t>. Tato data jsou vytvářena veřejnými institucemi a jsou volně dostupná každému</w:t>
      </w:r>
      <w:r w:rsidR="007933F9">
        <w:rPr>
          <w:rFonts w:ascii="Arial" w:hAnsi="Arial" w:cs="Arial"/>
          <w:sz w:val="20"/>
        </w:rPr>
        <w:t>.</w:t>
      </w:r>
      <w:r w:rsidR="00773848" w:rsidRPr="00773848">
        <w:rPr>
          <w:rFonts w:ascii="Arial" w:hAnsi="Arial" w:cs="Arial"/>
          <w:sz w:val="20"/>
        </w:rPr>
        <w:t xml:space="preserve"> </w:t>
      </w:r>
      <w:r w:rsidR="00773848">
        <w:rPr>
          <w:rFonts w:ascii="Arial" w:hAnsi="Arial" w:cs="Arial"/>
          <w:sz w:val="20"/>
        </w:rPr>
        <w:t>Může jít n</w:t>
      </w:r>
      <w:r w:rsidR="00773848" w:rsidRPr="00773848">
        <w:rPr>
          <w:rFonts w:ascii="Arial" w:hAnsi="Arial" w:cs="Arial"/>
          <w:sz w:val="20"/>
        </w:rPr>
        <w:t xml:space="preserve">apř. </w:t>
      </w:r>
      <w:r w:rsidR="00773848">
        <w:rPr>
          <w:rFonts w:ascii="Arial" w:hAnsi="Arial" w:cs="Arial"/>
          <w:sz w:val="20"/>
        </w:rPr>
        <w:t xml:space="preserve">o </w:t>
      </w:r>
      <w:r w:rsidR="00773848" w:rsidRPr="00773848">
        <w:rPr>
          <w:rFonts w:ascii="Arial" w:hAnsi="Arial" w:cs="Arial"/>
          <w:sz w:val="20"/>
        </w:rPr>
        <w:t>záznamy</w:t>
      </w:r>
      <w:r w:rsidR="00773848">
        <w:rPr>
          <w:rFonts w:ascii="Arial" w:hAnsi="Arial" w:cs="Arial"/>
          <w:sz w:val="20"/>
        </w:rPr>
        <w:t xml:space="preserve"> nacházející se</w:t>
      </w:r>
      <w:r w:rsidR="00773848" w:rsidRPr="00773848">
        <w:rPr>
          <w:rFonts w:ascii="Arial" w:hAnsi="Arial" w:cs="Arial"/>
          <w:sz w:val="20"/>
        </w:rPr>
        <w:t xml:space="preserve"> v obchodním nebo živnostenském rejstříku, údaje o</w:t>
      </w:r>
      <w:r>
        <w:rPr>
          <w:rFonts w:ascii="Arial" w:hAnsi="Arial" w:cs="Arial"/>
          <w:sz w:val="20"/>
        </w:rPr>
        <w:t> </w:t>
      </w:r>
      <w:r w:rsidR="00773848" w:rsidRPr="00773848">
        <w:rPr>
          <w:rFonts w:ascii="Arial" w:hAnsi="Arial" w:cs="Arial"/>
          <w:sz w:val="20"/>
        </w:rPr>
        <w:t xml:space="preserve">dopravě, bydlení, budovách (katastr nemovitostí) </w:t>
      </w:r>
      <w:r w:rsidR="00C105CD">
        <w:rPr>
          <w:rFonts w:ascii="Arial" w:hAnsi="Arial" w:cs="Arial"/>
          <w:sz w:val="20"/>
        </w:rPr>
        <w:t>atd.</w:t>
      </w:r>
    </w:p>
    <w:p w14:paraId="7C8B51F0" w14:textId="7F9DB341" w:rsidR="004B300D" w:rsidRPr="00FD7996" w:rsidRDefault="00773848" w:rsidP="00940466">
      <w:pPr>
        <w:numPr>
          <w:ilvl w:val="0"/>
          <w:numId w:val="2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FD7996">
        <w:rPr>
          <w:rFonts w:ascii="Arial" w:hAnsi="Arial" w:cs="Arial"/>
          <w:b/>
          <w:sz w:val="20"/>
        </w:rPr>
        <w:t>D</w:t>
      </w:r>
      <w:r w:rsidR="001F5DF6" w:rsidRPr="00FD7996">
        <w:rPr>
          <w:rFonts w:ascii="Arial" w:hAnsi="Arial" w:cs="Arial"/>
          <w:b/>
          <w:sz w:val="20"/>
        </w:rPr>
        <w:t>ata pocházejí</w:t>
      </w:r>
      <w:r w:rsidRPr="00FD7996">
        <w:rPr>
          <w:rFonts w:ascii="Arial" w:hAnsi="Arial" w:cs="Arial"/>
          <w:b/>
          <w:sz w:val="20"/>
        </w:rPr>
        <w:t>cí ze sociálních médií</w:t>
      </w:r>
      <w:r w:rsidRPr="00FD7996">
        <w:rPr>
          <w:rFonts w:ascii="Arial" w:hAnsi="Arial" w:cs="Arial"/>
          <w:sz w:val="20"/>
        </w:rPr>
        <w:t xml:space="preserve">, tedy </w:t>
      </w:r>
      <w:r w:rsidR="00FD7996" w:rsidRPr="00FD7996">
        <w:rPr>
          <w:rFonts w:ascii="Arial" w:hAnsi="Arial" w:cs="Arial"/>
          <w:sz w:val="20"/>
        </w:rPr>
        <w:t xml:space="preserve">např. reakce lidí, jejich </w:t>
      </w:r>
      <w:r w:rsidR="001F5DF6" w:rsidRPr="00FD7996">
        <w:rPr>
          <w:rFonts w:ascii="Arial" w:hAnsi="Arial" w:cs="Arial"/>
          <w:sz w:val="20"/>
        </w:rPr>
        <w:t>komentář</w:t>
      </w:r>
      <w:r w:rsidRPr="00FD7996">
        <w:rPr>
          <w:rFonts w:ascii="Arial" w:hAnsi="Arial" w:cs="Arial"/>
          <w:sz w:val="20"/>
        </w:rPr>
        <w:t xml:space="preserve">e a </w:t>
      </w:r>
      <w:r w:rsidR="001F5DF6" w:rsidRPr="00FD7996">
        <w:rPr>
          <w:rFonts w:ascii="Arial" w:hAnsi="Arial" w:cs="Arial"/>
          <w:sz w:val="20"/>
        </w:rPr>
        <w:t>nahr</w:t>
      </w:r>
      <w:r w:rsidRPr="00FD7996">
        <w:rPr>
          <w:rFonts w:ascii="Arial" w:hAnsi="Arial" w:cs="Arial"/>
          <w:sz w:val="20"/>
        </w:rPr>
        <w:t>ané</w:t>
      </w:r>
      <w:r w:rsidR="001F5DF6" w:rsidRPr="00FD7996">
        <w:rPr>
          <w:rFonts w:ascii="Arial" w:hAnsi="Arial" w:cs="Arial"/>
          <w:sz w:val="20"/>
        </w:rPr>
        <w:t xml:space="preserve"> </w:t>
      </w:r>
      <w:r w:rsidRPr="00FD7996">
        <w:rPr>
          <w:rFonts w:ascii="Arial" w:hAnsi="Arial" w:cs="Arial"/>
          <w:sz w:val="20"/>
        </w:rPr>
        <w:t>příspěvky</w:t>
      </w:r>
      <w:r w:rsidR="00FD7996" w:rsidRPr="00FD7996">
        <w:rPr>
          <w:rFonts w:ascii="Arial" w:hAnsi="Arial" w:cs="Arial"/>
          <w:sz w:val="20"/>
        </w:rPr>
        <w:t>,</w:t>
      </w:r>
      <w:r w:rsidR="001F5DF6" w:rsidRPr="00FD7996">
        <w:rPr>
          <w:rFonts w:ascii="Arial" w:hAnsi="Arial" w:cs="Arial"/>
          <w:sz w:val="20"/>
        </w:rPr>
        <w:t xml:space="preserve"> poskytuj</w:t>
      </w:r>
      <w:r w:rsidR="00FD7996" w:rsidRPr="00FD7996">
        <w:rPr>
          <w:rFonts w:ascii="Arial" w:hAnsi="Arial" w:cs="Arial"/>
          <w:sz w:val="20"/>
        </w:rPr>
        <w:t>í</w:t>
      </w:r>
      <w:r w:rsidR="001F5DF6" w:rsidRPr="00FD7996">
        <w:rPr>
          <w:rFonts w:ascii="Arial" w:hAnsi="Arial" w:cs="Arial"/>
          <w:sz w:val="20"/>
        </w:rPr>
        <w:t xml:space="preserve"> </w:t>
      </w:r>
      <w:r w:rsidR="00FD7996" w:rsidRPr="00FD7996">
        <w:rPr>
          <w:rFonts w:ascii="Arial" w:hAnsi="Arial" w:cs="Arial"/>
          <w:sz w:val="20"/>
        </w:rPr>
        <w:t>cen</w:t>
      </w:r>
      <w:r w:rsidR="001F5DF6" w:rsidRPr="00FD7996">
        <w:rPr>
          <w:rFonts w:ascii="Arial" w:hAnsi="Arial" w:cs="Arial"/>
          <w:sz w:val="20"/>
        </w:rPr>
        <w:t xml:space="preserve">né poznatky o chování a náladě spotřebitelů a </w:t>
      </w:r>
      <w:r w:rsidR="00FD7996" w:rsidRPr="00FD7996">
        <w:rPr>
          <w:rFonts w:ascii="Arial" w:hAnsi="Arial" w:cs="Arial"/>
          <w:sz w:val="20"/>
        </w:rPr>
        <w:t>mají</w:t>
      </w:r>
      <w:r w:rsidR="001F5DF6" w:rsidRPr="00FD7996">
        <w:rPr>
          <w:rFonts w:ascii="Arial" w:hAnsi="Arial" w:cs="Arial"/>
          <w:b/>
          <w:bCs/>
          <w:sz w:val="20"/>
        </w:rPr>
        <w:t xml:space="preserve"> </w:t>
      </w:r>
      <w:r w:rsidR="00FD7996" w:rsidRPr="00FD7996">
        <w:rPr>
          <w:rFonts w:ascii="Arial" w:hAnsi="Arial" w:cs="Arial"/>
          <w:bCs/>
          <w:sz w:val="20"/>
        </w:rPr>
        <w:t xml:space="preserve">velký </w:t>
      </w:r>
      <w:r w:rsidR="00E96B33">
        <w:rPr>
          <w:rFonts w:ascii="Arial" w:hAnsi="Arial" w:cs="Arial"/>
          <w:bCs/>
          <w:sz w:val="20"/>
        </w:rPr>
        <w:t>význam</w:t>
      </w:r>
      <w:r w:rsidR="00E96B33" w:rsidRPr="00FD7996">
        <w:rPr>
          <w:rFonts w:ascii="Arial" w:hAnsi="Arial" w:cs="Arial"/>
          <w:bCs/>
          <w:sz w:val="20"/>
        </w:rPr>
        <w:t xml:space="preserve"> </w:t>
      </w:r>
      <w:r w:rsidR="001F5DF6" w:rsidRPr="00FD7996">
        <w:rPr>
          <w:rFonts w:ascii="Arial" w:hAnsi="Arial" w:cs="Arial"/>
          <w:bCs/>
          <w:sz w:val="20"/>
        </w:rPr>
        <w:t>v marketingové analýze</w:t>
      </w:r>
      <w:r w:rsidR="001F5DF6" w:rsidRPr="00FD7996">
        <w:rPr>
          <w:rFonts w:ascii="Arial" w:hAnsi="Arial" w:cs="Arial"/>
          <w:sz w:val="20"/>
        </w:rPr>
        <w:t xml:space="preserve">. </w:t>
      </w:r>
      <w:r w:rsidR="00FD7996">
        <w:rPr>
          <w:rFonts w:ascii="Arial" w:hAnsi="Arial" w:cs="Arial"/>
          <w:sz w:val="20"/>
        </w:rPr>
        <w:t xml:space="preserve">V roce 2023 </w:t>
      </w:r>
      <w:r w:rsidR="00C105CD">
        <w:rPr>
          <w:rFonts w:ascii="Arial" w:hAnsi="Arial" w:cs="Arial"/>
          <w:sz w:val="20"/>
        </w:rPr>
        <w:t xml:space="preserve">používalo </w:t>
      </w:r>
      <w:r w:rsidR="00FD7996">
        <w:rPr>
          <w:rFonts w:ascii="Arial" w:hAnsi="Arial" w:cs="Arial"/>
          <w:sz w:val="20"/>
        </w:rPr>
        <w:t>pro pokročilou analýzu dat</w:t>
      </w:r>
      <w:r w:rsidR="007606D9">
        <w:rPr>
          <w:rFonts w:ascii="Arial" w:hAnsi="Arial" w:cs="Arial"/>
          <w:sz w:val="20"/>
        </w:rPr>
        <w:t xml:space="preserve"> zdroje ze sociálních médií 36 % podniků, zabývajících</w:t>
      </w:r>
      <w:r w:rsidR="00FD7996">
        <w:rPr>
          <w:rFonts w:ascii="Arial" w:hAnsi="Arial" w:cs="Arial"/>
          <w:sz w:val="20"/>
        </w:rPr>
        <w:t xml:space="preserve"> se touto analýzou, tj. 6 % všech tuzemských podniků s více než 10 zaměstnanci. </w:t>
      </w:r>
    </w:p>
    <w:p w14:paraId="6C366FC9" w14:textId="59FE4D1F" w:rsidR="004B300D" w:rsidRPr="00946D04" w:rsidRDefault="00946D04" w:rsidP="00DC38C7">
      <w:pPr>
        <w:numPr>
          <w:ilvl w:val="0"/>
          <w:numId w:val="2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946D04">
        <w:rPr>
          <w:rFonts w:ascii="Arial" w:hAnsi="Arial" w:cs="Arial"/>
          <w:sz w:val="20"/>
        </w:rPr>
        <w:t>Přibližně čtvrtina podniků</w:t>
      </w:r>
      <w:r w:rsidR="00652137">
        <w:rPr>
          <w:rFonts w:ascii="Arial" w:hAnsi="Arial" w:cs="Arial"/>
          <w:sz w:val="20"/>
        </w:rPr>
        <w:t xml:space="preserve"> s 10 a více zaměstnanci </w:t>
      </w:r>
      <w:r w:rsidRPr="00946D04">
        <w:rPr>
          <w:rFonts w:ascii="Arial" w:hAnsi="Arial" w:cs="Arial"/>
          <w:sz w:val="20"/>
        </w:rPr>
        <w:t>provádějících data analytics (26 %)</w:t>
      </w:r>
      <w:r w:rsidR="00A103BE">
        <w:rPr>
          <w:rFonts w:ascii="Arial" w:hAnsi="Arial" w:cs="Arial"/>
          <w:sz w:val="20"/>
        </w:rPr>
        <w:t>, tedy 5 % všech tuzemských podniků</w:t>
      </w:r>
      <w:r>
        <w:rPr>
          <w:rFonts w:ascii="Arial" w:hAnsi="Arial" w:cs="Arial"/>
          <w:sz w:val="20"/>
        </w:rPr>
        <w:t>,</w:t>
      </w:r>
      <w:r w:rsidRPr="00946D04">
        <w:rPr>
          <w:rFonts w:ascii="Arial" w:hAnsi="Arial" w:cs="Arial"/>
          <w:sz w:val="20"/>
        </w:rPr>
        <w:t xml:space="preserve"> využíval</w:t>
      </w:r>
      <w:r w:rsidR="00A103BE">
        <w:rPr>
          <w:rFonts w:ascii="Arial" w:hAnsi="Arial" w:cs="Arial"/>
          <w:sz w:val="20"/>
        </w:rPr>
        <w:t>o</w:t>
      </w:r>
      <w:r w:rsidRPr="00946D04">
        <w:rPr>
          <w:rFonts w:ascii="Arial" w:hAnsi="Arial" w:cs="Arial"/>
          <w:sz w:val="20"/>
        </w:rPr>
        <w:t xml:space="preserve"> v roce 2023 </w:t>
      </w:r>
      <w:r w:rsidRPr="00946D04">
        <w:rPr>
          <w:rFonts w:ascii="Arial" w:hAnsi="Arial" w:cs="Arial"/>
          <w:b/>
          <w:sz w:val="20"/>
        </w:rPr>
        <w:t>d</w:t>
      </w:r>
      <w:r w:rsidR="001F5DF6" w:rsidRPr="00946D04">
        <w:rPr>
          <w:rFonts w:ascii="Arial" w:hAnsi="Arial" w:cs="Arial"/>
          <w:b/>
          <w:sz w:val="20"/>
        </w:rPr>
        <w:t xml:space="preserve">ata </w:t>
      </w:r>
      <w:r w:rsidRPr="00946D04">
        <w:rPr>
          <w:rFonts w:ascii="Arial" w:hAnsi="Arial" w:cs="Arial"/>
          <w:b/>
          <w:sz w:val="20"/>
        </w:rPr>
        <w:t xml:space="preserve">o poloze </w:t>
      </w:r>
      <w:r w:rsidR="001F5DF6" w:rsidRPr="00946D04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 </w:t>
      </w:r>
      <w:r w:rsidR="001F5DF6" w:rsidRPr="00946D04">
        <w:rPr>
          <w:rFonts w:ascii="Arial" w:hAnsi="Arial" w:cs="Arial"/>
          <w:b/>
          <w:sz w:val="20"/>
        </w:rPr>
        <w:t>přenosných zařízení</w:t>
      </w:r>
      <w:r w:rsidR="00E96B33">
        <w:rPr>
          <w:rFonts w:ascii="Arial" w:hAnsi="Arial" w:cs="Arial"/>
          <w:b/>
          <w:sz w:val="20"/>
        </w:rPr>
        <w:t>,</w:t>
      </w:r>
      <w:r w:rsidR="001F5DF6" w:rsidRPr="00946D04">
        <w:rPr>
          <w:rFonts w:ascii="Arial" w:hAnsi="Arial" w:cs="Arial"/>
          <w:sz w:val="20"/>
        </w:rPr>
        <w:t xml:space="preserve"> </w:t>
      </w:r>
      <w:r w:rsidR="007606D9">
        <w:rPr>
          <w:rFonts w:ascii="Arial" w:hAnsi="Arial" w:cs="Arial"/>
          <w:sz w:val="20"/>
        </w:rPr>
        <w:t>n</w:t>
      </w:r>
      <w:r w:rsidRPr="00946D04">
        <w:rPr>
          <w:rFonts w:ascii="Arial" w:hAnsi="Arial" w:cs="Arial"/>
          <w:sz w:val="20"/>
        </w:rPr>
        <w:t>ejčastěji z </w:t>
      </w:r>
      <w:r w:rsidR="001F5DF6" w:rsidRPr="00946D04">
        <w:rPr>
          <w:rFonts w:ascii="Arial" w:hAnsi="Arial" w:cs="Arial"/>
          <w:sz w:val="20"/>
        </w:rPr>
        <w:t>telefon</w:t>
      </w:r>
      <w:r w:rsidRPr="00946D04">
        <w:rPr>
          <w:rFonts w:ascii="Arial" w:hAnsi="Arial" w:cs="Arial"/>
          <w:sz w:val="20"/>
        </w:rPr>
        <w:t>ů nebo</w:t>
      </w:r>
      <w:r w:rsidR="001F5DF6" w:rsidRPr="00946D04">
        <w:rPr>
          <w:rFonts w:ascii="Arial" w:hAnsi="Arial" w:cs="Arial"/>
          <w:sz w:val="20"/>
        </w:rPr>
        <w:t xml:space="preserve"> navigační</w:t>
      </w:r>
      <w:r w:rsidRPr="00946D04">
        <w:rPr>
          <w:rFonts w:ascii="Arial" w:hAnsi="Arial" w:cs="Arial"/>
          <w:sz w:val="20"/>
        </w:rPr>
        <w:t>ch</w:t>
      </w:r>
      <w:r w:rsidR="001F5DF6" w:rsidRPr="00946D04">
        <w:rPr>
          <w:rFonts w:ascii="Arial" w:hAnsi="Arial" w:cs="Arial"/>
          <w:sz w:val="20"/>
        </w:rPr>
        <w:t xml:space="preserve"> zařízení ve</w:t>
      </w:r>
      <w:r w:rsidRPr="00946D04">
        <w:rPr>
          <w:rFonts w:ascii="Arial" w:hAnsi="Arial" w:cs="Arial"/>
          <w:sz w:val="20"/>
        </w:rPr>
        <w:t xml:space="preserve"> firemních</w:t>
      </w:r>
      <w:r w:rsidR="001F5DF6" w:rsidRPr="00946D04">
        <w:rPr>
          <w:rFonts w:ascii="Arial" w:hAnsi="Arial" w:cs="Arial"/>
          <w:sz w:val="20"/>
        </w:rPr>
        <w:t xml:space="preserve"> vozidlech</w:t>
      </w:r>
      <w:r w:rsidRPr="00946D0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 </w:t>
      </w:r>
      <w:r w:rsidR="00C105CD">
        <w:rPr>
          <w:rFonts w:ascii="Arial" w:hAnsi="Arial" w:cs="Arial"/>
          <w:sz w:val="20"/>
        </w:rPr>
        <w:t>profitoval</w:t>
      </w:r>
      <w:r w:rsidR="00A103BE">
        <w:rPr>
          <w:rFonts w:ascii="Arial" w:hAnsi="Arial" w:cs="Arial"/>
          <w:sz w:val="20"/>
        </w:rPr>
        <w:t>o</w:t>
      </w:r>
      <w:r w:rsidR="00C105CD">
        <w:rPr>
          <w:rFonts w:ascii="Arial" w:hAnsi="Arial" w:cs="Arial"/>
          <w:sz w:val="20"/>
        </w:rPr>
        <w:t xml:space="preserve"> z </w:t>
      </w:r>
      <w:r w:rsidRPr="00946D04">
        <w:rPr>
          <w:rFonts w:ascii="Arial" w:hAnsi="Arial" w:cs="Arial"/>
          <w:sz w:val="20"/>
        </w:rPr>
        <w:t xml:space="preserve">toho, že </w:t>
      </w:r>
      <w:r w:rsidRPr="00946D04">
        <w:rPr>
          <w:rFonts w:ascii="Arial" w:hAnsi="Arial" w:cs="Arial"/>
          <w:b/>
          <w:sz w:val="20"/>
        </w:rPr>
        <w:t>p</w:t>
      </w:r>
      <w:r w:rsidR="001F5DF6" w:rsidRPr="00946D04">
        <w:rPr>
          <w:rFonts w:ascii="Arial" w:hAnsi="Arial" w:cs="Arial"/>
          <w:b/>
          <w:sz w:val="20"/>
        </w:rPr>
        <w:t>řijímače GPS</w:t>
      </w:r>
      <w:r w:rsidR="001F5DF6" w:rsidRPr="00946D04">
        <w:rPr>
          <w:rFonts w:ascii="Arial" w:hAnsi="Arial" w:cs="Arial"/>
          <w:sz w:val="20"/>
        </w:rPr>
        <w:t xml:space="preserve"> dokáž</w:t>
      </w:r>
      <w:r w:rsidR="00525A82">
        <w:rPr>
          <w:rFonts w:ascii="Arial" w:hAnsi="Arial" w:cs="Arial"/>
          <w:sz w:val="20"/>
        </w:rPr>
        <w:t>í</w:t>
      </w:r>
      <w:r w:rsidR="001F5DF6" w:rsidRPr="00946D04">
        <w:rPr>
          <w:rFonts w:ascii="Arial" w:hAnsi="Arial" w:cs="Arial"/>
          <w:sz w:val="20"/>
        </w:rPr>
        <w:t xml:space="preserve"> určit polohu, čas a rychlost kdekoli na Zemi</w:t>
      </w:r>
      <w:r>
        <w:rPr>
          <w:rFonts w:ascii="Arial" w:hAnsi="Arial" w:cs="Arial"/>
          <w:sz w:val="20"/>
        </w:rPr>
        <w:t>.</w:t>
      </w:r>
      <w:r w:rsidR="001F5DF6" w:rsidRPr="00946D04">
        <w:rPr>
          <w:rFonts w:ascii="Arial" w:hAnsi="Arial" w:cs="Arial"/>
          <w:sz w:val="20"/>
        </w:rPr>
        <w:t xml:space="preserve"> </w:t>
      </w:r>
    </w:p>
    <w:p w14:paraId="1B904D8F" w14:textId="34888D42" w:rsidR="00AD6980" w:rsidRDefault="00652137" w:rsidP="00915A6D">
      <w:pPr>
        <w:numPr>
          <w:ilvl w:val="0"/>
          <w:numId w:val="2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0"/>
        </w:rPr>
      </w:pPr>
      <w:r w:rsidRPr="00652137">
        <w:rPr>
          <w:rFonts w:ascii="Arial" w:hAnsi="Arial" w:cs="Arial"/>
          <w:sz w:val="20"/>
        </w:rPr>
        <w:t xml:space="preserve">Relativně málo </w:t>
      </w:r>
      <w:r w:rsidR="007606D9" w:rsidRPr="00652137">
        <w:rPr>
          <w:rFonts w:ascii="Arial" w:hAnsi="Arial" w:cs="Arial"/>
          <w:sz w:val="20"/>
        </w:rPr>
        <w:t>používal</w:t>
      </w:r>
      <w:r w:rsidR="007606D9">
        <w:rPr>
          <w:rFonts w:ascii="Arial" w:hAnsi="Arial" w:cs="Arial"/>
          <w:sz w:val="20"/>
        </w:rPr>
        <w:t>y</w:t>
      </w:r>
      <w:r w:rsidR="007606D9" w:rsidRPr="00652137">
        <w:rPr>
          <w:rFonts w:ascii="Arial" w:hAnsi="Arial" w:cs="Arial"/>
          <w:sz w:val="20"/>
        </w:rPr>
        <w:t xml:space="preserve"> </w:t>
      </w:r>
      <w:r w:rsidRPr="00652137">
        <w:rPr>
          <w:rFonts w:ascii="Arial" w:hAnsi="Arial" w:cs="Arial"/>
          <w:sz w:val="20"/>
        </w:rPr>
        <w:t xml:space="preserve">podniky v Česku v roce 2023 </w:t>
      </w:r>
      <w:r w:rsidRPr="00652137">
        <w:rPr>
          <w:rFonts w:ascii="Arial" w:hAnsi="Arial" w:cs="Arial"/>
          <w:b/>
          <w:sz w:val="20"/>
        </w:rPr>
        <w:t>data chytrých senzorů</w:t>
      </w:r>
      <w:r w:rsidRPr="00652137">
        <w:rPr>
          <w:rFonts w:ascii="Arial" w:hAnsi="Arial" w:cs="Arial"/>
          <w:sz w:val="20"/>
        </w:rPr>
        <w:t xml:space="preserve"> instalovaných ve strojích, z výrobních senzorů, chytrých měřičů nebo RFID štítků. Využívala je </w:t>
      </w:r>
      <w:r w:rsidR="00E96B33">
        <w:rPr>
          <w:rFonts w:ascii="Arial" w:hAnsi="Arial" w:cs="Arial"/>
          <w:sz w:val="20"/>
        </w:rPr>
        <w:t>pouze</w:t>
      </w:r>
      <w:r w:rsidRPr="00652137">
        <w:rPr>
          <w:rFonts w:ascii="Arial" w:hAnsi="Arial" w:cs="Arial"/>
          <w:sz w:val="20"/>
        </w:rPr>
        <w:t xml:space="preserve"> 3 % tuzemských podniků </w:t>
      </w:r>
      <w:r w:rsidRPr="00652137">
        <w:rPr>
          <w:rFonts w:ascii="Arial" w:hAnsi="Arial" w:cs="Arial"/>
          <w:sz w:val="20"/>
        </w:rPr>
        <w:lastRenderedPageBreak/>
        <w:t>s více než 10 zaměstnanci, resp. 18</w:t>
      </w:r>
      <w:r w:rsidR="00E96B33">
        <w:rPr>
          <w:rFonts w:ascii="Arial" w:hAnsi="Arial" w:cs="Arial"/>
          <w:sz w:val="20"/>
        </w:rPr>
        <w:t> </w:t>
      </w:r>
      <w:r w:rsidRPr="00652137">
        <w:rPr>
          <w:rFonts w:ascii="Arial" w:hAnsi="Arial" w:cs="Arial"/>
          <w:sz w:val="20"/>
        </w:rPr>
        <w:t xml:space="preserve">% subjektů, které prováděly pokročilou analýzu dat. </w:t>
      </w:r>
      <w:r w:rsidRPr="00652137">
        <w:rPr>
          <w:rFonts w:ascii="Arial" w:hAnsi="Arial" w:cs="Arial"/>
          <w:b/>
          <w:sz w:val="20"/>
        </w:rPr>
        <w:t>Satelitní data</w:t>
      </w:r>
      <w:r w:rsidRPr="00652137">
        <w:rPr>
          <w:rFonts w:ascii="Arial" w:hAnsi="Arial" w:cs="Arial"/>
          <w:sz w:val="20"/>
        </w:rPr>
        <w:t xml:space="preserve"> pocházející např. ze </w:t>
      </w:r>
      <w:r w:rsidR="001F5DF6" w:rsidRPr="00652137">
        <w:rPr>
          <w:rFonts w:ascii="Arial" w:hAnsi="Arial" w:cs="Arial"/>
          <w:sz w:val="20"/>
        </w:rPr>
        <w:t>satelitní</w:t>
      </w:r>
      <w:r w:rsidRPr="00652137">
        <w:rPr>
          <w:rFonts w:ascii="Arial" w:hAnsi="Arial" w:cs="Arial"/>
          <w:sz w:val="20"/>
        </w:rPr>
        <w:t>ch</w:t>
      </w:r>
      <w:r w:rsidR="001F5DF6" w:rsidRPr="00652137">
        <w:rPr>
          <w:rFonts w:ascii="Arial" w:hAnsi="Arial" w:cs="Arial"/>
          <w:sz w:val="20"/>
        </w:rPr>
        <w:t xml:space="preserve"> snímk</w:t>
      </w:r>
      <w:r w:rsidRPr="00652137">
        <w:rPr>
          <w:rFonts w:ascii="Arial" w:hAnsi="Arial" w:cs="Arial"/>
          <w:sz w:val="20"/>
        </w:rPr>
        <w:t>ů</w:t>
      </w:r>
      <w:r w:rsidR="001F5DF6" w:rsidRPr="00652137">
        <w:rPr>
          <w:rFonts w:ascii="Arial" w:hAnsi="Arial" w:cs="Arial"/>
          <w:sz w:val="20"/>
        </w:rPr>
        <w:t>, navigační</w:t>
      </w:r>
      <w:r w:rsidRPr="00652137">
        <w:rPr>
          <w:rFonts w:ascii="Arial" w:hAnsi="Arial" w:cs="Arial"/>
          <w:sz w:val="20"/>
        </w:rPr>
        <w:t>ch signálů</w:t>
      </w:r>
      <w:r w:rsidR="001F5DF6" w:rsidRPr="00652137">
        <w:rPr>
          <w:rFonts w:ascii="Arial" w:hAnsi="Arial" w:cs="Arial"/>
          <w:sz w:val="20"/>
        </w:rPr>
        <w:t xml:space="preserve">, </w:t>
      </w:r>
      <w:r w:rsidRPr="00652137">
        <w:rPr>
          <w:rFonts w:ascii="Arial" w:hAnsi="Arial" w:cs="Arial"/>
          <w:sz w:val="20"/>
        </w:rPr>
        <w:t>nebo z externě poskytovaných</w:t>
      </w:r>
      <w:r w:rsidR="001F5DF6" w:rsidRPr="00652137">
        <w:rPr>
          <w:rFonts w:ascii="Arial" w:hAnsi="Arial" w:cs="Arial"/>
          <w:sz w:val="20"/>
        </w:rPr>
        <w:t xml:space="preserve"> služ</w:t>
      </w:r>
      <w:r w:rsidRPr="00652137">
        <w:rPr>
          <w:rFonts w:ascii="Arial" w:hAnsi="Arial" w:cs="Arial"/>
          <w:sz w:val="20"/>
        </w:rPr>
        <w:t>eb využívala jen necelá dvě procenta tuzemských podniků (desetina podniků provádějících data analytics).</w:t>
      </w:r>
    </w:p>
    <w:p w14:paraId="15816221" w14:textId="70385F02" w:rsidR="0062433D" w:rsidRDefault="0062433D" w:rsidP="0062433D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F416E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datových zdrojů používaných pro pokročilou analýzu dat</w:t>
      </w:r>
      <w:r w:rsidRPr="00F416E7">
        <w:rPr>
          <w:rFonts w:ascii="Arial" w:hAnsi="Arial" w:cs="Arial"/>
          <w:sz w:val="20"/>
          <w:szCs w:val="20"/>
        </w:rPr>
        <w:t xml:space="preserve"> vévodí i v evropském žebříčku využívání</w:t>
      </w:r>
      <w:r>
        <w:rPr>
          <w:rFonts w:ascii="Arial" w:hAnsi="Arial" w:cs="Arial"/>
          <w:sz w:val="20"/>
          <w:szCs w:val="20"/>
        </w:rPr>
        <w:t xml:space="preserve"> trans</w:t>
      </w:r>
      <w:r w:rsidR="00C105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kčních záznamů z prodejů a informace o zákaznících</w:t>
      </w:r>
      <w:r w:rsidRPr="00F416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433D">
        <w:rPr>
          <w:rFonts w:ascii="Arial" w:hAnsi="Arial" w:cs="Arial"/>
          <w:b/>
          <w:sz w:val="20"/>
          <w:szCs w:val="20"/>
        </w:rPr>
        <w:t xml:space="preserve">Tuzemské podniky využívají častěji než v průměru podniky v EU27 </w:t>
      </w:r>
      <w:r w:rsidRPr="007606D9">
        <w:rPr>
          <w:rFonts w:ascii="Arial" w:hAnsi="Arial" w:cs="Arial"/>
          <w:sz w:val="20"/>
          <w:szCs w:val="20"/>
        </w:rPr>
        <w:t>data z webových stránek a</w:t>
      </w:r>
      <w:r w:rsidRPr="0062433D">
        <w:rPr>
          <w:rFonts w:ascii="Arial" w:hAnsi="Arial" w:cs="Arial"/>
          <w:b/>
          <w:sz w:val="20"/>
          <w:szCs w:val="20"/>
        </w:rPr>
        <w:t xml:space="preserve"> zejména pak otevřená data</w:t>
      </w:r>
      <w:r>
        <w:rPr>
          <w:rFonts w:ascii="Arial" w:hAnsi="Arial" w:cs="Arial"/>
          <w:sz w:val="20"/>
          <w:szCs w:val="20"/>
        </w:rPr>
        <w:t xml:space="preserve"> z veřejných registrů. </w:t>
      </w:r>
    </w:p>
    <w:bookmarkEnd w:id="0"/>
    <w:p w14:paraId="431B6585" w14:textId="4CA2CE32" w:rsidR="0094675A" w:rsidRDefault="0094675A">
      <w:pPr>
        <w:spacing w:after="0" w:line="240" w:lineRule="auto"/>
        <w:rPr>
          <w:rFonts w:ascii="Arial" w:hAnsi="Arial" w:cs="Arial"/>
          <w:b/>
          <w:sz w:val="20"/>
        </w:rPr>
      </w:pPr>
    </w:p>
    <w:p w14:paraId="666006F0" w14:textId="30D98299" w:rsidR="00794A58" w:rsidRPr="00D15350" w:rsidRDefault="00D15350" w:rsidP="007038D5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  <w:r>
        <w:rPr>
          <w:rFonts w:ascii="Arial" w:hAnsi="Arial" w:cs="Arial"/>
          <w:b/>
          <w:sz w:val="20"/>
        </w:rPr>
        <w:t>G</w:t>
      </w:r>
      <w:r w:rsidR="00794A58">
        <w:rPr>
          <w:rFonts w:ascii="Arial" w:hAnsi="Arial" w:cs="Arial"/>
          <w:b/>
          <w:sz w:val="20"/>
        </w:rPr>
        <w:t>raf</w:t>
      </w:r>
      <w:r w:rsidR="00794A58" w:rsidRPr="00D54933">
        <w:rPr>
          <w:rFonts w:ascii="Arial" w:hAnsi="Arial" w:cs="Arial"/>
          <w:b/>
          <w:sz w:val="20"/>
        </w:rPr>
        <w:t xml:space="preserve"> </w:t>
      </w:r>
      <w:r w:rsidR="00244339">
        <w:rPr>
          <w:rFonts w:ascii="Arial" w:hAnsi="Arial" w:cs="Arial"/>
          <w:b/>
          <w:sz w:val="20"/>
        </w:rPr>
        <w:t>12</w:t>
      </w:r>
      <w:r w:rsidR="00794A58" w:rsidRPr="00D54933">
        <w:rPr>
          <w:rFonts w:ascii="Arial" w:hAnsi="Arial" w:cs="Arial"/>
          <w:b/>
          <w:sz w:val="20"/>
        </w:rPr>
        <w:t xml:space="preserve">.1: </w:t>
      </w:r>
      <w:r w:rsidR="002C2804">
        <w:rPr>
          <w:rFonts w:ascii="Arial" w:hAnsi="Arial" w:cs="Arial"/>
          <w:b/>
          <w:sz w:val="20"/>
        </w:rPr>
        <w:t>Podniky</w:t>
      </w:r>
      <w:r w:rsidR="00794A58">
        <w:rPr>
          <w:rFonts w:ascii="Arial" w:hAnsi="Arial" w:cs="Arial"/>
          <w:b/>
          <w:sz w:val="20"/>
        </w:rPr>
        <w:t xml:space="preserve"> v ČR </w:t>
      </w:r>
      <w:r w:rsidR="00244339">
        <w:rPr>
          <w:rFonts w:ascii="Arial" w:hAnsi="Arial" w:cs="Arial"/>
          <w:b/>
          <w:sz w:val="20"/>
        </w:rPr>
        <w:t>provádějící pokročilou analýzu dat</w:t>
      </w:r>
      <w:r w:rsidR="00A96F33">
        <w:rPr>
          <w:rFonts w:ascii="Arial" w:hAnsi="Arial" w:cs="Arial"/>
          <w:b/>
          <w:sz w:val="20"/>
        </w:rPr>
        <w:t>; 2023</w:t>
      </w:r>
    </w:p>
    <w:p w14:paraId="50AEB1EC" w14:textId="602FC683" w:rsidR="00A96F33" w:rsidRDefault="00D15350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t xml:space="preserve"> </w:t>
      </w:r>
    </w:p>
    <w:p w14:paraId="2A8AEE1B" w14:textId="14AB3A12" w:rsidR="00C60F42" w:rsidRPr="00EC3FF8" w:rsidRDefault="00C60F42" w:rsidP="007038D5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</w:p>
    <w:p w14:paraId="480E18F2" w14:textId="7313CEF1" w:rsidR="00C60F42" w:rsidRDefault="00EC3FF8" w:rsidP="00C60F4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B70F28">
        <w:rPr>
          <w:noProof/>
          <w:lang w:eastAsia="cs-CZ"/>
        </w:rPr>
        <w:drawing>
          <wp:inline distT="0" distB="0" distL="0" distR="0" wp14:anchorId="59F6FB05" wp14:editId="593D9801">
            <wp:extent cx="6074796" cy="2099145"/>
            <wp:effectExtent l="0" t="0" r="25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6E9808" w14:textId="57F5386B" w:rsidR="00E7027A" w:rsidRPr="00E7027A" w:rsidRDefault="00274DCA" w:rsidP="00C60F4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počtu podniků v</w:t>
      </w:r>
      <w:r w:rsidR="00A96F33">
        <w:rPr>
          <w:rFonts w:ascii="Arial" w:hAnsi="Arial" w:cs="Arial"/>
          <w:i/>
          <w:sz w:val="18"/>
          <w:szCs w:val="18"/>
        </w:rPr>
        <w:t> </w:t>
      </w:r>
      <w:r w:rsidR="00E7027A" w:rsidRPr="00E7027A">
        <w:rPr>
          <w:rFonts w:ascii="Arial" w:hAnsi="Arial" w:cs="Arial"/>
          <w:i/>
          <w:sz w:val="18"/>
          <w:szCs w:val="18"/>
        </w:rPr>
        <w:t>dané</w:t>
      </w:r>
      <w:r w:rsidR="00A96F33">
        <w:rPr>
          <w:rFonts w:ascii="Arial" w:hAnsi="Arial" w:cs="Arial"/>
          <w:i/>
          <w:sz w:val="18"/>
          <w:szCs w:val="18"/>
        </w:rPr>
        <w:t xml:space="preserve"> velikostní skupině</w:t>
      </w:r>
    </w:p>
    <w:p w14:paraId="0DEC1B53" w14:textId="2373E4E0" w:rsidR="009C117D" w:rsidRDefault="009C117D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B21BE">
        <w:rPr>
          <w:rFonts w:ascii="Arial" w:hAnsi="Arial" w:cs="Arial"/>
          <w:sz w:val="18"/>
          <w:szCs w:val="18"/>
        </w:rPr>
        <w:t>droj: Český statistický úřad</w:t>
      </w:r>
    </w:p>
    <w:p w14:paraId="03DDCFD6" w14:textId="77777777" w:rsidR="006A43C1" w:rsidRDefault="006A43C1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</w:p>
    <w:p w14:paraId="5491AAB6" w14:textId="71D1445B" w:rsidR="00CA5C7D" w:rsidRDefault="00CA5C7D" w:rsidP="007A6F5E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</w:t>
      </w:r>
      <w:r w:rsidR="00244339">
        <w:rPr>
          <w:rFonts w:ascii="Arial" w:hAnsi="Arial" w:cs="Arial"/>
          <w:b/>
          <w:sz w:val="20"/>
        </w:rPr>
        <w:t>12</w:t>
      </w:r>
      <w:r w:rsidR="00A96F33">
        <w:rPr>
          <w:rFonts w:ascii="Arial" w:hAnsi="Arial" w:cs="Arial"/>
          <w:b/>
          <w:sz w:val="20"/>
        </w:rPr>
        <w:t>.2</w:t>
      </w:r>
      <w:r w:rsidRPr="005F46BD">
        <w:rPr>
          <w:rFonts w:ascii="Arial" w:hAnsi="Arial" w:cs="Arial"/>
          <w:b/>
          <w:sz w:val="20"/>
        </w:rPr>
        <w:t xml:space="preserve">: </w:t>
      </w:r>
      <w:r w:rsidR="002C2804" w:rsidRPr="005F46BD">
        <w:rPr>
          <w:rFonts w:ascii="Arial" w:hAnsi="Arial" w:cs="Arial"/>
          <w:b/>
          <w:sz w:val="20"/>
        </w:rPr>
        <w:t>Podniky</w:t>
      </w:r>
      <w:r w:rsidR="005F77D7" w:rsidRPr="005F46BD">
        <w:rPr>
          <w:rFonts w:ascii="Arial" w:hAnsi="Arial" w:cs="Arial"/>
          <w:b/>
          <w:sz w:val="20"/>
        </w:rPr>
        <w:t xml:space="preserve"> </w:t>
      </w:r>
      <w:r w:rsidRPr="005F46BD">
        <w:rPr>
          <w:rFonts w:ascii="Arial" w:hAnsi="Arial" w:cs="Arial"/>
          <w:b/>
          <w:sz w:val="20"/>
        </w:rPr>
        <w:t>v zemích EU</w:t>
      </w:r>
      <w:r w:rsidR="00B13BD5">
        <w:rPr>
          <w:rFonts w:ascii="Arial" w:hAnsi="Arial" w:cs="Arial"/>
          <w:b/>
          <w:sz w:val="20"/>
        </w:rPr>
        <w:t>27</w:t>
      </w:r>
      <w:r w:rsidRPr="005F46BD">
        <w:rPr>
          <w:rFonts w:ascii="Arial" w:hAnsi="Arial" w:cs="Arial"/>
          <w:b/>
          <w:sz w:val="20"/>
        </w:rPr>
        <w:t xml:space="preserve"> </w:t>
      </w:r>
      <w:r w:rsidR="00244339">
        <w:rPr>
          <w:rFonts w:ascii="Arial" w:hAnsi="Arial" w:cs="Arial"/>
          <w:b/>
          <w:sz w:val="20"/>
        </w:rPr>
        <w:t>provádějící pokročilou analýzu dat</w:t>
      </w:r>
      <w:r w:rsidR="001A48AB">
        <w:rPr>
          <w:rFonts w:ascii="Arial" w:hAnsi="Arial" w:cs="Arial"/>
          <w:b/>
          <w:sz w:val="20"/>
        </w:rPr>
        <w:t xml:space="preserve">; </w:t>
      </w:r>
      <w:r w:rsidRPr="005F46BD">
        <w:rPr>
          <w:rFonts w:ascii="Arial" w:hAnsi="Arial" w:cs="Arial"/>
          <w:b/>
          <w:sz w:val="20"/>
        </w:rPr>
        <w:t>20</w:t>
      </w:r>
      <w:r w:rsidR="002C2804" w:rsidRPr="005F46BD">
        <w:rPr>
          <w:rFonts w:ascii="Arial" w:hAnsi="Arial" w:cs="Arial"/>
          <w:b/>
          <w:sz w:val="20"/>
        </w:rPr>
        <w:t>2</w:t>
      </w:r>
      <w:r w:rsidR="00985E1B">
        <w:rPr>
          <w:rFonts w:ascii="Arial" w:hAnsi="Arial" w:cs="Arial"/>
          <w:b/>
          <w:sz w:val="20"/>
        </w:rPr>
        <w:t>3</w:t>
      </w:r>
    </w:p>
    <w:p w14:paraId="0438523F" w14:textId="77777777" w:rsidR="0062433D" w:rsidRDefault="0062433D" w:rsidP="007A6F5E">
      <w:pPr>
        <w:spacing w:after="0" w:line="240" w:lineRule="auto"/>
        <w:rPr>
          <w:rFonts w:ascii="Arial" w:hAnsi="Arial" w:cs="Arial"/>
          <w:b/>
          <w:sz w:val="20"/>
        </w:rPr>
      </w:pPr>
    </w:p>
    <w:p w14:paraId="665B5198" w14:textId="64213DD0" w:rsidR="001A48AB" w:rsidRDefault="00B70F28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A4D47CD" wp14:editId="05530785">
            <wp:extent cx="6120765" cy="3594100"/>
            <wp:effectExtent l="0" t="0" r="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C6265" w14:textId="4EB3A3DE" w:rsidR="00176CC6" w:rsidRPr="00176CC6" w:rsidRDefault="00176CC6" w:rsidP="00176CC6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62433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Celkem znamená, že datovou analýzu provádí </w:t>
      </w:r>
      <w:r w:rsidRPr="00176CC6">
        <w:rPr>
          <w:rFonts w:ascii="Arial" w:hAnsi="Arial" w:cs="Arial"/>
          <w:i/>
          <w:sz w:val="18"/>
          <w:szCs w:val="18"/>
        </w:rPr>
        <w:t xml:space="preserve">vlastní zaměstnanci </w:t>
      </w:r>
      <w:r>
        <w:rPr>
          <w:rFonts w:ascii="Arial" w:hAnsi="Arial" w:cs="Arial"/>
          <w:i/>
          <w:sz w:val="18"/>
          <w:szCs w:val="18"/>
        </w:rPr>
        <w:t>firmy</w:t>
      </w:r>
      <w:r w:rsidRPr="00176CC6">
        <w:rPr>
          <w:rFonts w:ascii="Arial" w:hAnsi="Arial" w:cs="Arial"/>
          <w:i/>
          <w:sz w:val="18"/>
          <w:szCs w:val="18"/>
        </w:rPr>
        <w:t xml:space="preserve"> nebo ji pro firmu provádí externí </w:t>
      </w:r>
      <w:r>
        <w:rPr>
          <w:rFonts w:ascii="Arial" w:hAnsi="Arial" w:cs="Arial"/>
          <w:i/>
          <w:sz w:val="18"/>
          <w:szCs w:val="18"/>
        </w:rPr>
        <w:t>subjekt</w:t>
      </w:r>
      <w:r w:rsidR="0062433D">
        <w:rPr>
          <w:rFonts w:ascii="Arial" w:hAnsi="Arial" w:cs="Arial"/>
          <w:i/>
          <w:sz w:val="18"/>
          <w:szCs w:val="18"/>
        </w:rPr>
        <w:t>.</w:t>
      </w:r>
    </w:p>
    <w:p w14:paraId="647C21D4" w14:textId="16E42C36" w:rsidR="00CA5C7D" w:rsidRPr="005F46BD" w:rsidRDefault="00274DCA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 počtu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podniků </w:t>
      </w:r>
      <w:r w:rsidR="00CA5C7D" w:rsidRPr="005F46BD">
        <w:rPr>
          <w:rFonts w:ascii="Arial" w:hAnsi="Arial" w:cs="Arial"/>
          <w:i/>
          <w:sz w:val="18"/>
          <w:szCs w:val="18"/>
        </w:rPr>
        <w:t xml:space="preserve">s 10 a více zaměstnanci v dané zemi    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   </w:t>
      </w:r>
      <w:r w:rsidR="00104C29">
        <w:rPr>
          <w:rFonts w:ascii="Arial" w:hAnsi="Arial" w:cs="Arial"/>
          <w:i/>
          <w:sz w:val="18"/>
          <w:szCs w:val="18"/>
        </w:rPr>
        <w:t xml:space="preserve">     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       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</w:t>
      </w:r>
      <w:r w:rsidR="00890BB8" w:rsidRPr="005F46BD">
        <w:rPr>
          <w:rFonts w:ascii="Arial" w:hAnsi="Arial" w:cs="Arial"/>
          <w:i/>
          <w:sz w:val="18"/>
          <w:szCs w:val="18"/>
        </w:rPr>
        <w:t xml:space="preserve">    </w:t>
      </w:r>
      <w:r w:rsidR="00CA5C7D" w:rsidRPr="005F46BD">
        <w:rPr>
          <w:rFonts w:ascii="Arial" w:hAnsi="Arial" w:cs="Arial"/>
          <w:i/>
          <w:sz w:val="18"/>
          <w:szCs w:val="18"/>
        </w:rPr>
        <w:t>z</w:t>
      </w:r>
      <w:r w:rsidR="00CA5C7D" w:rsidRPr="005F46BD">
        <w:rPr>
          <w:rFonts w:ascii="Arial" w:hAnsi="Arial" w:cs="Arial"/>
          <w:sz w:val="18"/>
          <w:szCs w:val="18"/>
        </w:rPr>
        <w:t xml:space="preserve">droj dat: Eurostat, </w:t>
      </w:r>
      <w:r w:rsidR="007038D5" w:rsidRPr="005F46BD">
        <w:rPr>
          <w:rFonts w:ascii="Arial" w:hAnsi="Arial" w:cs="Arial"/>
          <w:sz w:val="18"/>
          <w:szCs w:val="18"/>
        </w:rPr>
        <w:t>prosinec 202</w:t>
      </w:r>
      <w:r w:rsidR="00556B09">
        <w:rPr>
          <w:rFonts w:ascii="Arial" w:hAnsi="Arial" w:cs="Arial"/>
          <w:sz w:val="18"/>
          <w:szCs w:val="18"/>
        </w:rPr>
        <w:t>3</w:t>
      </w:r>
    </w:p>
    <w:p w14:paraId="50BCB99F" w14:textId="77777777" w:rsidR="00B70F28" w:rsidRDefault="00B70F2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BDD7D0F" w14:textId="00CCED6A" w:rsidR="00244339" w:rsidRPr="00D15350" w:rsidRDefault="00244339" w:rsidP="00244339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  <w:r>
        <w:rPr>
          <w:rFonts w:ascii="Arial" w:hAnsi="Arial" w:cs="Arial"/>
          <w:b/>
          <w:sz w:val="20"/>
        </w:rPr>
        <w:lastRenderedPageBreak/>
        <w:t>Graf</w:t>
      </w:r>
      <w:r w:rsidRPr="00D5493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12</w:t>
      </w:r>
      <w:r w:rsidRPr="00D54933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Podniky v ČR a v zemích EU27 používa</w:t>
      </w:r>
      <w:r w:rsidR="0062433D">
        <w:rPr>
          <w:rFonts w:ascii="Arial" w:hAnsi="Arial" w:cs="Arial"/>
          <w:b/>
          <w:sz w:val="20"/>
        </w:rPr>
        <w:t>jící následující zdroje</w:t>
      </w:r>
      <w:r>
        <w:rPr>
          <w:rFonts w:ascii="Arial" w:hAnsi="Arial" w:cs="Arial"/>
          <w:b/>
          <w:sz w:val="20"/>
        </w:rPr>
        <w:t xml:space="preserve"> dat</w:t>
      </w:r>
      <w:r w:rsidR="0062433D">
        <w:rPr>
          <w:rFonts w:ascii="Arial" w:hAnsi="Arial" w:cs="Arial"/>
          <w:b/>
          <w:sz w:val="20"/>
        </w:rPr>
        <w:t xml:space="preserve"> pro data analytics</w:t>
      </w:r>
      <w:r>
        <w:rPr>
          <w:rFonts w:ascii="Arial" w:hAnsi="Arial" w:cs="Arial"/>
          <w:b/>
          <w:sz w:val="20"/>
        </w:rPr>
        <w:t>; 2023</w:t>
      </w:r>
    </w:p>
    <w:p w14:paraId="7AC44CB5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73216629" w14:textId="753A33D7" w:rsidR="00FB551C" w:rsidRDefault="00B70F28" w:rsidP="00A96F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54E3BFD5" wp14:editId="7F807FC1">
            <wp:extent cx="6098650" cy="503317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EE6312" w14:textId="0AC7C990" w:rsidR="0094675A" w:rsidRPr="00E7027A" w:rsidRDefault="0094675A" w:rsidP="0094675A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% z celkového počtu </w:t>
      </w:r>
      <w:r>
        <w:rPr>
          <w:rFonts w:ascii="Arial" w:hAnsi="Arial" w:cs="Arial"/>
          <w:i/>
          <w:sz w:val="18"/>
          <w:szCs w:val="18"/>
          <w:u w:val="single"/>
        </w:rPr>
        <w:t>podniků, kde pokročilou analýzu dat provádějí vlastní zaměstnanci</w:t>
      </w:r>
    </w:p>
    <w:p w14:paraId="415B7CEF" w14:textId="77777777" w:rsidR="0094675A" w:rsidRPr="00930B37" w:rsidRDefault="0094675A" w:rsidP="0094675A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b/>
          <w:sz w:val="20"/>
          <w:highlight w:val="yellow"/>
        </w:rPr>
      </w:pPr>
      <w:r w:rsidRPr="005F46BD"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sz w:val="18"/>
          <w:szCs w:val="18"/>
        </w:rPr>
        <w:t>droj dat: Eurostat, prosinec 202</w:t>
      </w:r>
      <w:r>
        <w:rPr>
          <w:rFonts w:ascii="Arial" w:hAnsi="Arial" w:cs="Arial"/>
          <w:sz w:val="18"/>
          <w:szCs w:val="18"/>
        </w:rPr>
        <w:t>3</w:t>
      </w:r>
    </w:p>
    <w:p w14:paraId="6D835500" w14:textId="5B8DCB63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36EC1966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346253B8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p w14:paraId="1F2A48CF" w14:textId="77777777" w:rsidR="00FB551C" w:rsidRDefault="00FB551C" w:rsidP="00A96F33">
      <w:pPr>
        <w:spacing w:after="0" w:line="240" w:lineRule="auto"/>
        <w:rPr>
          <w:rFonts w:ascii="Arial" w:hAnsi="Arial" w:cs="Arial"/>
          <w:b/>
          <w:sz w:val="20"/>
        </w:rPr>
      </w:pPr>
    </w:p>
    <w:sectPr w:rsidR="00FB551C" w:rsidSect="002C2804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5F7F" w14:textId="77777777" w:rsidR="00DF08FE" w:rsidRDefault="00DF08FE" w:rsidP="00E71A58">
      <w:r>
        <w:separator/>
      </w:r>
    </w:p>
  </w:endnote>
  <w:endnote w:type="continuationSeparator" w:id="0">
    <w:p w14:paraId="5C6632EC" w14:textId="77777777" w:rsidR="00DF08FE" w:rsidRDefault="00DF08F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FE7C" w14:textId="77777777" w:rsidR="00DF08FE" w:rsidRDefault="00DF08FE" w:rsidP="00E71A58">
      <w:r>
        <w:separator/>
      </w:r>
    </w:p>
  </w:footnote>
  <w:footnote w:type="continuationSeparator" w:id="0">
    <w:p w14:paraId="5A53B675" w14:textId="77777777" w:rsidR="00DF08FE" w:rsidRDefault="00DF08F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805"/>
    <w:multiLevelType w:val="hybridMultilevel"/>
    <w:tmpl w:val="A63825FC"/>
    <w:lvl w:ilvl="0" w:tplc="7CEA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02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8E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E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C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A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A4408F"/>
    <w:multiLevelType w:val="hybridMultilevel"/>
    <w:tmpl w:val="D8920E1A"/>
    <w:lvl w:ilvl="0" w:tplc="5EE4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8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872F3"/>
    <w:multiLevelType w:val="hybridMultilevel"/>
    <w:tmpl w:val="351CC5F2"/>
    <w:lvl w:ilvl="0" w:tplc="72E2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2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A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C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E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E85718"/>
    <w:multiLevelType w:val="hybridMultilevel"/>
    <w:tmpl w:val="13AE3CFA"/>
    <w:lvl w:ilvl="0" w:tplc="B858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F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8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E9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2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A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06BA"/>
    <w:multiLevelType w:val="hybridMultilevel"/>
    <w:tmpl w:val="7B4A69E0"/>
    <w:lvl w:ilvl="0" w:tplc="1948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8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6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8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6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82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9D0BEB"/>
    <w:multiLevelType w:val="hybridMultilevel"/>
    <w:tmpl w:val="BC58FAE4"/>
    <w:lvl w:ilvl="0" w:tplc="98A6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E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0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BC15C8"/>
    <w:multiLevelType w:val="hybridMultilevel"/>
    <w:tmpl w:val="AD9472C6"/>
    <w:lvl w:ilvl="0" w:tplc="795E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C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4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2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15A9"/>
    <w:rsid w:val="00002C5E"/>
    <w:rsid w:val="00003376"/>
    <w:rsid w:val="0000767A"/>
    <w:rsid w:val="00010697"/>
    <w:rsid w:val="00010702"/>
    <w:rsid w:val="00012B4B"/>
    <w:rsid w:val="000173B5"/>
    <w:rsid w:val="000200F2"/>
    <w:rsid w:val="0002077E"/>
    <w:rsid w:val="00021F2B"/>
    <w:rsid w:val="00023628"/>
    <w:rsid w:val="000428EB"/>
    <w:rsid w:val="00046817"/>
    <w:rsid w:val="0004694F"/>
    <w:rsid w:val="00051D5A"/>
    <w:rsid w:val="00052708"/>
    <w:rsid w:val="0006111E"/>
    <w:rsid w:val="000621E4"/>
    <w:rsid w:val="00062EC5"/>
    <w:rsid w:val="00063E60"/>
    <w:rsid w:val="000750E8"/>
    <w:rsid w:val="00077FB2"/>
    <w:rsid w:val="00087634"/>
    <w:rsid w:val="00087A54"/>
    <w:rsid w:val="00091227"/>
    <w:rsid w:val="00097A67"/>
    <w:rsid w:val="000A1183"/>
    <w:rsid w:val="000B185C"/>
    <w:rsid w:val="000B21D5"/>
    <w:rsid w:val="000B2228"/>
    <w:rsid w:val="000B5152"/>
    <w:rsid w:val="000B5B64"/>
    <w:rsid w:val="000C2204"/>
    <w:rsid w:val="000C3408"/>
    <w:rsid w:val="000C41A0"/>
    <w:rsid w:val="000C4C2C"/>
    <w:rsid w:val="000C512E"/>
    <w:rsid w:val="000E2E6F"/>
    <w:rsid w:val="000F4280"/>
    <w:rsid w:val="000F4CA8"/>
    <w:rsid w:val="0010481F"/>
    <w:rsid w:val="00104C29"/>
    <w:rsid w:val="00104DB3"/>
    <w:rsid w:val="00106CCA"/>
    <w:rsid w:val="0011603E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74576"/>
    <w:rsid w:val="00176CC6"/>
    <w:rsid w:val="001815CE"/>
    <w:rsid w:val="00185010"/>
    <w:rsid w:val="001857DA"/>
    <w:rsid w:val="00190C62"/>
    <w:rsid w:val="00194F66"/>
    <w:rsid w:val="001A48AB"/>
    <w:rsid w:val="001A552F"/>
    <w:rsid w:val="001B3110"/>
    <w:rsid w:val="001B494E"/>
    <w:rsid w:val="001D3965"/>
    <w:rsid w:val="001D7D55"/>
    <w:rsid w:val="001E09D8"/>
    <w:rsid w:val="001E0F9E"/>
    <w:rsid w:val="001E6D72"/>
    <w:rsid w:val="001F3765"/>
    <w:rsid w:val="001F4597"/>
    <w:rsid w:val="001F5DF6"/>
    <w:rsid w:val="0020570C"/>
    <w:rsid w:val="0021142B"/>
    <w:rsid w:val="0022139E"/>
    <w:rsid w:val="002252E0"/>
    <w:rsid w:val="002255F6"/>
    <w:rsid w:val="0023525B"/>
    <w:rsid w:val="00236443"/>
    <w:rsid w:val="002436BA"/>
    <w:rsid w:val="00244339"/>
    <w:rsid w:val="002446FE"/>
    <w:rsid w:val="00244A15"/>
    <w:rsid w:val="00245B4E"/>
    <w:rsid w:val="002474FB"/>
    <w:rsid w:val="0024799E"/>
    <w:rsid w:val="00254AF6"/>
    <w:rsid w:val="002554E5"/>
    <w:rsid w:val="002567A4"/>
    <w:rsid w:val="0025703C"/>
    <w:rsid w:val="00262559"/>
    <w:rsid w:val="00262CD7"/>
    <w:rsid w:val="002651E4"/>
    <w:rsid w:val="002668B9"/>
    <w:rsid w:val="00267D0C"/>
    <w:rsid w:val="00274394"/>
    <w:rsid w:val="00274D12"/>
    <w:rsid w:val="00274DCA"/>
    <w:rsid w:val="0028698F"/>
    <w:rsid w:val="00287B37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2804"/>
    <w:rsid w:val="002C31D3"/>
    <w:rsid w:val="002C43BD"/>
    <w:rsid w:val="002C458A"/>
    <w:rsid w:val="002C6BA4"/>
    <w:rsid w:val="002E02A1"/>
    <w:rsid w:val="002F44D7"/>
    <w:rsid w:val="002F6063"/>
    <w:rsid w:val="003025FB"/>
    <w:rsid w:val="00302A41"/>
    <w:rsid w:val="00303218"/>
    <w:rsid w:val="00304771"/>
    <w:rsid w:val="00306C5B"/>
    <w:rsid w:val="003209D6"/>
    <w:rsid w:val="003259A3"/>
    <w:rsid w:val="00327C08"/>
    <w:rsid w:val="00330790"/>
    <w:rsid w:val="00343E00"/>
    <w:rsid w:val="003517B4"/>
    <w:rsid w:val="00363CAA"/>
    <w:rsid w:val="003645AE"/>
    <w:rsid w:val="003657F3"/>
    <w:rsid w:val="00377AEE"/>
    <w:rsid w:val="003812FF"/>
    <w:rsid w:val="00383AC2"/>
    <w:rsid w:val="00384975"/>
    <w:rsid w:val="00385D98"/>
    <w:rsid w:val="003863AA"/>
    <w:rsid w:val="00391434"/>
    <w:rsid w:val="003923D3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C1EDC"/>
    <w:rsid w:val="003D1CDF"/>
    <w:rsid w:val="003D57D4"/>
    <w:rsid w:val="003E1594"/>
    <w:rsid w:val="003E3AFB"/>
    <w:rsid w:val="003E5C92"/>
    <w:rsid w:val="003E6ED3"/>
    <w:rsid w:val="003F2A50"/>
    <w:rsid w:val="003F313C"/>
    <w:rsid w:val="00413550"/>
    <w:rsid w:val="00414240"/>
    <w:rsid w:val="004202E4"/>
    <w:rsid w:val="0042172B"/>
    <w:rsid w:val="00427986"/>
    <w:rsid w:val="00427CE8"/>
    <w:rsid w:val="0043194A"/>
    <w:rsid w:val="0044041E"/>
    <w:rsid w:val="00446C5D"/>
    <w:rsid w:val="00451D9E"/>
    <w:rsid w:val="00452C4B"/>
    <w:rsid w:val="00462B73"/>
    <w:rsid w:val="004772F5"/>
    <w:rsid w:val="0048139F"/>
    <w:rsid w:val="00496EC4"/>
    <w:rsid w:val="004A3E21"/>
    <w:rsid w:val="004A6474"/>
    <w:rsid w:val="004A77DF"/>
    <w:rsid w:val="004B1FF3"/>
    <w:rsid w:val="004B2CB9"/>
    <w:rsid w:val="004B300D"/>
    <w:rsid w:val="004B55B7"/>
    <w:rsid w:val="004B6543"/>
    <w:rsid w:val="004B6815"/>
    <w:rsid w:val="004C2505"/>
    <w:rsid w:val="004C3502"/>
    <w:rsid w:val="004C3867"/>
    <w:rsid w:val="004C38FD"/>
    <w:rsid w:val="004C3EFE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11F9"/>
    <w:rsid w:val="00504784"/>
    <w:rsid w:val="00505B03"/>
    <w:rsid w:val="005068F4"/>
    <w:rsid w:val="005108C0"/>
    <w:rsid w:val="00511873"/>
    <w:rsid w:val="0051204D"/>
    <w:rsid w:val="00513057"/>
    <w:rsid w:val="00513B7E"/>
    <w:rsid w:val="005175F2"/>
    <w:rsid w:val="00521B45"/>
    <w:rsid w:val="00522AF7"/>
    <w:rsid w:val="005240A0"/>
    <w:rsid w:val="00525137"/>
    <w:rsid w:val="005251DD"/>
    <w:rsid w:val="00525A82"/>
    <w:rsid w:val="00531311"/>
    <w:rsid w:val="005354C5"/>
    <w:rsid w:val="00553139"/>
    <w:rsid w:val="00556B09"/>
    <w:rsid w:val="0056795C"/>
    <w:rsid w:val="005705D6"/>
    <w:rsid w:val="0057194B"/>
    <w:rsid w:val="00576CFB"/>
    <w:rsid w:val="00576FCA"/>
    <w:rsid w:val="005779BD"/>
    <w:rsid w:val="00582BA6"/>
    <w:rsid w:val="00583FFD"/>
    <w:rsid w:val="00585475"/>
    <w:rsid w:val="0059163A"/>
    <w:rsid w:val="0059194F"/>
    <w:rsid w:val="00593152"/>
    <w:rsid w:val="00594D5F"/>
    <w:rsid w:val="005A21E0"/>
    <w:rsid w:val="005A3B2F"/>
    <w:rsid w:val="005B2463"/>
    <w:rsid w:val="005B4204"/>
    <w:rsid w:val="005B4655"/>
    <w:rsid w:val="005D5802"/>
    <w:rsid w:val="005D75C8"/>
    <w:rsid w:val="005E4081"/>
    <w:rsid w:val="005E7B2C"/>
    <w:rsid w:val="005F2537"/>
    <w:rsid w:val="005F419A"/>
    <w:rsid w:val="005F440E"/>
    <w:rsid w:val="005F46BD"/>
    <w:rsid w:val="005F4E69"/>
    <w:rsid w:val="005F77D7"/>
    <w:rsid w:val="005F7FA5"/>
    <w:rsid w:val="0060098E"/>
    <w:rsid w:val="00604307"/>
    <w:rsid w:val="0060487F"/>
    <w:rsid w:val="006122D9"/>
    <w:rsid w:val="006123F0"/>
    <w:rsid w:val="0062359F"/>
    <w:rsid w:val="00624093"/>
    <w:rsid w:val="0062433D"/>
    <w:rsid w:val="00625C7D"/>
    <w:rsid w:val="00631B34"/>
    <w:rsid w:val="00635035"/>
    <w:rsid w:val="00637B88"/>
    <w:rsid w:val="00637C9B"/>
    <w:rsid w:val="00640061"/>
    <w:rsid w:val="0064036A"/>
    <w:rsid w:val="006404A7"/>
    <w:rsid w:val="00642921"/>
    <w:rsid w:val="00643526"/>
    <w:rsid w:val="006451E4"/>
    <w:rsid w:val="00652137"/>
    <w:rsid w:val="00654EA6"/>
    <w:rsid w:val="00655177"/>
    <w:rsid w:val="00656249"/>
    <w:rsid w:val="00657968"/>
    <w:rsid w:val="00657E87"/>
    <w:rsid w:val="00670B48"/>
    <w:rsid w:val="006710C9"/>
    <w:rsid w:val="006724E5"/>
    <w:rsid w:val="00675E37"/>
    <w:rsid w:val="00677E21"/>
    <w:rsid w:val="0068260E"/>
    <w:rsid w:val="00684ECC"/>
    <w:rsid w:val="006903F7"/>
    <w:rsid w:val="00693C50"/>
    <w:rsid w:val="006953D1"/>
    <w:rsid w:val="00695BEF"/>
    <w:rsid w:val="00695D03"/>
    <w:rsid w:val="00696DA0"/>
    <w:rsid w:val="006977F6"/>
    <w:rsid w:val="00697A13"/>
    <w:rsid w:val="006A09CC"/>
    <w:rsid w:val="006A109C"/>
    <w:rsid w:val="006A43C1"/>
    <w:rsid w:val="006A5103"/>
    <w:rsid w:val="006B1B3E"/>
    <w:rsid w:val="006B6F8B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38D5"/>
    <w:rsid w:val="00705DD1"/>
    <w:rsid w:val="00713776"/>
    <w:rsid w:val="0071743B"/>
    <w:rsid w:val="007211F5"/>
    <w:rsid w:val="00725DE4"/>
    <w:rsid w:val="0073035F"/>
    <w:rsid w:val="00730AE8"/>
    <w:rsid w:val="0073322F"/>
    <w:rsid w:val="00741493"/>
    <w:rsid w:val="007419C4"/>
    <w:rsid w:val="0075144C"/>
    <w:rsid w:val="00752180"/>
    <w:rsid w:val="00753A17"/>
    <w:rsid w:val="007552B6"/>
    <w:rsid w:val="00755D3A"/>
    <w:rsid w:val="00755E0B"/>
    <w:rsid w:val="0075639A"/>
    <w:rsid w:val="00756A49"/>
    <w:rsid w:val="007606D9"/>
    <w:rsid w:val="007609C6"/>
    <w:rsid w:val="00761B3D"/>
    <w:rsid w:val="00763BEE"/>
    <w:rsid w:val="00770FB0"/>
    <w:rsid w:val="00773848"/>
    <w:rsid w:val="00776527"/>
    <w:rsid w:val="0077665E"/>
    <w:rsid w:val="00782388"/>
    <w:rsid w:val="00783150"/>
    <w:rsid w:val="00785B2D"/>
    <w:rsid w:val="00791888"/>
    <w:rsid w:val="007933F9"/>
    <w:rsid w:val="00794A58"/>
    <w:rsid w:val="0079553A"/>
    <w:rsid w:val="007A26E9"/>
    <w:rsid w:val="007A5C36"/>
    <w:rsid w:val="007A6F5E"/>
    <w:rsid w:val="007B1723"/>
    <w:rsid w:val="007B39E7"/>
    <w:rsid w:val="007C3252"/>
    <w:rsid w:val="007C3F6A"/>
    <w:rsid w:val="007D0C22"/>
    <w:rsid w:val="007D22B8"/>
    <w:rsid w:val="007D567D"/>
    <w:rsid w:val="007D7174"/>
    <w:rsid w:val="007E3D24"/>
    <w:rsid w:val="007E7E61"/>
    <w:rsid w:val="007F0845"/>
    <w:rsid w:val="007F5528"/>
    <w:rsid w:val="007F6E8E"/>
    <w:rsid w:val="00807FBF"/>
    <w:rsid w:val="00817313"/>
    <w:rsid w:val="0082034C"/>
    <w:rsid w:val="0082197D"/>
    <w:rsid w:val="00821FF6"/>
    <w:rsid w:val="0083143E"/>
    <w:rsid w:val="00834943"/>
    <w:rsid w:val="00834FAA"/>
    <w:rsid w:val="00836086"/>
    <w:rsid w:val="00845467"/>
    <w:rsid w:val="008516F6"/>
    <w:rsid w:val="00862335"/>
    <w:rsid w:val="00876086"/>
    <w:rsid w:val="00880A90"/>
    <w:rsid w:val="00880C90"/>
    <w:rsid w:val="00883830"/>
    <w:rsid w:val="00884009"/>
    <w:rsid w:val="00886322"/>
    <w:rsid w:val="00890BB8"/>
    <w:rsid w:val="00897622"/>
    <w:rsid w:val="008B1764"/>
    <w:rsid w:val="008B3086"/>
    <w:rsid w:val="008B68FA"/>
    <w:rsid w:val="008B7C02"/>
    <w:rsid w:val="008C0E88"/>
    <w:rsid w:val="008D2A16"/>
    <w:rsid w:val="008D5FB4"/>
    <w:rsid w:val="008E259C"/>
    <w:rsid w:val="008E31FF"/>
    <w:rsid w:val="008F41A9"/>
    <w:rsid w:val="008F6937"/>
    <w:rsid w:val="009003A8"/>
    <w:rsid w:val="00902C18"/>
    <w:rsid w:val="00902EFF"/>
    <w:rsid w:val="00905613"/>
    <w:rsid w:val="00911872"/>
    <w:rsid w:val="00914466"/>
    <w:rsid w:val="00921F14"/>
    <w:rsid w:val="0092296F"/>
    <w:rsid w:val="00927D4F"/>
    <w:rsid w:val="00930B37"/>
    <w:rsid w:val="0093217F"/>
    <w:rsid w:val="00932E35"/>
    <w:rsid w:val="009354AF"/>
    <w:rsid w:val="0094427A"/>
    <w:rsid w:val="0094675A"/>
    <w:rsid w:val="00946D04"/>
    <w:rsid w:val="00953E93"/>
    <w:rsid w:val="00967DBD"/>
    <w:rsid w:val="00970B9B"/>
    <w:rsid w:val="0097254D"/>
    <w:rsid w:val="00974923"/>
    <w:rsid w:val="00976772"/>
    <w:rsid w:val="009843E1"/>
    <w:rsid w:val="00985E1B"/>
    <w:rsid w:val="0098620F"/>
    <w:rsid w:val="009865D1"/>
    <w:rsid w:val="00986F8B"/>
    <w:rsid w:val="00987E97"/>
    <w:rsid w:val="00995D9E"/>
    <w:rsid w:val="009A342B"/>
    <w:rsid w:val="009B0F2D"/>
    <w:rsid w:val="009B1B9D"/>
    <w:rsid w:val="009B3CF6"/>
    <w:rsid w:val="009B6FD3"/>
    <w:rsid w:val="009B75B1"/>
    <w:rsid w:val="009C117D"/>
    <w:rsid w:val="009C1BA7"/>
    <w:rsid w:val="009C3EFC"/>
    <w:rsid w:val="009C44D8"/>
    <w:rsid w:val="009C45AC"/>
    <w:rsid w:val="009C6E91"/>
    <w:rsid w:val="009C7745"/>
    <w:rsid w:val="009D0837"/>
    <w:rsid w:val="009D3FF2"/>
    <w:rsid w:val="009D62BC"/>
    <w:rsid w:val="009E46BC"/>
    <w:rsid w:val="009F4A9A"/>
    <w:rsid w:val="009F4A9E"/>
    <w:rsid w:val="009F4B8A"/>
    <w:rsid w:val="00A001A1"/>
    <w:rsid w:val="00A01DF4"/>
    <w:rsid w:val="00A01E07"/>
    <w:rsid w:val="00A042F6"/>
    <w:rsid w:val="00A07F12"/>
    <w:rsid w:val="00A103BE"/>
    <w:rsid w:val="00A10D66"/>
    <w:rsid w:val="00A11976"/>
    <w:rsid w:val="00A1359D"/>
    <w:rsid w:val="00A15697"/>
    <w:rsid w:val="00A16C6E"/>
    <w:rsid w:val="00A227E6"/>
    <w:rsid w:val="00A232CE"/>
    <w:rsid w:val="00A23E43"/>
    <w:rsid w:val="00A34E5A"/>
    <w:rsid w:val="00A42547"/>
    <w:rsid w:val="00A46DE0"/>
    <w:rsid w:val="00A53E51"/>
    <w:rsid w:val="00A62CE1"/>
    <w:rsid w:val="00A63582"/>
    <w:rsid w:val="00A74330"/>
    <w:rsid w:val="00A75E40"/>
    <w:rsid w:val="00A76867"/>
    <w:rsid w:val="00A77307"/>
    <w:rsid w:val="00A839F5"/>
    <w:rsid w:val="00A857C0"/>
    <w:rsid w:val="00A87565"/>
    <w:rsid w:val="00A914B0"/>
    <w:rsid w:val="00A961FE"/>
    <w:rsid w:val="00A96F33"/>
    <w:rsid w:val="00A9721C"/>
    <w:rsid w:val="00AA09BD"/>
    <w:rsid w:val="00AA292D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24"/>
    <w:rsid w:val="00AC77ED"/>
    <w:rsid w:val="00AD2946"/>
    <w:rsid w:val="00AD306C"/>
    <w:rsid w:val="00AD4894"/>
    <w:rsid w:val="00AD4F59"/>
    <w:rsid w:val="00AD6980"/>
    <w:rsid w:val="00AD76F0"/>
    <w:rsid w:val="00AE00B1"/>
    <w:rsid w:val="00AE09BA"/>
    <w:rsid w:val="00AE2C6F"/>
    <w:rsid w:val="00AF2A1B"/>
    <w:rsid w:val="00AF2FE6"/>
    <w:rsid w:val="00B104D5"/>
    <w:rsid w:val="00B10B10"/>
    <w:rsid w:val="00B112AC"/>
    <w:rsid w:val="00B11A56"/>
    <w:rsid w:val="00B13BD5"/>
    <w:rsid w:val="00B14740"/>
    <w:rsid w:val="00B17E71"/>
    <w:rsid w:val="00B17FDE"/>
    <w:rsid w:val="00B21D75"/>
    <w:rsid w:val="00B2336B"/>
    <w:rsid w:val="00B32DDB"/>
    <w:rsid w:val="00B358C9"/>
    <w:rsid w:val="00B37C4F"/>
    <w:rsid w:val="00B61E79"/>
    <w:rsid w:val="00B63CAE"/>
    <w:rsid w:val="00B6608F"/>
    <w:rsid w:val="00B66B5B"/>
    <w:rsid w:val="00B66FCF"/>
    <w:rsid w:val="00B70F28"/>
    <w:rsid w:val="00B763A7"/>
    <w:rsid w:val="00B76D1E"/>
    <w:rsid w:val="00B849FC"/>
    <w:rsid w:val="00B8548F"/>
    <w:rsid w:val="00B95940"/>
    <w:rsid w:val="00B9710B"/>
    <w:rsid w:val="00BA3AB5"/>
    <w:rsid w:val="00BB02B4"/>
    <w:rsid w:val="00BB3BC4"/>
    <w:rsid w:val="00BB3F0A"/>
    <w:rsid w:val="00BD258B"/>
    <w:rsid w:val="00BD366B"/>
    <w:rsid w:val="00BD4C80"/>
    <w:rsid w:val="00BD6D50"/>
    <w:rsid w:val="00BF5166"/>
    <w:rsid w:val="00BF5B39"/>
    <w:rsid w:val="00C0475C"/>
    <w:rsid w:val="00C07EF1"/>
    <w:rsid w:val="00C105CD"/>
    <w:rsid w:val="00C16BD2"/>
    <w:rsid w:val="00C17BB8"/>
    <w:rsid w:val="00C21F94"/>
    <w:rsid w:val="00C2237E"/>
    <w:rsid w:val="00C23868"/>
    <w:rsid w:val="00C25284"/>
    <w:rsid w:val="00C2775B"/>
    <w:rsid w:val="00C45250"/>
    <w:rsid w:val="00C54084"/>
    <w:rsid w:val="00C60F42"/>
    <w:rsid w:val="00C67870"/>
    <w:rsid w:val="00C73BDE"/>
    <w:rsid w:val="00C74DB5"/>
    <w:rsid w:val="00C772BA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E6715"/>
    <w:rsid w:val="00CF51EC"/>
    <w:rsid w:val="00D040DD"/>
    <w:rsid w:val="00D1416F"/>
    <w:rsid w:val="00D144E8"/>
    <w:rsid w:val="00D15350"/>
    <w:rsid w:val="00D24A85"/>
    <w:rsid w:val="00D31700"/>
    <w:rsid w:val="00D36158"/>
    <w:rsid w:val="00D54933"/>
    <w:rsid w:val="00D57B0B"/>
    <w:rsid w:val="00D63C8D"/>
    <w:rsid w:val="00D76BB2"/>
    <w:rsid w:val="00D83FA8"/>
    <w:rsid w:val="00D84333"/>
    <w:rsid w:val="00D90E42"/>
    <w:rsid w:val="00D960FF"/>
    <w:rsid w:val="00DA25F4"/>
    <w:rsid w:val="00DA4974"/>
    <w:rsid w:val="00DA7368"/>
    <w:rsid w:val="00DB50D1"/>
    <w:rsid w:val="00DB6B38"/>
    <w:rsid w:val="00DC5B3B"/>
    <w:rsid w:val="00DD0B3A"/>
    <w:rsid w:val="00DD46BC"/>
    <w:rsid w:val="00DE2403"/>
    <w:rsid w:val="00DE2936"/>
    <w:rsid w:val="00DF08FE"/>
    <w:rsid w:val="00DF2081"/>
    <w:rsid w:val="00DF4018"/>
    <w:rsid w:val="00DF4DA9"/>
    <w:rsid w:val="00E01C0E"/>
    <w:rsid w:val="00E04694"/>
    <w:rsid w:val="00E06380"/>
    <w:rsid w:val="00E06638"/>
    <w:rsid w:val="00E1501E"/>
    <w:rsid w:val="00E1730B"/>
    <w:rsid w:val="00E20E07"/>
    <w:rsid w:val="00E357B8"/>
    <w:rsid w:val="00E368B8"/>
    <w:rsid w:val="00E4403F"/>
    <w:rsid w:val="00E465BC"/>
    <w:rsid w:val="00E47E88"/>
    <w:rsid w:val="00E66B7A"/>
    <w:rsid w:val="00E7027A"/>
    <w:rsid w:val="00E71A58"/>
    <w:rsid w:val="00E730CE"/>
    <w:rsid w:val="00E73248"/>
    <w:rsid w:val="00E74942"/>
    <w:rsid w:val="00E8598E"/>
    <w:rsid w:val="00E92958"/>
    <w:rsid w:val="00E956B1"/>
    <w:rsid w:val="00E96B33"/>
    <w:rsid w:val="00EA0015"/>
    <w:rsid w:val="00EA0C68"/>
    <w:rsid w:val="00EB41D6"/>
    <w:rsid w:val="00EB593F"/>
    <w:rsid w:val="00EB5AA2"/>
    <w:rsid w:val="00EC1A7F"/>
    <w:rsid w:val="00EC3A17"/>
    <w:rsid w:val="00EC3FF8"/>
    <w:rsid w:val="00EC5284"/>
    <w:rsid w:val="00EC7132"/>
    <w:rsid w:val="00ED5BCB"/>
    <w:rsid w:val="00EE01F9"/>
    <w:rsid w:val="00EE3E78"/>
    <w:rsid w:val="00EE5652"/>
    <w:rsid w:val="00EF1F5A"/>
    <w:rsid w:val="00EF3A91"/>
    <w:rsid w:val="00EF70DC"/>
    <w:rsid w:val="00F0027D"/>
    <w:rsid w:val="00F04811"/>
    <w:rsid w:val="00F0488C"/>
    <w:rsid w:val="00F156E6"/>
    <w:rsid w:val="00F15BEF"/>
    <w:rsid w:val="00F226D7"/>
    <w:rsid w:val="00F22D7D"/>
    <w:rsid w:val="00F24FAA"/>
    <w:rsid w:val="00F25107"/>
    <w:rsid w:val="00F30B11"/>
    <w:rsid w:val="00F3364D"/>
    <w:rsid w:val="00F41796"/>
    <w:rsid w:val="00F41C45"/>
    <w:rsid w:val="00F4274E"/>
    <w:rsid w:val="00F42C99"/>
    <w:rsid w:val="00F4518B"/>
    <w:rsid w:val="00F55AD6"/>
    <w:rsid w:val="00F6313A"/>
    <w:rsid w:val="00F63DDE"/>
    <w:rsid w:val="00F63FB7"/>
    <w:rsid w:val="00F65315"/>
    <w:rsid w:val="00F66522"/>
    <w:rsid w:val="00F671B0"/>
    <w:rsid w:val="00F70B14"/>
    <w:rsid w:val="00F719CD"/>
    <w:rsid w:val="00F71C9A"/>
    <w:rsid w:val="00F73A0C"/>
    <w:rsid w:val="00F770F6"/>
    <w:rsid w:val="00F80861"/>
    <w:rsid w:val="00F8162E"/>
    <w:rsid w:val="00F921BE"/>
    <w:rsid w:val="00F94198"/>
    <w:rsid w:val="00FA2251"/>
    <w:rsid w:val="00FA3FCC"/>
    <w:rsid w:val="00FA7CBE"/>
    <w:rsid w:val="00FB21BE"/>
    <w:rsid w:val="00FB3E81"/>
    <w:rsid w:val="00FB551C"/>
    <w:rsid w:val="00FB5C09"/>
    <w:rsid w:val="00FC0E5F"/>
    <w:rsid w:val="00FC2CAB"/>
    <w:rsid w:val="00FC2EF9"/>
    <w:rsid w:val="00FC4D25"/>
    <w:rsid w:val="00FC5072"/>
    <w:rsid w:val="00FC56DE"/>
    <w:rsid w:val="00FD18A2"/>
    <w:rsid w:val="00FD2F20"/>
    <w:rsid w:val="00FD30C4"/>
    <w:rsid w:val="00FD3BA0"/>
    <w:rsid w:val="00FD7996"/>
    <w:rsid w:val="00FE2F78"/>
    <w:rsid w:val="00FE4465"/>
    <w:rsid w:val="00FE5298"/>
    <w:rsid w:val="00FE75FB"/>
    <w:rsid w:val="00FE7C69"/>
    <w:rsid w:val="00FF199B"/>
    <w:rsid w:val="00FF428A"/>
    <w:rsid w:val="00FF5FF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325087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F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84577889302304E-2"/>
          <c:y val="0.15098256282321146"/>
          <c:w val="0.96987646544181982"/>
          <c:h val="0.65910929784509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analytics'!$B$1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'data analytics'!$A$2:$A$5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'data analytics'!$B$2:$B$5</c:f>
              <c:numCache>
                <c:formatCode>0%</c:formatCode>
                <c:ptCount val="4"/>
                <c:pt idx="0">
                  <c:v>0.19500000000000001</c:v>
                </c:pt>
                <c:pt idx="1">
                  <c:v>0.153</c:v>
                </c:pt>
                <c:pt idx="2">
                  <c:v>0.32300000000000001</c:v>
                </c:pt>
                <c:pt idx="3">
                  <c:v>0.51500000000000001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9-4DD7-A538-32FB12511896}"/>
            </c:ext>
          </c:extLst>
        </c:ser>
        <c:ser>
          <c:idx val="1"/>
          <c:order val="1"/>
          <c:tx>
            <c:strRef>
              <c:f>'data analytics'!$C$1</c:f>
              <c:strCache>
                <c:ptCount val="1"/>
                <c:pt idx="0">
                  <c:v> data analytics provádí vlastní zaměstnanci firmy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'data analytics'!$A$2:$A$5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'data analytics'!$C$2:$C$5</c:f>
              <c:numCache>
                <c:formatCode>0%</c:formatCode>
                <c:ptCount val="4"/>
                <c:pt idx="0">
                  <c:v>0.17599999999999999</c:v>
                </c:pt>
                <c:pt idx="1">
                  <c:v>0.13400000000000001</c:v>
                </c:pt>
                <c:pt idx="2">
                  <c:v>0.30499999999999999</c:v>
                </c:pt>
                <c:pt idx="3">
                  <c:v>0.49299999999999999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A9-4DD7-A538-32FB12511896}"/>
            </c:ext>
          </c:extLst>
        </c:ser>
        <c:ser>
          <c:idx val="2"/>
          <c:order val="2"/>
          <c:tx>
            <c:strRef>
              <c:f>'data analytics'!$D$1</c:f>
              <c:strCache>
                <c:ptCount val="1"/>
                <c:pt idx="0">
                  <c:v> data analytics provádí pro firmu externí subjekt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'data analytics'!$A$2:$A$5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'data analytics'!$D$2:$D$5</c:f>
              <c:numCache>
                <c:formatCode>0%</c:formatCode>
                <c:ptCount val="4"/>
                <c:pt idx="0">
                  <c:v>5.3999999999999999E-2</c:v>
                </c:pt>
                <c:pt idx="1">
                  <c:v>4.3999999999999997E-2</c:v>
                </c:pt>
                <c:pt idx="2">
                  <c:v>8.5999999999999993E-2</c:v>
                </c:pt>
                <c:pt idx="3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A9-4DD7-A538-32FB12511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8790400"/>
        <c:axId val="178791936"/>
      </c:barChart>
      <c:catAx>
        <c:axId val="17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791936"/>
        <c:crosses val="autoZero"/>
        <c:auto val="1"/>
        <c:lblAlgn val="ctr"/>
        <c:lblOffset val="100"/>
        <c:noMultiLvlLbl val="0"/>
      </c:catAx>
      <c:valAx>
        <c:axId val="17879193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879040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1.5615818209478853E-2"/>
          <c:w val="0.99692834604205283"/>
          <c:h val="0.12581698949305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41552072223781E-2"/>
          <c:y val="8.0431442420062449E-2"/>
          <c:w val="0.93813677362381309"/>
          <c:h val="0.71279268923501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analytics'!$B$24</c:f>
              <c:strCache>
                <c:ptCount val="1"/>
                <c:pt idx="0">
                  <c:v> Celkem*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BC9F-47CA-8B84-6D7CB235F379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BC9F-47CA-8B84-6D7CB235F379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BC9F-47CA-8B84-6D7CB235F379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BC9F-47CA-8B84-6D7CB235F379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BC9F-47CA-8B84-6D7CB235F379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BC9F-47CA-8B84-6D7CB235F379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BC9F-47CA-8B84-6D7CB235F379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BC9F-47CA-8B84-6D7CB235F379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BC9F-47CA-8B84-6D7CB235F379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BC9F-47CA-8B84-6D7CB235F379}"/>
              </c:ext>
            </c:extLst>
          </c:dPt>
          <c:dPt>
            <c:idx val="2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BC9F-47CA-8B84-6D7CB235F379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BC9F-47CA-8B84-6D7CB235F379}"/>
              </c:ext>
            </c:extLst>
          </c:dPt>
          <c:dPt>
            <c:idx val="25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9-BC9F-47CA-8B84-6D7CB235F379}"/>
              </c:ext>
            </c:extLst>
          </c:dPt>
          <c:dLbls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C9F-47CA-8B84-6D7CB235F379}"/>
                </c:ext>
              </c:extLst>
            </c:dLbl>
            <c:dLbl>
              <c:idx val="2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C9F-47CA-8B84-6D7CB235F3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'data analytics'!$A$25:$A$52</c:f>
              <c:strCache>
                <c:ptCount val="28"/>
                <c:pt idx="0">
                  <c:v>Maďarsko</c:v>
                </c:pt>
                <c:pt idx="1">
                  <c:v>Chorvatsko</c:v>
                </c:pt>
                <c:pt idx="2">
                  <c:v>Dánsko</c:v>
                </c:pt>
                <c:pt idx="3">
                  <c:v>Nizozemsko</c:v>
                </c:pt>
                <c:pt idx="4">
                  <c:v>Belgie</c:v>
                </c:pt>
                <c:pt idx="5">
                  <c:v>Finsko</c:v>
                </c:pt>
                <c:pt idx="6">
                  <c:v>Litva</c:v>
                </c:pt>
                <c:pt idx="7">
                  <c:v>Portugalsko</c:v>
                </c:pt>
                <c:pt idx="8">
                  <c:v>Španělsko</c:v>
                </c:pt>
                <c:pt idx="9">
                  <c:v>Irsko</c:v>
                </c:pt>
                <c:pt idx="10">
                  <c:v>Německo</c:v>
                </c:pt>
                <c:pt idx="11">
                  <c:v>Lotyšsko</c:v>
                </c:pt>
                <c:pt idx="12">
                  <c:v>Malta</c:v>
                </c:pt>
                <c:pt idx="13">
                  <c:v>Švédsko</c:v>
                </c:pt>
                <c:pt idx="14">
                  <c:v>Francie</c:v>
                </c:pt>
                <c:pt idx="15">
                  <c:v>Kypr</c:v>
                </c:pt>
                <c:pt idx="16">
                  <c:v>EU27</c:v>
                </c:pt>
                <c:pt idx="17">
                  <c:v>Lucembursko</c:v>
                </c:pt>
                <c:pt idx="18">
                  <c:v>Slovensko</c:v>
                </c:pt>
                <c:pt idx="19">
                  <c:v>Itálie</c:v>
                </c:pt>
                <c:pt idx="20">
                  <c:v>Estonsko</c:v>
                </c:pt>
                <c:pt idx="21">
                  <c:v>Řecko</c:v>
                </c:pt>
                <c:pt idx="22">
                  <c:v>Rakousko</c:v>
                </c:pt>
                <c:pt idx="23">
                  <c:v>Rumunsko</c:v>
                </c:pt>
                <c:pt idx="24">
                  <c:v>Bulharsko</c:v>
                </c:pt>
                <c:pt idx="25">
                  <c:v>Česko</c:v>
                </c:pt>
                <c:pt idx="26">
                  <c:v>Polsko</c:v>
                </c:pt>
                <c:pt idx="27">
                  <c:v>Slovinsko</c:v>
                </c:pt>
              </c:strCache>
            </c:strRef>
          </c:cat>
          <c:val>
            <c:numRef>
              <c:f>'data analytics'!$B$25:$B$52</c:f>
              <c:numCache>
                <c:formatCode>0%</c:formatCode>
                <c:ptCount val="28"/>
                <c:pt idx="0">
                  <c:v>0.53210400000000002</c:v>
                </c:pt>
                <c:pt idx="1">
                  <c:v>0.51677499999999998</c:v>
                </c:pt>
                <c:pt idx="2">
                  <c:v>0.494919</c:v>
                </c:pt>
                <c:pt idx="3">
                  <c:v>0.48558400000000002</c:v>
                </c:pt>
                <c:pt idx="4">
                  <c:v>0.444718</c:v>
                </c:pt>
                <c:pt idx="5">
                  <c:v>0.40553299999999998</c:v>
                </c:pt>
                <c:pt idx="6">
                  <c:v>0.40527200000000002</c:v>
                </c:pt>
                <c:pt idx="7">
                  <c:v>0.38555499999999998</c:v>
                </c:pt>
                <c:pt idx="8">
                  <c:v>0.38009399999999999</c:v>
                </c:pt>
                <c:pt idx="9">
                  <c:v>0.37085299999999999</c:v>
                </c:pt>
                <c:pt idx="10">
                  <c:v>0.37079899999999999</c:v>
                </c:pt>
                <c:pt idx="11">
                  <c:v>0.36865900000000001</c:v>
                </c:pt>
                <c:pt idx="12">
                  <c:v>0.355931</c:v>
                </c:pt>
                <c:pt idx="13">
                  <c:v>0.34962100000000002</c:v>
                </c:pt>
                <c:pt idx="14">
                  <c:v>0.33898099999999998</c:v>
                </c:pt>
                <c:pt idx="15">
                  <c:v>0.33501599999999998</c:v>
                </c:pt>
                <c:pt idx="16">
                  <c:v>0.33167799999999997</c:v>
                </c:pt>
                <c:pt idx="17">
                  <c:v>0.32409100000000002</c:v>
                </c:pt>
                <c:pt idx="18">
                  <c:v>0.30171199999999998</c:v>
                </c:pt>
                <c:pt idx="19">
                  <c:v>0.26605600000000001</c:v>
                </c:pt>
                <c:pt idx="20">
                  <c:v>0.25565599999999999</c:v>
                </c:pt>
                <c:pt idx="21">
                  <c:v>0.249975</c:v>
                </c:pt>
                <c:pt idx="22">
                  <c:v>0.23936199999999999</c:v>
                </c:pt>
                <c:pt idx="23">
                  <c:v>0.21870800000000001</c:v>
                </c:pt>
                <c:pt idx="24">
                  <c:v>0.218583</c:v>
                </c:pt>
                <c:pt idx="25">
                  <c:v>0.19492399999999999</c:v>
                </c:pt>
                <c:pt idx="26">
                  <c:v>0.193133</c:v>
                </c:pt>
                <c:pt idx="27">
                  <c:v>0.19056899999999999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BC9F-47CA-8B84-6D7CB235F379}"/>
            </c:ext>
          </c:extLst>
        </c:ser>
        <c:ser>
          <c:idx val="1"/>
          <c:order val="1"/>
          <c:tx>
            <c:strRef>
              <c:f>'data analytics'!$C$24</c:f>
              <c:strCache>
                <c:ptCount val="1"/>
                <c:pt idx="0">
                  <c:v> data analytics provádí pro firmu externí subjekt</c:v>
                </c:pt>
              </c:strCache>
            </c:strRef>
          </c:tx>
          <c:spPr>
            <a:solidFill>
              <a:srgbClr val="009BB4"/>
            </a:solidFill>
            <a:ln>
              <a:solidFill>
                <a:schemeClr val="accent1"/>
              </a:solidFill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C-BC9F-47CA-8B84-6D7CB235F379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E-BC9F-47CA-8B84-6D7CB235F379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20-BC9F-47CA-8B84-6D7CB235F379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2-BC9F-47CA-8B84-6D7CB235F379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24-BC9F-47CA-8B84-6D7CB235F379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26-BC9F-47CA-8B84-6D7CB235F379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28-BC9F-47CA-8B84-6D7CB235F379}"/>
              </c:ext>
            </c:extLst>
          </c:dPt>
          <c:dPt>
            <c:idx val="25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A-BC9F-47CA-8B84-6D7CB235F379}"/>
              </c:ext>
            </c:extLst>
          </c:dPt>
          <c:dLbls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C9F-47CA-8B84-6D7CB235F379}"/>
                </c:ext>
              </c:extLst>
            </c:dLbl>
            <c:dLbl>
              <c:idx val="2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C9F-47CA-8B84-6D7CB235F37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'data analytics'!$A$25:$A$52</c:f>
              <c:strCache>
                <c:ptCount val="28"/>
                <c:pt idx="0">
                  <c:v>Maďarsko</c:v>
                </c:pt>
                <c:pt idx="1">
                  <c:v>Chorvatsko</c:v>
                </c:pt>
                <c:pt idx="2">
                  <c:v>Dánsko</c:v>
                </c:pt>
                <c:pt idx="3">
                  <c:v>Nizozemsko</c:v>
                </c:pt>
                <c:pt idx="4">
                  <c:v>Belgie</c:v>
                </c:pt>
                <c:pt idx="5">
                  <c:v>Finsko</c:v>
                </c:pt>
                <c:pt idx="6">
                  <c:v>Litva</c:v>
                </c:pt>
                <c:pt idx="7">
                  <c:v>Portugalsko</c:v>
                </c:pt>
                <c:pt idx="8">
                  <c:v>Španělsko</c:v>
                </c:pt>
                <c:pt idx="9">
                  <c:v>Irsko</c:v>
                </c:pt>
                <c:pt idx="10">
                  <c:v>Německo</c:v>
                </c:pt>
                <c:pt idx="11">
                  <c:v>Lotyšsko</c:v>
                </c:pt>
                <c:pt idx="12">
                  <c:v>Malta</c:v>
                </c:pt>
                <c:pt idx="13">
                  <c:v>Švédsko</c:v>
                </c:pt>
                <c:pt idx="14">
                  <c:v>Francie</c:v>
                </c:pt>
                <c:pt idx="15">
                  <c:v>Kypr</c:v>
                </c:pt>
                <c:pt idx="16">
                  <c:v>EU27</c:v>
                </c:pt>
                <c:pt idx="17">
                  <c:v>Lucembursko</c:v>
                </c:pt>
                <c:pt idx="18">
                  <c:v>Slovensko</c:v>
                </c:pt>
                <c:pt idx="19">
                  <c:v>Itálie</c:v>
                </c:pt>
                <c:pt idx="20">
                  <c:v>Estonsko</c:v>
                </c:pt>
                <c:pt idx="21">
                  <c:v>Řecko</c:v>
                </c:pt>
                <c:pt idx="22">
                  <c:v>Rakousko</c:v>
                </c:pt>
                <c:pt idx="23">
                  <c:v>Rumunsko</c:v>
                </c:pt>
                <c:pt idx="24">
                  <c:v>Bulharsko</c:v>
                </c:pt>
                <c:pt idx="25">
                  <c:v>Česko</c:v>
                </c:pt>
                <c:pt idx="26">
                  <c:v>Polsko</c:v>
                </c:pt>
                <c:pt idx="27">
                  <c:v>Slovinsko</c:v>
                </c:pt>
              </c:strCache>
            </c:strRef>
          </c:cat>
          <c:val>
            <c:numRef>
              <c:f>'data analytics'!$C$25:$C$52</c:f>
              <c:numCache>
                <c:formatCode>0%</c:formatCode>
                <c:ptCount val="28"/>
                <c:pt idx="0">
                  <c:v>0.23064000000000001</c:v>
                </c:pt>
                <c:pt idx="1">
                  <c:v>7.6219999999999996E-2</c:v>
                </c:pt>
                <c:pt idx="2">
                  <c:v>0.227746</c:v>
                </c:pt>
                <c:pt idx="3">
                  <c:v>0.163687</c:v>
                </c:pt>
                <c:pt idx="4">
                  <c:v>0.16281200000000001</c:v>
                </c:pt>
                <c:pt idx="5">
                  <c:v>0.19051999999999999</c:v>
                </c:pt>
                <c:pt idx="6">
                  <c:v>8.4758E-2</c:v>
                </c:pt>
                <c:pt idx="7">
                  <c:v>0.142983</c:v>
                </c:pt>
                <c:pt idx="8">
                  <c:v>0.156419</c:v>
                </c:pt>
                <c:pt idx="9">
                  <c:v>0.139685</c:v>
                </c:pt>
                <c:pt idx="10">
                  <c:v>0.11360199999999999</c:v>
                </c:pt>
                <c:pt idx="11">
                  <c:v>7.4716000000000005E-2</c:v>
                </c:pt>
                <c:pt idx="12">
                  <c:v>9.3405000000000002E-2</c:v>
                </c:pt>
                <c:pt idx="13">
                  <c:v>0.113861</c:v>
                </c:pt>
                <c:pt idx="14">
                  <c:v>0.107321</c:v>
                </c:pt>
                <c:pt idx="15">
                  <c:v>0.13620299999999999</c:v>
                </c:pt>
                <c:pt idx="16">
                  <c:v>0.104406</c:v>
                </c:pt>
                <c:pt idx="17">
                  <c:v>0.106789</c:v>
                </c:pt>
                <c:pt idx="18">
                  <c:v>7.8899999999999998E-2</c:v>
                </c:pt>
                <c:pt idx="19">
                  <c:v>4.6059000000000003E-2</c:v>
                </c:pt>
                <c:pt idx="20">
                  <c:v>0.10799499999999999</c:v>
                </c:pt>
                <c:pt idx="21">
                  <c:v>6.3626000000000002E-2</c:v>
                </c:pt>
                <c:pt idx="22">
                  <c:v>0.120697</c:v>
                </c:pt>
                <c:pt idx="23">
                  <c:v>6.3326999999999994E-2</c:v>
                </c:pt>
                <c:pt idx="24">
                  <c:v>7.5538999999999995E-2</c:v>
                </c:pt>
                <c:pt idx="25">
                  <c:v>5.4356000000000002E-2</c:v>
                </c:pt>
                <c:pt idx="26">
                  <c:v>3.8809000000000003E-2</c:v>
                </c:pt>
                <c:pt idx="27">
                  <c:v>6.2384000000000002E-2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BC9F-47CA-8B84-6D7CB235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0.60000000000000009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4.6317367276695505E-2"/>
          <c:y val="9.2700091320701717E-3"/>
          <c:w val="0.88443867783107277"/>
          <c:h val="4.7016913859639277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890251636761"/>
          <c:y val="1.6022461658380168E-2"/>
          <c:w val="0.65829932968416127"/>
          <c:h val="0.95436393042767187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'data analytics'!$B$55</c:f>
              <c:strCache>
                <c:ptCount val="1"/>
                <c:pt idx="0">
                  <c:v> EU27 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'data analytics'!$A$56:$A$63</c:f>
              <c:strCache>
                <c:ptCount val="8"/>
                <c:pt idx="0">
                  <c:v>data ze satelitních snímků</c:v>
                </c:pt>
                <c:pt idx="1">
                  <c:v>data z chytrých senzorů, 
RFID štítků nebo čipů</c:v>
                </c:pt>
                <c:pt idx="2">
                  <c:v>data o poloze</c:v>
                </c:pt>
                <c:pt idx="3">
                  <c:v>otevřená data z veřejných registrů</c:v>
                </c:pt>
                <c:pt idx="4">
                  <c:v>data z webových stránek</c:v>
                </c:pt>
                <c:pt idx="5">
                  <c:v>data ze sociálních médií</c:v>
                </c:pt>
                <c:pt idx="6">
                  <c:v>data ze zákaznických databází</c:v>
                </c:pt>
                <c:pt idx="7">
                  <c:v>transakční záznamy z prodejů</c:v>
                </c:pt>
              </c:strCache>
            </c:strRef>
          </c:cat>
          <c:val>
            <c:numRef>
              <c:f>'data analytics'!$B$56:$B$63</c:f>
              <c:numCache>
                <c:formatCode>0%</c:formatCode>
                <c:ptCount val="8"/>
                <c:pt idx="0">
                  <c:v>0.106655</c:v>
                </c:pt>
                <c:pt idx="1">
                  <c:v>0.16875799999999999</c:v>
                </c:pt>
                <c:pt idx="2">
                  <c:v>0.20031499999999999</c:v>
                </c:pt>
                <c:pt idx="3">
                  <c:v>0.22429299999999999</c:v>
                </c:pt>
                <c:pt idx="4">
                  <c:v>0.30804199999999998</c:v>
                </c:pt>
                <c:pt idx="5">
                  <c:v>0.329322</c:v>
                </c:pt>
                <c:pt idx="6">
                  <c:v>0.50800500000000004</c:v>
                </c:pt>
                <c:pt idx="7">
                  <c:v>0.75148800000000004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A-4E08-B904-1C0126E3A002}"/>
            </c:ext>
          </c:extLst>
        </c:ser>
        <c:ser>
          <c:idx val="0"/>
          <c:order val="1"/>
          <c:tx>
            <c:strRef>
              <c:f>'data analytics'!$C$55</c:f>
              <c:strCache>
                <c:ptCount val="1"/>
                <c:pt idx="0">
                  <c:v> ČR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'data analytics'!$A$56:$A$63</c:f>
              <c:strCache>
                <c:ptCount val="8"/>
                <c:pt idx="0">
                  <c:v>data ze satelitních snímků</c:v>
                </c:pt>
                <c:pt idx="1">
                  <c:v>data z chytrých senzorů, 
RFID štítků nebo čipů</c:v>
                </c:pt>
                <c:pt idx="2">
                  <c:v>data o poloze</c:v>
                </c:pt>
                <c:pt idx="3">
                  <c:v>otevřená data z veřejných registrů</c:v>
                </c:pt>
                <c:pt idx="4">
                  <c:v>data z webových stránek</c:v>
                </c:pt>
                <c:pt idx="5">
                  <c:v>data ze sociálních médií</c:v>
                </c:pt>
                <c:pt idx="6">
                  <c:v>data ze zákaznických databází</c:v>
                </c:pt>
                <c:pt idx="7">
                  <c:v>transakční záznamy z prodejů</c:v>
                </c:pt>
              </c:strCache>
            </c:strRef>
          </c:cat>
          <c:val>
            <c:numRef>
              <c:f>'data analytics'!$C$56:$C$63</c:f>
              <c:numCache>
                <c:formatCode>0%</c:formatCode>
                <c:ptCount val="8"/>
                <c:pt idx="0">
                  <c:v>9.2728000000000005E-2</c:v>
                </c:pt>
                <c:pt idx="1">
                  <c:v>0.17921500000000001</c:v>
                </c:pt>
                <c:pt idx="2">
                  <c:v>0.25429200000000002</c:v>
                </c:pt>
                <c:pt idx="3">
                  <c:v>0.48762299999999997</c:v>
                </c:pt>
                <c:pt idx="4">
                  <c:v>0.49813499999999999</c:v>
                </c:pt>
                <c:pt idx="5">
                  <c:v>0.35547400000000001</c:v>
                </c:pt>
                <c:pt idx="6">
                  <c:v>0.49829200000000001</c:v>
                </c:pt>
                <c:pt idx="7">
                  <c:v>0.79375899999999999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7A-4E08-B904-1C0126E3A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516672"/>
        <c:axId val="175534848"/>
      </c:barChart>
      <c:catAx>
        <c:axId val="17551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5534848"/>
        <c:crosses val="autoZero"/>
        <c:auto val="1"/>
        <c:lblAlgn val="ctr"/>
        <c:lblOffset val="100"/>
        <c:noMultiLvlLbl val="0"/>
      </c:catAx>
      <c:valAx>
        <c:axId val="175534848"/>
        <c:scaling>
          <c:orientation val="minMax"/>
          <c:max val="1.1000000000000001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175516672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82180357921732083"/>
          <c:y val="0.63309368457201098"/>
          <c:w val="7.9182886395760307E-2"/>
          <c:h val="0.1913528556941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B30F-9000-427E-BFAD-6AB5F9B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20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9</cp:revision>
  <cp:lastPrinted>2023-01-10T15:40:00Z</cp:lastPrinted>
  <dcterms:created xsi:type="dcterms:W3CDTF">2024-01-10T09:28:00Z</dcterms:created>
  <dcterms:modified xsi:type="dcterms:W3CDTF">2024-01-12T09:38:00Z</dcterms:modified>
</cp:coreProperties>
</file>