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8DB0" w14:textId="134EF981" w:rsidR="00D57B0B" w:rsidRPr="00D57B0B" w:rsidRDefault="008D7686" w:rsidP="00D57B0B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11</w:t>
      </w:r>
      <w:r w:rsidR="004A0B92">
        <w:rPr>
          <w:sz w:val="30"/>
          <w:szCs w:val="30"/>
        </w:rPr>
        <w:t xml:space="preserve">. </w:t>
      </w:r>
      <w:r w:rsidR="008570DB">
        <w:rPr>
          <w:sz w:val="30"/>
          <w:szCs w:val="30"/>
        </w:rPr>
        <w:t>E</w:t>
      </w:r>
      <w:r>
        <w:rPr>
          <w:sz w:val="30"/>
          <w:szCs w:val="30"/>
        </w:rPr>
        <w:t>lektronické sdílení informací a dat</w:t>
      </w:r>
      <w:r w:rsidR="008570DB">
        <w:rPr>
          <w:sz w:val="30"/>
          <w:szCs w:val="30"/>
        </w:rPr>
        <w:t>, používání vybraných informační</w:t>
      </w:r>
      <w:r w:rsidR="008A5D12">
        <w:rPr>
          <w:sz w:val="30"/>
          <w:szCs w:val="30"/>
        </w:rPr>
        <w:t>ch</w:t>
      </w:r>
      <w:r w:rsidR="008570DB">
        <w:rPr>
          <w:sz w:val="30"/>
          <w:szCs w:val="30"/>
        </w:rPr>
        <w:t xml:space="preserve"> systém</w:t>
      </w:r>
      <w:r w:rsidR="008A5D12">
        <w:rPr>
          <w:sz w:val="30"/>
          <w:szCs w:val="30"/>
        </w:rPr>
        <w:t>ů</w:t>
      </w:r>
      <w:r w:rsidR="008570DB">
        <w:rPr>
          <w:sz w:val="30"/>
          <w:szCs w:val="30"/>
        </w:rPr>
        <w:t xml:space="preserve"> </w:t>
      </w:r>
      <w:r w:rsidR="00A632AE">
        <w:rPr>
          <w:sz w:val="30"/>
          <w:szCs w:val="30"/>
        </w:rPr>
        <w:t xml:space="preserve">a </w:t>
      </w:r>
      <w:r w:rsidR="008570DB">
        <w:rPr>
          <w:sz w:val="30"/>
          <w:szCs w:val="30"/>
        </w:rPr>
        <w:t>aplikací</w:t>
      </w:r>
      <w:r w:rsidR="00426996">
        <w:rPr>
          <w:sz w:val="30"/>
          <w:szCs w:val="30"/>
        </w:rPr>
        <w:t xml:space="preserve"> </w:t>
      </w:r>
    </w:p>
    <w:p w14:paraId="04058331" w14:textId="607B0232" w:rsidR="00410825" w:rsidRPr="00410825" w:rsidRDefault="00387C40" w:rsidP="00616B28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Elektronické s</w:t>
      </w:r>
      <w:r w:rsidRPr="00387C40">
        <w:rPr>
          <w:rFonts w:ascii="Arial" w:hAnsi="Arial" w:cs="Arial"/>
          <w:i/>
          <w:sz w:val="20"/>
          <w:szCs w:val="20"/>
        </w:rPr>
        <w:t>díl</w:t>
      </w:r>
      <w:r>
        <w:rPr>
          <w:rFonts w:ascii="Arial" w:hAnsi="Arial" w:cs="Arial"/>
          <w:i/>
          <w:sz w:val="20"/>
          <w:szCs w:val="20"/>
        </w:rPr>
        <w:t>ení</w:t>
      </w:r>
      <w:r w:rsidRPr="00387C40">
        <w:rPr>
          <w:rFonts w:ascii="Arial" w:hAnsi="Arial" w:cs="Arial"/>
          <w:i/>
          <w:sz w:val="20"/>
          <w:szCs w:val="20"/>
        </w:rPr>
        <w:t xml:space="preserve"> informac</w:t>
      </w:r>
      <w:r>
        <w:rPr>
          <w:rFonts w:ascii="Arial" w:hAnsi="Arial" w:cs="Arial"/>
          <w:i/>
          <w:sz w:val="20"/>
          <w:szCs w:val="20"/>
        </w:rPr>
        <w:t>í</w:t>
      </w:r>
      <w:r w:rsidRPr="00387C40">
        <w:rPr>
          <w:rFonts w:ascii="Arial" w:hAnsi="Arial" w:cs="Arial"/>
          <w:i/>
          <w:sz w:val="20"/>
          <w:szCs w:val="20"/>
        </w:rPr>
        <w:t xml:space="preserve"> a dat </w:t>
      </w:r>
      <w:r w:rsidR="00616B28">
        <w:rPr>
          <w:rFonts w:ascii="Arial" w:hAnsi="Arial" w:cs="Arial"/>
          <w:i/>
          <w:sz w:val="20"/>
          <w:szCs w:val="20"/>
        </w:rPr>
        <w:t xml:space="preserve">probíhá </w:t>
      </w:r>
      <w:r>
        <w:rPr>
          <w:rFonts w:ascii="Arial" w:hAnsi="Arial" w:cs="Arial"/>
          <w:i/>
          <w:sz w:val="20"/>
          <w:szCs w:val="20"/>
        </w:rPr>
        <w:t xml:space="preserve">s dodavateli nebo zákazníky </w:t>
      </w:r>
      <w:r w:rsidR="00616B28">
        <w:rPr>
          <w:rFonts w:ascii="Arial" w:hAnsi="Arial" w:cs="Arial"/>
          <w:i/>
          <w:sz w:val="20"/>
          <w:szCs w:val="20"/>
        </w:rPr>
        <w:t xml:space="preserve">a podniky jej provádí </w:t>
      </w:r>
      <w:r w:rsidR="00616B28" w:rsidRPr="00616B28">
        <w:rPr>
          <w:rFonts w:ascii="Arial" w:hAnsi="Arial" w:cs="Arial"/>
          <w:i/>
          <w:sz w:val="20"/>
          <w:szCs w:val="20"/>
        </w:rPr>
        <w:t>za účelem zabezpečení dodáv</w:t>
      </w:r>
      <w:r w:rsidR="00616B28">
        <w:rPr>
          <w:rFonts w:ascii="Arial" w:hAnsi="Arial" w:cs="Arial"/>
          <w:i/>
          <w:sz w:val="20"/>
          <w:szCs w:val="20"/>
        </w:rPr>
        <w:t>ek</w:t>
      </w:r>
      <w:r w:rsidR="00616B28" w:rsidRPr="00616B28">
        <w:rPr>
          <w:rFonts w:ascii="Arial" w:hAnsi="Arial" w:cs="Arial"/>
          <w:i/>
          <w:sz w:val="20"/>
          <w:szCs w:val="20"/>
        </w:rPr>
        <w:t xml:space="preserve"> </w:t>
      </w:r>
      <w:r w:rsidR="00616B28">
        <w:rPr>
          <w:rFonts w:ascii="Arial" w:hAnsi="Arial" w:cs="Arial"/>
          <w:i/>
          <w:sz w:val="20"/>
          <w:szCs w:val="20"/>
        </w:rPr>
        <w:t>produktů</w:t>
      </w:r>
      <w:r w:rsidR="00616B28" w:rsidRPr="00616B28">
        <w:rPr>
          <w:rFonts w:ascii="Arial" w:hAnsi="Arial" w:cs="Arial"/>
          <w:i/>
          <w:sz w:val="20"/>
          <w:szCs w:val="20"/>
        </w:rPr>
        <w:t xml:space="preserve"> a </w:t>
      </w:r>
      <w:r w:rsidR="00616B28">
        <w:rPr>
          <w:rFonts w:ascii="Arial" w:hAnsi="Arial" w:cs="Arial"/>
          <w:i/>
          <w:sz w:val="20"/>
          <w:szCs w:val="20"/>
        </w:rPr>
        <w:t>následné</w:t>
      </w:r>
      <w:r w:rsidR="00616B28" w:rsidRPr="00616B28">
        <w:rPr>
          <w:rFonts w:ascii="Arial" w:hAnsi="Arial" w:cs="Arial"/>
          <w:i/>
          <w:sz w:val="20"/>
          <w:szCs w:val="20"/>
        </w:rPr>
        <w:t xml:space="preserve"> distribuce zákazníkům.</w:t>
      </w:r>
      <w:r w:rsidR="00616B28">
        <w:rPr>
          <w:rFonts w:ascii="Arial" w:hAnsi="Arial" w:cs="Arial"/>
          <w:i/>
          <w:sz w:val="20"/>
          <w:szCs w:val="20"/>
        </w:rPr>
        <w:t xml:space="preserve"> </w:t>
      </w:r>
      <w:r w:rsidR="00616B28" w:rsidRPr="00616B28">
        <w:rPr>
          <w:rFonts w:ascii="Arial" w:hAnsi="Arial" w:cs="Arial"/>
          <w:i/>
          <w:sz w:val="20"/>
          <w:szCs w:val="20"/>
        </w:rPr>
        <w:t>K</w:t>
      </w:r>
      <w:r w:rsidR="00616B28">
        <w:rPr>
          <w:rFonts w:ascii="Arial" w:hAnsi="Arial" w:cs="Arial"/>
          <w:i/>
          <w:sz w:val="20"/>
          <w:szCs w:val="20"/>
        </w:rPr>
        <w:t> </w:t>
      </w:r>
      <w:r w:rsidR="00616B28" w:rsidRPr="00616B28">
        <w:rPr>
          <w:rFonts w:ascii="Arial" w:hAnsi="Arial" w:cs="Arial"/>
          <w:i/>
          <w:sz w:val="20"/>
          <w:szCs w:val="20"/>
        </w:rPr>
        <w:t>výměně</w:t>
      </w:r>
      <w:r w:rsidR="00616B28">
        <w:rPr>
          <w:rFonts w:ascii="Arial" w:hAnsi="Arial" w:cs="Arial"/>
          <w:i/>
          <w:sz w:val="20"/>
          <w:szCs w:val="20"/>
        </w:rPr>
        <w:t xml:space="preserve"> informací a dat </w:t>
      </w:r>
      <w:r w:rsidR="00616B28" w:rsidRPr="00616B28">
        <w:rPr>
          <w:rFonts w:ascii="Arial" w:hAnsi="Arial" w:cs="Arial"/>
          <w:i/>
          <w:sz w:val="20"/>
          <w:szCs w:val="20"/>
        </w:rPr>
        <w:t xml:space="preserve">dochází </w:t>
      </w:r>
      <w:r w:rsidR="00001D91">
        <w:rPr>
          <w:rFonts w:ascii="Arial" w:hAnsi="Arial" w:cs="Arial"/>
          <w:i/>
          <w:sz w:val="20"/>
          <w:szCs w:val="20"/>
        </w:rPr>
        <w:t xml:space="preserve">např. </w:t>
      </w:r>
      <w:r w:rsidR="00616B28" w:rsidRPr="00616B28">
        <w:rPr>
          <w:rFonts w:ascii="Arial" w:hAnsi="Arial" w:cs="Arial"/>
          <w:i/>
          <w:sz w:val="20"/>
          <w:szCs w:val="20"/>
        </w:rPr>
        <w:t>prostřednictvím webového rozhraní, elektronické výměny dat</w:t>
      </w:r>
      <w:r w:rsidR="00616B28">
        <w:rPr>
          <w:rFonts w:ascii="Arial" w:hAnsi="Arial" w:cs="Arial"/>
          <w:i/>
          <w:sz w:val="20"/>
          <w:szCs w:val="20"/>
        </w:rPr>
        <w:t xml:space="preserve"> </w:t>
      </w:r>
      <w:r w:rsidR="00616B28" w:rsidRPr="00616B28">
        <w:rPr>
          <w:rFonts w:ascii="Arial" w:hAnsi="Arial" w:cs="Arial"/>
          <w:i/>
          <w:sz w:val="20"/>
          <w:szCs w:val="20"/>
        </w:rPr>
        <w:t>nebo v rámci integrovaného informačního systému řízení dodavatelsko-odběratelských řetězců</w:t>
      </w:r>
      <w:r w:rsidR="00616B28">
        <w:rPr>
          <w:rFonts w:ascii="Arial" w:hAnsi="Arial" w:cs="Arial"/>
          <w:i/>
          <w:sz w:val="20"/>
          <w:szCs w:val="20"/>
        </w:rPr>
        <w:t xml:space="preserve"> (SCM). Podniky dnes využívají i další </w:t>
      </w:r>
      <w:r w:rsidR="00410825">
        <w:rPr>
          <w:rFonts w:ascii="Arial" w:hAnsi="Arial" w:cs="Arial"/>
          <w:i/>
          <w:sz w:val="20"/>
          <w:szCs w:val="20"/>
        </w:rPr>
        <w:t>informační systémy a aplikace</w:t>
      </w:r>
      <w:r w:rsidR="00616B28">
        <w:rPr>
          <w:rFonts w:ascii="Arial" w:hAnsi="Arial" w:cs="Arial"/>
          <w:i/>
          <w:sz w:val="20"/>
          <w:szCs w:val="20"/>
        </w:rPr>
        <w:t>, které přispívají k efektivnímu rozhodování na základě přesnějších informací a dat a</w:t>
      </w:r>
      <w:r w:rsidR="00410825">
        <w:rPr>
          <w:rFonts w:ascii="Arial" w:hAnsi="Arial" w:cs="Arial"/>
          <w:i/>
          <w:sz w:val="20"/>
          <w:szCs w:val="20"/>
        </w:rPr>
        <w:t xml:space="preserve"> podporují</w:t>
      </w:r>
      <w:r w:rsidR="00616B28">
        <w:rPr>
          <w:rFonts w:ascii="Arial" w:hAnsi="Arial" w:cs="Arial"/>
          <w:i/>
          <w:sz w:val="20"/>
          <w:szCs w:val="20"/>
        </w:rPr>
        <w:t xml:space="preserve"> manažerské rozhodování</w:t>
      </w:r>
      <w:r w:rsidR="00410825">
        <w:rPr>
          <w:rFonts w:ascii="Arial" w:hAnsi="Arial" w:cs="Arial"/>
          <w:i/>
          <w:sz w:val="20"/>
          <w:szCs w:val="20"/>
        </w:rPr>
        <w:t xml:space="preserve"> </w:t>
      </w:r>
      <w:r w:rsidR="00616B28">
        <w:rPr>
          <w:rFonts w:ascii="Arial" w:hAnsi="Arial" w:cs="Arial"/>
          <w:i/>
          <w:sz w:val="20"/>
          <w:szCs w:val="20"/>
        </w:rPr>
        <w:t xml:space="preserve">např. v oblasti </w:t>
      </w:r>
      <w:r w:rsidR="00410825">
        <w:rPr>
          <w:rFonts w:ascii="Arial" w:hAnsi="Arial" w:cs="Arial"/>
          <w:i/>
          <w:sz w:val="20"/>
          <w:szCs w:val="20"/>
        </w:rPr>
        <w:t>finan</w:t>
      </w:r>
      <w:r w:rsidR="00616B28">
        <w:rPr>
          <w:rFonts w:ascii="Arial" w:hAnsi="Arial" w:cs="Arial"/>
          <w:i/>
          <w:sz w:val="20"/>
          <w:szCs w:val="20"/>
        </w:rPr>
        <w:t>cí,</w:t>
      </w:r>
      <w:r w:rsidR="00410825">
        <w:rPr>
          <w:rFonts w:ascii="Arial" w:hAnsi="Arial" w:cs="Arial"/>
          <w:i/>
          <w:sz w:val="20"/>
          <w:szCs w:val="20"/>
        </w:rPr>
        <w:t xml:space="preserve"> řízení lidských zdrojů, výroby, sklado</w:t>
      </w:r>
      <w:r w:rsidR="00616B28">
        <w:rPr>
          <w:rFonts w:ascii="Arial" w:hAnsi="Arial" w:cs="Arial"/>
          <w:i/>
          <w:sz w:val="20"/>
          <w:szCs w:val="20"/>
        </w:rPr>
        <w:t>ván</w:t>
      </w:r>
      <w:r w:rsidR="00410825">
        <w:rPr>
          <w:rFonts w:ascii="Arial" w:hAnsi="Arial" w:cs="Arial"/>
          <w:i/>
          <w:sz w:val="20"/>
          <w:szCs w:val="20"/>
        </w:rPr>
        <w:t>í,</w:t>
      </w:r>
      <w:r w:rsidR="00746E95">
        <w:rPr>
          <w:rFonts w:ascii="Arial" w:hAnsi="Arial" w:cs="Arial"/>
          <w:i/>
          <w:sz w:val="20"/>
          <w:szCs w:val="20"/>
        </w:rPr>
        <w:t xml:space="preserve"> </w:t>
      </w:r>
      <w:r w:rsidR="00616B28">
        <w:rPr>
          <w:rFonts w:ascii="Arial" w:hAnsi="Arial" w:cs="Arial"/>
          <w:i/>
          <w:sz w:val="20"/>
          <w:szCs w:val="20"/>
        </w:rPr>
        <w:t xml:space="preserve">nebo při </w:t>
      </w:r>
      <w:r w:rsidR="00410825">
        <w:rPr>
          <w:rFonts w:ascii="Arial" w:hAnsi="Arial" w:cs="Arial"/>
          <w:i/>
          <w:sz w:val="20"/>
          <w:szCs w:val="20"/>
        </w:rPr>
        <w:t>budování vztahů se zákazníky</w:t>
      </w:r>
      <w:r w:rsidR="00746E95">
        <w:rPr>
          <w:rFonts w:ascii="Arial" w:hAnsi="Arial" w:cs="Arial"/>
          <w:i/>
          <w:sz w:val="20"/>
          <w:szCs w:val="20"/>
        </w:rPr>
        <w:t xml:space="preserve">. </w:t>
      </w:r>
      <w:r w:rsidR="00410825">
        <w:rPr>
          <w:rFonts w:ascii="Arial" w:hAnsi="Arial" w:cs="Arial"/>
          <w:i/>
          <w:sz w:val="20"/>
          <w:szCs w:val="20"/>
        </w:rPr>
        <w:t xml:space="preserve">Spolu s postupným budováním firemní ICT infrastruktury, nasazováním </w:t>
      </w:r>
      <w:r w:rsidR="00C55818">
        <w:rPr>
          <w:rFonts w:ascii="Arial" w:hAnsi="Arial" w:cs="Arial"/>
          <w:i/>
          <w:sz w:val="20"/>
          <w:szCs w:val="20"/>
        </w:rPr>
        <w:t>ekonomických a provozních informačních systémů a jejich automatizovaným propojením umožňují rychlé a</w:t>
      </w:r>
      <w:r w:rsidR="00CD0E66">
        <w:rPr>
          <w:rFonts w:ascii="Arial" w:hAnsi="Arial" w:cs="Arial"/>
          <w:i/>
          <w:sz w:val="20"/>
          <w:szCs w:val="20"/>
        </w:rPr>
        <w:t> </w:t>
      </w:r>
      <w:r w:rsidR="00C55818">
        <w:rPr>
          <w:rFonts w:ascii="Arial" w:hAnsi="Arial" w:cs="Arial"/>
          <w:i/>
          <w:sz w:val="20"/>
          <w:szCs w:val="20"/>
        </w:rPr>
        <w:t>přesné rozhodování v reálném čase</w:t>
      </w:r>
      <w:r w:rsidR="00410825">
        <w:rPr>
          <w:rFonts w:ascii="Arial" w:hAnsi="Arial" w:cs="Arial"/>
          <w:i/>
          <w:sz w:val="20"/>
          <w:szCs w:val="20"/>
        </w:rPr>
        <w:t>.</w:t>
      </w:r>
    </w:p>
    <w:p w14:paraId="628691A4" w14:textId="77777777" w:rsidR="00D1132E" w:rsidRDefault="00D1132E" w:rsidP="00D57B0B">
      <w:pPr>
        <w:pStyle w:val="Nadpis2"/>
        <w:spacing w:before="120" w:after="120" w:line="240" w:lineRule="auto"/>
        <w:rPr>
          <w:sz w:val="24"/>
          <w:szCs w:val="24"/>
        </w:rPr>
      </w:pPr>
    </w:p>
    <w:p w14:paraId="5F8E2C2C" w14:textId="77777777"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14:paraId="6C418DE4" w14:textId="778D9E06" w:rsidR="00616B28" w:rsidRDefault="00616B28" w:rsidP="00001D91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D91">
        <w:rPr>
          <w:rFonts w:ascii="Arial" w:hAnsi="Arial" w:cs="Arial"/>
          <w:sz w:val="20"/>
          <w:szCs w:val="20"/>
        </w:rPr>
        <w:t xml:space="preserve">V roce 2023 </w:t>
      </w:r>
      <w:r w:rsidRPr="00001D91">
        <w:rPr>
          <w:rFonts w:ascii="Arial" w:hAnsi="Arial" w:cs="Arial"/>
          <w:b/>
          <w:sz w:val="20"/>
          <w:szCs w:val="20"/>
        </w:rPr>
        <w:t>sdílelo informace s dodavateli nebo zákazníky</w:t>
      </w:r>
      <w:r w:rsidRPr="00001D91">
        <w:rPr>
          <w:rFonts w:ascii="Arial" w:hAnsi="Arial" w:cs="Arial"/>
          <w:sz w:val="20"/>
          <w:szCs w:val="20"/>
        </w:rPr>
        <w:t xml:space="preserve"> </w:t>
      </w:r>
      <w:r w:rsidR="00001D91" w:rsidRPr="00001D91">
        <w:rPr>
          <w:rFonts w:ascii="Arial" w:hAnsi="Arial" w:cs="Arial"/>
          <w:b/>
          <w:sz w:val="20"/>
          <w:szCs w:val="20"/>
        </w:rPr>
        <w:t>elektronickou cestou</w:t>
      </w:r>
      <w:r w:rsidR="00001D91" w:rsidRPr="00BF5166">
        <w:rPr>
          <w:rStyle w:val="Znakapoznpodarou"/>
          <w:rFonts w:ascii="Arial" w:hAnsi="Arial" w:cs="Arial"/>
          <w:sz w:val="20"/>
        </w:rPr>
        <w:footnoteReference w:id="1"/>
      </w:r>
      <w:r w:rsidR="00001D91" w:rsidRPr="00BF5166">
        <w:rPr>
          <w:rFonts w:ascii="Arial" w:hAnsi="Arial" w:cs="Arial"/>
          <w:sz w:val="20"/>
        </w:rPr>
        <w:t xml:space="preserve"> </w:t>
      </w:r>
      <w:r w:rsidRPr="00001D91">
        <w:rPr>
          <w:rFonts w:ascii="Arial" w:hAnsi="Arial" w:cs="Arial"/>
          <w:sz w:val="20"/>
          <w:szCs w:val="20"/>
        </w:rPr>
        <w:t xml:space="preserve">38 % tuzemských podniků s 10 a více zaměstnanci. Oproti roku 2015 se tento ukazatel </w:t>
      </w:r>
      <w:r w:rsidRPr="00CD0E66">
        <w:rPr>
          <w:rFonts w:ascii="Arial" w:hAnsi="Arial" w:cs="Arial"/>
          <w:b/>
          <w:sz w:val="20"/>
          <w:szCs w:val="20"/>
        </w:rPr>
        <w:t>téměř zdvojnásobil</w:t>
      </w:r>
      <w:r w:rsidRPr="00001D91">
        <w:rPr>
          <w:rFonts w:ascii="Arial" w:hAnsi="Arial" w:cs="Arial"/>
          <w:sz w:val="20"/>
          <w:szCs w:val="20"/>
        </w:rPr>
        <w:t xml:space="preserve">. Sdílení elektronických informací </w:t>
      </w:r>
      <w:r w:rsidR="00001D91" w:rsidRPr="00001D91">
        <w:rPr>
          <w:rFonts w:ascii="Arial" w:hAnsi="Arial" w:cs="Arial"/>
          <w:sz w:val="20"/>
          <w:szCs w:val="20"/>
        </w:rPr>
        <w:t xml:space="preserve">významně </w:t>
      </w:r>
      <w:r w:rsidRPr="00001D91">
        <w:rPr>
          <w:rFonts w:ascii="Arial" w:hAnsi="Arial" w:cs="Arial"/>
          <w:sz w:val="20"/>
          <w:szCs w:val="20"/>
        </w:rPr>
        <w:t>souvisí s velikostí podniku</w:t>
      </w:r>
      <w:r w:rsidR="00001D91" w:rsidRPr="00001D91">
        <w:rPr>
          <w:rFonts w:ascii="Arial" w:hAnsi="Arial" w:cs="Arial"/>
          <w:sz w:val="20"/>
          <w:szCs w:val="20"/>
        </w:rPr>
        <w:t xml:space="preserve">. Nejčastěji ho </w:t>
      </w:r>
      <w:r w:rsidR="00A43203">
        <w:rPr>
          <w:rFonts w:ascii="Arial" w:hAnsi="Arial" w:cs="Arial"/>
          <w:sz w:val="20"/>
          <w:szCs w:val="20"/>
        </w:rPr>
        <w:t xml:space="preserve">v roce 2023 </w:t>
      </w:r>
      <w:r w:rsidR="00001D91" w:rsidRPr="00001D91">
        <w:rPr>
          <w:rFonts w:ascii="Arial" w:hAnsi="Arial" w:cs="Arial"/>
          <w:sz w:val="20"/>
          <w:szCs w:val="20"/>
        </w:rPr>
        <w:t>praktik</w:t>
      </w:r>
      <w:r w:rsidR="00A43203">
        <w:rPr>
          <w:rFonts w:ascii="Arial" w:hAnsi="Arial" w:cs="Arial"/>
          <w:sz w:val="20"/>
          <w:szCs w:val="20"/>
        </w:rPr>
        <w:t>ovaly</w:t>
      </w:r>
      <w:r w:rsidR="00001D91" w:rsidRPr="00001D91">
        <w:rPr>
          <w:rFonts w:ascii="Arial" w:hAnsi="Arial" w:cs="Arial"/>
          <w:sz w:val="20"/>
          <w:szCs w:val="20"/>
        </w:rPr>
        <w:t xml:space="preserve"> velké podniky (76</w:t>
      </w:r>
      <w:r w:rsidR="00A43203">
        <w:rPr>
          <w:rFonts w:ascii="Arial" w:hAnsi="Arial" w:cs="Arial"/>
          <w:sz w:val="20"/>
          <w:szCs w:val="20"/>
        </w:rPr>
        <w:t> </w:t>
      </w:r>
      <w:r w:rsidR="00001D91" w:rsidRPr="00001D91">
        <w:rPr>
          <w:rFonts w:ascii="Arial" w:hAnsi="Arial" w:cs="Arial"/>
          <w:sz w:val="20"/>
          <w:szCs w:val="20"/>
        </w:rPr>
        <w:t xml:space="preserve">% z nich), </w:t>
      </w:r>
      <w:r w:rsidR="00001D91">
        <w:rPr>
          <w:rFonts w:ascii="Arial" w:hAnsi="Arial" w:cs="Arial"/>
          <w:sz w:val="20"/>
          <w:szCs w:val="20"/>
        </w:rPr>
        <w:t xml:space="preserve">informace a data </w:t>
      </w:r>
      <w:r w:rsidR="00A43203">
        <w:rPr>
          <w:rFonts w:ascii="Arial" w:hAnsi="Arial" w:cs="Arial"/>
          <w:sz w:val="20"/>
          <w:szCs w:val="20"/>
        </w:rPr>
        <w:t xml:space="preserve">sdílela v tomto roce </w:t>
      </w:r>
      <w:r w:rsidR="00001D91">
        <w:rPr>
          <w:rFonts w:ascii="Arial" w:hAnsi="Arial" w:cs="Arial"/>
          <w:sz w:val="20"/>
          <w:szCs w:val="20"/>
        </w:rPr>
        <w:t>s dodavateli nebo zákazníky více než polovina středně velkých subjektů (51 %) a třetina malých firem.</w:t>
      </w:r>
    </w:p>
    <w:p w14:paraId="29ED51F9" w14:textId="7B7C23BC" w:rsidR="00001D91" w:rsidRDefault="00DF4340" w:rsidP="00DF434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340">
        <w:rPr>
          <w:rFonts w:ascii="Arial" w:hAnsi="Arial" w:cs="Arial"/>
          <w:sz w:val="20"/>
          <w:szCs w:val="20"/>
        </w:rPr>
        <w:t>Elektronické sdílení informací nebo dat (např. objednávek, faktur, informací z výroby, stavu zásob)</w:t>
      </w:r>
      <w:r>
        <w:rPr>
          <w:rFonts w:ascii="Arial" w:hAnsi="Arial" w:cs="Arial"/>
          <w:sz w:val="20"/>
          <w:szCs w:val="20"/>
        </w:rPr>
        <w:t xml:space="preserve"> využívají </w:t>
      </w:r>
      <w:r w:rsidR="00A43203">
        <w:rPr>
          <w:rFonts w:ascii="Arial" w:hAnsi="Arial" w:cs="Arial"/>
          <w:sz w:val="20"/>
          <w:szCs w:val="20"/>
        </w:rPr>
        <w:t xml:space="preserve">hojně </w:t>
      </w:r>
      <w:r>
        <w:rPr>
          <w:rFonts w:ascii="Arial" w:hAnsi="Arial" w:cs="Arial"/>
          <w:sz w:val="20"/>
          <w:szCs w:val="20"/>
        </w:rPr>
        <w:t xml:space="preserve">podniky ze </w:t>
      </w:r>
      <w:r w:rsidRPr="00A43203">
        <w:rPr>
          <w:rFonts w:ascii="Arial" w:hAnsi="Arial" w:cs="Arial"/>
          <w:b/>
          <w:sz w:val="20"/>
          <w:szCs w:val="20"/>
        </w:rPr>
        <w:t>zpracovatelského průmyslu</w:t>
      </w:r>
      <w:r w:rsidR="00A43203">
        <w:rPr>
          <w:rFonts w:ascii="Arial" w:hAnsi="Arial" w:cs="Arial"/>
          <w:sz w:val="20"/>
          <w:szCs w:val="20"/>
        </w:rPr>
        <w:t>, zde nejčastěji subjekty působící ve výrobě automobilů a</w:t>
      </w:r>
      <w:r w:rsidR="00CD0E66">
        <w:rPr>
          <w:rFonts w:ascii="Arial" w:hAnsi="Arial" w:cs="Arial"/>
          <w:sz w:val="20"/>
          <w:szCs w:val="20"/>
        </w:rPr>
        <w:t> </w:t>
      </w:r>
      <w:r w:rsidR="00A43203">
        <w:rPr>
          <w:rFonts w:ascii="Arial" w:hAnsi="Arial" w:cs="Arial"/>
          <w:sz w:val="20"/>
          <w:szCs w:val="20"/>
        </w:rPr>
        <w:t>ostatních dopravních prostředků (66 % z nich)</w:t>
      </w:r>
      <w:r>
        <w:rPr>
          <w:rFonts w:ascii="Arial" w:hAnsi="Arial" w:cs="Arial"/>
          <w:sz w:val="20"/>
          <w:szCs w:val="20"/>
        </w:rPr>
        <w:t xml:space="preserve">. </w:t>
      </w:r>
      <w:r w:rsidR="00A43203">
        <w:rPr>
          <w:rFonts w:ascii="Arial" w:hAnsi="Arial" w:cs="Arial"/>
          <w:sz w:val="20"/>
          <w:szCs w:val="20"/>
        </w:rPr>
        <w:t>Ze sektoru služeb jsou to pak nejčastěji podniky z</w:t>
      </w:r>
      <w:r w:rsidR="008E7FE9">
        <w:rPr>
          <w:rFonts w:ascii="Arial" w:hAnsi="Arial" w:cs="Arial"/>
          <w:sz w:val="20"/>
          <w:szCs w:val="20"/>
        </w:rPr>
        <w:t> </w:t>
      </w:r>
      <w:r w:rsidR="00A43203">
        <w:rPr>
          <w:rFonts w:ascii="Arial" w:hAnsi="Arial" w:cs="Arial"/>
          <w:sz w:val="20"/>
          <w:szCs w:val="20"/>
        </w:rPr>
        <w:t xml:space="preserve">odvětvové sekce J s názvem </w:t>
      </w:r>
      <w:r w:rsidR="00A43203" w:rsidRPr="00A43203">
        <w:rPr>
          <w:rFonts w:ascii="Arial" w:hAnsi="Arial" w:cs="Arial"/>
          <w:b/>
          <w:sz w:val="20"/>
          <w:szCs w:val="20"/>
        </w:rPr>
        <w:t>Informační a komunikační činnosti</w:t>
      </w:r>
      <w:r w:rsidR="00A43203">
        <w:rPr>
          <w:rFonts w:ascii="Arial" w:hAnsi="Arial" w:cs="Arial"/>
          <w:sz w:val="20"/>
          <w:szCs w:val="20"/>
        </w:rPr>
        <w:t>, předně subjekty z telekomunikačních činností (59 %) nebo IT sektoru (62 %).</w:t>
      </w:r>
    </w:p>
    <w:p w14:paraId="106E97E6" w14:textId="4DA36EF8" w:rsidR="00A43203" w:rsidRPr="00001D91" w:rsidRDefault="00A43203" w:rsidP="00DF4340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5166">
        <w:rPr>
          <w:rFonts w:ascii="Arial" w:hAnsi="Arial" w:cs="Arial"/>
          <w:sz w:val="20"/>
        </w:rPr>
        <w:t>Podíl firem působících v</w:t>
      </w:r>
      <w:r>
        <w:rPr>
          <w:rFonts w:ascii="Arial" w:hAnsi="Arial" w:cs="Arial"/>
          <w:sz w:val="20"/>
        </w:rPr>
        <w:t> </w:t>
      </w:r>
      <w:r w:rsidRPr="00BF5166">
        <w:rPr>
          <w:rFonts w:ascii="Arial" w:hAnsi="Arial" w:cs="Arial"/>
          <w:sz w:val="20"/>
        </w:rPr>
        <w:t>Česku</w:t>
      </w:r>
      <w:r>
        <w:rPr>
          <w:rFonts w:ascii="Arial" w:hAnsi="Arial" w:cs="Arial"/>
          <w:sz w:val="20"/>
        </w:rPr>
        <w:t>, které sdílí informace a data s dodavateli a odběrateli elektronickou cestou byl</w:t>
      </w:r>
      <w:r w:rsidRPr="00BF5166">
        <w:rPr>
          <w:rFonts w:ascii="Arial" w:hAnsi="Arial" w:cs="Arial"/>
          <w:sz w:val="20"/>
        </w:rPr>
        <w:t xml:space="preserve"> roce 2023 o </w:t>
      </w:r>
      <w:r>
        <w:rPr>
          <w:rFonts w:ascii="Arial" w:hAnsi="Arial" w:cs="Arial"/>
          <w:sz w:val="20"/>
        </w:rPr>
        <w:t>13</w:t>
      </w:r>
      <w:r w:rsidRPr="00BF5166">
        <w:rPr>
          <w:rFonts w:ascii="Arial" w:hAnsi="Arial" w:cs="Arial"/>
          <w:sz w:val="20"/>
        </w:rPr>
        <w:t xml:space="preserve"> procentních bodů vyšší než je průměr za země evropské sedmadvacítky (</w:t>
      </w:r>
      <w:r>
        <w:rPr>
          <w:rFonts w:ascii="Arial" w:hAnsi="Arial" w:cs="Arial"/>
          <w:sz w:val="20"/>
        </w:rPr>
        <w:t>25 </w:t>
      </w:r>
      <w:r w:rsidRPr="00BF5166">
        <w:rPr>
          <w:rFonts w:ascii="Arial" w:hAnsi="Arial" w:cs="Arial"/>
          <w:sz w:val="20"/>
        </w:rPr>
        <w:t>%) a</w:t>
      </w:r>
      <w:r w:rsidR="008E7FE9">
        <w:rPr>
          <w:rFonts w:ascii="Arial" w:hAnsi="Arial" w:cs="Arial"/>
          <w:sz w:val="20"/>
        </w:rPr>
        <w:t> </w:t>
      </w:r>
      <w:r w:rsidRPr="003B6F6D">
        <w:rPr>
          <w:rFonts w:ascii="Arial" w:hAnsi="Arial" w:cs="Arial"/>
          <w:b/>
          <w:sz w:val="20"/>
        </w:rPr>
        <w:t>podnikům v Česku patří</w:t>
      </w:r>
      <w:r w:rsidR="0046325C">
        <w:rPr>
          <w:rFonts w:ascii="Arial" w:hAnsi="Arial" w:cs="Arial"/>
          <w:b/>
          <w:sz w:val="20"/>
        </w:rPr>
        <w:t>,</w:t>
      </w:r>
      <w:r w:rsidRPr="003B6F6D">
        <w:rPr>
          <w:rFonts w:ascii="Arial" w:hAnsi="Arial" w:cs="Arial"/>
          <w:b/>
          <w:sz w:val="20"/>
        </w:rPr>
        <w:t xml:space="preserve"> spolu s podniky ve Slovinsku</w:t>
      </w:r>
      <w:r w:rsidR="0046325C">
        <w:rPr>
          <w:rFonts w:ascii="Arial" w:hAnsi="Arial" w:cs="Arial"/>
          <w:b/>
          <w:sz w:val="20"/>
        </w:rPr>
        <w:t>,</w:t>
      </w:r>
      <w:r w:rsidRPr="003B6F6D">
        <w:rPr>
          <w:rFonts w:ascii="Arial" w:hAnsi="Arial" w:cs="Arial"/>
          <w:b/>
          <w:sz w:val="20"/>
        </w:rPr>
        <w:t xml:space="preserve"> v tomto ukazateli </w:t>
      </w:r>
      <w:r w:rsidR="003B6F6D">
        <w:rPr>
          <w:rFonts w:ascii="Arial" w:hAnsi="Arial" w:cs="Arial"/>
          <w:b/>
          <w:sz w:val="20"/>
        </w:rPr>
        <w:t>prvenství v rámci EU27</w:t>
      </w:r>
      <w:r w:rsidR="003B6F6D">
        <w:rPr>
          <w:rFonts w:ascii="Arial" w:hAnsi="Arial" w:cs="Arial"/>
          <w:sz w:val="20"/>
        </w:rPr>
        <w:t>, v každé z obou zemí dosahuje sledovaný ukazatel 38 % podniků s 10 a více zaměstnanci. Nejméně podniků, které elektronicky sdílí dodavatelsko-odběratelské informace a data bylo v roce 2023 v Rumunsku (9 % podniků) nebo v Řecku (10 % podniků).</w:t>
      </w:r>
    </w:p>
    <w:p w14:paraId="7DC60F3E" w14:textId="6CB3FDCC" w:rsidR="007E75ED" w:rsidRPr="000557F6" w:rsidRDefault="007E75ED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57F6">
        <w:rPr>
          <w:rFonts w:ascii="Arial" w:hAnsi="Arial" w:cs="Arial"/>
          <w:sz w:val="20"/>
        </w:rPr>
        <w:t xml:space="preserve">Integrovaný informační </w:t>
      </w:r>
      <w:r w:rsidRPr="00A43203">
        <w:rPr>
          <w:rFonts w:ascii="Arial" w:hAnsi="Arial" w:cs="Arial"/>
          <w:b/>
          <w:sz w:val="20"/>
        </w:rPr>
        <w:t>s</w:t>
      </w:r>
      <w:r w:rsidR="003A22B3" w:rsidRPr="00A43203">
        <w:rPr>
          <w:rFonts w:ascii="Arial" w:hAnsi="Arial" w:cs="Arial"/>
          <w:b/>
          <w:sz w:val="20"/>
        </w:rPr>
        <w:t>ystém</w:t>
      </w:r>
      <w:r w:rsidR="00D57B0B" w:rsidRPr="00A43203">
        <w:rPr>
          <w:rFonts w:ascii="Arial" w:hAnsi="Arial" w:cs="Arial"/>
          <w:b/>
          <w:sz w:val="20"/>
        </w:rPr>
        <w:t xml:space="preserve"> </w:t>
      </w:r>
      <w:r w:rsidR="00D57B0B" w:rsidRPr="000557F6">
        <w:rPr>
          <w:rFonts w:ascii="Arial" w:hAnsi="Arial" w:cs="Arial"/>
          <w:b/>
          <w:sz w:val="20"/>
        </w:rPr>
        <w:t>ERP</w:t>
      </w:r>
      <w:r w:rsidRPr="000557F6">
        <w:rPr>
          <w:rFonts w:ascii="Arial" w:hAnsi="Arial" w:cs="Arial"/>
          <w:b/>
          <w:sz w:val="20"/>
        </w:rPr>
        <w:t xml:space="preserve"> </w:t>
      </w:r>
      <w:r w:rsidRPr="000557F6">
        <w:rPr>
          <w:rFonts w:ascii="Arial" w:hAnsi="Arial" w:cs="Arial"/>
          <w:sz w:val="20"/>
        </w:rPr>
        <w:t>(</w:t>
      </w:r>
      <w:proofErr w:type="spellStart"/>
      <w:r w:rsidRPr="000557F6">
        <w:rPr>
          <w:rFonts w:ascii="Arial" w:hAnsi="Arial" w:cs="Arial"/>
          <w:sz w:val="20"/>
        </w:rPr>
        <w:t>Enterprise</w:t>
      </w:r>
      <w:proofErr w:type="spellEnd"/>
      <w:r w:rsidRPr="000557F6">
        <w:rPr>
          <w:rFonts w:ascii="Arial" w:hAnsi="Arial" w:cs="Arial"/>
          <w:sz w:val="20"/>
        </w:rPr>
        <w:t xml:space="preserve"> </w:t>
      </w:r>
      <w:proofErr w:type="spellStart"/>
      <w:r w:rsidRPr="000557F6">
        <w:rPr>
          <w:rFonts w:ascii="Arial" w:hAnsi="Arial" w:cs="Arial"/>
          <w:sz w:val="20"/>
        </w:rPr>
        <w:t>Resource</w:t>
      </w:r>
      <w:proofErr w:type="spellEnd"/>
      <w:r w:rsidRPr="000557F6">
        <w:rPr>
          <w:rFonts w:ascii="Arial" w:hAnsi="Arial" w:cs="Arial"/>
          <w:sz w:val="20"/>
        </w:rPr>
        <w:t xml:space="preserve"> </w:t>
      </w:r>
      <w:proofErr w:type="spellStart"/>
      <w:r w:rsidRPr="000557F6">
        <w:rPr>
          <w:rFonts w:ascii="Arial" w:hAnsi="Arial" w:cs="Arial"/>
          <w:sz w:val="20"/>
        </w:rPr>
        <w:t>Planning</w:t>
      </w:r>
      <w:proofErr w:type="spellEnd"/>
      <w:r w:rsidRPr="000557F6">
        <w:rPr>
          <w:rFonts w:ascii="Arial" w:hAnsi="Arial" w:cs="Arial"/>
          <w:sz w:val="20"/>
        </w:rPr>
        <w:t>)</w:t>
      </w:r>
      <w:r w:rsidR="00D57B0B" w:rsidRPr="000557F6">
        <w:rPr>
          <w:rFonts w:ascii="Arial" w:hAnsi="Arial" w:cs="Arial"/>
          <w:sz w:val="20"/>
        </w:rPr>
        <w:t xml:space="preserve"> </w:t>
      </w:r>
      <w:r w:rsidR="00D47A45" w:rsidRPr="000557F6">
        <w:rPr>
          <w:rFonts w:ascii="Arial" w:hAnsi="Arial" w:cs="Arial"/>
          <w:sz w:val="20"/>
        </w:rPr>
        <w:t>určen</w:t>
      </w:r>
      <w:r w:rsidR="003A22B3" w:rsidRPr="000557F6">
        <w:rPr>
          <w:rFonts w:ascii="Arial" w:hAnsi="Arial" w:cs="Arial"/>
          <w:sz w:val="20"/>
        </w:rPr>
        <w:t>ý</w:t>
      </w:r>
      <w:r w:rsidR="00D47A45" w:rsidRPr="000557F6">
        <w:rPr>
          <w:rFonts w:ascii="Arial" w:hAnsi="Arial" w:cs="Arial"/>
          <w:sz w:val="20"/>
        </w:rPr>
        <w:t xml:space="preserve"> k</w:t>
      </w:r>
      <w:r w:rsidRPr="000557F6">
        <w:rPr>
          <w:rFonts w:ascii="Arial" w:hAnsi="Arial" w:cs="Arial"/>
          <w:sz w:val="20"/>
        </w:rPr>
        <w:t> řízení podniku na základě</w:t>
      </w:r>
      <w:r w:rsidR="00D57B0B" w:rsidRPr="000557F6">
        <w:rPr>
          <w:rFonts w:ascii="Arial" w:hAnsi="Arial" w:cs="Arial"/>
          <w:sz w:val="20"/>
        </w:rPr>
        <w:t xml:space="preserve"> sdílení informací mezi různými </w:t>
      </w:r>
      <w:r w:rsidR="00C63577" w:rsidRPr="000557F6">
        <w:rPr>
          <w:rFonts w:ascii="Arial" w:hAnsi="Arial" w:cs="Arial"/>
          <w:sz w:val="20"/>
        </w:rPr>
        <w:t>produkčními</w:t>
      </w:r>
      <w:r w:rsidR="00D57B0B" w:rsidRPr="000557F6">
        <w:rPr>
          <w:rFonts w:ascii="Arial" w:hAnsi="Arial" w:cs="Arial"/>
          <w:sz w:val="20"/>
        </w:rPr>
        <w:t xml:space="preserve"> oblastmi</w:t>
      </w:r>
      <w:r w:rsidR="004909A9" w:rsidRPr="000557F6">
        <w:rPr>
          <w:rFonts w:ascii="Arial" w:hAnsi="Arial" w:cs="Arial"/>
          <w:sz w:val="20"/>
        </w:rPr>
        <w:t>,</w:t>
      </w:r>
      <w:r w:rsidR="00D47A45" w:rsidRPr="000557F6">
        <w:rPr>
          <w:rFonts w:ascii="Arial" w:hAnsi="Arial" w:cs="Arial"/>
          <w:sz w:val="20"/>
        </w:rPr>
        <w:t xml:space="preserve"> </w:t>
      </w:r>
      <w:r w:rsidR="00D57B0B" w:rsidRPr="000557F6">
        <w:rPr>
          <w:rFonts w:ascii="Arial" w:hAnsi="Arial" w:cs="Arial"/>
          <w:sz w:val="20"/>
        </w:rPr>
        <w:t>používalo v</w:t>
      </w:r>
      <w:r w:rsidR="003A22B3" w:rsidRPr="000557F6">
        <w:rPr>
          <w:rFonts w:ascii="Arial" w:hAnsi="Arial" w:cs="Arial"/>
          <w:sz w:val="20"/>
        </w:rPr>
        <w:t> roce 20</w:t>
      </w:r>
      <w:r w:rsidR="00662FFB" w:rsidRPr="000557F6">
        <w:rPr>
          <w:rFonts w:ascii="Arial" w:hAnsi="Arial" w:cs="Arial"/>
          <w:sz w:val="20"/>
        </w:rPr>
        <w:t>2</w:t>
      </w:r>
      <w:r w:rsidR="00746E95">
        <w:rPr>
          <w:rFonts w:ascii="Arial" w:hAnsi="Arial" w:cs="Arial"/>
          <w:sz w:val="20"/>
        </w:rPr>
        <w:t>3</w:t>
      </w:r>
      <w:r w:rsidR="00D57B0B" w:rsidRPr="000557F6">
        <w:rPr>
          <w:rFonts w:ascii="Arial" w:hAnsi="Arial" w:cs="Arial"/>
          <w:sz w:val="20"/>
        </w:rPr>
        <w:t xml:space="preserve"> v Česk</w:t>
      </w:r>
      <w:r w:rsidRPr="000557F6">
        <w:rPr>
          <w:rFonts w:ascii="Arial" w:hAnsi="Arial" w:cs="Arial"/>
          <w:sz w:val="20"/>
        </w:rPr>
        <w:t>u</w:t>
      </w:r>
      <w:r w:rsidR="00D57B0B" w:rsidRPr="000557F6">
        <w:rPr>
          <w:rFonts w:ascii="Arial" w:hAnsi="Arial" w:cs="Arial"/>
          <w:sz w:val="20"/>
        </w:rPr>
        <w:t xml:space="preserve"> </w:t>
      </w:r>
      <w:r w:rsidR="00746E95">
        <w:rPr>
          <w:rFonts w:ascii="Arial" w:hAnsi="Arial" w:cs="Arial"/>
          <w:sz w:val="20"/>
        </w:rPr>
        <w:t>29</w:t>
      </w:r>
      <w:r w:rsidR="00D57B0B" w:rsidRPr="000557F6">
        <w:rPr>
          <w:rFonts w:ascii="Arial" w:hAnsi="Arial" w:cs="Arial"/>
          <w:sz w:val="20"/>
        </w:rPr>
        <w:t xml:space="preserve"> % </w:t>
      </w:r>
      <w:r w:rsidRPr="000557F6">
        <w:rPr>
          <w:rFonts w:ascii="Arial" w:hAnsi="Arial" w:cs="Arial"/>
          <w:sz w:val="20"/>
        </w:rPr>
        <w:t xml:space="preserve">podniků </w:t>
      </w:r>
      <w:r w:rsidR="001F53D8" w:rsidRPr="000557F6">
        <w:rPr>
          <w:rFonts w:ascii="Arial" w:hAnsi="Arial" w:cs="Arial"/>
          <w:sz w:val="20"/>
        </w:rPr>
        <w:t>s více než 10 zaměstnanci.</w:t>
      </w:r>
      <w:r w:rsidR="00EF574F" w:rsidRPr="000557F6">
        <w:rPr>
          <w:rFonts w:ascii="Arial" w:hAnsi="Arial" w:cs="Arial"/>
          <w:sz w:val="20"/>
        </w:rPr>
        <w:t xml:space="preserve"> </w:t>
      </w:r>
      <w:r w:rsidR="00AA204D" w:rsidRPr="000557F6">
        <w:rPr>
          <w:rFonts w:ascii="Arial" w:hAnsi="Arial" w:cs="Arial"/>
          <w:sz w:val="20"/>
        </w:rPr>
        <w:t>Podstatné rozdíly ve</w:t>
      </w:r>
      <w:r w:rsidR="00130006" w:rsidRPr="000557F6">
        <w:rPr>
          <w:rFonts w:ascii="Arial" w:hAnsi="Arial" w:cs="Arial"/>
          <w:sz w:val="20"/>
        </w:rPr>
        <w:t> </w:t>
      </w:r>
      <w:r w:rsidR="00AA204D" w:rsidRPr="000557F6">
        <w:rPr>
          <w:rFonts w:ascii="Arial" w:hAnsi="Arial" w:cs="Arial"/>
          <w:sz w:val="20"/>
        </w:rPr>
        <w:t>využívání tohoto</w:t>
      </w:r>
      <w:r w:rsidR="00EF574F" w:rsidRPr="000557F6">
        <w:rPr>
          <w:rFonts w:ascii="Arial" w:hAnsi="Arial" w:cs="Arial"/>
          <w:sz w:val="20"/>
        </w:rPr>
        <w:t xml:space="preserve"> systém</w:t>
      </w:r>
      <w:r w:rsidR="00AA204D" w:rsidRPr="000557F6">
        <w:rPr>
          <w:rFonts w:ascii="Arial" w:hAnsi="Arial" w:cs="Arial"/>
          <w:sz w:val="20"/>
        </w:rPr>
        <w:t>u</w:t>
      </w:r>
      <w:r w:rsidR="00D57B0B" w:rsidRPr="000557F6">
        <w:rPr>
          <w:rFonts w:ascii="Arial" w:hAnsi="Arial" w:cs="Arial"/>
          <w:sz w:val="20"/>
        </w:rPr>
        <w:t xml:space="preserve"> </w:t>
      </w:r>
      <w:r w:rsidR="00AA204D" w:rsidRPr="000557F6">
        <w:rPr>
          <w:rFonts w:ascii="Arial" w:hAnsi="Arial" w:cs="Arial"/>
          <w:sz w:val="20"/>
        </w:rPr>
        <w:t>nacházíme</w:t>
      </w:r>
      <w:r w:rsidR="005173A0">
        <w:rPr>
          <w:rFonts w:ascii="Arial" w:hAnsi="Arial" w:cs="Arial"/>
          <w:sz w:val="20"/>
        </w:rPr>
        <w:t xml:space="preserve"> opět, obdobně jako v případě elektronického sdílení informací a dat,</w:t>
      </w:r>
      <w:r w:rsidR="00AA204D" w:rsidRPr="000557F6">
        <w:rPr>
          <w:rFonts w:ascii="Arial" w:hAnsi="Arial" w:cs="Arial"/>
          <w:sz w:val="20"/>
        </w:rPr>
        <w:t xml:space="preserve"> v závislosti na velikosti podniků. V roce 202</w:t>
      </w:r>
      <w:r w:rsidR="00746E95">
        <w:rPr>
          <w:rFonts w:ascii="Arial" w:hAnsi="Arial" w:cs="Arial"/>
          <w:sz w:val="20"/>
        </w:rPr>
        <w:t>3</w:t>
      </w:r>
      <w:r w:rsidR="00AA204D" w:rsidRPr="000557F6">
        <w:rPr>
          <w:rFonts w:ascii="Arial" w:hAnsi="Arial" w:cs="Arial"/>
          <w:sz w:val="20"/>
        </w:rPr>
        <w:t xml:space="preserve"> </w:t>
      </w:r>
      <w:r w:rsidR="005173A0">
        <w:rPr>
          <w:rFonts w:ascii="Arial" w:hAnsi="Arial" w:cs="Arial"/>
          <w:sz w:val="20"/>
        </w:rPr>
        <w:t>používalo ERP systém v Česku</w:t>
      </w:r>
      <w:r w:rsidR="00AA204D" w:rsidRPr="000557F6">
        <w:rPr>
          <w:rFonts w:ascii="Arial" w:hAnsi="Arial" w:cs="Arial"/>
          <w:sz w:val="20"/>
        </w:rPr>
        <w:t xml:space="preserve"> </w:t>
      </w:r>
      <w:r w:rsidR="00746E95">
        <w:rPr>
          <w:rFonts w:ascii="Arial" w:hAnsi="Arial" w:cs="Arial"/>
          <w:sz w:val="20"/>
        </w:rPr>
        <w:t>88</w:t>
      </w:r>
      <w:r w:rsidR="0046325C">
        <w:rPr>
          <w:rFonts w:ascii="Arial" w:hAnsi="Arial" w:cs="Arial"/>
          <w:sz w:val="20"/>
        </w:rPr>
        <w:t> %</w:t>
      </w:r>
      <w:r w:rsidR="00AA204D" w:rsidRPr="000557F6">
        <w:rPr>
          <w:rFonts w:ascii="Arial" w:hAnsi="Arial" w:cs="Arial"/>
          <w:sz w:val="20"/>
        </w:rPr>
        <w:t xml:space="preserve"> </w:t>
      </w:r>
      <w:r w:rsidRPr="000557F6">
        <w:rPr>
          <w:rFonts w:ascii="Arial" w:hAnsi="Arial" w:cs="Arial"/>
          <w:sz w:val="20"/>
        </w:rPr>
        <w:t xml:space="preserve">velkých </w:t>
      </w:r>
      <w:r w:rsidR="00AA204D" w:rsidRPr="000557F6">
        <w:rPr>
          <w:rFonts w:ascii="Arial" w:hAnsi="Arial" w:cs="Arial"/>
          <w:sz w:val="20"/>
        </w:rPr>
        <w:t xml:space="preserve">podniků ze sta, </w:t>
      </w:r>
      <w:r w:rsidR="00746E95">
        <w:rPr>
          <w:rFonts w:ascii="Arial" w:hAnsi="Arial" w:cs="Arial"/>
          <w:sz w:val="20"/>
        </w:rPr>
        <w:t>55 %</w:t>
      </w:r>
      <w:r w:rsidR="00114485" w:rsidRPr="000557F6">
        <w:rPr>
          <w:rFonts w:ascii="Arial" w:hAnsi="Arial" w:cs="Arial"/>
          <w:sz w:val="20"/>
        </w:rPr>
        <w:t xml:space="preserve"> středně velkých subjektů </w:t>
      </w:r>
      <w:r w:rsidR="00746E95">
        <w:rPr>
          <w:rFonts w:ascii="Arial" w:hAnsi="Arial" w:cs="Arial"/>
          <w:sz w:val="20"/>
        </w:rPr>
        <w:t>a 21</w:t>
      </w:r>
      <w:r w:rsidR="00964953" w:rsidRPr="000557F6">
        <w:rPr>
          <w:rFonts w:ascii="Arial" w:hAnsi="Arial" w:cs="Arial"/>
          <w:sz w:val="20"/>
        </w:rPr>
        <w:t> </w:t>
      </w:r>
      <w:r w:rsidR="003A22B3" w:rsidRPr="000557F6">
        <w:rPr>
          <w:rFonts w:ascii="Arial" w:hAnsi="Arial" w:cs="Arial"/>
          <w:sz w:val="20"/>
        </w:rPr>
        <w:t>%</w:t>
      </w:r>
      <w:r w:rsidR="00EF574F" w:rsidRPr="000557F6">
        <w:rPr>
          <w:rFonts w:ascii="Arial" w:hAnsi="Arial" w:cs="Arial"/>
          <w:sz w:val="20"/>
        </w:rPr>
        <w:t xml:space="preserve"> malých</w:t>
      </w:r>
      <w:r w:rsidR="00114485" w:rsidRPr="000557F6">
        <w:rPr>
          <w:rFonts w:ascii="Arial" w:hAnsi="Arial" w:cs="Arial"/>
          <w:sz w:val="20"/>
        </w:rPr>
        <w:t xml:space="preserve"> firem</w:t>
      </w:r>
      <w:r w:rsidR="00EF574F" w:rsidRPr="000557F6">
        <w:rPr>
          <w:rFonts w:ascii="Arial" w:hAnsi="Arial" w:cs="Arial"/>
          <w:sz w:val="20"/>
        </w:rPr>
        <w:t>.</w:t>
      </w:r>
      <w:r w:rsidR="00114485" w:rsidRPr="000557F6">
        <w:rPr>
          <w:rFonts w:ascii="Arial" w:hAnsi="Arial" w:cs="Arial"/>
          <w:sz w:val="20"/>
        </w:rPr>
        <w:t xml:space="preserve"> </w:t>
      </w:r>
    </w:p>
    <w:p w14:paraId="6C9011C7" w14:textId="2C5373B0" w:rsidR="00EF574F" w:rsidRPr="00420A83" w:rsidRDefault="003A22B3" w:rsidP="00420A83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0A83">
        <w:rPr>
          <w:rFonts w:ascii="Arial" w:hAnsi="Arial" w:cs="Arial"/>
          <w:sz w:val="20"/>
          <w:szCs w:val="20"/>
        </w:rPr>
        <w:t xml:space="preserve">Systém ERP se </w:t>
      </w:r>
      <w:r w:rsidR="007E75ED" w:rsidRPr="00420A83">
        <w:rPr>
          <w:rFonts w:ascii="Arial" w:hAnsi="Arial" w:cs="Arial"/>
          <w:sz w:val="20"/>
          <w:szCs w:val="20"/>
        </w:rPr>
        <w:t xml:space="preserve">nejčastěji </w:t>
      </w:r>
      <w:r w:rsidRPr="00420A83">
        <w:rPr>
          <w:rFonts w:ascii="Arial" w:hAnsi="Arial" w:cs="Arial"/>
          <w:sz w:val="20"/>
          <w:szCs w:val="20"/>
        </w:rPr>
        <w:t xml:space="preserve">používá pro automatizování podnikových procesů, jeho využití je </w:t>
      </w:r>
      <w:r w:rsidR="00746E95" w:rsidRPr="00420A83">
        <w:rPr>
          <w:rFonts w:ascii="Arial" w:hAnsi="Arial" w:cs="Arial"/>
          <w:sz w:val="20"/>
          <w:szCs w:val="20"/>
        </w:rPr>
        <w:t>proto</w:t>
      </w:r>
      <w:r w:rsidR="007E75ED" w:rsidRPr="00420A83">
        <w:rPr>
          <w:rFonts w:ascii="Arial" w:hAnsi="Arial" w:cs="Arial"/>
          <w:sz w:val="20"/>
          <w:szCs w:val="20"/>
        </w:rPr>
        <w:t xml:space="preserve"> </w:t>
      </w:r>
      <w:r w:rsidRPr="00420A83">
        <w:rPr>
          <w:rFonts w:ascii="Arial" w:hAnsi="Arial" w:cs="Arial"/>
          <w:sz w:val="20"/>
          <w:szCs w:val="20"/>
        </w:rPr>
        <w:t xml:space="preserve">typické ve výrobě, logistice, nákupu, skladových systémech, distribuci, fakturaci </w:t>
      </w:r>
      <w:r w:rsidR="00386C64" w:rsidRPr="00420A83">
        <w:rPr>
          <w:rFonts w:ascii="Arial" w:hAnsi="Arial" w:cs="Arial"/>
          <w:sz w:val="20"/>
          <w:szCs w:val="20"/>
        </w:rPr>
        <w:t>nebo</w:t>
      </w:r>
      <w:r w:rsidRPr="00420A83">
        <w:rPr>
          <w:rFonts w:ascii="Arial" w:hAnsi="Arial" w:cs="Arial"/>
          <w:sz w:val="20"/>
          <w:szCs w:val="20"/>
        </w:rPr>
        <w:t xml:space="preserve"> </w:t>
      </w:r>
      <w:r w:rsidR="00DC224D" w:rsidRPr="00420A83">
        <w:rPr>
          <w:rFonts w:ascii="Arial" w:hAnsi="Arial" w:cs="Arial"/>
          <w:sz w:val="20"/>
          <w:szCs w:val="20"/>
        </w:rPr>
        <w:t xml:space="preserve">v </w:t>
      </w:r>
      <w:r w:rsidRPr="00420A83">
        <w:rPr>
          <w:rFonts w:ascii="Arial" w:hAnsi="Arial" w:cs="Arial"/>
          <w:sz w:val="20"/>
          <w:szCs w:val="20"/>
        </w:rPr>
        <w:t xml:space="preserve">účetnictví. </w:t>
      </w:r>
      <w:r w:rsidR="00746E95" w:rsidRPr="00420A83">
        <w:rPr>
          <w:rFonts w:ascii="Arial" w:hAnsi="Arial" w:cs="Arial"/>
          <w:sz w:val="20"/>
          <w:szCs w:val="20"/>
        </w:rPr>
        <w:t xml:space="preserve">Z toho důvodu ho </w:t>
      </w:r>
      <w:r w:rsidR="00420A83" w:rsidRPr="00420A83">
        <w:rPr>
          <w:rFonts w:ascii="Arial" w:hAnsi="Arial" w:cs="Arial"/>
          <w:sz w:val="20"/>
          <w:szCs w:val="20"/>
        </w:rPr>
        <w:t xml:space="preserve">více </w:t>
      </w:r>
      <w:r w:rsidR="007D0FE1" w:rsidRPr="00420A83">
        <w:rPr>
          <w:rFonts w:ascii="Arial" w:hAnsi="Arial" w:cs="Arial"/>
          <w:sz w:val="20"/>
          <w:szCs w:val="20"/>
        </w:rPr>
        <w:t xml:space="preserve">používají </w:t>
      </w:r>
      <w:r w:rsidR="00114485" w:rsidRPr="00420A83">
        <w:rPr>
          <w:rFonts w:ascii="Arial" w:hAnsi="Arial" w:cs="Arial"/>
          <w:sz w:val="20"/>
          <w:szCs w:val="20"/>
        </w:rPr>
        <w:t xml:space="preserve">subjekty </w:t>
      </w:r>
      <w:r w:rsidR="00386C64" w:rsidRPr="00420A83">
        <w:rPr>
          <w:rFonts w:ascii="Arial" w:hAnsi="Arial" w:cs="Arial"/>
          <w:sz w:val="20"/>
          <w:szCs w:val="20"/>
        </w:rPr>
        <w:t xml:space="preserve">působící v odvětvích </w:t>
      </w:r>
      <w:r w:rsidR="00386C64" w:rsidRPr="00420A83">
        <w:rPr>
          <w:rFonts w:ascii="Arial" w:hAnsi="Arial" w:cs="Arial"/>
          <w:b/>
          <w:sz w:val="20"/>
          <w:szCs w:val="20"/>
        </w:rPr>
        <w:t>zpracovatelského průmyslu</w:t>
      </w:r>
      <w:r w:rsidR="005173A0" w:rsidRPr="00420A83">
        <w:rPr>
          <w:rFonts w:ascii="Arial" w:hAnsi="Arial" w:cs="Arial"/>
          <w:b/>
          <w:sz w:val="20"/>
          <w:szCs w:val="20"/>
        </w:rPr>
        <w:t xml:space="preserve">. </w:t>
      </w:r>
      <w:r w:rsidR="005173A0" w:rsidRPr="00420A83">
        <w:rPr>
          <w:rFonts w:ascii="Arial" w:hAnsi="Arial" w:cs="Arial"/>
          <w:sz w:val="20"/>
          <w:szCs w:val="20"/>
        </w:rPr>
        <w:t>V</w:t>
      </w:r>
      <w:r w:rsidR="00386C64" w:rsidRPr="00420A83">
        <w:rPr>
          <w:rFonts w:ascii="Arial" w:hAnsi="Arial" w:cs="Arial"/>
          <w:sz w:val="20"/>
          <w:szCs w:val="20"/>
        </w:rPr>
        <w:t> roce 20</w:t>
      </w:r>
      <w:r w:rsidR="00114485" w:rsidRPr="00420A83">
        <w:rPr>
          <w:rFonts w:ascii="Arial" w:hAnsi="Arial" w:cs="Arial"/>
          <w:sz w:val="20"/>
          <w:szCs w:val="20"/>
        </w:rPr>
        <w:t>2</w:t>
      </w:r>
      <w:r w:rsidR="00746E95" w:rsidRPr="00420A83">
        <w:rPr>
          <w:rFonts w:ascii="Arial" w:hAnsi="Arial" w:cs="Arial"/>
          <w:sz w:val="20"/>
          <w:szCs w:val="20"/>
        </w:rPr>
        <w:t>3</w:t>
      </w:r>
      <w:r w:rsidR="00386C64" w:rsidRPr="00420A83">
        <w:rPr>
          <w:rFonts w:ascii="Arial" w:hAnsi="Arial" w:cs="Arial"/>
          <w:sz w:val="20"/>
          <w:szCs w:val="20"/>
        </w:rPr>
        <w:t xml:space="preserve"> </w:t>
      </w:r>
      <w:r w:rsidR="005173A0" w:rsidRPr="00420A83">
        <w:rPr>
          <w:rFonts w:ascii="Arial" w:hAnsi="Arial" w:cs="Arial"/>
          <w:sz w:val="20"/>
          <w:szCs w:val="20"/>
        </w:rPr>
        <w:t xml:space="preserve">jej zde </w:t>
      </w:r>
      <w:r w:rsidR="00386C64" w:rsidRPr="00420A83">
        <w:rPr>
          <w:rFonts w:ascii="Arial" w:hAnsi="Arial" w:cs="Arial"/>
          <w:sz w:val="20"/>
          <w:szCs w:val="20"/>
        </w:rPr>
        <w:t>používal</w:t>
      </w:r>
      <w:r w:rsidR="007E75ED" w:rsidRPr="00420A83">
        <w:rPr>
          <w:rFonts w:ascii="Arial" w:hAnsi="Arial" w:cs="Arial"/>
          <w:sz w:val="20"/>
          <w:szCs w:val="20"/>
        </w:rPr>
        <w:t xml:space="preserve">o v průměru </w:t>
      </w:r>
      <w:r w:rsidR="00746E95" w:rsidRPr="00420A83">
        <w:rPr>
          <w:rFonts w:ascii="Arial" w:hAnsi="Arial" w:cs="Arial"/>
          <w:sz w:val="20"/>
          <w:szCs w:val="20"/>
        </w:rPr>
        <w:t>37</w:t>
      </w:r>
      <w:r w:rsidR="007E75ED" w:rsidRPr="00420A83">
        <w:rPr>
          <w:rFonts w:ascii="Arial" w:hAnsi="Arial" w:cs="Arial"/>
          <w:sz w:val="20"/>
          <w:szCs w:val="20"/>
        </w:rPr>
        <w:t xml:space="preserve"> % podniků – mezi malými to bylo 2</w:t>
      </w:r>
      <w:r w:rsidR="007301BE" w:rsidRPr="00420A83">
        <w:rPr>
          <w:rFonts w:ascii="Arial" w:hAnsi="Arial" w:cs="Arial"/>
          <w:sz w:val="20"/>
          <w:szCs w:val="20"/>
        </w:rPr>
        <w:t>2</w:t>
      </w:r>
      <w:r w:rsidR="007E75ED" w:rsidRPr="00420A83">
        <w:rPr>
          <w:rFonts w:ascii="Arial" w:hAnsi="Arial" w:cs="Arial"/>
          <w:sz w:val="20"/>
          <w:szCs w:val="20"/>
        </w:rPr>
        <w:t xml:space="preserve"> %, u středních podniků </w:t>
      </w:r>
      <w:r w:rsidR="002D7233" w:rsidRPr="00420A83">
        <w:rPr>
          <w:rFonts w:ascii="Arial" w:hAnsi="Arial" w:cs="Arial"/>
          <w:sz w:val="20"/>
          <w:szCs w:val="20"/>
        </w:rPr>
        <w:t>64</w:t>
      </w:r>
      <w:r w:rsidR="007E75ED" w:rsidRPr="00420A83">
        <w:rPr>
          <w:rFonts w:ascii="Arial" w:hAnsi="Arial" w:cs="Arial"/>
          <w:sz w:val="20"/>
          <w:szCs w:val="20"/>
        </w:rPr>
        <w:t xml:space="preserve"> % a u velkých </w:t>
      </w:r>
      <w:r w:rsidR="005173A0" w:rsidRPr="00420A83">
        <w:rPr>
          <w:rFonts w:ascii="Arial" w:hAnsi="Arial" w:cs="Arial"/>
          <w:sz w:val="20"/>
          <w:szCs w:val="20"/>
        </w:rPr>
        <w:t xml:space="preserve">podniků ve zpracovatelském průmyslu </w:t>
      </w:r>
      <w:r w:rsidR="007E75ED" w:rsidRPr="00420A83">
        <w:rPr>
          <w:rFonts w:ascii="Arial" w:hAnsi="Arial" w:cs="Arial"/>
          <w:sz w:val="20"/>
          <w:szCs w:val="20"/>
        </w:rPr>
        <w:t>dokonce 9</w:t>
      </w:r>
      <w:r w:rsidR="002D7233" w:rsidRPr="00420A83">
        <w:rPr>
          <w:rFonts w:ascii="Arial" w:hAnsi="Arial" w:cs="Arial"/>
          <w:sz w:val="20"/>
          <w:szCs w:val="20"/>
        </w:rPr>
        <w:t>4</w:t>
      </w:r>
      <w:r w:rsidR="007E75ED" w:rsidRPr="00420A83">
        <w:rPr>
          <w:rFonts w:ascii="Arial" w:hAnsi="Arial" w:cs="Arial"/>
          <w:sz w:val="20"/>
          <w:szCs w:val="20"/>
        </w:rPr>
        <w:t xml:space="preserve"> %. </w:t>
      </w:r>
      <w:r w:rsidR="00420A83">
        <w:rPr>
          <w:rFonts w:ascii="Arial" w:hAnsi="Arial" w:cs="Arial"/>
          <w:sz w:val="20"/>
          <w:szCs w:val="20"/>
        </w:rPr>
        <w:t xml:space="preserve"> </w:t>
      </w:r>
      <w:r w:rsidR="007E75ED" w:rsidRPr="00420A83">
        <w:rPr>
          <w:rFonts w:ascii="Arial" w:hAnsi="Arial" w:cs="Arial"/>
          <w:sz w:val="20"/>
          <w:szCs w:val="20"/>
        </w:rPr>
        <w:t>V rámci sledovaných odvětví zpracovatelského průmyslu najdeme nejvyšší podíl firem, které využívaly ERP systém</w:t>
      </w:r>
      <w:r w:rsidR="005173A0" w:rsidRPr="00420A83">
        <w:rPr>
          <w:rFonts w:ascii="Arial" w:hAnsi="Arial" w:cs="Arial"/>
          <w:sz w:val="20"/>
          <w:szCs w:val="20"/>
        </w:rPr>
        <w:t>,</w:t>
      </w:r>
      <w:r w:rsidR="007E75ED" w:rsidRPr="00420A83">
        <w:rPr>
          <w:rFonts w:ascii="Arial" w:hAnsi="Arial" w:cs="Arial"/>
          <w:sz w:val="20"/>
          <w:szCs w:val="20"/>
        </w:rPr>
        <w:t xml:space="preserve"> v</w:t>
      </w:r>
      <w:r w:rsidR="005173A0" w:rsidRPr="00420A83">
        <w:rPr>
          <w:rFonts w:ascii="Arial" w:hAnsi="Arial" w:cs="Arial"/>
          <w:sz w:val="20"/>
          <w:szCs w:val="20"/>
        </w:rPr>
        <w:t> automobilovém průmyslu</w:t>
      </w:r>
      <w:r w:rsidR="007E75ED" w:rsidRPr="00420A83">
        <w:rPr>
          <w:rFonts w:ascii="Arial" w:hAnsi="Arial" w:cs="Arial"/>
          <w:sz w:val="20"/>
          <w:szCs w:val="20"/>
        </w:rPr>
        <w:t xml:space="preserve"> (</w:t>
      </w:r>
      <w:r w:rsidR="005173A0" w:rsidRPr="00420A83">
        <w:rPr>
          <w:rFonts w:ascii="Arial" w:hAnsi="Arial" w:cs="Arial"/>
          <w:sz w:val="20"/>
          <w:szCs w:val="20"/>
        </w:rPr>
        <w:t>NACE 29: 70</w:t>
      </w:r>
      <w:r w:rsidR="007E75ED" w:rsidRPr="00420A83">
        <w:rPr>
          <w:rFonts w:ascii="Arial" w:hAnsi="Arial" w:cs="Arial"/>
          <w:sz w:val="20"/>
          <w:szCs w:val="20"/>
        </w:rPr>
        <w:t xml:space="preserve"> %</w:t>
      </w:r>
      <w:r w:rsidR="005173A0" w:rsidRPr="00420A83">
        <w:rPr>
          <w:rFonts w:ascii="Arial" w:hAnsi="Arial" w:cs="Arial"/>
          <w:sz w:val="20"/>
          <w:szCs w:val="20"/>
        </w:rPr>
        <w:t xml:space="preserve"> firem</w:t>
      </w:r>
      <w:r w:rsidR="007E75ED" w:rsidRPr="00420A83">
        <w:rPr>
          <w:rFonts w:ascii="Arial" w:hAnsi="Arial" w:cs="Arial"/>
          <w:sz w:val="20"/>
          <w:szCs w:val="20"/>
        </w:rPr>
        <w:t>)</w:t>
      </w:r>
      <w:r w:rsidR="005173A0" w:rsidRPr="00420A83">
        <w:rPr>
          <w:rFonts w:ascii="Arial" w:hAnsi="Arial" w:cs="Arial"/>
          <w:sz w:val="20"/>
          <w:szCs w:val="20"/>
        </w:rPr>
        <w:t>, dále v</w:t>
      </w:r>
      <w:r w:rsidR="007E75ED" w:rsidRPr="00420A83">
        <w:rPr>
          <w:rFonts w:ascii="Arial" w:hAnsi="Arial" w:cs="Arial"/>
          <w:sz w:val="20"/>
          <w:szCs w:val="20"/>
        </w:rPr>
        <w:t xml:space="preserve"> </w:t>
      </w:r>
      <w:r w:rsidR="005173A0" w:rsidRPr="00420A83">
        <w:rPr>
          <w:rFonts w:ascii="Arial" w:hAnsi="Arial" w:cs="Arial"/>
          <w:sz w:val="20"/>
          <w:szCs w:val="20"/>
        </w:rPr>
        <w:t xml:space="preserve">chemickém a farmaceutickém průmyslu (NACE 19-21: </w:t>
      </w:r>
      <w:r w:rsidR="002D7233" w:rsidRPr="00420A83">
        <w:rPr>
          <w:rFonts w:ascii="Arial" w:hAnsi="Arial" w:cs="Arial"/>
          <w:sz w:val="20"/>
          <w:szCs w:val="20"/>
        </w:rPr>
        <w:t xml:space="preserve">63 % </w:t>
      </w:r>
      <w:r w:rsidR="0038519C" w:rsidRPr="00420A83">
        <w:rPr>
          <w:rFonts w:ascii="Arial" w:hAnsi="Arial" w:cs="Arial"/>
          <w:sz w:val="20"/>
          <w:szCs w:val="20"/>
        </w:rPr>
        <w:t>podniků</w:t>
      </w:r>
      <w:r w:rsidR="005173A0" w:rsidRPr="00420A83">
        <w:rPr>
          <w:rFonts w:ascii="Arial" w:hAnsi="Arial" w:cs="Arial"/>
          <w:sz w:val="20"/>
          <w:szCs w:val="20"/>
        </w:rPr>
        <w:t>)</w:t>
      </w:r>
      <w:r w:rsidR="00420A83">
        <w:rPr>
          <w:rFonts w:ascii="Arial" w:hAnsi="Arial" w:cs="Arial"/>
          <w:sz w:val="20"/>
          <w:szCs w:val="20"/>
        </w:rPr>
        <w:t xml:space="preserve"> nebo</w:t>
      </w:r>
      <w:r w:rsidR="005173A0" w:rsidRPr="00420A83">
        <w:rPr>
          <w:rFonts w:ascii="Arial" w:hAnsi="Arial" w:cs="Arial"/>
          <w:sz w:val="20"/>
          <w:szCs w:val="20"/>
        </w:rPr>
        <w:t xml:space="preserve"> ve výrobě ostatních dopravních prostředků (NACE 30: </w:t>
      </w:r>
      <w:r w:rsidR="00420A83" w:rsidRPr="00420A83">
        <w:rPr>
          <w:rFonts w:ascii="Arial" w:hAnsi="Arial" w:cs="Arial"/>
          <w:sz w:val="20"/>
          <w:szCs w:val="20"/>
        </w:rPr>
        <w:t>62</w:t>
      </w:r>
      <w:r w:rsidR="00420A83">
        <w:rPr>
          <w:rFonts w:ascii="Arial" w:hAnsi="Arial" w:cs="Arial"/>
          <w:sz w:val="20"/>
          <w:szCs w:val="20"/>
        </w:rPr>
        <w:t> </w:t>
      </w:r>
      <w:r w:rsidR="005173A0" w:rsidRPr="00420A83">
        <w:rPr>
          <w:rFonts w:ascii="Arial" w:hAnsi="Arial" w:cs="Arial"/>
          <w:sz w:val="20"/>
          <w:szCs w:val="20"/>
        </w:rPr>
        <w:t xml:space="preserve">% podniků). </w:t>
      </w:r>
      <w:r w:rsidR="00E63716" w:rsidRPr="00420A83">
        <w:rPr>
          <w:rFonts w:ascii="Arial" w:hAnsi="Arial" w:cs="Arial"/>
          <w:sz w:val="20"/>
          <w:szCs w:val="20"/>
        </w:rPr>
        <w:t xml:space="preserve">Kromě průmyslových odvětví je </w:t>
      </w:r>
      <w:r w:rsidR="006B2DA6" w:rsidRPr="00420A83">
        <w:rPr>
          <w:rFonts w:ascii="Arial" w:hAnsi="Arial" w:cs="Arial"/>
          <w:sz w:val="20"/>
          <w:szCs w:val="20"/>
        </w:rPr>
        <w:t>ERP</w:t>
      </w:r>
      <w:r w:rsidR="00E63716" w:rsidRPr="00420A83">
        <w:rPr>
          <w:rFonts w:ascii="Arial" w:hAnsi="Arial" w:cs="Arial"/>
          <w:sz w:val="20"/>
          <w:szCs w:val="20"/>
        </w:rPr>
        <w:t xml:space="preserve"> systém </w:t>
      </w:r>
      <w:r w:rsidR="0038519C" w:rsidRPr="00420A83">
        <w:rPr>
          <w:rFonts w:ascii="Arial" w:hAnsi="Arial" w:cs="Arial"/>
          <w:sz w:val="20"/>
          <w:szCs w:val="20"/>
        </w:rPr>
        <w:t xml:space="preserve">hojně </w:t>
      </w:r>
      <w:r w:rsidR="00E63716" w:rsidRPr="00420A83">
        <w:rPr>
          <w:rFonts w:ascii="Arial" w:hAnsi="Arial" w:cs="Arial"/>
          <w:sz w:val="20"/>
          <w:szCs w:val="20"/>
        </w:rPr>
        <w:t xml:space="preserve">využíván </w:t>
      </w:r>
      <w:r w:rsidR="0038519C" w:rsidRPr="00420A83">
        <w:rPr>
          <w:rFonts w:ascii="Arial" w:hAnsi="Arial" w:cs="Arial"/>
          <w:sz w:val="20"/>
          <w:szCs w:val="20"/>
        </w:rPr>
        <w:t>i</w:t>
      </w:r>
      <w:r w:rsidR="00746E95" w:rsidRPr="00420A83">
        <w:rPr>
          <w:rFonts w:ascii="Arial" w:hAnsi="Arial" w:cs="Arial"/>
          <w:sz w:val="20"/>
          <w:szCs w:val="20"/>
        </w:rPr>
        <w:t xml:space="preserve"> v </w:t>
      </w:r>
      <w:r w:rsidR="00746E95" w:rsidRPr="00420A83">
        <w:rPr>
          <w:rFonts w:ascii="Arial" w:hAnsi="Arial" w:cs="Arial"/>
          <w:b/>
          <w:sz w:val="20"/>
          <w:szCs w:val="20"/>
        </w:rPr>
        <w:t>telekomunikačních činnostech</w:t>
      </w:r>
      <w:r w:rsidR="00746E95" w:rsidRPr="00420A83">
        <w:rPr>
          <w:rFonts w:ascii="Arial" w:hAnsi="Arial" w:cs="Arial"/>
          <w:sz w:val="20"/>
          <w:szCs w:val="20"/>
        </w:rPr>
        <w:t xml:space="preserve"> (58 %</w:t>
      </w:r>
      <w:r w:rsidR="00420A83">
        <w:rPr>
          <w:rFonts w:ascii="Arial" w:hAnsi="Arial" w:cs="Arial"/>
          <w:sz w:val="20"/>
          <w:szCs w:val="20"/>
        </w:rPr>
        <w:t xml:space="preserve"> a</w:t>
      </w:r>
      <w:r w:rsidR="002D7233" w:rsidRPr="00420A83">
        <w:rPr>
          <w:rFonts w:ascii="Arial" w:hAnsi="Arial" w:cs="Arial"/>
          <w:sz w:val="20"/>
          <w:szCs w:val="20"/>
        </w:rPr>
        <w:t xml:space="preserve"> v </w:t>
      </w:r>
      <w:r w:rsidR="002D7233" w:rsidRPr="00420A83">
        <w:rPr>
          <w:rFonts w:ascii="Arial" w:hAnsi="Arial" w:cs="Arial"/>
          <w:b/>
          <w:sz w:val="20"/>
          <w:szCs w:val="20"/>
        </w:rPr>
        <w:t>IT sektoru</w:t>
      </w:r>
      <w:r w:rsidR="002D7233" w:rsidRPr="00420A83">
        <w:rPr>
          <w:rFonts w:ascii="Arial" w:hAnsi="Arial" w:cs="Arial"/>
          <w:sz w:val="20"/>
          <w:szCs w:val="20"/>
        </w:rPr>
        <w:t xml:space="preserve"> a informačních činnostech (53 % podniků)</w:t>
      </w:r>
      <w:r w:rsidR="00420A83">
        <w:rPr>
          <w:rFonts w:ascii="Arial" w:hAnsi="Arial" w:cs="Arial"/>
          <w:sz w:val="20"/>
          <w:szCs w:val="20"/>
        </w:rPr>
        <w:t>.</w:t>
      </w:r>
    </w:p>
    <w:p w14:paraId="6E070291" w14:textId="74D74D5A" w:rsidR="00CE0747" w:rsidRPr="000557F6" w:rsidRDefault="00CE0747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57F6">
        <w:rPr>
          <w:rFonts w:ascii="Arial" w:hAnsi="Arial" w:cs="Arial"/>
          <w:sz w:val="20"/>
          <w:szCs w:val="20"/>
        </w:rPr>
        <w:t xml:space="preserve">V evropském srovnání používání </w:t>
      </w:r>
      <w:r w:rsidRPr="000557F6">
        <w:rPr>
          <w:rFonts w:ascii="Arial" w:hAnsi="Arial" w:cs="Arial"/>
          <w:sz w:val="20"/>
        </w:rPr>
        <w:t xml:space="preserve">ERP systému jsou </w:t>
      </w:r>
      <w:r w:rsidR="00D8013C">
        <w:rPr>
          <w:rFonts w:ascii="Arial" w:hAnsi="Arial" w:cs="Arial"/>
          <w:sz w:val="20"/>
        </w:rPr>
        <w:t>tuzemské</w:t>
      </w:r>
      <w:r w:rsidRPr="000557F6">
        <w:rPr>
          <w:rFonts w:ascii="Arial" w:hAnsi="Arial" w:cs="Arial"/>
          <w:sz w:val="20"/>
        </w:rPr>
        <w:t xml:space="preserve"> podniky za rok 202</w:t>
      </w:r>
      <w:r>
        <w:rPr>
          <w:rFonts w:ascii="Arial" w:hAnsi="Arial" w:cs="Arial"/>
          <w:sz w:val="20"/>
        </w:rPr>
        <w:t xml:space="preserve">3 </w:t>
      </w:r>
      <w:r w:rsidRPr="00CE0747">
        <w:rPr>
          <w:rFonts w:ascii="Arial" w:hAnsi="Arial" w:cs="Arial"/>
          <w:b/>
          <w:sz w:val="20"/>
        </w:rPr>
        <w:t>hluboko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pod</w:t>
      </w:r>
      <w:r w:rsidRPr="000557F6">
        <w:rPr>
          <w:rFonts w:ascii="Arial" w:hAnsi="Arial" w:cs="Arial"/>
          <w:b/>
          <w:sz w:val="20"/>
        </w:rPr>
        <w:t> průměr</w:t>
      </w:r>
      <w:r>
        <w:rPr>
          <w:rFonts w:ascii="Arial" w:hAnsi="Arial" w:cs="Arial"/>
          <w:b/>
          <w:sz w:val="20"/>
        </w:rPr>
        <w:t>em</w:t>
      </w:r>
      <w:r w:rsidRPr="000557F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</w:t>
      </w:r>
      <w:r w:rsidRPr="000557F6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>27</w:t>
      </w:r>
      <w:r w:rsidRPr="000557F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E63D52">
        <w:rPr>
          <w:rFonts w:ascii="Arial" w:hAnsi="Arial" w:cs="Arial"/>
          <w:sz w:val="20"/>
        </w:rPr>
        <w:t>V průměru EU27 tento ukazatel dosáhl 43</w:t>
      </w:r>
      <w:r w:rsidR="00E63D52" w:rsidRPr="00511D06">
        <w:rPr>
          <w:rFonts w:ascii="Arial" w:hAnsi="Arial" w:cs="Arial"/>
          <w:sz w:val="20"/>
        </w:rPr>
        <w:t xml:space="preserve"> %</w:t>
      </w:r>
      <w:r w:rsidR="00E63D52">
        <w:rPr>
          <w:rFonts w:ascii="Arial" w:hAnsi="Arial" w:cs="Arial"/>
          <w:sz w:val="20"/>
        </w:rPr>
        <w:t xml:space="preserve"> podniků.</w:t>
      </w:r>
      <w:r>
        <w:rPr>
          <w:rFonts w:ascii="Arial" w:hAnsi="Arial" w:cs="Arial"/>
          <w:b/>
          <w:sz w:val="20"/>
        </w:rPr>
        <w:t xml:space="preserve"> </w:t>
      </w:r>
      <w:r w:rsidRPr="000557F6">
        <w:rPr>
          <w:rFonts w:ascii="Arial" w:hAnsi="Arial" w:cs="Arial"/>
          <w:sz w:val="20"/>
        </w:rPr>
        <w:t xml:space="preserve">Systém pro elektronické </w:t>
      </w:r>
      <w:r w:rsidRPr="000557F6">
        <w:rPr>
          <w:rFonts w:ascii="Arial" w:hAnsi="Arial" w:cs="Arial"/>
          <w:sz w:val="20"/>
        </w:rPr>
        <w:lastRenderedPageBreak/>
        <w:t>řízení celého podniku používaly nejčastěji podniky v</w:t>
      </w:r>
      <w:r w:rsidR="00E63D52">
        <w:rPr>
          <w:rFonts w:ascii="Arial" w:hAnsi="Arial" w:cs="Arial"/>
          <w:sz w:val="20"/>
        </w:rPr>
        <w:t xml:space="preserve"> Dánsku (67 %), </w:t>
      </w:r>
      <w:r w:rsidRPr="000557F6">
        <w:rPr>
          <w:rFonts w:ascii="Arial" w:hAnsi="Arial" w:cs="Arial"/>
          <w:sz w:val="20"/>
        </w:rPr>
        <w:t>Belgii (</w:t>
      </w:r>
      <w:r w:rsidR="00E63D52">
        <w:rPr>
          <w:rFonts w:ascii="Arial" w:hAnsi="Arial" w:cs="Arial"/>
          <w:sz w:val="20"/>
        </w:rPr>
        <w:t>60</w:t>
      </w:r>
      <w:r w:rsidRPr="000557F6">
        <w:rPr>
          <w:rFonts w:ascii="Arial" w:hAnsi="Arial" w:cs="Arial"/>
          <w:sz w:val="20"/>
        </w:rPr>
        <w:t xml:space="preserve"> </w:t>
      </w:r>
      <w:r w:rsidR="009E10CE" w:rsidRPr="000557F6">
        <w:rPr>
          <w:rFonts w:ascii="Arial" w:hAnsi="Arial" w:cs="Arial"/>
          <w:sz w:val="20"/>
        </w:rPr>
        <w:t>%)</w:t>
      </w:r>
      <w:r w:rsidR="009E10CE">
        <w:rPr>
          <w:rFonts w:ascii="Arial" w:hAnsi="Arial" w:cs="Arial"/>
          <w:sz w:val="20"/>
        </w:rPr>
        <w:t xml:space="preserve"> nebo</w:t>
      </w:r>
      <w:r w:rsidR="009E10CE" w:rsidRPr="000557F6">
        <w:rPr>
          <w:rFonts w:ascii="Arial" w:hAnsi="Arial" w:cs="Arial"/>
          <w:sz w:val="20"/>
        </w:rPr>
        <w:t xml:space="preserve"> </w:t>
      </w:r>
      <w:r w:rsidR="00E63D52">
        <w:rPr>
          <w:rFonts w:ascii="Arial" w:hAnsi="Arial" w:cs="Arial"/>
          <w:sz w:val="20"/>
        </w:rPr>
        <w:t>Švédsku</w:t>
      </w:r>
      <w:r w:rsidRPr="000557F6">
        <w:rPr>
          <w:rFonts w:ascii="Arial" w:hAnsi="Arial" w:cs="Arial"/>
          <w:sz w:val="20"/>
        </w:rPr>
        <w:t xml:space="preserve"> (5</w:t>
      </w:r>
      <w:r w:rsidR="00E63D52">
        <w:rPr>
          <w:rFonts w:ascii="Arial" w:hAnsi="Arial" w:cs="Arial"/>
          <w:sz w:val="20"/>
        </w:rPr>
        <w:t>9</w:t>
      </w:r>
      <w:r w:rsidRPr="000557F6">
        <w:rPr>
          <w:rFonts w:ascii="Arial" w:hAnsi="Arial" w:cs="Arial"/>
          <w:sz w:val="20"/>
        </w:rPr>
        <w:t xml:space="preserve"> %)</w:t>
      </w:r>
      <w:r w:rsidR="009E10CE">
        <w:rPr>
          <w:rFonts w:ascii="Arial" w:hAnsi="Arial" w:cs="Arial"/>
          <w:sz w:val="20"/>
        </w:rPr>
        <w:t xml:space="preserve">. </w:t>
      </w:r>
      <w:r w:rsidR="00E63D52">
        <w:rPr>
          <w:rFonts w:ascii="Arial" w:hAnsi="Arial" w:cs="Arial"/>
          <w:sz w:val="20"/>
        </w:rPr>
        <w:t xml:space="preserve"> Méně podniků než v Česku používalo ERP systém </w:t>
      </w:r>
      <w:r w:rsidRPr="000557F6">
        <w:rPr>
          <w:rFonts w:ascii="Arial" w:hAnsi="Arial" w:cs="Arial"/>
          <w:sz w:val="20"/>
        </w:rPr>
        <w:t>v</w:t>
      </w:r>
      <w:r w:rsidR="00E63D52">
        <w:rPr>
          <w:rFonts w:ascii="Arial" w:hAnsi="Arial" w:cs="Arial"/>
          <w:sz w:val="20"/>
        </w:rPr>
        <w:t> Bulharsku (22 %),</w:t>
      </w:r>
      <w:r w:rsidRPr="000557F6">
        <w:rPr>
          <w:rFonts w:ascii="Arial" w:hAnsi="Arial" w:cs="Arial"/>
          <w:sz w:val="20"/>
        </w:rPr>
        <w:t> Rumunsku (</w:t>
      </w:r>
      <w:r w:rsidR="00E63D52">
        <w:rPr>
          <w:rFonts w:ascii="Arial" w:hAnsi="Arial" w:cs="Arial"/>
          <w:sz w:val="20"/>
        </w:rPr>
        <w:t>23</w:t>
      </w:r>
      <w:r w:rsidRPr="000557F6">
        <w:rPr>
          <w:rFonts w:ascii="Arial" w:hAnsi="Arial" w:cs="Arial"/>
          <w:sz w:val="20"/>
        </w:rPr>
        <w:t xml:space="preserve"> %), </w:t>
      </w:r>
      <w:r w:rsidR="00E63D52">
        <w:rPr>
          <w:rFonts w:ascii="Arial" w:hAnsi="Arial" w:cs="Arial"/>
          <w:sz w:val="20"/>
        </w:rPr>
        <w:t>Chorvatsku</w:t>
      </w:r>
      <w:r w:rsidRPr="000557F6">
        <w:rPr>
          <w:rFonts w:ascii="Arial" w:hAnsi="Arial" w:cs="Arial"/>
          <w:sz w:val="20"/>
        </w:rPr>
        <w:t xml:space="preserve"> (2</w:t>
      </w:r>
      <w:r w:rsidR="00E63D52">
        <w:rPr>
          <w:rFonts w:ascii="Arial" w:hAnsi="Arial" w:cs="Arial"/>
          <w:sz w:val="20"/>
        </w:rPr>
        <w:t>5</w:t>
      </w:r>
      <w:r w:rsidRPr="000557F6">
        <w:rPr>
          <w:rFonts w:ascii="Arial" w:hAnsi="Arial" w:cs="Arial"/>
          <w:sz w:val="20"/>
        </w:rPr>
        <w:t xml:space="preserve"> %) </w:t>
      </w:r>
      <w:r w:rsidR="009E10CE">
        <w:rPr>
          <w:rFonts w:ascii="Arial" w:hAnsi="Arial" w:cs="Arial"/>
          <w:sz w:val="20"/>
        </w:rPr>
        <w:t>či</w:t>
      </w:r>
      <w:r w:rsidR="009E10CE" w:rsidRPr="000557F6">
        <w:rPr>
          <w:rFonts w:ascii="Arial" w:hAnsi="Arial" w:cs="Arial"/>
          <w:sz w:val="20"/>
        </w:rPr>
        <w:t xml:space="preserve"> </w:t>
      </w:r>
      <w:r w:rsidR="00E63D52">
        <w:rPr>
          <w:rFonts w:ascii="Arial" w:hAnsi="Arial" w:cs="Arial"/>
          <w:sz w:val="20"/>
        </w:rPr>
        <w:t>Slovensku</w:t>
      </w:r>
      <w:r w:rsidRPr="000557F6">
        <w:rPr>
          <w:rFonts w:ascii="Arial" w:hAnsi="Arial" w:cs="Arial"/>
          <w:sz w:val="20"/>
        </w:rPr>
        <w:t xml:space="preserve"> (2</w:t>
      </w:r>
      <w:r w:rsidR="00E63D52">
        <w:rPr>
          <w:rFonts w:ascii="Arial" w:hAnsi="Arial" w:cs="Arial"/>
          <w:sz w:val="20"/>
        </w:rPr>
        <w:t>6</w:t>
      </w:r>
      <w:r w:rsidRPr="000557F6">
        <w:rPr>
          <w:rFonts w:ascii="Arial" w:hAnsi="Arial" w:cs="Arial"/>
          <w:sz w:val="20"/>
        </w:rPr>
        <w:t xml:space="preserve"> %).</w:t>
      </w:r>
      <w:r w:rsidR="00E63D52">
        <w:rPr>
          <w:rFonts w:ascii="Arial" w:hAnsi="Arial" w:cs="Arial"/>
          <w:sz w:val="20"/>
        </w:rPr>
        <w:t xml:space="preserve"> </w:t>
      </w:r>
    </w:p>
    <w:p w14:paraId="1DFA5782" w14:textId="04885C69" w:rsidR="007C02A5" w:rsidRPr="00E63D52" w:rsidRDefault="0038519C" w:rsidP="00A715C1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E63D52">
        <w:rPr>
          <w:rFonts w:ascii="Arial" w:hAnsi="Arial" w:cs="Arial"/>
          <w:sz w:val="20"/>
        </w:rPr>
        <w:t xml:space="preserve">Informační systém nebo aplikaci </w:t>
      </w:r>
      <w:r w:rsidR="00785876" w:rsidRPr="00E63D52">
        <w:rPr>
          <w:rFonts w:ascii="Arial" w:hAnsi="Arial" w:cs="Arial"/>
          <w:b/>
          <w:sz w:val="20"/>
        </w:rPr>
        <w:t>CRM</w:t>
      </w:r>
      <w:r w:rsidRPr="00E63D52">
        <w:rPr>
          <w:rFonts w:ascii="Arial" w:hAnsi="Arial" w:cs="Arial"/>
          <w:b/>
          <w:sz w:val="20"/>
        </w:rPr>
        <w:t xml:space="preserve"> </w:t>
      </w:r>
      <w:r w:rsidRPr="00E63D52">
        <w:rPr>
          <w:rFonts w:ascii="Arial" w:hAnsi="Arial" w:cs="Arial"/>
          <w:sz w:val="20"/>
        </w:rPr>
        <w:t>(</w:t>
      </w:r>
      <w:proofErr w:type="spellStart"/>
      <w:r w:rsidRPr="00E63D52">
        <w:rPr>
          <w:rFonts w:ascii="Arial" w:hAnsi="Arial" w:cs="Arial"/>
          <w:sz w:val="20"/>
        </w:rPr>
        <w:t>Customer</w:t>
      </w:r>
      <w:proofErr w:type="spellEnd"/>
      <w:r w:rsidRPr="00E63D52">
        <w:rPr>
          <w:rFonts w:ascii="Arial" w:hAnsi="Arial" w:cs="Arial"/>
          <w:sz w:val="20"/>
        </w:rPr>
        <w:t xml:space="preserve"> </w:t>
      </w:r>
      <w:proofErr w:type="spellStart"/>
      <w:r w:rsidRPr="00E63D52">
        <w:rPr>
          <w:rFonts w:ascii="Arial" w:hAnsi="Arial" w:cs="Arial"/>
          <w:sz w:val="20"/>
        </w:rPr>
        <w:t>Relationship</w:t>
      </w:r>
      <w:proofErr w:type="spellEnd"/>
      <w:r w:rsidRPr="00E63D52">
        <w:rPr>
          <w:rFonts w:ascii="Arial" w:hAnsi="Arial" w:cs="Arial"/>
          <w:sz w:val="20"/>
        </w:rPr>
        <w:t xml:space="preserve"> Management)</w:t>
      </w:r>
      <w:r w:rsidR="001F53D8" w:rsidRPr="00E63D52">
        <w:rPr>
          <w:rFonts w:ascii="Arial" w:hAnsi="Arial" w:cs="Arial"/>
          <w:sz w:val="20"/>
        </w:rPr>
        <w:t>,</w:t>
      </w:r>
      <w:r w:rsidRPr="00E63D52">
        <w:rPr>
          <w:rFonts w:ascii="Arial" w:hAnsi="Arial" w:cs="Arial"/>
          <w:sz w:val="20"/>
        </w:rPr>
        <w:t xml:space="preserve"> která</w:t>
      </w:r>
      <w:r w:rsidR="00D47A45" w:rsidRPr="00E63D52">
        <w:rPr>
          <w:rFonts w:ascii="Arial" w:hAnsi="Arial" w:cs="Arial"/>
          <w:sz w:val="20"/>
        </w:rPr>
        <w:t xml:space="preserve"> </w:t>
      </w:r>
      <w:r w:rsidR="001F53D8" w:rsidRPr="00E63D52">
        <w:rPr>
          <w:rFonts w:ascii="Arial" w:hAnsi="Arial" w:cs="Arial"/>
          <w:sz w:val="20"/>
        </w:rPr>
        <w:t xml:space="preserve">slouží </w:t>
      </w:r>
      <w:r w:rsidR="00D57B0B" w:rsidRPr="00E63D52">
        <w:rPr>
          <w:rFonts w:ascii="Arial" w:hAnsi="Arial" w:cs="Arial"/>
          <w:sz w:val="20"/>
        </w:rPr>
        <w:t xml:space="preserve">pro </w:t>
      </w:r>
      <w:r w:rsidR="001F53D8" w:rsidRPr="00E63D52">
        <w:rPr>
          <w:rFonts w:ascii="Arial" w:hAnsi="Arial" w:cs="Arial"/>
          <w:sz w:val="20"/>
        </w:rPr>
        <w:t>sběr a</w:t>
      </w:r>
      <w:r w:rsidRPr="00E63D52">
        <w:rPr>
          <w:rFonts w:ascii="Arial" w:hAnsi="Arial" w:cs="Arial"/>
          <w:sz w:val="20"/>
        </w:rPr>
        <w:t> </w:t>
      </w:r>
      <w:r w:rsidR="001F53D8" w:rsidRPr="00E63D52">
        <w:rPr>
          <w:rFonts w:ascii="Arial" w:hAnsi="Arial" w:cs="Arial"/>
          <w:sz w:val="20"/>
        </w:rPr>
        <w:t xml:space="preserve">vyhodnocování </w:t>
      </w:r>
      <w:r w:rsidR="00D57B0B" w:rsidRPr="00E63D52">
        <w:rPr>
          <w:rFonts w:ascii="Arial" w:hAnsi="Arial" w:cs="Arial"/>
          <w:sz w:val="20"/>
        </w:rPr>
        <w:t>informací o</w:t>
      </w:r>
      <w:r w:rsidR="001F53D8" w:rsidRPr="00E63D52">
        <w:rPr>
          <w:rFonts w:ascii="Arial" w:hAnsi="Arial" w:cs="Arial"/>
          <w:sz w:val="20"/>
        </w:rPr>
        <w:t xml:space="preserve"> </w:t>
      </w:r>
      <w:r w:rsidR="00D57B0B" w:rsidRPr="00E63D52">
        <w:rPr>
          <w:rFonts w:ascii="Arial" w:hAnsi="Arial" w:cs="Arial"/>
          <w:sz w:val="20"/>
        </w:rPr>
        <w:t>zákaznících</w:t>
      </w:r>
      <w:r w:rsidR="001F53D8" w:rsidRPr="00E63D52">
        <w:rPr>
          <w:rFonts w:ascii="Arial" w:hAnsi="Arial" w:cs="Arial"/>
          <w:sz w:val="20"/>
        </w:rPr>
        <w:t xml:space="preserve">, </w:t>
      </w:r>
      <w:r w:rsidR="00E76C47" w:rsidRPr="00E63D52">
        <w:rPr>
          <w:rFonts w:ascii="Arial" w:hAnsi="Arial" w:cs="Arial"/>
          <w:sz w:val="20"/>
        </w:rPr>
        <w:t>využíval</w:t>
      </w:r>
      <w:r w:rsidRPr="00E63D52">
        <w:rPr>
          <w:rFonts w:ascii="Arial" w:hAnsi="Arial" w:cs="Arial"/>
          <w:sz w:val="20"/>
        </w:rPr>
        <w:t>a</w:t>
      </w:r>
      <w:r w:rsidR="00D57B0B" w:rsidRPr="00E63D52">
        <w:rPr>
          <w:rFonts w:ascii="Arial" w:hAnsi="Arial" w:cs="Arial"/>
          <w:sz w:val="20"/>
        </w:rPr>
        <w:t xml:space="preserve"> v</w:t>
      </w:r>
      <w:r w:rsidR="00E63716" w:rsidRPr="00E63D52">
        <w:rPr>
          <w:rFonts w:ascii="Arial" w:hAnsi="Arial" w:cs="Arial"/>
          <w:sz w:val="20"/>
        </w:rPr>
        <w:t> </w:t>
      </w:r>
      <w:r w:rsidR="00D57B0B" w:rsidRPr="00E63D52">
        <w:rPr>
          <w:rFonts w:ascii="Arial" w:hAnsi="Arial" w:cs="Arial"/>
          <w:sz w:val="20"/>
        </w:rPr>
        <w:t>roce</w:t>
      </w:r>
      <w:r w:rsidR="00E63716" w:rsidRPr="00E63D52">
        <w:rPr>
          <w:rFonts w:ascii="Arial" w:hAnsi="Arial" w:cs="Arial"/>
          <w:sz w:val="20"/>
        </w:rPr>
        <w:t xml:space="preserve"> 20</w:t>
      </w:r>
      <w:r w:rsidR="007C02A5" w:rsidRPr="00E63D52">
        <w:rPr>
          <w:rFonts w:ascii="Arial" w:hAnsi="Arial" w:cs="Arial"/>
          <w:sz w:val="20"/>
        </w:rPr>
        <w:t>2</w:t>
      </w:r>
      <w:r w:rsidR="00E63D52" w:rsidRPr="00E63D52">
        <w:rPr>
          <w:rFonts w:ascii="Arial" w:hAnsi="Arial" w:cs="Arial"/>
          <w:sz w:val="20"/>
        </w:rPr>
        <w:t>3</w:t>
      </w:r>
      <w:r w:rsidR="004909A9" w:rsidRPr="00E63D52">
        <w:rPr>
          <w:rFonts w:ascii="Arial" w:hAnsi="Arial" w:cs="Arial"/>
          <w:sz w:val="20"/>
        </w:rPr>
        <w:t xml:space="preserve"> pětina</w:t>
      </w:r>
      <w:r w:rsidR="00D57B0B" w:rsidRPr="00E63D52">
        <w:rPr>
          <w:rFonts w:ascii="Arial" w:hAnsi="Arial" w:cs="Arial"/>
          <w:sz w:val="20"/>
        </w:rPr>
        <w:t xml:space="preserve"> podniků</w:t>
      </w:r>
      <w:r w:rsidR="004909A9" w:rsidRPr="00E63D52">
        <w:rPr>
          <w:rFonts w:ascii="Arial" w:hAnsi="Arial" w:cs="Arial"/>
          <w:sz w:val="20"/>
        </w:rPr>
        <w:t xml:space="preserve"> (</w:t>
      </w:r>
      <w:r w:rsidR="00E63D52" w:rsidRPr="00E63D52">
        <w:rPr>
          <w:rFonts w:ascii="Arial" w:hAnsi="Arial" w:cs="Arial"/>
          <w:sz w:val="20"/>
        </w:rPr>
        <w:t>20</w:t>
      </w:r>
      <w:r w:rsidR="004909A9" w:rsidRPr="00E63D52">
        <w:rPr>
          <w:rFonts w:ascii="Arial" w:hAnsi="Arial" w:cs="Arial"/>
          <w:sz w:val="20"/>
        </w:rPr>
        <w:t> %)</w:t>
      </w:r>
      <w:r w:rsidR="00D57B0B" w:rsidRPr="00E63D52">
        <w:rPr>
          <w:rFonts w:ascii="Arial" w:hAnsi="Arial" w:cs="Arial"/>
          <w:sz w:val="20"/>
        </w:rPr>
        <w:t>.</w:t>
      </w:r>
      <w:r w:rsidR="00B574B1" w:rsidRPr="00E63D52">
        <w:rPr>
          <w:rFonts w:ascii="Arial" w:hAnsi="Arial" w:cs="Arial"/>
          <w:sz w:val="20"/>
        </w:rPr>
        <w:t xml:space="preserve"> </w:t>
      </w:r>
      <w:r w:rsidR="00EF574F" w:rsidRPr="00E63D52">
        <w:rPr>
          <w:rFonts w:ascii="Arial" w:hAnsi="Arial" w:cs="Arial"/>
          <w:sz w:val="20"/>
        </w:rPr>
        <w:t xml:space="preserve">Stejně jako v případě systému ERP </w:t>
      </w:r>
      <w:r w:rsidR="00B574B1" w:rsidRPr="00E63D52">
        <w:rPr>
          <w:rFonts w:ascii="Arial" w:hAnsi="Arial" w:cs="Arial"/>
          <w:sz w:val="20"/>
        </w:rPr>
        <w:t>využívají</w:t>
      </w:r>
      <w:r w:rsidR="00EF574F" w:rsidRPr="00E63D52">
        <w:rPr>
          <w:rFonts w:ascii="Arial" w:hAnsi="Arial" w:cs="Arial"/>
          <w:sz w:val="20"/>
        </w:rPr>
        <w:t xml:space="preserve"> i CRM</w:t>
      </w:r>
      <w:r w:rsidR="00B574B1" w:rsidRPr="00E63D52">
        <w:rPr>
          <w:rFonts w:ascii="Arial" w:hAnsi="Arial" w:cs="Arial"/>
          <w:sz w:val="20"/>
        </w:rPr>
        <w:t xml:space="preserve"> výrazně </w:t>
      </w:r>
      <w:r w:rsidR="00B574B1" w:rsidRPr="00E63D52">
        <w:rPr>
          <w:rFonts w:ascii="Arial" w:hAnsi="Arial" w:cs="Arial"/>
          <w:b/>
          <w:sz w:val="20"/>
        </w:rPr>
        <w:t xml:space="preserve">častěji velké </w:t>
      </w:r>
      <w:r w:rsidR="007C02A5" w:rsidRPr="00E63D52">
        <w:rPr>
          <w:rFonts w:ascii="Arial" w:hAnsi="Arial" w:cs="Arial"/>
          <w:b/>
          <w:sz w:val="20"/>
        </w:rPr>
        <w:t>podniky</w:t>
      </w:r>
      <w:r w:rsidR="00EF574F" w:rsidRPr="00E63D52">
        <w:rPr>
          <w:rFonts w:ascii="Arial" w:hAnsi="Arial" w:cs="Arial"/>
          <w:b/>
          <w:sz w:val="20"/>
        </w:rPr>
        <w:t xml:space="preserve"> než </w:t>
      </w:r>
      <w:r w:rsidR="00A17F0D">
        <w:rPr>
          <w:rFonts w:ascii="Arial" w:hAnsi="Arial" w:cs="Arial"/>
          <w:b/>
          <w:sz w:val="20"/>
        </w:rPr>
        <w:t xml:space="preserve">ty </w:t>
      </w:r>
      <w:proofErr w:type="gramStart"/>
      <w:r w:rsidR="00EF574F" w:rsidRPr="00E63D52">
        <w:rPr>
          <w:rFonts w:ascii="Arial" w:hAnsi="Arial" w:cs="Arial"/>
          <w:b/>
          <w:sz w:val="20"/>
        </w:rPr>
        <w:t>malé</w:t>
      </w:r>
      <w:r w:rsidR="00B574B1" w:rsidRPr="00E63D52">
        <w:rPr>
          <w:rFonts w:ascii="Arial" w:hAnsi="Arial" w:cs="Arial"/>
          <w:sz w:val="20"/>
        </w:rPr>
        <w:t>(</w:t>
      </w:r>
      <w:r w:rsidR="007C02A5" w:rsidRPr="00E63D52">
        <w:rPr>
          <w:rFonts w:ascii="Arial" w:hAnsi="Arial" w:cs="Arial"/>
          <w:sz w:val="20"/>
        </w:rPr>
        <w:t>5</w:t>
      </w:r>
      <w:r w:rsidR="00E63D52">
        <w:rPr>
          <w:rFonts w:ascii="Arial" w:hAnsi="Arial" w:cs="Arial"/>
          <w:sz w:val="20"/>
        </w:rPr>
        <w:t>6</w:t>
      </w:r>
      <w:proofErr w:type="gramEnd"/>
      <w:r w:rsidRPr="00E63D52">
        <w:rPr>
          <w:rFonts w:ascii="Arial" w:hAnsi="Arial" w:cs="Arial"/>
          <w:sz w:val="20"/>
        </w:rPr>
        <w:t> </w:t>
      </w:r>
      <w:r w:rsidR="007C02A5" w:rsidRPr="00E63D52">
        <w:rPr>
          <w:rFonts w:ascii="Arial" w:hAnsi="Arial" w:cs="Arial"/>
          <w:sz w:val="20"/>
        </w:rPr>
        <w:t>%</w:t>
      </w:r>
      <w:r w:rsidR="001F53D8" w:rsidRPr="00E63D52">
        <w:rPr>
          <w:rFonts w:ascii="Arial" w:hAnsi="Arial" w:cs="Arial"/>
          <w:sz w:val="20"/>
        </w:rPr>
        <w:t xml:space="preserve"> </w:t>
      </w:r>
      <w:r w:rsidR="00EF574F" w:rsidRPr="00E63D52">
        <w:rPr>
          <w:rFonts w:ascii="Arial" w:hAnsi="Arial" w:cs="Arial"/>
          <w:sz w:val="20"/>
        </w:rPr>
        <w:t>velkých,</w:t>
      </w:r>
      <w:r w:rsidR="007C02A5" w:rsidRPr="00E63D52">
        <w:rPr>
          <w:rFonts w:ascii="Arial" w:hAnsi="Arial" w:cs="Arial"/>
          <w:sz w:val="20"/>
        </w:rPr>
        <w:t xml:space="preserve"> </w:t>
      </w:r>
      <w:r w:rsidR="00E63D52">
        <w:rPr>
          <w:rFonts w:ascii="Arial" w:hAnsi="Arial" w:cs="Arial"/>
          <w:sz w:val="20"/>
        </w:rPr>
        <w:t>32</w:t>
      </w:r>
      <w:r w:rsidR="007C02A5" w:rsidRPr="00E63D52">
        <w:rPr>
          <w:rFonts w:ascii="Arial" w:hAnsi="Arial" w:cs="Arial"/>
          <w:sz w:val="20"/>
        </w:rPr>
        <w:t xml:space="preserve"> % středn</w:t>
      </w:r>
      <w:r w:rsidRPr="00E63D52">
        <w:rPr>
          <w:rFonts w:ascii="Arial" w:hAnsi="Arial" w:cs="Arial"/>
          <w:sz w:val="20"/>
        </w:rPr>
        <w:t>ích</w:t>
      </w:r>
      <w:r w:rsidR="007C02A5" w:rsidRPr="00E63D52">
        <w:rPr>
          <w:rFonts w:ascii="Arial" w:hAnsi="Arial" w:cs="Arial"/>
          <w:sz w:val="20"/>
        </w:rPr>
        <w:t xml:space="preserve"> </w:t>
      </w:r>
      <w:r w:rsidRPr="00E63D52">
        <w:rPr>
          <w:rFonts w:ascii="Arial" w:hAnsi="Arial" w:cs="Arial"/>
          <w:sz w:val="20"/>
        </w:rPr>
        <w:t>a</w:t>
      </w:r>
      <w:r w:rsidR="00EF574F" w:rsidRPr="00E63D52">
        <w:rPr>
          <w:rFonts w:ascii="Arial" w:hAnsi="Arial" w:cs="Arial"/>
          <w:sz w:val="20"/>
        </w:rPr>
        <w:t xml:space="preserve"> </w:t>
      </w:r>
      <w:r w:rsidR="007C02A5" w:rsidRPr="00E63D52">
        <w:rPr>
          <w:rFonts w:ascii="Arial" w:hAnsi="Arial" w:cs="Arial"/>
          <w:sz w:val="20"/>
        </w:rPr>
        <w:t>1</w:t>
      </w:r>
      <w:r w:rsidR="00E63D52">
        <w:rPr>
          <w:rFonts w:ascii="Arial" w:hAnsi="Arial" w:cs="Arial"/>
          <w:sz w:val="20"/>
        </w:rPr>
        <w:t>5</w:t>
      </w:r>
      <w:r w:rsidR="007C02A5" w:rsidRPr="00E63D52">
        <w:rPr>
          <w:rFonts w:ascii="Arial" w:hAnsi="Arial" w:cs="Arial"/>
          <w:sz w:val="20"/>
        </w:rPr>
        <w:t xml:space="preserve"> %</w:t>
      </w:r>
      <w:r w:rsidR="00EF574F" w:rsidRPr="00E63D52">
        <w:rPr>
          <w:rFonts w:ascii="Arial" w:hAnsi="Arial" w:cs="Arial"/>
          <w:sz w:val="20"/>
        </w:rPr>
        <w:t xml:space="preserve"> malých</w:t>
      </w:r>
      <w:r w:rsidRPr="00E63D52">
        <w:rPr>
          <w:rFonts w:ascii="Arial" w:hAnsi="Arial" w:cs="Arial"/>
          <w:sz w:val="20"/>
        </w:rPr>
        <w:t xml:space="preserve"> firem</w:t>
      </w:r>
      <w:r w:rsidR="00EF574F" w:rsidRPr="00E63D52">
        <w:rPr>
          <w:rFonts w:ascii="Arial" w:hAnsi="Arial" w:cs="Arial"/>
          <w:sz w:val="20"/>
        </w:rPr>
        <w:t>)</w:t>
      </w:r>
      <w:r w:rsidR="00E76C47" w:rsidRPr="00E63D52">
        <w:rPr>
          <w:rFonts w:ascii="Arial" w:hAnsi="Arial" w:cs="Arial"/>
          <w:sz w:val="20"/>
        </w:rPr>
        <w:t>.</w:t>
      </w:r>
      <w:r w:rsidR="007D0FE1" w:rsidRPr="00E63D52">
        <w:rPr>
          <w:rFonts w:ascii="Arial" w:hAnsi="Arial" w:cs="Arial"/>
          <w:sz w:val="20"/>
        </w:rPr>
        <w:t xml:space="preserve"> </w:t>
      </w:r>
    </w:p>
    <w:p w14:paraId="27FBE02F" w14:textId="1A0723F8" w:rsidR="00FF2E69" w:rsidRDefault="007D0FE1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0557F6">
        <w:rPr>
          <w:rFonts w:ascii="Arial" w:hAnsi="Arial" w:cs="Arial"/>
          <w:sz w:val="20"/>
        </w:rPr>
        <w:t>Systém pro správu a využití</w:t>
      </w:r>
      <w:r w:rsidR="00E63716" w:rsidRPr="000557F6">
        <w:rPr>
          <w:rFonts w:ascii="Arial" w:hAnsi="Arial" w:cs="Arial"/>
          <w:sz w:val="20"/>
        </w:rPr>
        <w:t xml:space="preserve"> informací o zákaznících používají nejčastěji subjekty působící v</w:t>
      </w:r>
      <w:r w:rsidR="00755F1A" w:rsidRPr="000557F6">
        <w:rPr>
          <w:rFonts w:ascii="Arial" w:hAnsi="Arial" w:cs="Arial"/>
          <w:sz w:val="20"/>
        </w:rPr>
        <w:t xml:space="preserve"> oblasti </w:t>
      </w:r>
      <w:r w:rsidR="00755F1A" w:rsidRPr="000557F6">
        <w:rPr>
          <w:rFonts w:ascii="Arial" w:hAnsi="Arial" w:cs="Arial"/>
          <w:b/>
          <w:sz w:val="20"/>
        </w:rPr>
        <w:t>i</w:t>
      </w:r>
      <w:r w:rsidR="00E63716" w:rsidRPr="000557F6">
        <w:rPr>
          <w:rFonts w:ascii="Arial" w:hAnsi="Arial" w:cs="Arial"/>
          <w:b/>
          <w:sz w:val="20"/>
        </w:rPr>
        <w:t>nformační</w:t>
      </w:r>
      <w:r w:rsidR="00755F1A" w:rsidRPr="000557F6">
        <w:rPr>
          <w:rFonts w:ascii="Arial" w:hAnsi="Arial" w:cs="Arial"/>
          <w:b/>
          <w:sz w:val="20"/>
        </w:rPr>
        <w:t>ch</w:t>
      </w:r>
      <w:r w:rsidR="00E63716" w:rsidRPr="000557F6">
        <w:rPr>
          <w:rFonts w:ascii="Arial" w:hAnsi="Arial" w:cs="Arial"/>
          <w:b/>
          <w:sz w:val="20"/>
        </w:rPr>
        <w:t xml:space="preserve"> a komunikační</w:t>
      </w:r>
      <w:r w:rsidR="00755F1A" w:rsidRPr="000557F6">
        <w:rPr>
          <w:rFonts w:ascii="Arial" w:hAnsi="Arial" w:cs="Arial"/>
          <w:b/>
          <w:sz w:val="20"/>
        </w:rPr>
        <w:t>ch</w:t>
      </w:r>
      <w:r w:rsidR="00E63716" w:rsidRPr="000557F6">
        <w:rPr>
          <w:rFonts w:ascii="Arial" w:hAnsi="Arial" w:cs="Arial"/>
          <w:b/>
          <w:sz w:val="20"/>
        </w:rPr>
        <w:t xml:space="preserve"> činnost</w:t>
      </w:r>
      <w:r w:rsidR="00755F1A" w:rsidRPr="000557F6">
        <w:rPr>
          <w:rFonts w:ascii="Arial" w:hAnsi="Arial" w:cs="Arial"/>
          <w:b/>
          <w:sz w:val="20"/>
        </w:rPr>
        <w:t xml:space="preserve">í. </w:t>
      </w:r>
      <w:r w:rsidR="00755F1A" w:rsidRPr="000557F6">
        <w:rPr>
          <w:rFonts w:ascii="Arial" w:hAnsi="Arial" w:cs="Arial"/>
          <w:sz w:val="20"/>
        </w:rPr>
        <w:t>V roce 202</w:t>
      </w:r>
      <w:r w:rsidR="00C04C28">
        <w:rPr>
          <w:rFonts w:ascii="Arial" w:hAnsi="Arial" w:cs="Arial"/>
          <w:sz w:val="20"/>
        </w:rPr>
        <w:t>3</w:t>
      </w:r>
      <w:r w:rsidR="00755F1A" w:rsidRPr="000557F6">
        <w:rPr>
          <w:rFonts w:ascii="Arial" w:hAnsi="Arial" w:cs="Arial"/>
          <w:sz w:val="20"/>
        </w:rPr>
        <w:t xml:space="preserve"> jej </w:t>
      </w:r>
      <w:r w:rsidR="00D8013C" w:rsidRPr="000557F6">
        <w:rPr>
          <w:rFonts w:ascii="Arial" w:hAnsi="Arial" w:cs="Arial"/>
          <w:sz w:val="20"/>
        </w:rPr>
        <w:t xml:space="preserve">v této odvětvové sekci </w:t>
      </w:r>
      <w:r w:rsidR="00755F1A" w:rsidRPr="000557F6">
        <w:rPr>
          <w:rFonts w:ascii="Arial" w:hAnsi="Arial" w:cs="Arial"/>
          <w:sz w:val="20"/>
        </w:rPr>
        <w:t>využívalo 5</w:t>
      </w:r>
      <w:r w:rsidR="00D8013C">
        <w:rPr>
          <w:rFonts w:ascii="Arial" w:hAnsi="Arial" w:cs="Arial"/>
          <w:sz w:val="20"/>
        </w:rPr>
        <w:t>7</w:t>
      </w:r>
      <w:r w:rsidR="00755F1A" w:rsidRPr="000557F6">
        <w:rPr>
          <w:rFonts w:ascii="Arial" w:hAnsi="Arial" w:cs="Arial"/>
          <w:sz w:val="20"/>
        </w:rPr>
        <w:t xml:space="preserve"> % podniků s </w:t>
      </w:r>
      <w:r w:rsidR="00D8013C">
        <w:rPr>
          <w:rFonts w:ascii="Arial" w:hAnsi="Arial" w:cs="Arial"/>
          <w:sz w:val="20"/>
        </w:rPr>
        <w:t>10</w:t>
      </w:r>
      <w:r w:rsidR="00755F1A" w:rsidRPr="000557F6">
        <w:rPr>
          <w:rFonts w:ascii="Arial" w:hAnsi="Arial" w:cs="Arial"/>
          <w:sz w:val="20"/>
        </w:rPr>
        <w:t xml:space="preserve"> a více zaměstnanci. </w:t>
      </w:r>
      <w:r w:rsidR="00D8013C">
        <w:rPr>
          <w:rFonts w:ascii="Arial" w:hAnsi="Arial" w:cs="Arial"/>
          <w:sz w:val="20"/>
        </w:rPr>
        <w:t>Využívalo jej také 36</w:t>
      </w:r>
      <w:r w:rsidR="00D8013C" w:rsidRPr="000557F6">
        <w:rPr>
          <w:rFonts w:ascii="Arial" w:hAnsi="Arial" w:cs="Arial"/>
          <w:sz w:val="20"/>
        </w:rPr>
        <w:t xml:space="preserve"> % subjektů </w:t>
      </w:r>
      <w:r w:rsidR="00D8013C">
        <w:rPr>
          <w:rFonts w:ascii="Arial" w:hAnsi="Arial" w:cs="Arial"/>
          <w:sz w:val="20"/>
        </w:rPr>
        <w:t>ve </w:t>
      </w:r>
      <w:r w:rsidR="00D8013C" w:rsidRPr="00D8013C">
        <w:rPr>
          <w:rFonts w:ascii="Arial" w:hAnsi="Arial" w:cs="Arial"/>
          <w:b/>
          <w:sz w:val="20"/>
        </w:rPr>
        <w:t>velkoobchodě</w:t>
      </w:r>
      <w:r w:rsidR="00755F1A" w:rsidRPr="000557F6">
        <w:rPr>
          <w:rFonts w:ascii="Arial" w:hAnsi="Arial" w:cs="Arial"/>
          <w:sz w:val="20"/>
        </w:rPr>
        <w:t xml:space="preserve"> a </w:t>
      </w:r>
      <w:r w:rsidR="00D8013C">
        <w:rPr>
          <w:rFonts w:ascii="Arial" w:hAnsi="Arial" w:cs="Arial"/>
          <w:sz w:val="20"/>
        </w:rPr>
        <w:t>37</w:t>
      </w:r>
      <w:r w:rsidR="00755F1A" w:rsidRPr="000557F6">
        <w:rPr>
          <w:rFonts w:ascii="Arial" w:hAnsi="Arial" w:cs="Arial"/>
          <w:sz w:val="20"/>
        </w:rPr>
        <w:t xml:space="preserve"> % </w:t>
      </w:r>
      <w:r w:rsidR="00755F1A" w:rsidRPr="00D8013C">
        <w:rPr>
          <w:rFonts w:ascii="Arial" w:hAnsi="Arial" w:cs="Arial"/>
          <w:b/>
          <w:sz w:val="20"/>
        </w:rPr>
        <w:t>cestovních agentur nebo kanceláří</w:t>
      </w:r>
      <w:r w:rsidR="00755F1A" w:rsidRPr="000557F6">
        <w:rPr>
          <w:rFonts w:ascii="Arial" w:hAnsi="Arial" w:cs="Arial"/>
          <w:sz w:val="20"/>
        </w:rPr>
        <w:t>. Naopak v</w:t>
      </w:r>
      <w:r w:rsidR="00D8013C">
        <w:rPr>
          <w:rFonts w:ascii="Arial" w:hAnsi="Arial" w:cs="Arial"/>
          <w:sz w:val="20"/>
        </w:rPr>
        <w:t xml:space="preserve"> odvětví</w:t>
      </w:r>
      <w:r w:rsidR="00755F1A" w:rsidRPr="000557F6">
        <w:rPr>
          <w:rFonts w:ascii="Arial" w:hAnsi="Arial" w:cs="Arial"/>
          <w:sz w:val="20"/>
        </w:rPr>
        <w:t xml:space="preserve"> zpracovatelské</w:t>
      </w:r>
      <w:r w:rsidR="00D8013C">
        <w:rPr>
          <w:rFonts w:ascii="Arial" w:hAnsi="Arial" w:cs="Arial"/>
          <w:sz w:val="20"/>
        </w:rPr>
        <w:t>ho</w:t>
      </w:r>
      <w:r w:rsidR="00755F1A" w:rsidRPr="000557F6">
        <w:rPr>
          <w:rFonts w:ascii="Arial" w:hAnsi="Arial" w:cs="Arial"/>
          <w:sz w:val="20"/>
        </w:rPr>
        <w:t xml:space="preserve"> průmyslu to bylo </w:t>
      </w:r>
      <w:r w:rsidR="00D8013C">
        <w:rPr>
          <w:rFonts w:ascii="Arial" w:hAnsi="Arial" w:cs="Arial"/>
          <w:sz w:val="20"/>
        </w:rPr>
        <w:t xml:space="preserve">průměrně </w:t>
      </w:r>
      <w:r w:rsidR="00031862">
        <w:rPr>
          <w:rFonts w:ascii="Arial" w:hAnsi="Arial" w:cs="Arial"/>
          <w:sz w:val="20"/>
        </w:rPr>
        <w:t xml:space="preserve">pouze </w:t>
      </w:r>
      <w:r w:rsidR="00D8013C">
        <w:rPr>
          <w:rFonts w:ascii="Arial" w:hAnsi="Arial" w:cs="Arial"/>
          <w:sz w:val="20"/>
        </w:rPr>
        <w:t>18</w:t>
      </w:r>
      <w:r w:rsidR="00755F1A" w:rsidRPr="000557F6">
        <w:rPr>
          <w:rFonts w:ascii="Arial" w:hAnsi="Arial" w:cs="Arial"/>
          <w:sz w:val="20"/>
        </w:rPr>
        <w:t> % podniků</w:t>
      </w:r>
      <w:r w:rsidR="00D8013C">
        <w:rPr>
          <w:rFonts w:ascii="Arial" w:hAnsi="Arial" w:cs="Arial"/>
          <w:sz w:val="20"/>
        </w:rPr>
        <w:t>, ve</w:t>
      </w:r>
      <w:r w:rsidR="008E7FE9">
        <w:rPr>
          <w:rFonts w:ascii="Arial" w:hAnsi="Arial" w:cs="Arial"/>
          <w:sz w:val="20"/>
        </w:rPr>
        <w:t> </w:t>
      </w:r>
      <w:bookmarkStart w:id="0" w:name="_GoBack"/>
      <w:bookmarkEnd w:id="0"/>
      <w:r w:rsidR="00D8013C">
        <w:rPr>
          <w:rFonts w:ascii="Arial" w:hAnsi="Arial" w:cs="Arial"/>
          <w:sz w:val="20"/>
        </w:rPr>
        <w:t xml:space="preserve">stravování a pohostinství 6 % podniků </w:t>
      </w:r>
      <w:r w:rsidR="00755F1A" w:rsidRPr="000557F6">
        <w:rPr>
          <w:rFonts w:ascii="Arial" w:hAnsi="Arial" w:cs="Arial"/>
          <w:sz w:val="20"/>
        </w:rPr>
        <w:t xml:space="preserve">a ve stavebnictví </w:t>
      </w:r>
      <w:r w:rsidR="00D8013C">
        <w:rPr>
          <w:rFonts w:ascii="Arial" w:hAnsi="Arial" w:cs="Arial"/>
          <w:sz w:val="20"/>
        </w:rPr>
        <w:t>8</w:t>
      </w:r>
      <w:r w:rsidR="00755F1A" w:rsidRPr="000557F6">
        <w:rPr>
          <w:rFonts w:ascii="Arial" w:hAnsi="Arial" w:cs="Arial"/>
          <w:sz w:val="20"/>
        </w:rPr>
        <w:t xml:space="preserve"> %.</w:t>
      </w:r>
    </w:p>
    <w:p w14:paraId="04D42945" w14:textId="07F32FE3" w:rsidR="00D8013C" w:rsidRPr="000557F6" w:rsidRDefault="00E57123" w:rsidP="00D8013C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 v případě používání CRM systému</w:t>
      </w:r>
      <w:r w:rsidRPr="000557F6">
        <w:rPr>
          <w:rFonts w:ascii="Arial" w:hAnsi="Arial" w:cs="Arial"/>
          <w:sz w:val="20"/>
          <w:szCs w:val="20"/>
        </w:rPr>
        <w:t xml:space="preserve"> </w:t>
      </w:r>
      <w:r w:rsidR="00D8013C" w:rsidRPr="000557F6">
        <w:rPr>
          <w:rFonts w:ascii="Arial" w:hAnsi="Arial" w:cs="Arial"/>
          <w:sz w:val="20"/>
        </w:rPr>
        <w:t xml:space="preserve">jsou podniky </w:t>
      </w:r>
      <w:r w:rsidR="00D8013C">
        <w:rPr>
          <w:rFonts w:ascii="Arial" w:hAnsi="Arial" w:cs="Arial"/>
          <w:sz w:val="20"/>
        </w:rPr>
        <w:t xml:space="preserve">v Česku </w:t>
      </w:r>
      <w:r w:rsidR="00D8013C" w:rsidRPr="000557F6">
        <w:rPr>
          <w:rFonts w:ascii="Arial" w:hAnsi="Arial" w:cs="Arial"/>
          <w:sz w:val="20"/>
        </w:rPr>
        <w:t>za rok 202</w:t>
      </w:r>
      <w:r w:rsidR="00D8013C">
        <w:rPr>
          <w:rFonts w:ascii="Arial" w:hAnsi="Arial" w:cs="Arial"/>
          <w:sz w:val="20"/>
        </w:rPr>
        <w:t xml:space="preserve">3 </w:t>
      </w:r>
      <w:r w:rsidR="00D8013C">
        <w:rPr>
          <w:rFonts w:ascii="Arial" w:hAnsi="Arial" w:cs="Arial"/>
          <w:b/>
          <w:sz w:val="20"/>
        </w:rPr>
        <w:t>pod</w:t>
      </w:r>
      <w:r w:rsidR="00D8013C" w:rsidRPr="000557F6">
        <w:rPr>
          <w:rFonts w:ascii="Arial" w:hAnsi="Arial" w:cs="Arial"/>
          <w:b/>
          <w:sz w:val="20"/>
        </w:rPr>
        <w:t> průměr</w:t>
      </w:r>
      <w:r w:rsidR="00D8013C">
        <w:rPr>
          <w:rFonts w:ascii="Arial" w:hAnsi="Arial" w:cs="Arial"/>
          <w:b/>
          <w:sz w:val="20"/>
        </w:rPr>
        <w:t>em</w:t>
      </w:r>
      <w:r w:rsidR="00D8013C" w:rsidRPr="000557F6">
        <w:rPr>
          <w:rFonts w:ascii="Arial" w:hAnsi="Arial" w:cs="Arial"/>
          <w:b/>
          <w:sz w:val="20"/>
        </w:rPr>
        <w:t xml:space="preserve"> </w:t>
      </w:r>
      <w:r w:rsidR="00D8013C">
        <w:rPr>
          <w:rFonts w:ascii="Arial" w:hAnsi="Arial" w:cs="Arial"/>
          <w:b/>
          <w:sz w:val="20"/>
        </w:rPr>
        <w:t>E</w:t>
      </w:r>
      <w:r w:rsidR="00D8013C" w:rsidRPr="000557F6">
        <w:rPr>
          <w:rFonts w:ascii="Arial" w:hAnsi="Arial" w:cs="Arial"/>
          <w:b/>
          <w:sz w:val="20"/>
        </w:rPr>
        <w:t>U</w:t>
      </w:r>
      <w:r w:rsidR="00D8013C">
        <w:rPr>
          <w:rFonts w:ascii="Arial" w:hAnsi="Arial" w:cs="Arial"/>
          <w:b/>
          <w:sz w:val="20"/>
        </w:rPr>
        <w:t>27</w:t>
      </w:r>
      <w:r w:rsidRPr="00E57123">
        <w:rPr>
          <w:rFonts w:ascii="Arial" w:hAnsi="Arial" w:cs="Arial"/>
          <w:sz w:val="20"/>
        </w:rPr>
        <w:t xml:space="preserve">, kde </w:t>
      </w:r>
      <w:r w:rsidR="00D8013C">
        <w:rPr>
          <w:rFonts w:ascii="Arial" w:hAnsi="Arial" w:cs="Arial"/>
          <w:sz w:val="20"/>
        </w:rPr>
        <w:t>tento ukazatel dosáhl</w:t>
      </w:r>
      <w:r>
        <w:rPr>
          <w:rFonts w:ascii="Arial" w:hAnsi="Arial" w:cs="Arial"/>
          <w:sz w:val="20"/>
        </w:rPr>
        <w:t xml:space="preserve"> úrovně</w:t>
      </w:r>
      <w:r w:rsidR="00D8013C">
        <w:rPr>
          <w:rFonts w:ascii="Arial" w:hAnsi="Arial" w:cs="Arial"/>
          <w:sz w:val="20"/>
        </w:rPr>
        <w:t xml:space="preserve"> 26</w:t>
      </w:r>
      <w:r w:rsidR="00D8013C" w:rsidRPr="00511D06">
        <w:rPr>
          <w:rFonts w:ascii="Arial" w:hAnsi="Arial" w:cs="Arial"/>
          <w:sz w:val="20"/>
        </w:rPr>
        <w:t xml:space="preserve"> %</w:t>
      </w:r>
      <w:r w:rsidR="00D8013C">
        <w:rPr>
          <w:rFonts w:ascii="Arial" w:hAnsi="Arial" w:cs="Arial"/>
          <w:sz w:val="20"/>
        </w:rPr>
        <w:t xml:space="preserve"> podniků.</w:t>
      </w:r>
      <w:r w:rsidR="00D8013C">
        <w:rPr>
          <w:rFonts w:ascii="Arial" w:hAnsi="Arial" w:cs="Arial"/>
          <w:b/>
          <w:sz w:val="20"/>
        </w:rPr>
        <w:t xml:space="preserve"> </w:t>
      </w:r>
      <w:r w:rsidR="00D8013C" w:rsidRPr="000557F6">
        <w:rPr>
          <w:rFonts w:ascii="Arial" w:hAnsi="Arial" w:cs="Arial"/>
          <w:sz w:val="20"/>
        </w:rPr>
        <w:t xml:space="preserve">Systém pro řízení </w:t>
      </w:r>
      <w:r w:rsidR="00D8013C">
        <w:rPr>
          <w:rFonts w:ascii="Arial" w:hAnsi="Arial" w:cs="Arial"/>
          <w:sz w:val="20"/>
        </w:rPr>
        <w:t>vztahů se zákazníky</w:t>
      </w:r>
      <w:r w:rsidR="00D8013C" w:rsidRPr="000557F6">
        <w:rPr>
          <w:rFonts w:ascii="Arial" w:hAnsi="Arial" w:cs="Arial"/>
          <w:sz w:val="20"/>
        </w:rPr>
        <w:t xml:space="preserve"> používaly nejčastěji podniky v</w:t>
      </w:r>
      <w:r w:rsidR="00D8013C">
        <w:rPr>
          <w:rFonts w:ascii="Arial" w:hAnsi="Arial" w:cs="Arial"/>
          <w:sz w:val="20"/>
        </w:rPr>
        <w:t>e Finsku (49 %), Nizozemsku (48 %)</w:t>
      </w:r>
      <w:r w:rsidR="00D8013C" w:rsidRPr="000557F6">
        <w:rPr>
          <w:rFonts w:ascii="Arial" w:hAnsi="Arial" w:cs="Arial"/>
          <w:sz w:val="20"/>
        </w:rPr>
        <w:t xml:space="preserve"> nebo </w:t>
      </w:r>
      <w:r w:rsidR="00D8013C">
        <w:rPr>
          <w:rFonts w:ascii="Arial" w:hAnsi="Arial" w:cs="Arial"/>
          <w:sz w:val="20"/>
        </w:rPr>
        <w:t>Dánsku</w:t>
      </w:r>
      <w:r w:rsidR="00D8013C" w:rsidRPr="000557F6">
        <w:rPr>
          <w:rFonts w:ascii="Arial" w:hAnsi="Arial" w:cs="Arial"/>
          <w:sz w:val="20"/>
        </w:rPr>
        <w:t xml:space="preserve"> (</w:t>
      </w:r>
      <w:r w:rsidR="00D8013C">
        <w:rPr>
          <w:rFonts w:ascii="Arial" w:hAnsi="Arial" w:cs="Arial"/>
          <w:sz w:val="20"/>
        </w:rPr>
        <w:t>42</w:t>
      </w:r>
      <w:r w:rsidR="00D8013C" w:rsidRPr="000557F6">
        <w:rPr>
          <w:rFonts w:ascii="Arial" w:hAnsi="Arial" w:cs="Arial"/>
          <w:sz w:val="20"/>
        </w:rPr>
        <w:t xml:space="preserve"> %).</w:t>
      </w:r>
      <w:r w:rsidR="00D801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Nejméně řídí pomocí CRM vztahy se zákazníky podniky v Rumunsku a Bulharsku (zhruba desetina podniků v každé z těchto zemí). </w:t>
      </w:r>
    </w:p>
    <w:p w14:paraId="5A3FE666" w14:textId="1780CD31" w:rsidR="00EF574F" w:rsidRPr="000557F6" w:rsidRDefault="008B6C0D" w:rsidP="008B6C0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0557F6">
        <w:rPr>
          <w:rFonts w:ascii="Arial" w:hAnsi="Arial" w:cs="Arial"/>
          <w:sz w:val="20"/>
        </w:rPr>
        <w:t>S</w:t>
      </w:r>
      <w:r w:rsidR="00B85CE2" w:rsidRPr="000557F6">
        <w:rPr>
          <w:rFonts w:ascii="Arial" w:hAnsi="Arial" w:cs="Arial"/>
          <w:sz w:val="20"/>
        </w:rPr>
        <w:t>ystém</w:t>
      </w:r>
      <w:r w:rsidR="00EF574F" w:rsidRPr="000557F6">
        <w:rPr>
          <w:rFonts w:ascii="Arial" w:hAnsi="Arial" w:cs="Arial"/>
          <w:b/>
          <w:sz w:val="20"/>
        </w:rPr>
        <w:t xml:space="preserve"> SCM</w:t>
      </w:r>
      <w:r w:rsidR="00EF574F" w:rsidRPr="000557F6">
        <w:rPr>
          <w:rFonts w:ascii="Arial" w:hAnsi="Arial" w:cs="Arial"/>
          <w:sz w:val="20"/>
        </w:rPr>
        <w:t xml:space="preserve"> </w:t>
      </w:r>
      <w:r w:rsidRPr="000557F6">
        <w:rPr>
          <w:rFonts w:ascii="Arial" w:hAnsi="Arial" w:cs="Arial"/>
          <w:sz w:val="20"/>
        </w:rPr>
        <w:t xml:space="preserve">(Supply </w:t>
      </w:r>
      <w:proofErr w:type="spellStart"/>
      <w:r w:rsidRPr="000557F6">
        <w:rPr>
          <w:rFonts w:ascii="Arial" w:hAnsi="Arial" w:cs="Arial"/>
          <w:sz w:val="20"/>
        </w:rPr>
        <w:t>Chain</w:t>
      </w:r>
      <w:proofErr w:type="spellEnd"/>
      <w:r w:rsidRPr="000557F6">
        <w:rPr>
          <w:rFonts w:ascii="Arial" w:hAnsi="Arial" w:cs="Arial"/>
          <w:sz w:val="20"/>
        </w:rPr>
        <w:t xml:space="preserve"> Management) pro </w:t>
      </w:r>
      <w:r w:rsidR="00947537">
        <w:rPr>
          <w:rFonts w:ascii="Arial" w:hAnsi="Arial" w:cs="Arial"/>
          <w:sz w:val="20"/>
        </w:rPr>
        <w:t>elektronické sdílení informací v rámci dodavatelského řetězce</w:t>
      </w:r>
      <w:r w:rsidRPr="000557F6">
        <w:rPr>
          <w:rFonts w:ascii="Arial" w:hAnsi="Arial" w:cs="Arial"/>
          <w:sz w:val="20"/>
        </w:rPr>
        <w:t xml:space="preserve"> po</w:t>
      </w:r>
      <w:r w:rsidR="00EF574F" w:rsidRPr="000557F6">
        <w:rPr>
          <w:rFonts w:ascii="Arial" w:hAnsi="Arial" w:cs="Arial"/>
          <w:sz w:val="20"/>
        </w:rPr>
        <w:t>užíval</w:t>
      </w:r>
      <w:r w:rsidR="005B1B2F" w:rsidRPr="000557F6">
        <w:rPr>
          <w:rFonts w:ascii="Arial" w:hAnsi="Arial" w:cs="Arial"/>
          <w:sz w:val="20"/>
        </w:rPr>
        <w:t>a</w:t>
      </w:r>
      <w:r w:rsidR="00EF574F" w:rsidRPr="000557F6">
        <w:rPr>
          <w:rFonts w:ascii="Arial" w:hAnsi="Arial" w:cs="Arial"/>
          <w:sz w:val="20"/>
        </w:rPr>
        <w:t xml:space="preserve"> </w:t>
      </w:r>
      <w:r w:rsidR="00130006" w:rsidRPr="000557F6">
        <w:rPr>
          <w:rFonts w:ascii="Arial" w:hAnsi="Arial" w:cs="Arial"/>
          <w:sz w:val="20"/>
        </w:rPr>
        <w:t>v</w:t>
      </w:r>
      <w:r w:rsidR="00947537">
        <w:rPr>
          <w:rFonts w:ascii="Arial" w:hAnsi="Arial" w:cs="Arial"/>
          <w:sz w:val="20"/>
        </w:rPr>
        <w:t> </w:t>
      </w:r>
      <w:r w:rsidR="00EF574F" w:rsidRPr="000557F6">
        <w:rPr>
          <w:rFonts w:ascii="Arial" w:hAnsi="Arial" w:cs="Arial"/>
          <w:sz w:val="20"/>
        </w:rPr>
        <w:t>ro</w:t>
      </w:r>
      <w:r w:rsidR="00130006" w:rsidRPr="000557F6">
        <w:rPr>
          <w:rFonts w:ascii="Arial" w:hAnsi="Arial" w:cs="Arial"/>
          <w:sz w:val="20"/>
        </w:rPr>
        <w:t>ce</w:t>
      </w:r>
      <w:r w:rsidR="00A41A3C" w:rsidRPr="000557F6">
        <w:rPr>
          <w:rFonts w:ascii="Arial" w:hAnsi="Arial" w:cs="Arial"/>
          <w:sz w:val="20"/>
        </w:rPr>
        <w:t xml:space="preserve"> 20</w:t>
      </w:r>
      <w:r w:rsidR="00130006" w:rsidRPr="000557F6">
        <w:rPr>
          <w:rFonts w:ascii="Arial" w:hAnsi="Arial" w:cs="Arial"/>
          <w:sz w:val="20"/>
        </w:rPr>
        <w:t>2</w:t>
      </w:r>
      <w:r w:rsidR="00947537">
        <w:rPr>
          <w:rFonts w:ascii="Arial" w:hAnsi="Arial" w:cs="Arial"/>
          <w:sz w:val="20"/>
        </w:rPr>
        <w:t>3</w:t>
      </w:r>
      <w:r w:rsidR="00A41A3C" w:rsidRPr="000557F6">
        <w:rPr>
          <w:rFonts w:ascii="Arial" w:hAnsi="Arial" w:cs="Arial"/>
          <w:sz w:val="20"/>
        </w:rPr>
        <w:t xml:space="preserve"> </w:t>
      </w:r>
      <w:r w:rsidR="00947537">
        <w:rPr>
          <w:rFonts w:ascii="Arial" w:hAnsi="Arial" w:cs="Arial"/>
          <w:sz w:val="20"/>
        </w:rPr>
        <w:t>desetina tuzemských podniků s více než deseti zaměstnanci. Používalo jej 38 %</w:t>
      </w:r>
      <w:r w:rsidR="00EF574F" w:rsidRPr="000557F6">
        <w:rPr>
          <w:rFonts w:ascii="Arial" w:hAnsi="Arial" w:cs="Arial"/>
          <w:sz w:val="20"/>
        </w:rPr>
        <w:t xml:space="preserve"> velk</w:t>
      </w:r>
      <w:r w:rsidR="00130006" w:rsidRPr="000557F6">
        <w:rPr>
          <w:rFonts w:ascii="Arial" w:hAnsi="Arial" w:cs="Arial"/>
          <w:sz w:val="20"/>
        </w:rPr>
        <w:t>ých</w:t>
      </w:r>
      <w:r w:rsidR="00EF574F" w:rsidRPr="000557F6">
        <w:rPr>
          <w:rFonts w:ascii="Arial" w:hAnsi="Arial" w:cs="Arial"/>
          <w:sz w:val="20"/>
        </w:rPr>
        <w:t xml:space="preserve"> subjekt</w:t>
      </w:r>
      <w:r w:rsidR="00130006" w:rsidRPr="000557F6">
        <w:rPr>
          <w:rFonts w:ascii="Arial" w:hAnsi="Arial" w:cs="Arial"/>
          <w:sz w:val="20"/>
        </w:rPr>
        <w:t>ů, ale jen</w:t>
      </w:r>
      <w:r w:rsidR="00EF574F" w:rsidRPr="000557F6">
        <w:rPr>
          <w:rFonts w:ascii="Arial" w:hAnsi="Arial" w:cs="Arial"/>
          <w:sz w:val="20"/>
        </w:rPr>
        <w:t xml:space="preserve"> </w:t>
      </w:r>
      <w:r w:rsidR="00947537">
        <w:rPr>
          <w:rFonts w:ascii="Arial" w:hAnsi="Arial" w:cs="Arial"/>
          <w:sz w:val="20"/>
        </w:rPr>
        <w:t>6</w:t>
      </w:r>
      <w:r w:rsidR="00A41A3C" w:rsidRPr="000557F6">
        <w:rPr>
          <w:rFonts w:ascii="Arial" w:hAnsi="Arial" w:cs="Arial"/>
          <w:sz w:val="20"/>
        </w:rPr>
        <w:t> </w:t>
      </w:r>
      <w:r w:rsidR="00EF574F" w:rsidRPr="000557F6">
        <w:rPr>
          <w:rFonts w:ascii="Arial" w:hAnsi="Arial" w:cs="Arial"/>
          <w:sz w:val="20"/>
        </w:rPr>
        <w:t>% malých</w:t>
      </w:r>
      <w:r w:rsidR="00C2659C">
        <w:rPr>
          <w:rFonts w:ascii="Arial" w:hAnsi="Arial" w:cs="Arial"/>
          <w:sz w:val="20"/>
        </w:rPr>
        <w:t>.</w:t>
      </w:r>
      <w:r w:rsidR="00EF574F" w:rsidRPr="000557F6">
        <w:rPr>
          <w:rFonts w:ascii="Arial" w:hAnsi="Arial" w:cs="Arial"/>
          <w:sz w:val="20"/>
        </w:rPr>
        <w:t xml:space="preserve"> Nejčastěji </w:t>
      </w:r>
      <w:r w:rsidR="00947537">
        <w:rPr>
          <w:rFonts w:ascii="Arial" w:hAnsi="Arial" w:cs="Arial"/>
          <w:sz w:val="20"/>
        </w:rPr>
        <w:t xml:space="preserve">tento systém nebo aplikaci </w:t>
      </w:r>
      <w:r w:rsidR="00A41A3C" w:rsidRPr="000557F6">
        <w:rPr>
          <w:rFonts w:ascii="Arial" w:hAnsi="Arial" w:cs="Arial"/>
          <w:sz w:val="20"/>
        </w:rPr>
        <w:t xml:space="preserve">využívají </w:t>
      </w:r>
      <w:r w:rsidR="00EF574F" w:rsidRPr="000557F6">
        <w:rPr>
          <w:rFonts w:ascii="Arial" w:hAnsi="Arial" w:cs="Arial"/>
          <w:sz w:val="20"/>
        </w:rPr>
        <w:t xml:space="preserve">firmy </w:t>
      </w:r>
      <w:r w:rsidR="00947537">
        <w:rPr>
          <w:rFonts w:ascii="Arial" w:hAnsi="Arial" w:cs="Arial"/>
          <w:sz w:val="20"/>
        </w:rPr>
        <w:t xml:space="preserve">zabývající se </w:t>
      </w:r>
      <w:r w:rsidR="00947537" w:rsidRPr="00947537">
        <w:rPr>
          <w:rFonts w:ascii="Arial" w:hAnsi="Arial" w:cs="Arial"/>
          <w:b/>
          <w:sz w:val="20"/>
        </w:rPr>
        <w:t>výrobou nebo prodejem automobilů</w:t>
      </w:r>
      <w:r w:rsidR="00947537">
        <w:rPr>
          <w:rFonts w:ascii="Arial" w:hAnsi="Arial" w:cs="Arial"/>
          <w:sz w:val="20"/>
        </w:rPr>
        <w:t xml:space="preserve"> a jiných </w:t>
      </w:r>
      <w:r w:rsidR="005A2B54" w:rsidRPr="000557F6">
        <w:rPr>
          <w:rFonts w:ascii="Arial" w:hAnsi="Arial" w:cs="Arial"/>
          <w:sz w:val="20"/>
        </w:rPr>
        <w:t>motorových vozidel</w:t>
      </w:r>
      <w:r w:rsidR="00947537">
        <w:rPr>
          <w:rFonts w:ascii="Arial" w:hAnsi="Arial" w:cs="Arial"/>
          <w:sz w:val="20"/>
        </w:rPr>
        <w:t xml:space="preserve"> (29 % podniků z automobilového průmyslu, 25 % podniků zabývajících se prodejem nebo opravami motorových vozidel)</w:t>
      </w:r>
      <w:r w:rsidR="00EF574F" w:rsidRPr="000557F6">
        <w:rPr>
          <w:rFonts w:ascii="Arial" w:hAnsi="Arial" w:cs="Arial"/>
          <w:sz w:val="20"/>
        </w:rPr>
        <w:t>.</w:t>
      </w:r>
    </w:p>
    <w:p w14:paraId="4807C959" w14:textId="0D4B7889" w:rsidR="00D1132E" w:rsidRPr="00954AEC" w:rsidRDefault="00ED08D7" w:rsidP="00954AEC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954AEC">
        <w:rPr>
          <w:rFonts w:ascii="Arial" w:hAnsi="Arial" w:cs="Arial"/>
          <w:sz w:val="20"/>
        </w:rPr>
        <w:t xml:space="preserve">V roce 2023 byla do šetření nově zařazena otázka, zda podniky </w:t>
      </w:r>
      <w:r w:rsidRPr="00954AEC">
        <w:rPr>
          <w:rFonts w:ascii="Arial" w:hAnsi="Arial" w:cs="Arial"/>
          <w:b/>
          <w:sz w:val="20"/>
        </w:rPr>
        <w:t xml:space="preserve">používají nástroje Business </w:t>
      </w:r>
      <w:proofErr w:type="spellStart"/>
      <w:r w:rsidRPr="00954AEC">
        <w:rPr>
          <w:rFonts w:ascii="Arial" w:hAnsi="Arial" w:cs="Arial"/>
          <w:b/>
          <w:sz w:val="20"/>
        </w:rPr>
        <w:t>Intelligence</w:t>
      </w:r>
      <w:proofErr w:type="spellEnd"/>
      <w:r w:rsidRPr="00BF5166">
        <w:rPr>
          <w:rStyle w:val="Znakapoznpodarou"/>
          <w:rFonts w:ascii="Arial" w:hAnsi="Arial" w:cs="Arial"/>
          <w:sz w:val="20"/>
        </w:rPr>
        <w:footnoteReference w:id="2"/>
      </w:r>
      <w:r w:rsidRPr="00954AEC">
        <w:rPr>
          <w:rFonts w:ascii="Arial" w:hAnsi="Arial" w:cs="Arial"/>
          <w:b/>
          <w:sz w:val="20"/>
        </w:rPr>
        <w:t xml:space="preserve"> </w:t>
      </w:r>
      <w:r w:rsidRPr="00954AEC">
        <w:rPr>
          <w:rFonts w:ascii="Arial" w:hAnsi="Arial" w:cs="Arial"/>
          <w:sz w:val="20"/>
        </w:rPr>
        <w:t xml:space="preserve">(dále BI). </w:t>
      </w:r>
      <w:r w:rsidR="00D70C13">
        <w:rPr>
          <w:rFonts w:ascii="Arial" w:hAnsi="Arial" w:cs="Arial"/>
          <w:sz w:val="20"/>
        </w:rPr>
        <w:t>Takové</w:t>
      </w:r>
      <w:r w:rsidRPr="00954AEC">
        <w:rPr>
          <w:rFonts w:ascii="Arial" w:hAnsi="Arial" w:cs="Arial"/>
          <w:sz w:val="20"/>
        </w:rPr>
        <w:t xml:space="preserve"> programy</w:t>
      </w:r>
      <w:r w:rsidR="00F66DE8" w:rsidRPr="00954AEC">
        <w:rPr>
          <w:rFonts w:ascii="Arial" w:hAnsi="Arial" w:cs="Arial"/>
          <w:sz w:val="20"/>
        </w:rPr>
        <w:t xml:space="preserve"> pro podporu strategického plánování a rozhodování</w:t>
      </w:r>
      <w:r w:rsidRPr="00954AEC">
        <w:rPr>
          <w:rFonts w:ascii="Arial" w:hAnsi="Arial" w:cs="Arial"/>
          <w:sz w:val="20"/>
        </w:rPr>
        <w:t xml:space="preserve"> v roce 2023 využívalo 11 % podniků s více než deseti zaměstnanci v Česku. I pro nástroje BI platí, že je využívají výrazně častěji velké podniky (53 % v</w:t>
      </w:r>
      <w:r w:rsidR="007A56FB" w:rsidRPr="00954AEC">
        <w:rPr>
          <w:rFonts w:ascii="Arial" w:hAnsi="Arial" w:cs="Arial"/>
          <w:sz w:val="20"/>
        </w:rPr>
        <w:t> </w:t>
      </w:r>
      <w:r w:rsidRPr="00954AEC">
        <w:rPr>
          <w:rFonts w:ascii="Arial" w:hAnsi="Arial" w:cs="Arial"/>
          <w:sz w:val="20"/>
        </w:rPr>
        <w:t>roce</w:t>
      </w:r>
      <w:r w:rsidR="007A56FB" w:rsidRPr="00954AEC">
        <w:rPr>
          <w:rFonts w:ascii="Arial" w:hAnsi="Arial" w:cs="Arial"/>
          <w:sz w:val="20"/>
        </w:rPr>
        <w:t xml:space="preserve"> </w:t>
      </w:r>
      <w:r w:rsidRPr="00954AEC">
        <w:rPr>
          <w:rFonts w:ascii="Arial" w:hAnsi="Arial" w:cs="Arial"/>
          <w:sz w:val="20"/>
        </w:rPr>
        <w:t>2023)</w:t>
      </w:r>
      <w:r w:rsidR="00F66DE8" w:rsidRPr="00954AEC">
        <w:rPr>
          <w:rFonts w:ascii="Arial" w:hAnsi="Arial" w:cs="Arial"/>
          <w:sz w:val="20"/>
        </w:rPr>
        <w:t>.</w:t>
      </w:r>
      <w:r w:rsidR="00B544B8" w:rsidRPr="00954AEC">
        <w:rPr>
          <w:rFonts w:ascii="Arial" w:hAnsi="Arial" w:cs="Arial"/>
          <w:sz w:val="20"/>
        </w:rPr>
        <w:t xml:space="preserve"> </w:t>
      </w:r>
      <w:r w:rsidR="00F66DE8" w:rsidRPr="00954AEC">
        <w:rPr>
          <w:rFonts w:ascii="Arial" w:hAnsi="Arial" w:cs="Arial"/>
          <w:sz w:val="20"/>
        </w:rPr>
        <w:t>Středně velkých podniků byla v roce 2023 třetina a m</w:t>
      </w:r>
      <w:r w:rsidRPr="00954AEC">
        <w:rPr>
          <w:rFonts w:ascii="Arial" w:hAnsi="Arial" w:cs="Arial"/>
          <w:sz w:val="20"/>
        </w:rPr>
        <w:t xml:space="preserve">alých podniků, které </w:t>
      </w:r>
      <w:r w:rsidR="00F66DE8" w:rsidRPr="00954AEC">
        <w:rPr>
          <w:rFonts w:ascii="Arial" w:hAnsi="Arial" w:cs="Arial"/>
          <w:sz w:val="20"/>
        </w:rPr>
        <w:t>používají BI</w:t>
      </w:r>
      <w:r w:rsidRPr="00954AEC">
        <w:rPr>
          <w:rFonts w:ascii="Arial" w:hAnsi="Arial" w:cs="Arial"/>
          <w:sz w:val="20"/>
        </w:rPr>
        <w:t xml:space="preserve">, je mnohem méně (6 %) </w:t>
      </w:r>
      <w:r w:rsidR="007A56FB" w:rsidRPr="00954AEC">
        <w:rPr>
          <w:rFonts w:ascii="Arial" w:hAnsi="Arial" w:cs="Arial"/>
          <w:sz w:val="20"/>
        </w:rPr>
        <w:t>Nástroje BI v největší míře využívají firmy působící v IT (35 % v roce 2023), ze zpracovatelského průmyslu jsou to nejčastěji podniky zabývající se výrobou automobilů a jiných dopravních prostředků (24 %).</w:t>
      </w:r>
    </w:p>
    <w:p w14:paraId="6DC44893" w14:textId="579A31AC" w:rsidR="007A56FB" w:rsidRPr="000557F6" w:rsidRDefault="007A56FB" w:rsidP="007A56FB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Podobně jako případě používání CRM systému</w:t>
      </w:r>
      <w:r w:rsidRPr="000557F6">
        <w:rPr>
          <w:rFonts w:ascii="Arial" w:hAnsi="Arial" w:cs="Arial"/>
          <w:sz w:val="20"/>
          <w:szCs w:val="20"/>
        </w:rPr>
        <w:t xml:space="preserve"> </w:t>
      </w:r>
      <w:r w:rsidRPr="000557F6">
        <w:rPr>
          <w:rFonts w:ascii="Arial" w:hAnsi="Arial" w:cs="Arial"/>
          <w:sz w:val="20"/>
        </w:rPr>
        <w:t xml:space="preserve">jsou podniky </w:t>
      </w:r>
      <w:r>
        <w:rPr>
          <w:rFonts w:ascii="Arial" w:hAnsi="Arial" w:cs="Arial"/>
          <w:sz w:val="20"/>
        </w:rPr>
        <w:t xml:space="preserve">v Česku </w:t>
      </w:r>
      <w:r w:rsidRPr="000557F6">
        <w:rPr>
          <w:rFonts w:ascii="Arial" w:hAnsi="Arial" w:cs="Arial"/>
          <w:sz w:val="20"/>
        </w:rPr>
        <w:t>za rok 202</w:t>
      </w:r>
      <w:r>
        <w:rPr>
          <w:rFonts w:ascii="Arial" w:hAnsi="Arial" w:cs="Arial"/>
          <w:sz w:val="20"/>
        </w:rPr>
        <w:t xml:space="preserve">3 v používání nástrojů BI </w:t>
      </w:r>
      <w:r>
        <w:rPr>
          <w:rFonts w:ascii="Arial" w:hAnsi="Arial" w:cs="Arial"/>
          <w:b/>
          <w:sz w:val="20"/>
        </w:rPr>
        <w:t>pod</w:t>
      </w:r>
      <w:r w:rsidRPr="000557F6">
        <w:rPr>
          <w:rFonts w:ascii="Arial" w:hAnsi="Arial" w:cs="Arial"/>
          <w:b/>
          <w:sz w:val="20"/>
        </w:rPr>
        <w:t> průměr</w:t>
      </w:r>
      <w:r>
        <w:rPr>
          <w:rFonts w:ascii="Arial" w:hAnsi="Arial" w:cs="Arial"/>
          <w:b/>
          <w:sz w:val="20"/>
        </w:rPr>
        <w:t>em</w:t>
      </w:r>
      <w:r w:rsidRPr="000557F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</w:t>
      </w:r>
      <w:r w:rsidRPr="000557F6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>27</w:t>
      </w:r>
      <w:r w:rsidRPr="00E57123">
        <w:rPr>
          <w:rFonts w:ascii="Arial" w:hAnsi="Arial" w:cs="Arial"/>
          <w:sz w:val="20"/>
        </w:rPr>
        <w:t xml:space="preserve">, kde </w:t>
      </w:r>
      <w:r>
        <w:rPr>
          <w:rFonts w:ascii="Arial" w:hAnsi="Arial" w:cs="Arial"/>
          <w:sz w:val="20"/>
        </w:rPr>
        <w:t>tento ukazatel dosáhl úrovně 15</w:t>
      </w:r>
      <w:r w:rsidRPr="00511D06">
        <w:rPr>
          <w:rFonts w:ascii="Arial" w:hAnsi="Arial" w:cs="Arial"/>
          <w:sz w:val="20"/>
        </w:rPr>
        <w:t xml:space="preserve"> %</w:t>
      </w:r>
      <w:r>
        <w:rPr>
          <w:rFonts w:ascii="Arial" w:hAnsi="Arial" w:cs="Arial"/>
          <w:sz w:val="20"/>
        </w:rPr>
        <w:t xml:space="preserve"> podniků.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Nástroje BI</w:t>
      </w:r>
      <w:r w:rsidRPr="000557F6">
        <w:rPr>
          <w:rFonts w:ascii="Arial" w:hAnsi="Arial" w:cs="Arial"/>
          <w:sz w:val="20"/>
        </w:rPr>
        <w:t xml:space="preserve"> používaly nejčastěji podniky </w:t>
      </w:r>
      <w:r>
        <w:rPr>
          <w:rFonts w:ascii="Arial" w:hAnsi="Arial" w:cs="Arial"/>
          <w:sz w:val="20"/>
        </w:rPr>
        <w:t>v Dánsku (40 % podniků)</w:t>
      </w:r>
      <w:r w:rsidR="007357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557F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e Finsku (39 %), nejméně naopak Bulharsku (4 % podniků) nebo v Rumunsku (7 % podniků). </w:t>
      </w:r>
    </w:p>
    <w:p w14:paraId="5A02C935" w14:textId="77777777" w:rsidR="00CD0E66" w:rsidRDefault="00CD0E6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E21292A" w14:textId="5606B2B6" w:rsidR="00171FB6" w:rsidRDefault="00171FB6" w:rsidP="006C2E60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lastRenderedPageBreak/>
        <w:t xml:space="preserve">Graf </w:t>
      </w:r>
      <w:r w:rsidR="00F14A08"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634D6A">
        <w:rPr>
          <w:rFonts w:ascii="Arial" w:hAnsi="Arial" w:cs="Arial"/>
          <w:b/>
          <w:sz w:val="20"/>
        </w:rPr>
        <w:t xml:space="preserve">: </w:t>
      </w:r>
      <w:r w:rsidR="00F14A08">
        <w:rPr>
          <w:rFonts w:ascii="Arial" w:hAnsi="Arial" w:cs="Arial"/>
          <w:b/>
          <w:sz w:val="20"/>
        </w:rPr>
        <w:t>P</w:t>
      </w:r>
      <w:r w:rsidR="00914D21">
        <w:rPr>
          <w:rFonts w:ascii="Arial" w:hAnsi="Arial" w:cs="Arial"/>
          <w:b/>
          <w:sz w:val="20"/>
        </w:rPr>
        <w:t xml:space="preserve">odniky </w:t>
      </w:r>
      <w:r>
        <w:rPr>
          <w:rFonts w:ascii="Arial" w:hAnsi="Arial" w:cs="Arial"/>
          <w:b/>
          <w:sz w:val="20"/>
        </w:rPr>
        <w:t>v</w:t>
      </w:r>
      <w:r w:rsidR="00F14A08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ČR</w:t>
      </w:r>
      <w:r w:rsidR="00F14A08">
        <w:rPr>
          <w:rFonts w:ascii="Arial" w:hAnsi="Arial" w:cs="Arial"/>
          <w:b/>
          <w:sz w:val="20"/>
        </w:rPr>
        <w:t>, které elektronicky sdílí informace a data s dodavateli nebo zákazníky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7934EA2D" w14:textId="77777777" w:rsidR="000427AD" w:rsidRDefault="001E1113" w:rsidP="0004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84F2F7E" wp14:editId="20DDD01D">
            <wp:extent cx="6122504" cy="2075291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08A9D8" w14:textId="77777777" w:rsidR="00D14C26" w:rsidRDefault="00F14A08" w:rsidP="00D14C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 </w:t>
      </w:r>
      <w:r w:rsidR="00D14C26" w:rsidRPr="008D65A7">
        <w:rPr>
          <w:rFonts w:ascii="Arial" w:hAnsi="Arial" w:cs="Arial"/>
          <w:i/>
          <w:sz w:val="18"/>
          <w:szCs w:val="18"/>
        </w:rPr>
        <w:t>celkové</w:t>
      </w:r>
      <w:r>
        <w:rPr>
          <w:rFonts w:ascii="Arial" w:hAnsi="Arial" w:cs="Arial"/>
          <w:i/>
          <w:sz w:val="18"/>
          <w:szCs w:val="18"/>
        </w:rPr>
        <w:t>ho počtu</w:t>
      </w:r>
      <w:r w:rsidR="00D14C26" w:rsidRPr="008D65A7">
        <w:rPr>
          <w:rFonts w:ascii="Arial" w:hAnsi="Arial" w:cs="Arial"/>
          <w:i/>
          <w:sz w:val="18"/>
          <w:szCs w:val="18"/>
        </w:rPr>
        <w:t xml:space="preserve"> </w:t>
      </w:r>
      <w:r w:rsidR="00D14C26">
        <w:rPr>
          <w:rFonts w:ascii="Arial" w:hAnsi="Arial" w:cs="Arial"/>
          <w:i/>
          <w:sz w:val="18"/>
          <w:szCs w:val="18"/>
        </w:rPr>
        <w:t>podniků</w:t>
      </w:r>
      <w:r w:rsidR="00D14C26" w:rsidRPr="008D65A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dané velikostní skupině v daném roce</w:t>
      </w:r>
      <w:r w:rsidR="00D14C26" w:rsidRPr="008D65A7">
        <w:rPr>
          <w:rFonts w:ascii="Arial" w:hAnsi="Arial" w:cs="Arial"/>
          <w:i/>
          <w:sz w:val="18"/>
          <w:szCs w:val="18"/>
        </w:rPr>
        <w:t xml:space="preserve"> </w:t>
      </w:r>
    </w:p>
    <w:p w14:paraId="2D68BA15" w14:textId="77777777" w:rsidR="00205364" w:rsidRDefault="00205364" w:rsidP="00205364">
      <w:pPr>
        <w:autoSpaceDE w:val="0"/>
        <w:autoSpaceDN w:val="0"/>
        <w:adjustRightInd w:val="0"/>
        <w:spacing w:before="100"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5B77FC9" w14:textId="7B2A006C" w:rsidR="006C2E60" w:rsidRDefault="006C2E60" w:rsidP="006C2E60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 w:rsidR="00C36780"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634D6A">
        <w:rPr>
          <w:rFonts w:ascii="Arial" w:hAnsi="Arial" w:cs="Arial"/>
          <w:b/>
          <w:sz w:val="20"/>
        </w:rPr>
        <w:t xml:space="preserve">: </w:t>
      </w:r>
      <w:r w:rsidR="00C36780">
        <w:rPr>
          <w:rFonts w:ascii="Arial" w:hAnsi="Arial" w:cs="Arial"/>
          <w:b/>
          <w:sz w:val="20"/>
        </w:rPr>
        <w:t>Podniky v odvětví zpracovatelského průmyslu v ČR, které elektronicky sdílí informace a data s dodavateli nebo zákazníky; 2023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0BAE18CA" w14:textId="53783C76" w:rsidR="006C2E60" w:rsidRDefault="00CD0E66" w:rsidP="00D14C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6B466FD" wp14:editId="710D07B8">
            <wp:extent cx="6050942" cy="2592125"/>
            <wp:effectExtent l="0" t="0" r="698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F9BDE6" w14:textId="50E79EE1" w:rsidR="009A2FB8" w:rsidRDefault="00C36780" w:rsidP="009A2F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% z celkového počtu podniků </w:t>
      </w:r>
      <w:r w:rsidR="00CD0E66">
        <w:rPr>
          <w:rFonts w:ascii="Arial" w:hAnsi="Arial" w:cs="Arial"/>
          <w:i/>
          <w:sz w:val="18"/>
          <w:szCs w:val="18"/>
        </w:rPr>
        <w:t xml:space="preserve">s 10 a více zaměstnanci </w:t>
      </w:r>
      <w:r w:rsidRPr="008D65A7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 dané odvětvové skupině</w:t>
      </w:r>
    </w:p>
    <w:p w14:paraId="60C70AAF" w14:textId="77777777" w:rsidR="00383C87" w:rsidRDefault="00383C87" w:rsidP="009A2F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7F6E317" w14:textId="00018E23" w:rsidR="00015106" w:rsidRDefault="00015106" w:rsidP="009A2F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Podniky v ČR používající vybrané informační systémy </w:t>
      </w:r>
      <w:r w:rsidR="00CD0E66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aplikace; 2023</w:t>
      </w:r>
    </w:p>
    <w:p w14:paraId="5572CE95" w14:textId="77777777" w:rsidR="00015106" w:rsidRDefault="00015106" w:rsidP="009A2F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D4A30CC" wp14:editId="3F462453">
            <wp:extent cx="6011186" cy="2297927"/>
            <wp:effectExtent l="0" t="0" r="8890" b="762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4E11D2" w14:textId="35B35CBB" w:rsidR="00CD0E66" w:rsidRDefault="00015106" w:rsidP="00CD0E66">
      <w:pPr>
        <w:autoSpaceDE w:val="0"/>
        <w:autoSpaceDN w:val="0"/>
        <w:adjustRightInd w:val="0"/>
        <w:spacing w:before="100"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>% z </w:t>
      </w:r>
      <w:r w:rsidRPr="008D65A7">
        <w:rPr>
          <w:rFonts w:ascii="Arial" w:hAnsi="Arial" w:cs="Arial"/>
          <w:i/>
          <w:sz w:val="18"/>
          <w:szCs w:val="18"/>
        </w:rPr>
        <w:t>celkové</w:t>
      </w:r>
      <w:r>
        <w:rPr>
          <w:rFonts w:ascii="Arial" w:hAnsi="Arial" w:cs="Arial"/>
          <w:i/>
          <w:sz w:val="18"/>
          <w:szCs w:val="18"/>
        </w:rPr>
        <w:t>ho počtu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v dané velikostní </w:t>
      </w:r>
      <w:proofErr w:type="gramStart"/>
      <w:r>
        <w:rPr>
          <w:rFonts w:ascii="Arial" w:hAnsi="Arial" w:cs="Arial"/>
          <w:i/>
          <w:sz w:val="18"/>
          <w:szCs w:val="18"/>
        </w:rPr>
        <w:t>skupině</w:t>
      </w:r>
      <w:r w:rsidR="00CD0E66"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  <w:r w:rsidR="00CD0E66" w:rsidRPr="00CD0E66">
        <w:rPr>
          <w:rFonts w:ascii="Arial" w:hAnsi="Arial" w:cs="Arial"/>
          <w:sz w:val="18"/>
          <w:szCs w:val="18"/>
        </w:rPr>
        <w:t xml:space="preserve"> </w:t>
      </w:r>
      <w:r w:rsidR="00CD0E66" w:rsidRPr="000542D2">
        <w:rPr>
          <w:rFonts w:ascii="Arial" w:hAnsi="Arial" w:cs="Arial"/>
          <w:sz w:val="18"/>
          <w:szCs w:val="18"/>
        </w:rPr>
        <w:t>Zdroj</w:t>
      </w:r>
      <w:proofErr w:type="gramEnd"/>
      <w:r w:rsidR="00CD0E66" w:rsidRPr="000542D2">
        <w:rPr>
          <w:rFonts w:ascii="Arial" w:hAnsi="Arial" w:cs="Arial"/>
          <w:sz w:val="18"/>
          <w:szCs w:val="18"/>
        </w:rPr>
        <w:t>: Český statistický úřad</w:t>
      </w:r>
    </w:p>
    <w:p w14:paraId="47B6244A" w14:textId="6ECFE93D" w:rsidR="00015106" w:rsidRDefault="00015106" w:rsidP="00015106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</w:rPr>
        <w:br w:type="page"/>
      </w:r>
      <w:r w:rsidRPr="00634D6A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Podniky </w:t>
      </w:r>
      <w:r w:rsidR="00CD0E66">
        <w:rPr>
          <w:rFonts w:ascii="Arial" w:hAnsi="Arial" w:cs="Arial"/>
          <w:b/>
          <w:sz w:val="20"/>
        </w:rPr>
        <w:t xml:space="preserve">v </w:t>
      </w:r>
      <w:r>
        <w:rPr>
          <w:rFonts w:ascii="Arial" w:hAnsi="Arial" w:cs="Arial"/>
          <w:b/>
          <w:sz w:val="20"/>
        </w:rPr>
        <w:t>odvětví zpracovatelského průmyslu v ČR, používající ERP systém pro elektronické řízení firmy a sdílení informací; 2023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319AF8CF" w14:textId="6D49717E" w:rsidR="00015106" w:rsidRDefault="00CD0E66" w:rsidP="00015106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593ED8E" wp14:editId="5ABBDEB5">
            <wp:extent cx="6090285" cy="3196424"/>
            <wp:effectExtent l="0" t="0" r="5715" b="444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47F372" w14:textId="2063A0F4" w:rsidR="00F66DE8" w:rsidRDefault="00CD0E66" w:rsidP="00CD0E66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% z celkového počtu podniků s 10 a více zaměstnanci </w:t>
      </w:r>
      <w:r w:rsidRPr="008D65A7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 dané odvětvové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skupině  </w:t>
      </w:r>
      <w:r w:rsidR="00F66DE8">
        <w:rPr>
          <w:rFonts w:ascii="Arial" w:hAnsi="Arial" w:cs="Arial"/>
          <w:i/>
          <w:sz w:val="18"/>
          <w:szCs w:val="18"/>
        </w:rPr>
        <w:t xml:space="preserve">               </w:t>
      </w:r>
      <w:r w:rsidR="00F66DE8" w:rsidRPr="000542D2">
        <w:rPr>
          <w:rFonts w:ascii="Arial" w:hAnsi="Arial" w:cs="Arial"/>
          <w:sz w:val="18"/>
          <w:szCs w:val="18"/>
        </w:rPr>
        <w:t>Zdroj</w:t>
      </w:r>
      <w:proofErr w:type="gramEnd"/>
      <w:r w:rsidR="00F66DE8" w:rsidRPr="000542D2">
        <w:rPr>
          <w:rFonts w:ascii="Arial" w:hAnsi="Arial" w:cs="Arial"/>
          <w:sz w:val="18"/>
          <w:szCs w:val="18"/>
        </w:rPr>
        <w:t>: Český statistický úřad</w:t>
      </w:r>
    </w:p>
    <w:p w14:paraId="60531283" w14:textId="77777777" w:rsidR="00015106" w:rsidRDefault="00015106" w:rsidP="00015106">
      <w:pPr>
        <w:spacing w:after="0" w:line="240" w:lineRule="auto"/>
        <w:rPr>
          <w:rFonts w:ascii="Arial" w:hAnsi="Arial" w:cs="Arial"/>
          <w:b/>
          <w:sz w:val="20"/>
        </w:rPr>
      </w:pPr>
    </w:p>
    <w:p w14:paraId="6DFA0AF9" w14:textId="77777777" w:rsidR="00F66DE8" w:rsidRDefault="00F66DE8" w:rsidP="00015106">
      <w:pPr>
        <w:spacing w:after="0" w:line="240" w:lineRule="auto"/>
        <w:rPr>
          <w:rFonts w:ascii="Arial" w:hAnsi="Arial" w:cs="Arial"/>
          <w:b/>
          <w:sz w:val="20"/>
        </w:rPr>
      </w:pPr>
    </w:p>
    <w:p w14:paraId="2C83D510" w14:textId="2922719B" w:rsidR="00C36780" w:rsidRDefault="006B2DA6" w:rsidP="0001510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 w:rsidR="00C36780"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 w:rsidR="00015106">
        <w:rPr>
          <w:rFonts w:ascii="Arial" w:hAnsi="Arial" w:cs="Arial"/>
          <w:b/>
          <w:sz w:val="20"/>
        </w:rPr>
        <w:t>5</w:t>
      </w:r>
      <w:r w:rsidRPr="00634D6A">
        <w:rPr>
          <w:rFonts w:ascii="Arial" w:hAnsi="Arial" w:cs="Arial"/>
          <w:b/>
          <w:sz w:val="20"/>
        </w:rPr>
        <w:t xml:space="preserve">: </w:t>
      </w:r>
      <w:r w:rsidR="00C36780">
        <w:rPr>
          <w:rFonts w:ascii="Arial" w:hAnsi="Arial" w:cs="Arial"/>
          <w:b/>
          <w:sz w:val="20"/>
        </w:rPr>
        <w:t>Podniky v zemích EU27, které elektronicky sdílí informace a data s dodavateli nebo zákazníky; 2023</w:t>
      </w:r>
      <w:r w:rsidR="00C36780">
        <w:rPr>
          <w:rFonts w:ascii="Arial" w:hAnsi="Arial" w:cs="Arial"/>
          <w:i/>
          <w:sz w:val="18"/>
          <w:szCs w:val="18"/>
        </w:rPr>
        <w:t xml:space="preserve"> </w:t>
      </w:r>
    </w:p>
    <w:p w14:paraId="5891A226" w14:textId="77777777" w:rsidR="00C36780" w:rsidRDefault="00C36780" w:rsidP="00C3678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563EED1D" wp14:editId="50618CAD">
            <wp:extent cx="6090699" cy="3347499"/>
            <wp:effectExtent l="0" t="0" r="5715" b="571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0675C0" w14:textId="4603B7F0" w:rsidR="00C36780" w:rsidRDefault="00C36780" w:rsidP="00C3678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Pr="005F46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</w:t>
      </w:r>
      <w:proofErr w:type="gramStart"/>
      <w:r w:rsidRPr="005F46BD">
        <w:rPr>
          <w:rFonts w:ascii="Arial" w:hAnsi="Arial" w:cs="Arial"/>
          <w:i/>
          <w:sz w:val="18"/>
          <w:szCs w:val="18"/>
        </w:rPr>
        <w:t xml:space="preserve">zemi              </w:t>
      </w:r>
      <w:r w:rsidR="00CD0E66">
        <w:rPr>
          <w:rFonts w:ascii="Arial" w:hAnsi="Arial" w:cs="Arial"/>
          <w:i/>
          <w:sz w:val="18"/>
          <w:szCs w:val="18"/>
        </w:rPr>
        <w:t xml:space="preserve">     </w:t>
      </w:r>
      <w:r w:rsidRPr="005F46BD">
        <w:rPr>
          <w:rFonts w:ascii="Arial" w:hAnsi="Arial" w:cs="Arial"/>
          <w:i/>
          <w:sz w:val="18"/>
          <w:szCs w:val="18"/>
        </w:rPr>
        <w:t xml:space="preserve">            z</w:t>
      </w:r>
      <w:r w:rsidRPr="005F46BD">
        <w:rPr>
          <w:rFonts w:ascii="Arial" w:hAnsi="Arial" w:cs="Arial"/>
          <w:sz w:val="18"/>
          <w:szCs w:val="18"/>
        </w:rPr>
        <w:t>droj</w:t>
      </w:r>
      <w:proofErr w:type="gramEnd"/>
      <w:r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Pr="005F46BD">
        <w:rPr>
          <w:rFonts w:ascii="Arial" w:hAnsi="Arial" w:cs="Arial"/>
          <w:sz w:val="18"/>
          <w:szCs w:val="18"/>
        </w:rPr>
        <w:t>, prosinec 202</w:t>
      </w:r>
      <w:r>
        <w:rPr>
          <w:rFonts w:ascii="Arial" w:hAnsi="Arial" w:cs="Arial"/>
          <w:sz w:val="18"/>
          <w:szCs w:val="18"/>
        </w:rPr>
        <w:t>3</w:t>
      </w:r>
    </w:p>
    <w:p w14:paraId="20E040CF" w14:textId="77777777" w:rsidR="00015106" w:rsidRDefault="00015106" w:rsidP="00C3678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</w:p>
    <w:p w14:paraId="4FA51F53" w14:textId="77777777" w:rsidR="00CD0E66" w:rsidRDefault="00CD0E6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6231AEB" w14:textId="495EA9CE" w:rsidR="00F66DE8" w:rsidRDefault="00F66DE8" w:rsidP="00F66DE8">
      <w:pPr>
        <w:spacing w:after="0" w:line="240" w:lineRule="auto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6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Podniky v zemích EU27</w:t>
      </w:r>
      <w:r w:rsidRPr="00F66DE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ERP systém pro elektronické řízení firmy a sdílení informací; 2023</w:t>
      </w:r>
    </w:p>
    <w:p w14:paraId="1BCC7B6C" w14:textId="77777777" w:rsidR="000E5D19" w:rsidRPr="005F46BD" w:rsidRDefault="000E5D19" w:rsidP="00F66DE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A78DBE" w14:textId="694CDA95" w:rsidR="00C36780" w:rsidRDefault="00CD0E66" w:rsidP="00F66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46A67B0" wp14:editId="145FE9BD">
            <wp:extent cx="6120130" cy="3593465"/>
            <wp:effectExtent l="0" t="0" r="0" b="698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F56BA5" w14:textId="77777777" w:rsidR="00F66DE8" w:rsidRDefault="00F66DE8" w:rsidP="00C36780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Pr="005F46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</w:t>
      </w:r>
      <w:proofErr w:type="gramStart"/>
      <w:r w:rsidRPr="005F46BD">
        <w:rPr>
          <w:rFonts w:ascii="Arial" w:hAnsi="Arial" w:cs="Arial"/>
          <w:i/>
          <w:sz w:val="18"/>
          <w:szCs w:val="18"/>
        </w:rPr>
        <w:t xml:space="preserve">zemi            </w:t>
      </w:r>
      <w:r w:rsidR="000E5D19">
        <w:rPr>
          <w:rFonts w:ascii="Arial" w:hAnsi="Arial" w:cs="Arial"/>
          <w:i/>
          <w:sz w:val="18"/>
          <w:szCs w:val="18"/>
        </w:rPr>
        <w:t xml:space="preserve">     </w:t>
      </w:r>
      <w:r w:rsidRPr="005F46BD">
        <w:rPr>
          <w:rFonts w:ascii="Arial" w:hAnsi="Arial" w:cs="Arial"/>
          <w:i/>
          <w:sz w:val="18"/>
          <w:szCs w:val="18"/>
        </w:rPr>
        <w:t xml:space="preserve">              z</w:t>
      </w:r>
      <w:r w:rsidRPr="005F46BD">
        <w:rPr>
          <w:rFonts w:ascii="Arial" w:hAnsi="Arial" w:cs="Arial"/>
          <w:sz w:val="18"/>
          <w:szCs w:val="18"/>
        </w:rPr>
        <w:t>droj</w:t>
      </w:r>
      <w:proofErr w:type="gramEnd"/>
      <w:r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Pr="005F46BD">
        <w:rPr>
          <w:rFonts w:ascii="Arial" w:hAnsi="Arial" w:cs="Arial"/>
          <w:sz w:val="18"/>
          <w:szCs w:val="18"/>
        </w:rPr>
        <w:t>, prosinec 202</w:t>
      </w:r>
      <w:r>
        <w:rPr>
          <w:rFonts w:ascii="Arial" w:hAnsi="Arial" w:cs="Arial"/>
          <w:sz w:val="18"/>
          <w:szCs w:val="18"/>
        </w:rPr>
        <w:t>3</w:t>
      </w:r>
    </w:p>
    <w:p w14:paraId="099011E0" w14:textId="77777777" w:rsidR="00CD0E66" w:rsidRDefault="00CD0E66" w:rsidP="00F66DE8">
      <w:pPr>
        <w:spacing w:after="0" w:line="240" w:lineRule="auto"/>
        <w:rPr>
          <w:rFonts w:ascii="Arial" w:hAnsi="Arial" w:cs="Arial"/>
          <w:b/>
          <w:sz w:val="20"/>
        </w:rPr>
      </w:pPr>
    </w:p>
    <w:p w14:paraId="7B7EA968" w14:textId="52C56BBF" w:rsidR="00F66DE8" w:rsidRDefault="00F66DE8" w:rsidP="00010D02">
      <w:pPr>
        <w:spacing w:after="0" w:line="240" w:lineRule="auto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7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Podniky v zemích EU27</w:t>
      </w:r>
      <w:r w:rsidRPr="00F66DE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CRM systém pro řízení vztahů se zákazníky</w:t>
      </w:r>
      <w:r w:rsidR="00010D02">
        <w:rPr>
          <w:rFonts w:ascii="Arial" w:hAnsi="Arial" w:cs="Arial"/>
          <w:b/>
          <w:sz w:val="20"/>
        </w:rPr>
        <w:t xml:space="preserve"> a nástroje BI pro podporu strategického plánování a rozhodování; 2023</w:t>
      </w:r>
    </w:p>
    <w:p w14:paraId="7AC35740" w14:textId="77777777" w:rsidR="00453E6D" w:rsidRDefault="00453E6D" w:rsidP="00010D02">
      <w:pPr>
        <w:spacing w:after="0" w:line="240" w:lineRule="auto"/>
        <w:rPr>
          <w:rFonts w:ascii="Arial" w:hAnsi="Arial" w:cs="Arial"/>
          <w:b/>
          <w:sz w:val="20"/>
        </w:rPr>
      </w:pPr>
    </w:p>
    <w:p w14:paraId="38045AD9" w14:textId="12314559" w:rsidR="00453E6D" w:rsidRDefault="00453E6D" w:rsidP="00010D0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073E2082" wp14:editId="65DD512F">
            <wp:extent cx="6066845" cy="3792772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FA3882" w14:textId="76805FE2" w:rsidR="00F66DE8" w:rsidRDefault="00F66DE8" w:rsidP="00F66DE8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</w:t>
      </w:r>
      <w:r w:rsidRPr="005F46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5F46BD">
        <w:rPr>
          <w:rFonts w:ascii="Arial" w:hAnsi="Arial" w:cs="Arial"/>
          <w:i/>
          <w:sz w:val="18"/>
          <w:szCs w:val="18"/>
        </w:rPr>
        <w:t xml:space="preserve"> počtu podniků s 10 a více zaměstnanci v dané </w:t>
      </w:r>
      <w:proofErr w:type="gramStart"/>
      <w:r w:rsidRPr="005F46BD">
        <w:rPr>
          <w:rFonts w:ascii="Arial" w:hAnsi="Arial" w:cs="Arial"/>
          <w:i/>
          <w:sz w:val="18"/>
          <w:szCs w:val="18"/>
        </w:rPr>
        <w:t xml:space="preserve">zemi                 </w:t>
      </w:r>
      <w:r w:rsidR="000E5D19">
        <w:rPr>
          <w:rFonts w:ascii="Arial" w:hAnsi="Arial" w:cs="Arial"/>
          <w:i/>
          <w:sz w:val="18"/>
          <w:szCs w:val="18"/>
        </w:rPr>
        <w:t xml:space="preserve">    </w:t>
      </w:r>
      <w:r w:rsidRPr="005F46BD">
        <w:rPr>
          <w:rFonts w:ascii="Arial" w:hAnsi="Arial" w:cs="Arial"/>
          <w:i/>
          <w:sz w:val="18"/>
          <w:szCs w:val="18"/>
        </w:rPr>
        <w:t xml:space="preserve">         z</w:t>
      </w:r>
      <w:r w:rsidRPr="005F46BD">
        <w:rPr>
          <w:rFonts w:ascii="Arial" w:hAnsi="Arial" w:cs="Arial"/>
          <w:sz w:val="18"/>
          <w:szCs w:val="18"/>
        </w:rPr>
        <w:t>droj</w:t>
      </w:r>
      <w:proofErr w:type="gramEnd"/>
      <w:r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Pr="005F46BD">
        <w:rPr>
          <w:rFonts w:ascii="Arial" w:hAnsi="Arial" w:cs="Arial"/>
          <w:sz w:val="18"/>
          <w:szCs w:val="18"/>
        </w:rPr>
        <w:t>, prosinec 202</w:t>
      </w:r>
      <w:r>
        <w:rPr>
          <w:rFonts w:ascii="Arial" w:hAnsi="Arial" w:cs="Arial"/>
          <w:sz w:val="18"/>
          <w:szCs w:val="18"/>
        </w:rPr>
        <w:t>3</w:t>
      </w:r>
    </w:p>
    <w:sectPr w:rsidR="00F66DE8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BD45B" w14:textId="77777777" w:rsidR="00A97F97" w:rsidRDefault="00A97F97" w:rsidP="00E71A58">
      <w:r>
        <w:separator/>
      </w:r>
    </w:p>
  </w:endnote>
  <w:endnote w:type="continuationSeparator" w:id="0">
    <w:p w14:paraId="267F7439" w14:textId="77777777" w:rsidR="00A97F97" w:rsidRDefault="00A97F9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02735" w14:textId="77777777" w:rsidR="00A97F97" w:rsidRDefault="00A97F97" w:rsidP="00E71A58">
      <w:r>
        <w:separator/>
      </w:r>
    </w:p>
  </w:footnote>
  <w:footnote w:type="continuationSeparator" w:id="0">
    <w:p w14:paraId="6B02EA88" w14:textId="77777777" w:rsidR="00A97F97" w:rsidRDefault="00A97F97" w:rsidP="00E71A58">
      <w:r>
        <w:continuationSeparator/>
      </w:r>
    </w:p>
  </w:footnote>
  <w:footnote w:id="1">
    <w:p w14:paraId="2F4DB260" w14:textId="77777777" w:rsidR="00001D91" w:rsidRPr="002C05D3" w:rsidRDefault="00001D91" w:rsidP="00001D91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Elektronické sdílení </w:t>
      </w:r>
      <w:r w:rsidRPr="00001D91">
        <w:rPr>
          <w:rFonts w:ascii="Arial" w:hAnsi="Arial" w:cs="Arial"/>
          <w:sz w:val="16"/>
          <w:szCs w:val="16"/>
        </w:rPr>
        <w:t>informací</w:t>
      </w:r>
      <w:r>
        <w:rPr>
          <w:rFonts w:ascii="Arial" w:hAnsi="Arial" w:cs="Arial"/>
          <w:sz w:val="16"/>
          <w:szCs w:val="16"/>
        </w:rPr>
        <w:t xml:space="preserve"> nebo dat může probíhat</w:t>
      </w:r>
      <w:r w:rsidRPr="00001D91">
        <w:rPr>
          <w:rFonts w:ascii="Arial" w:hAnsi="Arial" w:cs="Arial"/>
          <w:sz w:val="16"/>
          <w:szCs w:val="16"/>
        </w:rPr>
        <w:t xml:space="preserve"> přes webové stránky nebo aplikace, pomocí elektronické výměny dat (EDI), prostřednictvím senzorů nebo jiných prostředků pro elektronický přenos dat. Nezahrnuje se sem posílání dokumentů e-mailem.</w:t>
      </w:r>
    </w:p>
  </w:footnote>
  <w:footnote w:id="2">
    <w:p w14:paraId="52C0CEE3" w14:textId="77777777" w:rsidR="00ED08D7" w:rsidRPr="002C05D3" w:rsidRDefault="00ED08D7" w:rsidP="00ED08D7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Jde o </w:t>
      </w:r>
      <w:r w:rsidRPr="00ED08D7">
        <w:rPr>
          <w:rFonts w:ascii="Arial" w:hAnsi="Arial" w:cs="Arial"/>
          <w:sz w:val="16"/>
          <w:szCs w:val="16"/>
        </w:rPr>
        <w:t xml:space="preserve">programy, které shromažďují a zpracovávají velké objemy dat z interních i externích datových zdrojů. BI systémy čerpají informace z dokumentů, souborů nejrůznějších formátů, e-mailové komunikace a z dalších obchodních zdrojů. Nástroje BI slouží </w:t>
      </w:r>
      <w:r w:rsidRPr="00ED08D7">
        <w:rPr>
          <w:rFonts w:ascii="Arial" w:hAnsi="Arial" w:cs="Arial"/>
          <w:bCs/>
          <w:sz w:val="16"/>
          <w:szCs w:val="16"/>
        </w:rPr>
        <w:t>hlavně managementu firmy pro obchodní účely</w:t>
      </w:r>
      <w:r w:rsidRPr="00ED08D7">
        <w:rPr>
          <w:rFonts w:ascii="Arial" w:hAnsi="Arial" w:cs="Arial"/>
          <w:sz w:val="16"/>
          <w:szCs w:val="16"/>
        </w:rPr>
        <w:t xml:space="preserve">, především pro řízení výkonnosti podniku. Dávají </w:t>
      </w:r>
      <w:r w:rsidRPr="00ED08D7">
        <w:rPr>
          <w:rFonts w:ascii="Arial" w:hAnsi="Arial" w:cs="Arial"/>
          <w:bCs/>
          <w:sz w:val="16"/>
          <w:szCs w:val="16"/>
        </w:rPr>
        <w:t>podklad pro lepší rozhodování</w:t>
      </w:r>
      <w:r w:rsidRPr="00ED08D7">
        <w:rPr>
          <w:rFonts w:ascii="Arial" w:hAnsi="Arial" w:cs="Arial"/>
          <w:sz w:val="16"/>
          <w:szCs w:val="16"/>
        </w:rPr>
        <w:t xml:space="preserve">, zvýšení provozní efektivity, identifikaci potenciálních zdrojů příjmů, určení </w:t>
      </w:r>
      <w:r w:rsidRPr="00ED08D7">
        <w:rPr>
          <w:rFonts w:ascii="Arial" w:hAnsi="Arial" w:cs="Arial"/>
          <w:bCs/>
          <w:sz w:val="16"/>
          <w:szCs w:val="16"/>
        </w:rPr>
        <w:t xml:space="preserve">trendů na trhu </w:t>
      </w:r>
      <w:r w:rsidRPr="00ED08D7">
        <w:rPr>
          <w:rFonts w:ascii="Arial" w:hAnsi="Arial" w:cs="Arial"/>
          <w:sz w:val="16"/>
          <w:szCs w:val="16"/>
        </w:rPr>
        <w:t xml:space="preserve">nebo k identifikaci </w:t>
      </w:r>
      <w:r w:rsidRPr="00ED08D7">
        <w:rPr>
          <w:rFonts w:ascii="Arial" w:hAnsi="Arial" w:cs="Arial"/>
          <w:bCs/>
          <w:sz w:val="16"/>
          <w:szCs w:val="16"/>
        </w:rPr>
        <w:t>nových obchodních příležitostí</w:t>
      </w:r>
      <w:r w:rsidRPr="00ED08D7">
        <w:rPr>
          <w:rFonts w:ascii="Arial" w:hAnsi="Arial" w:cs="Arial"/>
          <w:sz w:val="16"/>
          <w:szCs w:val="16"/>
        </w:rPr>
        <w:t>. Jejich výstupem jsou nejčastěji sestavy, reporty, grafy, vizualizace a tabulky.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F89"/>
    <w:multiLevelType w:val="hybridMultilevel"/>
    <w:tmpl w:val="D090ACF2"/>
    <w:lvl w:ilvl="0" w:tplc="3326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30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8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C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A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41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40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1D91"/>
    <w:rsid w:val="0000767A"/>
    <w:rsid w:val="00010702"/>
    <w:rsid w:val="00010D02"/>
    <w:rsid w:val="00015106"/>
    <w:rsid w:val="000158DE"/>
    <w:rsid w:val="00026A39"/>
    <w:rsid w:val="00031862"/>
    <w:rsid w:val="0004140D"/>
    <w:rsid w:val="000427AD"/>
    <w:rsid w:val="0004694F"/>
    <w:rsid w:val="00047FA4"/>
    <w:rsid w:val="000557F6"/>
    <w:rsid w:val="00057F08"/>
    <w:rsid w:val="00062EC5"/>
    <w:rsid w:val="00087634"/>
    <w:rsid w:val="00092A92"/>
    <w:rsid w:val="000A1183"/>
    <w:rsid w:val="000C3408"/>
    <w:rsid w:val="000D512E"/>
    <w:rsid w:val="000E5D19"/>
    <w:rsid w:val="000F20C1"/>
    <w:rsid w:val="000F51A9"/>
    <w:rsid w:val="00114485"/>
    <w:rsid w:val="001146E0"/>
    <w:rsid w:val="00130006"/>
    <w:rsid w:val="001405FA"/>
    <w:rsid w:val="001425C3"/>
    <w:rsid w:val="00143453"/>
    <w:rsid w:val="0016258B"/>
    <w:rsid w:val="00163793"/>
    <w:rsid w:val="0016380A"/>
    <w:rsid w:val="00164A8A"/>
    <w:rsid w:val="001714F2"/>
    <w:rsid w:val="00171FB6"/>
    <w:rsid w:val="00176DC9"/>
    <w:rsid w:val="00177489"/>
    <w:rsid w:val="00185010"/>
    <w:rsid w:val="00194F66"/>
    <w:rsid w:val="00194F9E"/>
    <w:rsid w:val="001A552F"/>
    <w:rsid w:val="001A7BA5"/>
    <w:rsid w:val="001A7EEB"/>
    <w:rsid w:val="001B3110"/>
    <w:rsid w:val="001D0388"/>
    <w:rsid w:val="001E1113"/>
    <w:rsid w:val="001F3765"/>
    <w:rsid w:val="001F4597"/>
    <w:rsid w:val="001F53D8"/>
    <w:rsid w:val="001F5C37"/>
    <w:rsid w:val="00205364"/>
    <w:rsid w:val="00207E8A"/>
    <w:rsid w:val="0022139E"/>
    <w:rsid w:val="002252E0"/>
    <w:rsid w:val="002255F6"/>
    <w:rsid w:val="00236443"/>
    <w:rsid w:val="00241F30"/>
    <w:rsid w:val="002436BA"/>
    <w:rsid w:val="00244A15"/>
    <w:rsid w:val="0024799E"/>
    <w:rsid w:val="002522D5"/>
    <w:rsid w:val="00265B1C"/>
    <w:rsid w:val="0028698F"/>
    <w:rsid w:val="0029297C"/>
    <w:rsid w:val="002A5EC7"/>
    <w:rsid w:val="002C31D3"/>
    <w:rsid w:val="002C43BD"/>
    <w:rsid w:val="002D7233"/>
    <w:rsid w:val="002E02A1"/>
    <w:rsid w:val="00304771"/>
    <w:rsid w:val="00306C5B"/>
    <w:rsid w:val="003209D6"/>
    <w:rsid w:val="003306D6"/>
    <w:rsid w:val="00343E00"/>
    <w:rsid w:val="003542A3"/>
    <w:rsid w:val="003646EF"/>
    <w:rsid w:val="003657F3"/>
    <w:rsid w:val="00383C87"/>
    <w:rsid w:val="0038519C"/>
    <w:rsid w:val="00385D7B"/>
    <w:rsid w:val="00385D98"/>
    <w:rsid w:val="00386C64"/>
    <w:rsid w:val="00387C40"/>
    <w:rsid w:val="0039079B"/>
    <w:rsid w:val="003A22B3"/>
    <w:rsid w:val="003A2B4D"/>
    <w:rsid w:val="003A327C"/>
    <w:rsid w:val="003A478C"/>
    <w:rsid w:val="003A5525"/>
    <w:rsid w:val="003A6442"/>
    <w:rsid w:val="003A6B38"/>
    <w:rsid w:val="003B3490"/>
    <w:rsid w:val="003B5A32"/>
    <w:rsid w:val="003B6F6D"/>
    <w:rsid w:val="003F313C"/>
    <w:rsid w:val="00404F0C"/>
    <w:rsid w:val="00410825"/>
    <w:rsid w:val="00413550"/>
    <w:rsid w:val="00414240"/>
    <w:rsid w:val="00420A83"/>
    <w:rsid w:val="00426996"/>
    <w:rsid w:val="0043194A"/>
    <w:rsid w:val="00453E6D"/>
    <w:rsid w:val="004631AB"/>
    <w:rsid w:val="0046325C"/>
    <w:rsid w:val="004661C4"/>
    <w:rsid w:val="00471922"/>
    <w:rsid w:val="0048139F"/>
    <w:rsid w:val="004909A9"/>
    <w:rsid w:val="00492C91"/>
    <w:rsid w:val="004A0B92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3DC3"/>
    <w:rsid w:val="004F4666"/>
    <w:rsid w:val="005068F4"/>
    <w:rsid w:val="005108C0"/>
    <w:rsid w:val="00511873"/>
    <w:rsid w:val="00513B7E"/>
    <w:rsid w:val="005173A0"/>
    <w:rsid w:val="00525137"/>
    <w:rsid w:val="005251DD"/>
    <w:rsid w:val="00553139"/>
    <w:rsid w:val="00583FFD"/>
    <w:rsid w:val="00584D13"/>
    <w:rsid w:val="00585475"/>
    <w:rsid w:val="00593152"/>
    <w:rsid w:val="005A21E0"/>
    <w:rsid w:val="005A2B54"/>
    <w:rsid w:val="005B1B2F"/>
    <w:rsid w:val="005B4204"/>
    <w:rsid w:val="005D5802"/>
    <w:rsid w:val="005F419A"/>
    <w:rsid w:val="005F7FA5"/>
    <w:rsid w:val="00604307"/>
    <w:rsid w:val="0060487F"/>
    <w:rsid w:val="006048DB"/>
    <w:rsid w:val="006123F0"/>
    <w:rsid w:val="00616B28"/>
    <w:rsid w:val="00624093"/>
    <w:rsid w:val="0064036A"/>
    <w:rsid w:val="006404A7"/>
    <w:rsid w:val="006451E4"/>
    <w:rsid w:val="00657968"/>
    <w:rsid w:val="00657E87"/>
    <w:rsid w:val="00662FFB"/>
    <w:rsid w:val="0067031C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B2DA6"/>
    <w:rsid w:val="006B3844"/>
    <w:rsid w:val="006B78D8"/>
    <w:rsid w:val="006C113F"/>
    <w:rsid w:val="006C2E60"/>
    <w:rsid w:val="006D3FBA"/>
    <w:rsid w:val="006D61F6"/>
    <w:rsid w:val="006D6FEA"/>
    <w:rsid w:val="006E2361"/>
    <w:rsid w:val="006E279A"/>
    <w:rsid w:val="006E313B"/>
    <w:rsid w:val="006E7DE3"/>
    <w:rsid w:val="006F1543"/>
    <w:rsid w:val="007211F5"/>
    <w:rsid w:val="007214C5"/>
    <w:rsid w:val="007279A0"/>
    <w:rsid w:val="007301BE"/>
    <w:rsid w:val="00730AE8"/>
    <w:rsid w:val="00735759"/>
    <w:rsid w:val="00741493"/>
    <w:rsid w:val="0074519F"/>
    <w:rsid w:val="00746E95"/>
    <w:rsid w:val="00752180"/>
    <w:rsid w:val="00755D3A"/>
    <w:rsid w:val="00755F1A"/>
    <w:rsid w:val="007609C6"/>
    <w:rsid w:val="00761B3D"/>
    <w:rsid w:val="007739E2"/>
    <w:rsid w:val="00776527"/>
    <w:rsid w:val="00785876"/>
    <w:rsid w:val="00785B2D"/>
    <w:rsid w:val="00795D49"/>
    <w:rsid w:val="007A56FB"/>
    <w:rsid w:val="007A5C36"/>
    <w:rsid w:val="007C02A5"/>
    <w:rsid w:val="007C3F6A"/>
    <w:rsid w:val="007D0FE1"/>
    <w:rsid w:val="007D7174"/>
    <w:rsid w:val="007D736A"/>
    <w:rsid w:val="007E3D24"/>
    <w:rsid w:val="007E75ED"/>
    <w:rsid w:val="007E7E61"/>
    <w:rsid w:val="007F0845"/>
    <w:rsid w:val="00821FF6"/>
    <w:rsid w:val="00824C07"/>
    <w:rsid w:val="0083143E"/>
    <w:rsid w:val="00834FAA"/>
    <w:rsid w:val="00836086"/>
    <w:rsid w:val="00846D4B"/>
    <w:rsid w:val="0085283B"/>
    <w:rsid w:val="008570DB"/>
    <w:rsid w:val="00876086"/>
    <w:rsid w:val="00895AA3"/>
    <w:rsid w:val="008A09F9"/>
    <w:rsid w:val="008A5D12"/>
    <w:rsid w:val="008B0D70"/>
    <w:rsid w:val="008B6C0D"/>
    <w:rsid w:val="008B7C02"/>
    <w:rsid w:val="008C0E88"/>
    <w:rsid w:val="008C47F5"/>
    <w:rsid w:val="008D2A16"/>
    <w:rsid w:val="008D2A76"/>
    <w:rsid w:val="008D7686"/>
    <w:rsid w:val="008E31FF"/>
    <w:rsid w:val="008E7FE9"/>
    <w:rsid w:val="008F2046"/>
    <w:rsid w:val="008F41A9"/>
    <w:rsid w:val="009003A8"/>
    <w:rsid w:val="00902EFF"/>
    <w:rsid w:val="00914D21"/>
    <w:rsid w:val="00915547"/>
    <w:rsid w:val="009157A6"/>
    <w:rsid w:val="00921F14"/>
    <w:rsid w:val="0094427A"/>
    <w:rsid w:val="00947537"/>
    <w:rsid w:val="0095150F"/>
    <w:rsid w:val="00954AEC"/>
    <w:rsid w:val="00964953"/>
    <w:rsid w:val="00974923"/>
    <w:rsid w:val="0098620F"/>
    <w:rsid w:val="009879AA"/>
    <w:rsid w:val="00987E97"/>
    <w:rsid w:val="009978D6"/>
    <w:rsid w:val="009A2FB8"/>
    <w:rsid w:val="009B4E13"/>
    <w:rsid w:val="009B6FD3"/>
    <w:rsid w:val="009E10CE"/>
    <w:rsid w:val="009E2B98"/>
    <w:rsid w:val="00A10D66"/>
    <w:rsid w:val="00A17F0D"/>
    <w:rsid w:val="00A23E43"/>
    <w:rsid w:val="00A27BED"/>
    <w:rsid w:val="00A41A3C"/>
    <w:rsid w:val="00A42547"/>
    <w:rsid w:val="00A43203"/>
    <w:rsid w:val="00A46DE0"/>
    <w:rsid w:val="00A57020"/>
    <w:rsid w:val="00A62CE1"/>
    <w:rsid w:val="00A632AE"/>
    <w:rsid w:val="00A75E40"/>
    <w:rsid w:val="00A857C0"/>
    <w:rsid w:val="00A87732"/>
    <w:rsid w:val="00A97F97"/>
    <w:rsid w:val="00AA204D"/>
    <w:rsid w:val="00AA559A"/>
    <w:rsid w:val="00AB2AF1"/>
    <w:rsid w:val="00AB76F3"/>
    <w:rsid w:val="00AC77ED"/>
    <w:rsid w:val="00AD306C"/>
    <w:rsid w:val="00AE02D7"/>
    <w:rsid w:val="00AE25BE"/>
    <w:rsid w:val="00AF2A1B"/>
    <w:rsid w:val="00B112AC"/>
    <w:rsid w:val="00B14740"/>
    <w:rsid w:val="00B17E71"/>
    <w:rsid w:val="00B17FDE"/>
    <w:rsid w:val="00B21D75"/>
    <w:rsid w:val="00B32DDB"/>
    <w:rsid w:val="00B4514D"/>
    <w:rsid w:val="00B544B8"/>
    <w:rsid w:val="00B574B1"/>
    <w:rsid w:val="00B6608F"/>
    <w:rsid w:val="00B76D1E"/>
    <w:rsid w:val="00B8243E"/>
    <w:rsid w:val="00B85CE2"/>
    <w:rsid w:val="00B95940"/>
    <w:rsid w:val="00BD258B"/>
    <w:rsid w:val="00BD366B"/>
    <w:rsid w:val="00BD6D50"/>
    <w:rsid w:val="00BF01AA"/>
    <w:rsid w:val="00C02ACD"/>
    <w:rsid w:val="00C0475C"/>
    <w:rsid w:val="00C04C28"/>
    <w:rsid w:val="00C05083"/>
    <w:rsid w:val="00C21F94"/>
    <w:rsid w:val="00C25276"/>
    <w:rsid w:val="00C2659C"/>
    <w:rsid w:val="00C36780"/>
    <w:rsid w:val="00C37C0D"/>
    <w:rsid w:val="00C55818"/>
    <w:rsid w:val="00C63577"/>
    <w:rsid w:val="00C7532B"/>
    <w:rsid w:val="00C83529"/>
    <w:rsid w:val="00C847A8"/>
    <w:rsid w:val="00C90CF4"/>
    <w:rsid w:val="00C93389"/>
    <w:rsid w:val="00CA0C7F"/>
    <w:rsid w:val="00CB35AC"/>
    <w:rsid w:val="00CC0868"/>
    <w:rsid w:val="00CC61F7"/>
    <w:rsid w:val="00CD0E66"/>
    <w:rsid w:val="00CD57C7"/>
    <w:rsid w:val="00CE0747"/>
    <w:rsid w:val="00CE5EBA"/>
    <w:rsid w:val="00CF30C7"/>
    <w:rsid w:val="00CF51EC"/>
    <w:rsid w:val="00D040DD"/>
    <w:rsid w:val="00D1132E"/>
    <w:rsid w:val="00D1416F"/>
    <w:rsid w:val="00D14C26"/>
    <w:rsid w:val="00D223B7"/>
    <w:rsid w:val="00D47A45"/>
    <w:rsid w:val="00D579F7"/>
    <w:rsid w:val="00D57B0B"/>
    <w:rsid w:val="00D70C13"/>
    <w:rsid w:val="00D8013C"/>
    <w:rsid w:val="00D81F9B"/>
    <w:rsid w:val="00DB6B38"/>
    <w:rsid w:val="00DC1442"/>
    <w:rsid w:val="00DC224D"/>
    <w:rsid w:val="00DC5B3B"/>
    <w:rsid w:val="00DD05D3"/>
    <w:rsid w:val="00DF4340"/>
    <w:rsid w:val="00E01C0E"/>
    <w:rsid w:val="00E04694"/>
    <w:rsid w:val="00E123C0"/>
    <w:rsid w:val="00E20E07"/>
    <w:rsid w:val="00E23CEF"/>
    <w:rsid w:val="00E24551"/>
    <w:rsid w:val="00E52B7D"/>
    <w:rsid w:val="00E57123"/>
    <w:rsid w:val="00E57125"/>
    <w:rsid w:val="00E63716"/>
    <w:rsid w:val="00E63D52"/>
    <w:rsid w:val="00E71A58"/>
    <w:rsid w:val="00E76C47"/>
    <w:rsid w:val="00E91BC2"/>
    <w:rsid w:val="00EA0C68"/>
    <w:rsid w:val="00EC1F1C"/>
    <w:rsid w:val="00EC7132"/>
    <w:rsid w:val="00ED08D7"/>
    <w:rsid w:val="00ED3107"/>
    <w:rsid w:val="00EE01F9"/>
    <w:rsid w:val="00EE3E78"/>
    <w:rsid w:val="00EE63D3"/>
    <w:rsid w:val="00EF1F5A"/>
    <w:rsid w:val="00EF574F"/>
    <w:rsid w:val="00F04811"/>
    <w:rsid w:val="00F0488C"/>
    <w:rsid w:val="00F14A08"/>
    <w:rsid w:val="00F15BEF"/>
    <w:rsid w:val="00F226D7"/>
    <w:rsid w:val="00F24FAA"/>
    <w:rsid w:val="00F3364D"/>
    <w:rsid w:val="00F4274E"/>
    <w:rsid w:val="00F42C99"/>
    <w:rsid w:val="00F575E9"/>
    <w:rsid w:val="00F63DDE"/>
    <w:rsid w:val="00F63FB7"/>
    <w:rsid w:val="00F66522"/>
    <w:rsid w:val="00F66DE8"/>
    <w:rsid w:val="00F73A0C"/>
    <w:rsid w:val="00F77254"/>
    <w:rsid w:val="00F907CE"/>
    <w:rsid w:val="00FB3CBB"/>
    <w:rsid w:val="00FC0E5F"/>
    <w:rsid w:val="00FC56DE"/>
    <w:rsid w:val="00FD7FB8"/>
    <w:rsid w:val="00FE2F78"/>
    <w:rsid w:val="00FF2D87"/>
    <w:rsid w:val="00FF2E69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8416CE2"/>
  <w15:docId w15:val="{838864C2-6439-438A-B31D-E187668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4269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26996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26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84577889302304E-2"/>
          <c:y val="0.15098256282321146"/>
          <c:w val="0.96987646544181982"/>
          <c:h val="0.6591092978450949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'vybrané inf.systémy'!$C$181</c:f>
              <c:strCache>
                <c:ptCount val="1"/>
                <c:pt idx="0">
                  <c:v> 2010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'vybrané inf.systémy'!$A$182:$A$185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inf.systémy'!$C$182:$C$185</c:f>
              <c:numCache>
                <c:formatCode>0%</c:formatCode>
                <c:ptCount val="4"/>
                <c:pt idx="0">
                  <c:v>0.14699999999999999</c:v>
                </c:pt>
                <c:pt idx="1">
                  <c:v>0.126</c:v>
                </c:pt>
                <c:pt idx="2">
                  <c:v>0.191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3-4B92-B96E-AE48F3046654}"/>
            </c:ext>
          </c:extLst>
        </c:ser>
        <c:ser>
          <c:idx val="4"/>
          <c:order val="4"/>
          <c:tx>
            <c:strRef>
              <c:f>'vybrané inf.systémy'!$F$181</c:f>
              <c:strCache>
                <c:ptCount val="1"/>
                <c:pt idx="0">
                  <c:v> 2015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inf.systémy'!$A$182:$A$185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inf.systémy'!$F$182:$F$185</c:f>
              <c:numCache>
                <c:formatCode>0%</c:formatCode>
                <c:ptCount val="4"/>
                <c:pt idx="0">
                  <c:v>0.20699999999999999</c:v>
                </c:pt>
                <c:pt idx="1">
                  <c:v>0.17100000000000001</c:v>
                </c:pt>
                <c:pt idx="2">
                  <c:v>0.29699999999999999</c:v>
                </c:pt>
                <c:pt idx="3">
                  <c:v>0.503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53-4B92-B96E-AE48F3046654}"/>
            </c:ext>
          </c:extLst>
        </c:ser>
        <c:ser>
          <c:idx val="5"/>
          <c:order val="5"/>
          <c:tx>
            <c:strRef>
              <c:f>'vybrané inf.systémy'!$G$181</c:f>
              <c:strCache>
                <c:ptCount val="1"/>
                <c:pt idx="0">
                  <c:v> 2023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inf.systémy'!$A$182:$A$185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inf.systémy'!$G$182:$G$185</c:f>
              <c:numCache>
                <c:formatCode>0%</c:formatCode>
                <c:ptCount val="4"/>
                <c:pt idx="0">
                  <c:v>0.375</c:v>
                </c:pt>
                <c:pt idx="1">
                  <c:v>0.32899999999999996</c:v>
                </c:pt>
                <c:pt idx="2">
                  <c:v>0.51</c:v>
                </c:pt>
                <c:pt idx="3">
                  <c:v>0.76300000000000001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53-4B92-B96E-AE48F3046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8790400"/>
        <c:axId val="1787919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'vybrané inf.systémy'!$B$181</c15:sqref>
                        </c15:formulaRef>
                      </c:ext>
                    </c:extLst>
                    <c:strCache>
                      <c:ptCount val="1"/>
                      <c:pt idx="0">
                        <c:v> 2009</c:v>
                      </c:pt>
                    </c:strCache>
                  </c:strRef>
                </c:tx>
                <c:spPr>
                  <a:solidFill>
                    <a:srgbClr val="ABF3FF"/>
                  </a:solidFill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endParaRPr lang="cs-CZ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'vybrané inf.systémy'!$A$182:$A$185</c15:sqref>
                        </c15:formulaRef>
                      </c:ext>
                    </c:extLst>
                    <c:strCache>
                      <c:ptCount val="4"/>
                      <c:pt idx="0">
                        <c:v>Podniky celkem 
(10+ zaměstnanců)</c:v>
                      </c:pt>
                      <c:pt idx="1">
                        <c:v>malé
 (10-49 zaměstnanců)</c:v>
                      </c:pt>
                      <c:pt idx="2">
                        <c:v>středně velké 
(50-249 zaměstnanců)</c:v>
                      </c:pt>
                      <c:pt idx="3">
                        <c:v>velké 
(250 a více zaměstnanců)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'vybrané inf.systémy'!$B$182:$B$185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0.125</c:v>
                      </c:pt>
                      <c:pt idx="1">
                        <c:v>0.10300000000000001</c:v>
                      </c:pt>
                      <c:pt idx="2">
                        <c:v>0.18</c:v>
                      </c:pt>
                      <c:pt idx="3">
                        <c:v>0.33299999999999996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553-4B92-B96E-AE48F304665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'vybrané inf.systémy'!$D$181</c15:sqref>
                        </c15:formulaRef>
                      </c:ext>
                    </c:extLst>
                    <c:strCache>
                      <c:ptCount val="1"/>
                      <c:pt idx="0">
                        <c:v> 2012</c:v>
                      </c:pt>
                    </c:strCache>
                  </c:strRef>
                </c:tx>
                <c:spPr>
                  <a:solidFill>
                    <a:srgbClr val="009BB4"/>
                  </a:solidFill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b="0"/>
                      </a:pPr>
                      <a:endParaRPr lang="cs-CZ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'vybrané inf.systémy'!$A$182:$A$185</c15:sqref>
                        </c15:formulaRef>
                      </c:ext>
                    </c:extLst>
                    <c:strCache>
                      <c:ptCount val="4"/>
                      <c:pt idx="0">
                        <c:v>Podniky celkem 
(10+ zaměstnanců)</c:v>
                      </c:pt>
                      <c:pt idx="1">
                        <c:v>malé
 (10-49 zaměstnanců)</c:v>
                      </c:pt>
                      <c:pt idx="2">
                        <c:v>středně velké 
(50-249 zaměstnanců)</c:v>
                      </c:pt>
                      <c:pt idx="3">
                        <c:v>velké 
(250 a více zaměstnanců)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'vybrané inf.systémy'!$D$182:$D$185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0.126</c:v>
                      </c:pt>
                      <c:pt idx="1">
                        <c:v>0.109</c:v>
                      </c:pt>
                      <c:pt idx="2">
                        <c:v>0.17</c:v>
                      </c:pt>
                      <c:pt idx="3">
                        <c:v>0.29299999999999998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553-4B92-B96E-AE48F304665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'vybrané inf.systémy'!$E$181</c15:sqref>
                        </c15:formulaRef>
                      </c:ext>
                    </c:extLst>
                    <c:strCache>
                      <c:ptCount val="1"/>
                      <c:pt idx="0">
                        <c:v> 2014</c:v>
                      </c:pt>
                    </c:strCache>
                  </c:strRef>
                </c:tx>
                <c:spPr>
                  <a:solidFill>
                    <a:srgbClr val="007D92"/>
                  </a:solidFill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'vybrané inf.systémy'!$A$182:$A$185</c15:sqref>
                        </c15:formulaRef>
                      </c:ext>
                    </c:extLst>
                    <c:strCache>
                      <c:ptCount val="4"/>
                      <c:pt idx="0">
                        <c:v>Podniky celkem 
(10+ zaměstnanců)</c:v>
                      </c:pt>
                      <c:pt idx="1">
                        <c:v>malé
 (10-49 zaměstnanců)</c:v>
                      </c:pt>
                      <c:pt idx="2">
                        <c:v>středně velké 
(50-249 zaměstnanců)</c:v>
                      </c:pt>
                      <c:pt idx="3">
                        <c:v>velké 
(250 a více zaměstnanců)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'vybrané inf.systémy'!$E$182:$E$185</c15:sqref>
                        </c15:formulaRef>
                      </c:ext>
                    </c:extLst>
                    <c:numCache>
                      <c:formatCode>0%</c:formatCode>
                      <c:ptCount val="4"/>
                      <c:pt idx="0">
                        <c:v>0.22362267125553431</c:v>
                      </c:pt>
                      <c:pt idx="1">
                        <c:v>0.19674213615603386</c:v>
                      </c:pt>
                      <c:pt idx="2">
                        <c:v>0.2946117687377397</c:v>
                      </c:pt>
                      <c:pt idx="3">
                        <c:v>0.45676421224554842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553-4B92-B96E-AE48F3046654}"/>
                  </c:ext>
                </c:extLst>
              </c15:ser>
            </c15:filteredBarSeries>
          </c:ext>
        </c:extLst>
      </c:barChart>
      <c:catAx>
        <c:axId val="1787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791936"/>
        <c:crosses val="autoZero"/>
        <c:auto val="1"/>
        <c:lblAlgn val="ctr"/>
        <c:lblOffset val="100"/>
        <c:noMultiLvlLbl val="0"/>
      </c:catAx>
      <c:valAx>
        <c:axId val="17879193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879040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30542390731964192"/>
          <c:y val="3.4134327727069251E-2"/>
          <c:w val="0.46287519747235389"/>
          <c:h val="0.123910700928015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747211144338891"/>
          <c:y val="2.5898187996807969E-2"/>
          <c:w val="0.52252788855661114"/>
          <c:h val="0.9448598868612315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9BB4"/>
            </a:solidFill>
          </c:spPr>
          <c:invertIfNegative val="0"/>
          <c:dPt>
            <c:idx val="13"/>
            <c:invertIfNegative val="0"/>
            <c:bubble3D val="0"/>
            <c:spPr>
              <a:solidFill>
                <a:srgbClr val="47E5FF"/>
              </a:solidFill>
            </c:spPr>
            <c:extLst>
              <c:ext xmlns:c16="http://schemas.microsoft.com/office/drawing/2014/chart" uri="{C3380CC4-5D6E-409C-BE32-E72D297353CC}">
                <c16:uniqueId val="{00000001-5493-495F-A2D8-90B7CC67D3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'vybrané inf.systémy'!$A$200:$A$213</c:f>
              <c:strCache>
                <c:ptCount val="14"/>
                <c:pt idx="0">
                  <c:v>Textilní, oděvní a obuvnický průmysl (NACE 13-15)</c:v>
                </c:pt>
                <c:pt idx="1">
                  <c:v>Dřevozpracující a papírenský průmysl (NACE 16-18)</c:v>
                </c:pt>
                <c:pt idx="2">
                  <c:v>Průmysl skla a stavebních hmot (NACE 23)</c:v>
                </c:pt>
                <c:pt idx="3">
                  <c:v>Metalurgický a kovozpracující průmysl (NACE 24-25)</c:v>
                </c:pt>
                <c:pt idx="4">
                  <c:v>Ostatní zpracovatelský průmysl (NACE 31-33)</c:v>
                </c:pt>
                <c:pt idx="5">
                  <c:v>Potravinářský průmysl (NACE 10-12)</c:v>
                </c:pt>
                <c:pt idx="6">
                  <c:v>Strojírenský průmysl (NACE 28)</c:v>
                </c:pt>
                <c:pt idx="7">
                  <c:v>Elektrotechnický průmysl (NACE 27)</c:v>
                </c:pt>
                <c:pt idx="8">
                  <c:v>Gumárenský průmysl a výroba plastů (NACE 22)</c:v>
                </c:pt>
                <c:pt idx="9">
                  <c:v>Elektronický průmysl (NACE 26)</c:v>
                </c:pt>
                <c:pt idx="10">
                  <c:v>Chemický a farmaceutický průmysl (NACE 19-21)</c:v>
                </c:pt>
                <c:pt idx="11">
                  <c:v>Automobilový průmysl (NACE 29)</c:v>
                </c:pt>
                <c:pt idx="12">
                  <c:v>Výroba ostatních dopravních prostředků (NACE 30)</c:v>
                </c:pt>
                <c:pt idx="13">
                  <c:v>Zpracovatelský průmysl celkem</c:v>
                </c:pt>
              </c:strCache>
            </c:strRef>
          </c:cat>
          <c:val>
            <c:numRef>
              <c:f>'vybrané inf.systémy'!$B$200:$B$213</c:f>
              <c:numCache>
                <c:formatCode>0%</c:formatCode>
                <c:ptCount val="14"/>
                <c:pt idx="0">
                  <c:v>0.27179999999999999</c:v>
                </c:pt>
                <c:pt idx="1">
                  <c:v>0.2762</c:v>
                </c:pt>
                <c:pt idx="2">
                  <c:v>0.3009</c:v>
                </c:pt>
                <c:pt idx="3">
                  <c:v>0.32400000000000001</c:v>
                </c:pt>
                <c:pt idx="4">
                  <c:v>0.33</c:v>
                </c:pt>
                <c:pt idx="5">
                  <c:v>0.37119999999999997</c:v>
                </c:pt>
                <c:pt idx="6">
                  <c:v>0.38669999999999999</c:v>
                </c:pt>
                <c:pt idx="7">
                  <c:v>0.41760000000000003</c:v>
                </c:pt>
                <c:pt idx="8">
                  <c:v>0.45150000000000001</c:v>
                </c:pt>
                <c:pt idx="9">
                  <c:v>0.48880000000000001</c:v>
                </c:pt>
                <c:pt idx="10">
                  <c:v>0.5423</c:v>
                </c:pt>
                <c:pt idx="11">
                  <c:v>0.65959999999999996</c:v>
                </c:pt>
                <c:pt idx="12">
                  <c:v>0.66200000000000003</c:v>
                </c:pt>
                <c:pt idx="13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93-495F-A2D8-90B7CC67D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131648"/>
        <c:axId val="175137536"/>
      </c:barChart>
      <c:catAx>
        <c:axId val="17513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crossAx val="175137536"/>
        <c:crosses val="autoZero"/>
        <c:auto val="1"/>
        <c:lblAlgn val="ctr"/>
        <c:lblOffset val="100"/>
        <c:noMultiLvlLbl val="0"/>
      </c:catAx>
      <c:valAx>
        <c:axId val="175137536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751316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84577889302304E-2"/>
          <c:y val="0.15098256282321146"/>
          <c:w val="0.96987646544181982"/>
          <c:h val="0.659109297845094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'vybrané inf.systémy'!$B$50</c:f>
              <c:strCache>
                <c:ptCount val="1"/>
                <c:pt idx="0">
                  <c:v> ERP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'vybrané inf.systémy'!$A$51:$A$54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inf.systémy'!$B$51:$B$54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0.20799999999999999</c:v>
                </c:pt>
                <c:pt idx="2">
                  <c:v>0.55100000000000005</c:v>
                </c:pt>
                <c:pt idx="3">
                  <c:v>0.877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E-4727-A7BE-FBCD34340234}"/>
            </c:ext>
          </c:extLst>
        </c:ser>
        <c:ser>
          <c:idx val="1"/>
          <c:order val="1"/>
          <c:tx>
            <c:strRef>
              <c:f>'vybrané inf.systémy'!$C$50</c:f>
              <c:strCache>
                <c:ptCount val="1"/>
                <c:pt idx="0">
                  <c:v> CRM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'vybrané inf.systémy'!$A$51:$A$54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inf.systémy'!$C$51:$C$54</c:f>
              <c:numCache>
                <c:formatCode>0%</c:formatCode>
                <c:ptCount val="4"/>
                <c:pt idx="0">
                  <c:v>0.19800000000000001</c:v>
                </c:pt>
                <c:pt idx="1">
                  <c:v>0.154</c:v>
                </c:pt>
                <c:pt idx="2">
                  <c:v>0.32400000000000001</c:v>
                </c:pt>
                <c:pt idx="3">
                  <c:v>0.56299999999999994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6E-4727-A7BE-FBCD34340234}"/>
            </c:ext>
          </c:extLst>
        </c:ser>
        <c:ser>
          <c:idx val="2"/>
          <c:order val="2"/>
          <c:tx>
            <c:strRef>
              <c:f>'vybrané inf.systémy'!$D$50</c:f>
              <c:strCache>
                <c:ptCount val="1"/>
                <c:pt idx="0">
                  <c:v> nástroje BI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'vybrané inf.systémy'!$A$51:$A$54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inf.systémy'!$D$51:$D$54</c:f>
              <c:numCache>
                <c:formatCode>0%</c:formatCode>
                <c:ptCount val="4"/>
                <c:pt idx="0">
                  <c:v>0.109</c:v>
                </c:pt>
                <c:pt idx="1">
                  <c:v>6.4000000000000001E-2</c:v>
                </c:pt>
                <c:pt idx="2">
                  <c:v>0.22900000000000001</c:v>
                </c:pt>
                <c:pt idx="3">
                  <c:v>0.53100000000000003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6E-4727-A7BE-FBCD34340234}"/>
            </c:ext>
          </c:extLst>
        </c:ser>
        <c:ser>
          <c:idx val="3"/>
          <c:order val="3"/>
          <c:tx>
            <c:strRef>
              <c:f>'vybrané inf.systémy'!$E$50</c:f>
              <c:strCache>
                <c:ptCount val="1"/>
                <c:pt idx="0">
                  <c:v> SCM</c:v>
                </c:pt>
              </c:strCache>
            </c:strRef>
          </c:tx>
          <c:spPr>
            <a:solidFill>
              <a:srgbClr val="007D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inf.systémy'!$A$51:$A$54</c:f>
              <c:strCache>
                <c:ptCount val="4"/>
                <c:pt idx="0">
                  <c:v>Podniky celkem 
(10+ zaměstnanců)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'vybrané inf.systémy'!$E$51:$E$54</c:f>
              <c:numCache>
                <c:formatCode>0%</c:formatCode>
                <c:ptCount val="4"/>
                <c:pt idx="0">
                  <c:v>0.09</c:v>
                </c:pt>
                <c:pt idx="1">
                  <c:v>6.4000000000000001E-2</c:v>
                </c:pt>
                <c:pt idx="2">
                  <c:v>0.14799999999999999</c:v>
                </c:pt>
                <c:pt idx="3">
                  <c:v>0.378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6E-4727-A7BE-FBCD34340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8790400"/>
        <c:axId val="178791936"/>
      </c:barChart>
      <c:catAx>
        <c:axId val="1787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791936"/>
        <c:crosses val="autoZero"/>
        <c:auto val="1"/>
        <c:lblAlgn val="ctr"/>
        <c:lblOffset val="100"/>
        <c:noMultiLvlLbl val="0"/>
      </c:catAx>
      <c:valAx>
        <c:axId val="17879193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879040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1.5615818209478853E-2"/>
          <c:w val="0.99692834604205283"/>
          <c:h val="0.125816989493054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747211144338891"/>
          <c:y val="2.5898187996807969E-2"/>
          <c:w val="0.52252788855661114"/>
          <c:h val="0.9448598868612315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9BB4"/>
            </a:solidFill>
          </c:spPr>
          <c:invertIfNegative val="0"/>
          <c:dPt>
            <c:idx val="13"/>
            <c:invertIfNegative val="0"/>
            <c:bubble3D val="0"/>
            <c:spPr>
              <a:solidFill>
                <a:srgbClr val="47E5FF"/>
              </a:solidFill>
            </c:spPr>
            <c:extLst>
              <c:ext xmlns:c16="http://schemas.microsoft.com/office/drawing/2014/chart" uri="{C3380CC4-5D6E-409C-BE32-E72D297353CC}">
                <c16:uniqueId val="{00000001-DA84-4532-BA84-0D79B3883E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'vybrané inf.systémy'!$A$104:$A$117</c:f>
              <c:strCache>
                <c:ptCount val="14"/>
                <c:pt idx="0">
                  <c:v>Textilní, oděvní a obuvnický průmysl (NACE 13-15)</c:v>
                </c:pt>
                <c:pt idx="1">
                  <c:v>Dřevozpracující a papírenský průmysl (NACE 16-18)</c:v>
                </c:pt>
                <c:pt idx="2">
                  <c:v>Potravinářský průmysl (NACE 10-12)</c:v>
                </c:pt>
                <c:pt idx="3">
                  <c:v>Ostatní zpracovatelský průmysl (NACE 31-33)</c:v>
                </c:pt>
                <c:pt idx="4">
                  <c:v>Metalurgický a kovozpracující průmysl (NACE 24-25)</c:v>
                </c:pt>
                <c:pt idx="5">
                  <c:v>Průmysl skla a stavebních hmot (NACE 23)</c:v>
                </c:pt>
                <c:pt idx="6">
                  <c:v>Gumárenský průmysl a výroba plastů (NACE 22)</c:v>
                </c:pt>
                <c:pt idx="7">
                  <c:v>Strojírenský průmysl (NACE 28)</c:v>
                </c:pt>
                <c:pt idx="8">
                  <c:v>Elektrotechnický průmysl (NACE 27)</c:v>
                </c:pt>
                <c:pt idx="9">
                  <c:v>Elektronický průmysl (NACE 26)</c:v>
                </c:pt>
                <c:pt idx="10">
                  <c:v>Výroba ostatních dopravních prostředků (NACE 30)</c:v>
                </c:pt>
                <c:pt idx="11">
                  <c:v>Chemický a farmaceutický průmysl (NACE 19-21)</c:v>
                </c:pt>
                <c:pt idx="12">
                  <c:v>Automobilový průmysl (NACE 29)</c:v>
                </c:pt>
                <c:pt idx="13">
                  <c:v>Zpracovatelský průmysl celkem</c:v>
                </c:pt>
              </c:strCache>
            </c:strRef>
          </c:cat>
          <c:val>
            <c:numRef>
              <c:f>'vybrané inf.systémy'!$B$104:$B$117</c:f>
              <c:numCache>
                <c:formatCode>0%</c:formatCode>
                <c:ptCount val="14"/>
                <c:pt idx="0">
                  <c:v>0.219</c:v>
                </c:pt>
                <c:pt idx="1">
                  <c:v>0.22700000000000001</c:v>
                </c:pt>
                <c:pt idx="2">
                  <c:v>0.26700000000000002</c:v>
                </c:pt>
                <c:pt idx="3">
                  <c:v>0.29299999999999998</c:v>
                </c:pt>
                <c:pt idx="4">
                  <c:v>0.34599999999999997</c:v>
                </c:pt>
                <c:pt idx="5">
                  <c:v>0.36849999999999999</c:v>
                </c:pt>
                <c:pt idx="6">
                  <c:v>0.43120000000000003</c:v>
                </c:pt>
                <c:pt idx="7">
                  <c:v>0.47420000000000001</c:v>
                </c:pt>
                <c:pt idx="8">
                  <c:v>0.4793</c:v>
                </c:pt>
                <c:pt idx="9">
                  <c:v>0.60099999999999998</c:v>
                </c:pt>
                <c:pt idx="10">
                  <c:v>0.61909999999999998</c:v>
                </c:pt>
                <c:pt idx="11">
                  <c:v>0.63319999999999999</c:v>
                </c:pt>
                <c:pt idx="12">
                  <c:v>0.69589999999999996</c:v>
                </c:pt>
                <c:pt idx="13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84-4532-BA84-0D79B3883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131648"/>
        <c:axId val="175137536"/>
      </c:barChart>
      <c:catAx>
        <c:axId val="17513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crossAx val="175137536"/>
        <c:crosses val="autoZero"/>
        <c:auto val="1"/>
        <c:lblAlgn val="ctr"/>
        <c:lblOffset val="100"/>
        <c:noMultiLvlLbl val="0"/>
      </c:catAx>
      <c:valAx>
        <c:axId val="175137536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751316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5519616651692128E-2"/>
          <c:y val="2.4904699412573422E-2"/>
          <c:w val="0.95596390073882276"/>
          <c:h val="0.742001836547291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47E5FF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1-36FB-4CE8-9B41-8FB5CCE59D8D}"/>
              </c:ext>
            </c:extLst>
          </c:dPt>
          <c:dPt>
            <c:idx val="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36FB-4CE8-9B41-8FB5CCE59D8D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36FB-4CE8-9B41-8FB5CCE59D8D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7-36FB-4CE8-9B41-8FB5CCE59D8D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36FB-4CE8-9B41-8FB5CCE59D8D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B-36FB-4CE8-9B41-8FB5CCE59D8D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36FB-4CE8-9B41-8FB5CCE59D8D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36FB-4CE8-9B41-8FB5CCE59D8D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36FB-4CE8-9B41-8FB5CCE59D8D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36FB-4CE8-9B41-8FB5CCE59D8D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36FB-4CE8-9B41-8FB5CCE59D8D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17-36FB-4CE8-9B41-8FB5CCE59D8D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36FB-4CE8-9B41-8FB5CCE59D8D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36FB-4CE8-9B41-8FB5CCE59D8D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36FB-4CE8-9B41-8FB5CCE59D8D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F-36FB-4CE8-9B41-8FB5CCE59D8D}"/>
              </c:ext>
            </c:extLst>
          </c:dPt>
          <c:dPt>
            <c:idx val="27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21-36FB-4CE8-9B41-8FB5CCE59D8D}"/>
              </c:ext>
            </c:extLst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FB-4CE8-9B41-8FB5CCE59D8D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FB-4CE8-9B41-8FB5CCE59D8D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inf.systémy'!$A$215:$A$241</c:f>
              <c:strCache>
                <c:ptCount val="27"/>
                <c:pt idx="0">
                  <c:v>Slovinsko</c:v>
                </c:pt>
                <c:pt idx="1">
                  <c:v>Česko</c:v>
                </c:pt>
                <c:pt idx="2">
                  <c:v>Dánsko</c:v>
                </c:pt>
                <c:pt idx="3">
                  <c:v>Německo</c:v>
                </c:pt>
                <c:pt idx="4">
                  <c:v>Belgie</c:v>
                </c:pt>
                <c:pt idx="5">
                  <c:v>Španělsko</c:v>
                </c:pt>
                <c:pt idx="6">
                  <c:v>Rakousko</c:v>
                </c:pt>
                <c:pt idx="7">
                  <c:v>Finsko</c:v>
                </c:pt>
                <c:pt idx="8">
                  <c:v>Irsko</c:v>
                </c:pt>
                <c:pt idx="9">
                  <c:v>EU27</c:v>
                </c:pt>
                <c:pt idx="10">
                  <c:v>Polsko</c:v>
                </c:pt>
                <c:pt idx="11">
                  <c:v>Nizozemsko</c:v>
                </c:pt>
                <c:pt idx="12">
                  <c:v>Francie</c:v>
                </c:pt>
                <c:pt idx="13">
                  <c:v>Lucembursko</c:v>
                </c:pt>
                <c:pt idx="14">
                  <c:v>Malta</c:v>
                </c:pt>
                <c:pt idx="15">
                  <c:v>Portugalsko</c:v>
                </c:pt>
                <c:pt idx="16">
                  <c:v>Slovensko</c:v>
                </c:pt>
                <c:pt idx="17">
                  <c:v>Estonsko</c:v>
                </c:pt>
                <c:pt idx="18">
                  <c:v>Kypr</c:v>
                </c:pt>
                <c:pt idx="19">
                  <c:v>Itálie</c:v>
                </c:pt>
                <c:pt idx="20">
                  <c:v>Chorvatsko</c:v>
                </c:pt>
                <c:pt idx="21">
                  <c:v>Litva</c:v>
                </c:pt>
                <c:pt idx="22">
                  <c:v>Švédsko</c:v>
                </c:pt>
                <c:pt idx="23">
                  <c:v>Bulharsko</c:v>
                </c:pt>
                <c:pt idx="24">
                  <c:v>Lotyšsko</c:v>
                </c:pt>
                <c:pt idx="25">
                  <c:v>Řecko</c:v>
                </c:pt>
                <c:pt idx="26">
                  <c:v>Rumunsko</c:v>
                </c:pt>
              </c:strCache>
            </c:strRef>
          </c:cat>
          <c:val>
            <c:numRef>
              <c:f>'vybrané inf.systémy'!$B$215:$B$241</c:f>
              <c:numCache>
                <c:formatCode>0%</c:formatCode>
                <c:ptCount val="27"/>
                <c:pt idx="0">
                  <c:v>0.379191</c:v>
                </c:pt>
                <c:pt idx="1">
                  <c:v>0.37532799999999999</c:v>
                </c:pt>
                <c:pt idx="2">
                  <c:v>0.36533700000000002</c:v>
                </c:pt>
                <c:pt idx="3">
                  <c:v>0.35464099999999998</c:v>
                </c:pt>
                <c:pt idx="4">
                  <c:v>0.31260399999999999</c:v>
                </c:pt>
                <c:pt idx="5">
                  <c:v>0.310998</c:v>
                </c:pt>
                <c:pt idx="6">
                  <c:v>0.29508099999999998</c:v>
                </c:pt>
                <c:pt idx="7">
                  <c:v>0.27617700000000001</c:v>
                </c:pt>
                <c:pt idx="8">
                  <c:v>0.26007400000000003</c:v>
                </c:pt>
                <c:pt idx="9">
                  <c:v>0.24565600000000001</c:v>
                </c:pt>
                <c:pt idx="10">
                  <c:v>0.238236</c:v>
                </c:pt>
                <c:pt idx="11">
                  <c:v>0.23519899999999999</c:v>
                </c:pt>
                <c:pt idx="12">
                  <c:v>0.22997200000000001</c:v>
                </c:pt>
                <c:pt idx="13">
                  <c:v>0.22487399999999999</c:v>
                </c:pt>
                <c:pt idx="14">
                  <c:v>0.20849599999999999</c:v>
                </c:pt>
                <c:pt idx="15">
                  <c:v>0.19178500000000001</c:v>
                </c:pt>
                <c:pt idx="16">
                  <c:v>0.17793400000000001</c:v>
                </c:pt>
                <c:pt idx="17">
                  <c:v>0.17690600000000001</c:v>
                </c:pt>
                <c:pt idx="18">
                  <c:v>0.15498799999999999</c:v>
                </c:pt>
                <c:pt idx="19">
                  <c:v>0.14252400000000001</c:v>
                </c:pt>
                <c:pt idx="20">
                  <c:v>0.138933</c:v>
                </c:pt>
                <c:pt idx="21">
                  <c:v>0.13098399999999999</c:v>
                </c:pt>
                <c:pt idx="22">
                  <c:v>0.130188</c:v>
                </c:pt>
                <c:pt idx="23">
                  <c:v>0.125276</c:v>
                </c:pt>
                <c:pt idx="24">
                  <c:v>0.113062</c:v>
                </c:pt>
                <c:pt idx="25">
                  <c:v>9.6893999999999994E-2</c:v>
                </c:pt>
                <c:pt idx="26">
                  <c:v>9.4112000000000001E-2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36FB-4CE8-9B41-8FB5CCE59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8718592"/>
        <c:axId val="178719744"/>
      </c:barChart>
      <c:catAx>
        <c:axId val="1787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78719744"/>
        <c:crosses val="autoZero"/>
        <c:auto val="1"/>
        <c:lblAlgn val="ctr"/>
        <c:lblOffset val="100"/>
        <c:noMultiLvlLbl val="0"/>
      </c:catAx>
      <c:valAx>
        <c:axId val="178719744"/>
        <c:scaling>
          <c:orientation val="minMax"/>
          <c:max val="0.5"/>
          <c:min val="0"/>
        </c:scaling>
        <c:delete val="0"/>
        <c:axPos val="l"/>
        <c:majorGridlines>
          <c:spPr>
            <a:ln w="3175">
              <a:solidFill>
                <a:srgbClr val="B4B4B4">
                  <a:alpha val="80000"/>
                </a:srgbClr>
              </a:solidFill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crossAx val="17871859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41552072223781E-2"/>
          <c:y val="3.1769641933444448E-2"/>
          <c:w val="0.93813677362381309"/>
          <c:h val="0.761454489721631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A3B8-46D8-BDE9-71E1099A949F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A3B8-46D8-BDE9-71E1099A949F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A3B8-46D8-BDE9-71E1099A949F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A3B8-46D8-BDE9-71E1099A949F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A3B8-46D8-BDE9-71E1099A949F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A3B8-46D8-BDE9-71E1099A949F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A3B8-46D8-BDE9-71E1099A949F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A3B8-46D8-BDE9-71E1099A949F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A3B8-46D8-BDE9-71E1099A949F}"/>
              </c:ext>
            </c:extLst>
          </c:dPt>
          <c:dPt>
            <c:idx val="2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A3B8-46D8-BDE9-71E1099A949F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A3B8-46D8-BDE9-71E1099A949F}"/>
              </c:ext>
            </c:extLst>
          </c:dPt>
          <c:dLbls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B8-46D8-BDE9-71E1099A949F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3B8-46D8-BDE9-71E1099A94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inf.systémy'!$A$74:$A$101</c:f>
              <c:strCache>
                <c:ptCount val="28"/>
                <c:pt idx="0">
                  <c:v>Dánsko</c:v>
                </c:pt>
                <c:pt idx="1">
                  <c:v>Belgie</c:v>
                </c:pt>
                <c:pt idx="2">
                  <c:v>Švédsko</c:v>
                </c:pt>
                <c:pt idx="3">
                  <c:v>Finsko</c:v>
                </c:pt>
                <c:pt idx="4">
                  <c:v>Španělsko</c:v>
                </c:pt>
                <c:pt idx="5">
                  <c:v>Nizozemsko</c:v>
                </c:pt>
                <c:pt idx="6">
                  <c:v>Francie</c:v>
                </c:pt>
                <c:pt idx="7">
                  <c:v>Portugalsko</c:v>
                </c:pt>
                <c:pt idx="8">
                  <c:v>Malta</c:v>
                </c:pt>
                <c:pt idx="9">
                  <c:v>Řecko</c:v>
                </c:pt>
                <c:pt idx="10">
                  <c:v>Lucembursko</c:v>
                </c:pt>
                <c:pt idx="11">
                  <c:v>Německo</c:v>
                </c:pt>
                <c:pt idx="12">
                  <c:v>EU27</c:v>
                </c:pt>
                <c:pt idx="13">
                  <c:v>Itálie</c:v>
                </c:pt>
                <c:pt idx="14">
                  <c:v>Litva</c:v>
                </c:pt>
                <c:pt idx="15">
                  <c:v>Kypr</c:v>
                </c:pt>
                <c:pt idx="16">
                  <c:v>Rakousko</c:v>
                </c:pt>
                <c:pt idx="17">
                  <c:v>Slovinsko</c:v>
                </c:pt>
                <c:pt idx="18">
                  <c:v>Polsko</c:v>
                </c:pt>
                <c:pt idx="19">
                  <c:v>Maďarsko</c:v>
                </c:pt>
                <c:pt idx="20">
                  <c:v>Lotyšsko</c:v>
                </c:pt>
                <c:pt idx="21">
                  <c:v>Estonsko</c:v>
                </c:pt>
                <c:pt idx="22">
                  <c:v>Irsko</c:v>
                </c:pt>
                <c:pt idx="23">
                  <c:v>Česko</c:v>
                </c:pt>
                <c:pt idx="24">
                  <c:v>Slovensko</c:v>
                </c:pt>
                <c:pt idx="25">
                  <c:v>Chorvatsko</c:v>
                </c:pt>
                <c:pt idx="26">
                  <c:v>Rumunsko</c:v>
                </c:pt>
                <c:pt idx="27">
                  <c:v>Bulharsko</c:v>
                </c:pt>
              </c:strCache>
            </c:strRef>
          </c:cat>
          <c:val>
            <c:numRef>
              <c:f>'vybrané inf.systémy'!$B$74:$B$101</c:f>
              <c:numCache>
                <c:formatCode>0%</c:formatCode>
                <c:ptCount val="28"/>
                <c:pt idx="0">
                  <c:v>0.67258300000000004</c:v>
                </c:pt>
                <c:pt idx="1">
                  <c:v>0.59516999999999998</c:v>
                </c:pt>
                <c:pt idx="2">
                  <c:v>0.58606899999999995</c:v>
                </c:pt>
                <c:pt idx="3">
                  <c:v>0.569137</c:v>
                </c:pt>
                <c:pt idx="4">
                  <c:v>0.54624899999999998</c:v>
                </c:pt>
                <c:pt idx="5">
                  <c:v>0.49923000000000001</c:v>
                </c:pt>
                <c:pt idx="6">
                  <c:v>0.47283199999999997</c:v>
                </c:pt>
                <c:pt idx="7">
                  <c:v>0.47226800000000002</c:v>
                </c:pt>
                <c:pt idx="8">
                  <c:v>0.46518399999999999</c:v>
                </c:pt>
                <c:pt idx="9">
                  <c:v>0.453291</c:v>
                </c:pt>
                <c:pt idx="10">
                  <c:v>0.43841400000000003</c:v>
                </c:pt>
                <c:pt idx="11">
                  <c:v>0.43708000000000002</c:v>
                </c:pt>
                <c:pt idx="12">
                  <c:v>0.43309500000000001</c:v>
                </c:pt>
                <c:pt idx="13">
                  <c:v>0.42248400000000003</c:v>
                </c:pt>
                <c:pt idx="14">
                  <c:v>0.41923700000000003</c:v>
                </c:pt>
                <c:pt idx="15">
                  <c:v>0.41611599999999999</c:v>
                </c:pt>
                <c:pt idx="16">
                  <c:v>0.40125899999999998</c:v>
                </c:pt>
                <c:pt idx="17">
                  <c:v>0.37006</c:v>
                </c:pt>
                <c:pt idx="18">
                  <c:v>0.359767</c:v>
                </c:pt>
                <c:pt idx="19">
                  <c:v>0.35215400000000002</c:v>
                </c:pt>
                <c:pt idx="20">
                  <c:v>0.340223</c:v>
                </c:pt>
                <c:pt idx="21">
                  <c:v>0.311498</c:v>
                </c:pt>
                <c:pt idx="22">
                  <c:v>0.30240699999999998</c:v>
                </c:pt>
                <c:pt idx="23">
                  <c:v>0.290329</c:v>
                </c:pt>
                <c:pt idx="24">
                  <c:v>0.26186199999999998</c:v>
                </c:pt>
                <c:pt idx="25">
                  <c:v>0.253888</c:v>
                </c:pt>
                <c:pt idx="26">
                  <c:v>0.22614799999999999</c:v>
                </c:pt>
                <c:pt idx="27">
                  <c:v>0.21698200000000001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3B8-46D8-BDE9-71E1099A9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33587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41552072223781E-2"/>
          <c:y val="8.3675562452503655E-2"/>
          <c:w val="0.93813677362381309"/>
          <c:h val="0.70954856920257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'vybrané inf.systémy'!$B$120</c:f>
              <c:strCache>
                <c:ptCount val="1"/>
                <c:pt idx="0">
                  <c:v> CRM systém/ aplikace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4163-4F58-B3C3-6F78BA03BBAF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4163-4F58-B3C3-6F78BA03BBAF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4163-4F58-B3C3-6F78BA03BBAF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4163-4F58-B3C3-6F78BA03BBAF}"/>
              </c:ext>
            </c:extLst>
          </c:dPt>
          <c:dPt>
            <c:idx val="14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163-4F58-B3C3-6F78BA03BBAF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4163-4F58-B3C3-6F78BA03BBAF}"/>
              </c:ext>
            </c:extLst>
          </c:dPt>
          <c:dPt>
            <c:idx val="19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4163-4F58-B3C3-6F78BA03BBAF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4163-4F58-B3C3-6F78BA03BBAF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4163-4F58-B3C3-6F78BA03BBAF}"/>
              </c:ext>
            </c:extLst>
          </c:dPt>
          <c:dPt>
            <c:idx val="2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4163-4F58-B3C3-6F78BA03BBAF}"/>
              </c:ext>
            </c:extLst>
          </c:dPt>
          <c:dPt>
            <c:idx val="2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4163-4F58-B3C3-6F78BA03BBAF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63-4F58-B3C3-6F78BA03BBAF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63-4F58-B3C3-6F78BA03B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inf.systémy'!$A$121:$A$148</c:f>
              <c:strCache>
                <c:ptCount val="28"/>
                <c:pt idx="0">
                  <c:v>Finsko</c:v>
                </c:pt>
                <c:pt idx="1">
                  <c:v>Nizozemsko</c:v>
                </c:pt>
                <c:pt idx="2">
                  <c:v>Dánsko</c:v>
                </c:pt>
                <c:pt idx="3">
                  <c:v>Belgie</c:v>
                </c:pt>
                <c:pt idx="4">
                  <c:v>Malta</c:v>
                </c:pt>
                <c:pt idx="5">
                  <c:v>Litva</c:v>
                </c:pt>
                <c:pt idx="6">
                  <c:v>Lucembursko</c:v>
                </c:pt>
                <c:pt idx="7">
                  <c:v>Švédsko</c:v>
                </c:pt>
                <c:pt idx="8">
                  <c:v>Rakousko</c:v>
                </c:pt>
                <c:pt idx="9">
                  <c:v>Kypr</c:v>
                </c:pt>
                <c:pt idx="10">
                  <c:v>Španělsko</c:v>
                </c:pt>
                <c:pt idx="11">
                  <c:v>Polsko</c:v>
                </c:pt>
                <c:pt idx="12">
                  <c:v>Německo</c:v>
                </c:pt>
                <c:pt idx="13">
                  <c:v>Irsko</c:v>
                </c:pt>
                <c:pt idx="14">
                  <c:v>EU27</c:v>
                </c:pt>
                <c:pt idx="15">
                  <c:v>Francie</c:v>
                </c:pt>
                <c:pt idx="16">
                  <c:v>Portugalsko</c:v>
                </c:pt>
                <c:pt idx="17">
                  <c:v>Maďarsko</c:v>
                </c:pt>
                <c:pt idx="18">
                  <c:v>Slovinsko</c:v>
                </c:pt>
                <c:pt idx="19">
                  <c:v>Česko</c:v>
                </c:pt>
                <c:pt idx="20">
                  <c:v>Chorvatsko</c:v>
                </c:pt>
                <c:pt idx="21">
                  <c:v>Estonsko</c:v>
                </c:pt>
                <c:pt idx="22">
                  <c:v>Itálie</c:v>
                </c:pt>
                <c:pt idx="23">
                  <c:v>Slovensko</c:v>
                </c:pt>
                <c:pt idx="24">
                  <c:v>Lotyšsko</c:v>
                </c:pt>
                <c:pt idx="25">
                  <c:v>Řecko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'vybrané inf.systémy'!$B$121:$B$148</c:f>
              <c:numCache>
                <c:formatCode>0%</c:formatCode>
                <c:ptCount val="28"/>
                <c:pt idx="0">
                  <c:v>0.49395299999999998</c:v>
                </c:pt>
                <c:pt idx="1">
                  <c:v>0.48388900000000001</c:v>
                </c:pt>
                <c:pt idx="2">
                  <c:v>0.42310599999999998</c:v>
                </c:pt>
                <c:pt idx="3">
                  <c:v>0.39434900000000001</c:v>
                </c:pt>
                <c:pt idx="4">
                  <c:v>0.39191999999999999</c:v>
                </c:pt>
                <c:pt idx="5">
                  <c:v>0.31095499999999998</c:v>
                </c:pt>
                <c:pt idx="6">
                  <c:v>0.30438500000000002</c:v>
                </c:pt>
                <c:pt idx="7">
                  <c:v>0.30149700000000001</c:v>
                </c:pt>
                <c:pt idx="8">
                  <c:v>0.29655500000000001</c:v>
                </c:pt>
                <c:pt idx="9">
                  <c:v>0.29480299999999998</c:v>
                </c:pt>
                <c:pt idx="10">
                  <c:v>0.28488200000000002</c:v>
                </c:pt>
                <c:pt idx="11">
                  <c:v>0.28469800000000001</c:v>
                </c:pt>
                <c:pt idx="12">
                  <c:v>0.27488800000000002</c:v>
                </c:pt>
                <c:pt idx="13">
                  <c:v>0.27467399999999997</c:v>
                </c:pt>
                <c:pt idx="14">
                  <c:v>0.25752000000000003</c:v>
                </c:pt>
                <c:pt idx="15">
                  <c:v>0.24543499999999999</c:v>
                </c:pt>
                <c:pt idx="16">
                  <c:v>0.20821300000000001</c:v>
                </c:pt>
                <c:pt idx="17">
                  <c:v>0.2046</c:v>
                </c:pt>
                <c:pt idx="18">
                  <c:v>0.20350099999999999</c:v>
                </c:pt>
                <c:pt idx="19">
                  <c:v>0.19845499999999999</c:v>
                </c:pt>
                <c:pt idx="20">
                  <c:v>0.19363900000000001</c:v>
                </c:pt>
                <c:pt idx="21">
                  <c:v>0.19361900000000001</c:v>
                </c:pt>
                <c:pt idx="22">
                  <c:v>0.19175500000000001</c:v>
                </c:pt>
                <c:pt idx="23">
                  <c:v>0.173905</c:v>
                </c:pt>
                <c:pt idx="24">
                  <c:v>0.16465199999999999</c:v>
                </c:pt>
                <c:pt idx="25">
                  <c:v>0.15215600000000001</c:v>
                </c:pt>
                <c:pt idx="26">
                  <c:v>0.105475</c:v>
                </c:pt>
                <c:pt idx="27">
                  <c:v>0.100726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163-4F58-B3C3-6F78BA03BBAF}"/>
            </c:ext>
          </c:extLst>
        </c:ser>
        <c:ser>
          <c:idx val="1"/>
          <c:order val="1"/>
          <c:tx>
            <c:strRef>
              <c:f>'vybrané inf.systémy'!$C$120</c:f>
              <c:strCache>
                <c:ptCount val="1"/>
                <c:pt idx="0">
                  <c:v> nástroje BI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8-4163-4F58-B3C3-6F78BA03BBAF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A-4163-4F58-B3C3-6F78BA03BBAF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163-4F58-B3C3-6F78BA03BBAF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163-4F58-B3C3-6F78BA03B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'vybrané inf.systémy'!$A$121:$A$148</c:f>
              <c:strCache>
                <c:ptCount val="28"/>
                <c:pt idx="0">
                  <c:v>Finsko</c:v>
                </c:pt>
                <c:pt idx="1">
                  <c:v>Nizozemsko</c:v>
                </c:pt>
                <c:pt idx="2">
                  <c:v>Dánsko</c:v>
                </c:pt>
                <c:pt idx="3">
                  <c:v>Belgie</c:v>
                </c:pt>
                <c:pt idx="4">
                  <c:v>Malta</c:v>
                </c:pt>
                <c:pt idx="5">
                  <c:v>Litva</c:v>
                </c:pt>
                <c:pt idx="6">
                  <c:v>Lucembursko</c:v>
                </c:pt>
                <c:pt idx="7">
                  <c:v>Švédsko</c:v>
                </c:pt>
                <c:pt idx="8">
                  <c:v>Rakousko</c:v>
                </c:pt>
                <c:pt idx="9">
                  <c:v>Kypr</c:v>
                </c:pt>
                <c:pt idx="10">
                  <c:v>Španělsko</c:v>
                </c:pt>
                <c:pt idx="11">
                  <c:v>Polsko</c:v>
                </c:pt>
                <c:pt idx="12">
                  <c:v>Německo</c:v>
                </c:pt>
                <c:pt idx="13">
                  <c:v>Irsko</c:v>
                </c:pt>
                <c:pt idx="14">
                  <c:v>EU27</c:v>
                </c:pt>
                <c:pt idx="15">
                  <c:v>Francie</c:v>
                </c:pt>
                <c:pt idx="16">
                  <c:v>Portugalsko</c:v>
                </c:pt>
                <c:pt idx="17">
                  <c:v>Maďarsko</c:v>
                </c:pt>
                <c:pt idx="18">
                  <c:v>Slovinsko</c:v>
                </c:pt>
                <c:pt idx="19">
                  <c:v>Česko</c:v>
                </c:pt>
                <c:pt idx="20">
                  <c:v>Chorvatsko</c:v>
                </c:pt>
                <c:pt idx="21">
                  <c:v>Estonsko</c:v>
                </c:pt>
                <c:pt idx="22">
                  <c:v>Itálie</c:v>
                </c:pt>
                <c:pt idx="23">
                  <c:v>Slovensko</c:v>
                </c:pt>
                <c:pt idx="24">
                  <c:v>Lotyšsko</c:v>
                </c:pt>
                <c:pt idx="25">
                  <c:v>Řecko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'vybrané inf.systémy'!$C$121:$C$148</c:f>
              <c:numCache>
                <c:formatCode>0%</c:formatCode>
                <c:ptCount val="28"/>
                <c:pt idx="0">
                  <c:v>0.38877400000000001</c:v>
                </c:pt>
                <c:pt idx="1">
                  <c:v>0.296904</c:v>
                </c:pt>
                <c:pt idx="2">
                  <c:v>0.40259299999999998</c:v>
                </c:pt>
                <c:pt idx="3">
                  <c:v>0.31186199999999997</c:v>
                </c:pt>
                <c:pt idx="4">
                  <c:v>0.21986800000000001</c:v>
                </c:pt>
                <c:pt idx="5">
                  <c:v>0.11619699999999999</c:v>
                </c:pt>
                <c:pt idx="6">
                  <c:v>0.195688</c:v>
                </c:pt>
                <c:pt idx="7">
                  <c:v>0.221522</c:v>
                </c:pt>
                <c:pt idx="8">
                  <c:v>0.17778099999999999</c:v>
                </c:pt>
                <c:pt idx="9">
                  <c:v>0.20818300000000001</c:v>
                </c:pt>
                <c:pt idx="10">
                  <c:v>0.180121</c:v>
                </c:pt>
                <c:pt idx="11">
                  <c:v>0.105077</c:v>
                </c:pt>
                <c:pt idx="12">
                  <c:v>0.14193700000000001</c:v>
                </c:pt>
                <c:pt idx="13">
                  <c:v>0.21260599999999999</c:v>
                </c:pt>
                <c:pt idx="14">
                  <c:v>0.153227</c:v>
                </c:pt>
                <c:pt idx="15">
                  <c:v>0.10664800000000001</c:v>
                </c:pt>
                <c:pt idx="16">
                  <c:v>0.11840100000000001</c:v>
                </c:pt>
                <c:pt idx="17">
                  <c:v>7.9440999999999998E-2</c:v>
                </c:pt>
                <c:pt idx="18">
                  <c:v>0.13145000000000001</c:v>
                </c:pt>
                <c:pt idx="19">
                  <c:v>0.10921400000000001</c:v>
                </c:pt>
                <c:pt idx="20">
                  <c:v>0.119965</c:v>
                </c:pt>
                <c:pt idx="21">
                  <c:v>0.15870000000000001</c:v>
                </c:pt>
                <c:pt idx="22">
                  <c:v>0.17621800000000001</c:v>
                </c:pt>
                <c:pt idx="23">
                  <c:v>0.130047</c:v>
                </c:pt>
                <c:pt idx="24">
                  <c:v>9.3847E-2</c:v>
                </c:pt>
                <c:pt idx="25">
                  <c:v>8.7008000000000002E-2</c:v>
                </c:pt>
                <c:pt idx="26">
                  <c:v>4.1877999999999999E-2</c:v>
                </c:pt>
                <c:pt idx="27">
                  <c:v>7.4480000000000005E-2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4163-4F58-B3C3-6F78BA03B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0.70000000000000007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33587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layout>
        <c:manualLayout>
          <c:xMode val="edge"/>
          <c:yMode val="edge"/>
          <c:x val="0.25615571895848804"/>
          <c:y val="1.9464720194647202E-2"/>
          <c:w val="0.47245031457822489"/>
          <c:h val="4.8160877700506415E-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C437-AF9A-45FE-9B33-3ADC200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23</TotalTime>
  <Pages>5</Pages>
  <Words>1235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8</cp:revision>
  <cp:lastPrinted>2024-01-11T13:28:00Z</cp:lastPrinted>
  <dcterms:created xsi:type="dcterms:W3CDTF">2024-01-09T12:24:00Z</dcterms:created>
  <dcterms:modified xsi:type="dcterms:W3CDTF">2024-01-11T13:29:00Z</dcterms:modified>
</cp:coreProperties>
</file>