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9DEC" w14:textId="77777777" w:rsidR="00553139" w:rsidRPr="00387724" w:rsidRDefault="00242A24" w:rsidP="001B3974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9</w:t>
      </w:r>
      <w:r w:rsidR="00553139" w:rsidRPr="0098620F">
        <w:rPr>
          <w:sz w:val="30"/>
          <w:szCs w:val="30"/>
        </w:rPr>
        <w:t xml:space="preserve">. </w:t>
      </w:r>
      <w:r>
        <w:rPr>
          <w:sz w:val="30"/>
          <w:szCs w:val="30"/>
        </w:rPr>
        <w:t>F</w:t>
      </w:r>
      <w:r w:rsidR="00553139" w:rsidRPr="0098620F">
        <w:rPr>
          <w:sz w:val="30"/>
          <w:szCs w:val="30"/>
        </w:rPr>
        <w:t>akturace</w:t>
      </w:r>
      <w:r w:rsidR="00300756">
        <w:rPr>
          <w:sz w:val="30"/>
          <w:szCs w:val="30"/>
        </w:rPr>
        <w:t xml:space="preserve"> </w:t>
      </w:r>
    </w:p>
    <w:p w14:paraId="4EA43BED" w14:textId="02926F05" w:rsidR="0061033C" w:rsidRPr="000242BE" w:rsidRDefault="007F235A" w:rsidP="00242A24">
      <w:pPr>
        <w:pStyle w:val="Zkladntext"/>
        <w:spacing w:before="0" w:after="60" w:line="288" w:lineRule="auto"/>
        <w:ind w:left="62" w:right="0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P</w:t>
      </w:r>
      <w:r w:rsidR="0061033C" w:rsidRPr="000242BE">
        <w:rPr>
          <w:rFonts w:ascii="Arial" w:hAnsi="Arial" w:cs="Arial"/>
          <w:i/>
          <w:spacing w:val="-2"/>
          <w:sz w:val="20"/>
        </w:rPr>
        <w:t xml:space="preserve">roces </w:t>
      </w:r>
      <w:r w:rsidR="004661BA" w:rsidRPr="000242BE">
        <w:rPr>
          <w:rFonts w:ascii="Arial" w:hAnsi="Arial" w:cs="Arial"/>
          <w:i/>
          <w:spacing w:val="-2"/>
          <w:sz w:val="20"/>
        </w:rPr>
        <w:t xml:space="preserve">fakturace </w:t>
      </w:r>
      <w:r w:rsidR="0028187E" w:rsidRPr="000242BE">
        <w:rPr>
          <w:rFonts w:ascii="Arial" w:hAnsi="Arial" w:cs="Arial"/>
          <w:i/>
          <w:spacing w:val="-2"/>
          <w:sz w:val="20"/>
        </w:rPr>
        <w:t xml:space="preserve">obvykle </w:t>
      </w:r>
      <w:r w:rsidR="0061033C" w:rsidRPr="000242BE">
        <w:rPr>
          <w:rFonts w:ascii="Arial" w:hAnsi="Arial" w:cs="Arial"/>
          <w:i/>
          <w:spacing w:val="-2"/>
          <w:sz w:val="20"/>
        </w:rPr>
        <w:t>klade velké nároky na</w:t>
      </w:r>
      <w:r w:rsidR="00C74F6C" w:rsidRPr="000242BE">
        <w:rPr>
          <w:rFonts w:ascii="Arial" w:hAnsi="Arial" w:cs="Arial"/>
          <w:i/>
          <w:spacing w:val="-2"/>
          <w:sz w:val="20"/>
        </w:rPr>
        <w:t> </w:t>
      </w:r>
      <w:r w:rsidR="0061033C" w:rsidRPr="000242BE">
        <w:rPr>
          <w:rFonts w:ascii="Arial" w:hAnsi="Arial" w:cs="Arial"/>
          <w:i/>
          <w:spacing w:val="-2"/>
          <w:sz w:val="20"/>
        </w:rPr>
        <w:t>administrativu napříč celým podnikem. Elektronizace a digitalizace mohou usnadnit plnění povinností, snížení chybovosti</w:t>
      </w:r>
      <w:r>
        <w:rPr>
          <w:rFonts w:ascii="Arial" w:hAnsi="Arial" w:cs="Arial"/>
          <w:i/>
          <w:spacing w:val="-2"/>
          <w:sz w:val="20"/>
        </w:rPr>
        <w:t xml:space="preserve"> i</w:t>
      </w:r>
      <w:r w:rsidR="0061033C" w:rsidRPr="000242BE">
        <w:rPr>
          <w:rFonts w:ascii="Arial" w:hAnsi="Arial" w:cs="Arial"/>
          <w:i/>
          <w:spacing w:val="-2"/>
          <w:sz w:val="20"/>
        </w:rPr>
        <w:t xml:space="preserve"> náklad</w:t>
      </w:r>
      <w:r>
        <w:rPr>
          <w:rFonts w:ascii="Arial" w:hAnsi="Arial" w:cs="Arial"/>
          <w:i/>
          <w:spacing w:val="-2"/>
          <w:sz w:val="20"/>
        </w:rPr>
        <w:t>ů</w:t>
      </w:r>
      <w:r w:rsidR="0061033C" w:rsidRPr="000242BE">
        <w:rPr>
          <w:rFonts w:ascii="Arial" w:hAnsi="Arial" w:cs="Arial"/>
          <w:i/>
          <w:spacing w:val="-2"/>
          <w:sz w:val="20"/>
        </w:rPr>
        <w:t>. V </w:t>
      </w:r>
      <w:r w:rsidR="00242A24">
        <w:rPr>
          <w:rFonts w:ascii="Arial" w:hAnsi="Arial" w:cs="Arial"/>
          <w:i/>
          <w:spacing w:val="-2"/>
          <w:sz w:val="20"/>
        </w:rPr>
        <w:t>tuzemských</w:t>
      </w:r>
      <w:r w:rsidR="0061033C" w:rsidRPr="000242BE">
        <w:rPr>
          <w:rFonts w:ascii="Arial" w:hAnsi="Arial" w:cs="Arial"/>
          <w:i/>
          <w:spacing w:val="-2"/>
          <w:sz w:val="20"/>
        </w:rPr>
        <w:t xml:space="preserve"> firmách je stále velmi rozšířené zasílání faktur</w:t>
      </w:r>
      <w:r w:rsidR="00242A24">
        <w:rPr>
          <w:rFonts w:ascii="Arial" w:hAnsi="Arial" w:cs="Arial"/>
          <w:i/>
          <w:spacing w:val="-2"/>
          <w:sz w:val="20"/>
        </w:rPr>
        <w:t xml:space="preserve"> </w:t>
      </w:r>
      <w:r w:rsidR="0061033C" w:rsidRPr="000242BE">
        <w:rPr>
          <w:rFonts w:ascii="Arial" w:hAnsi="Arial" w:cs="Arial"/>
          <w:i/>
          <w:spacing w:val="-2"/>
          <w:sz w:val="20"/>
        </w:rPr>
        <w:t xml:space="preserve">ve formátu PDF, který </w:t>
      </w:r>
      <w:r w:rsidR="0028187E">
        <w:rPr>
          <w:rFonts w:ascii="Arial" w:hAnsi="Arial" w:cs="Arial"/>
          <w:i/>
          <w:spacing w:val="-2"/>
          <w:sz w:val="20"/>
        </w:rPr>
        <w:t xml:space="preserve">ale </w:t>
      </w:r>
      <w:r w:rsidR="00242A24">
        <w:rPr>
          <w:rFonts w:ascii="Arial" w:hAnsi="Arial" w:cs="Arial"/>
          <w:i/>
          <w:spacing w:val="-2"/>
          <w:sz w:val="20"/>
        </w:rPr>
        <w:t>není vhodný pro automatizované zpracování</w:t>
      </w:r>
      <w:r w:rsidR="0061033C" w:rsidRPr="000242BE">
        <w:rPr>
          <w:rFonts w:ascii="Arial" w:hAnsi="Arial" w:cs="Arial"/>
          <w:i/>
          <w:spacing w:val="-2"/>
          <w:sz w:val="20"/>
        </w:rPr>
        <w:t>. Plnohodnotná elektronická faktura je taková, kde jsou data strojově přenesena do</w:t>
      </w:r>
      <w:r w:rsidR="000E6E2D" w:rsidRPr="000242BE">
        <w:rPr>
          <w:rFonts w:ascii="Arial" w:hAnsi="Arial" w:cs="Arial"/>
          <w:i/>
          <w:spacing w:val="-2"/>
          <w:sz w:val="20"/>
        </w:rPr>
        <w:t xml:space="preserve"> </w:t>
      </w:r>
      <w:r w:rsidR="0061033C" w:rsidRPr="000242BE">
        <w:rPr>
          <w:rFonts w:ascii="Arial" w:hAnsi="Arial" w:cs="Arial"/>
          <w:i/>
          <w:spacing w:val="-2"/>
          <w:sz w:val="20"/>
        </w:rPr>
        <w:t>podnikového či účetního systému protistrany, kde jsou opět elektronicky zpracována.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Takové faktury v roce 202</w:t>
      </w:r>
      <w:r w:rsidR="00242A24">
        <w:rPr>
          <w:rFonts w:ascii="Arial" w:hAnsi="Arial" w:cs="Arial"/>
          <w:i/>
          <w:spacing w:val="-2"/>
          <w:sz w:val="20"/>
        </w:rPr>
        <w:t>3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zasílal</w:t>
      </w:r>
      <w:r w:rsidR="00242A24">
        <w:rPr>
          <w:rFonts w:ascii="Arial" w:hAnsi="Arial" w:cs="Arial"/>
          <w:i/>
          <w:spacing w:val="-2"/>
          <w:sz w:val="20"/>
        </w:rPr>
        <w:t>a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</w:t>
      </w:r>
      <w:r w:rsidR="00242A24">
        <w:rPr>
          <w:rFonts w:ascii="Arial" w:hAnsi="Arial" w:cs="Arial"/>
          <w:i/>
          <w:spacing w:val="-2"/>
          <w:sz w:val="20"/>
        </w:rPr>
        <w:t>pětina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</w:t>
      </w:r>
      <w:r w:rsidR="0028187E">
        <w:rPr>
          <w:rFonts w:ascii="Arial" w:hAnsi="Arial" w:cs="Arial"/>
          <w:i/>
          <w:spacing w:val="-2"/>
          <w:sz w:val="20"/>
        </w:rPr>
        <w:t xml:space="preserve">tuzemských </w:t>
      </w:r>
      <w:r w:rsidR="005E4798" w:rsidRPr="000242BE">
        <w:rPr>
          <w:rFonts w:ascii="Arial" w:hAnsi="Arial" w:cs="Arial"/>
          <w:i/>
          <w:spacing w:val="-2"/>
          <w:sz w:val="20"/>
        </w:rPr>
        <w:t>firem.</w:t>
      </w:r>
    </w:p>
    <w:p w14:paraId="0D9BE119" w14:textId="77777777" w:rsidR="00553139" w:rsidRPr="0098620F" w:rsidRDefault="00553139" w:rsidP="00242A24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14:paraId="0282E9E7" w14:textId="56A5C4E2" w:rsidR="00036996" w:rsidRPr="00534B4B" w:rsidRDefault="00DA1277" w:rsidP="003E5866">
      <w:pPr>
        <w:pStyle w:val="Zkladntex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after="60" w:line="276" w:lineRule="auto"/>
        <w:ind w:left="284" w:right="0" w:hanging="284"/>
        <w:rPr>
          <w:rFonts w:cs="Arial"/>
        </w:rPr>
      </w:pPr>
      <w:r>
        <w:rPr>
          <w:rFonts w:ascii="Arial" w:eastAsia="Calibri" w:hAnsi="Arial" w:cs="Arial"/>
          <w:b/>
          <w:sz w:val="20"/>
          <w:szCs w:val="22"/>
          <w:lang w:eastAsia="en-US"/>
        </w:rPr>
        <w:t>F</w:t>
      </w:r>
      <w:r w:rsidR="005847EE" w:rsidRPr="00534B4B">
        <w:rPr>
          <w:rFonts w:ascii="Arial" w:eastAsia="Calibri" w:hAnsi="Arial" w:cs="Arial"/>
          <w:b/>
          <w:sz w:val="20"/>
          <w:szCs w:val="22"/>
          <w:lang w:eastAsia="en-US"/>
        </w:rPr>
        <w:t xml:space="preserve">akturu </w:t>
      </w:r>
      <w:r w:rsidR="00AC3421" w:rsidRPr="00534B4B">
        <w:rPr>
          <w:rFonts w:ascii="Arial" w:eastAsia="Calibri" w:hAnsi="Arial" w:cs="Arial"/>
          <w:b/>
          <w:sz w:val="20"/>
          <w:szCs w:val="22"/>
          <w:lang w:eastAsia="en-US"/>
        </w:rPr>
        <w:t xml:space="preserve">v </w:t>
      </w:r>
      <w:r w:rsidR="006754EE" w:rsidRPr="00534B4B">
        <w:rPr>
          <w:rFonts w:ascii="Arial" w:eastAsia="Calibri" w:hAnsi="Arial" w:cs="Arial"/>
          <w:b/>
          <w:sz w:val="20"/>
          <w:szCs w:val="22"/>
          <w:lang w:eastAsia="en-US"/>
        </w:rPr>
        <w:t>elektronick</w:t>
      </w:r>
      <w:r w:rsidR="00AC3421" w:rsidRPr="00534B4B">
        <w:rPr>
          <w:rFonts w:ascii="Arial" w:eastAsia="Calibri" w:hAnsi="Arial" w:cs="Arial"/>
          <w:b/>
          <w:sz w:val="20"/>
          <w:szCs w:val="22"/>
          <w:lang w:eastAsia="en-US"/>
        </w:rPr>
        <w:t>é</w:t>
      </w:r>
      <w:r w:rsidR="006754EE" w:rsidRPr="00534B4B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="00AC3421" w:rsidRPr="00534B4B">
        <w:rPr>
          <w:rFonts w:ascii="Arial" w:eastAsia="Calibri" w:hAnsi="Arial" w:cs="Arial"/>
          <w:b/>
          <w:sz w:val="20"/>
          <w:szCs w:val="22"/>
          <w:lang w:eastAsia="en-US"/>
        </w:rPr>
        <w:t>podobě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Pr="003E5866">
        <w:rPr>
          <w:rFonts w:ascii="Arial" w:eastAsia="Calibri" w:hAnsi="Arial" w:cs="Arial"/>
          <w:sz w:val="20"/>
          <w:szCs w:val="22"/>
          <w:lang w:eastAsia="en-US"/>
        </w:rPr>
        <w:t xml:space="preserve">vystavilo a zaslalo </w:t>
      </w:r>
      <w:r w:rsidRPr="00534B4B">
        <w:rPr>
          <w:rFonts w:ascii="Arial" w:eastAsia="Calibri" w:hAnsi="Arial" w:cs="Arial"/>
          <w:sz w:val="20"/>
          <w:szCs w:val="22"/>
          <w:lang w:eastAsia="en-US"/>
        </w:rPr>
        <w:t>v roce 2023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d</w:t>
      </w:r>
      <w:r w:rsidRPr="003E5866">
        <w:rPr>
          <w:rFonts w:ascii="Arial" w:eastAsia="Calibri" w:hAnsi="Arial" w:cs="Arial"/>
          <w:sz w:val="20"/>
          <w:szCs w:val="22"/>
          <w:lang w:eastAsia="en-US"/>
        </w:rPr>
        <w:t>evět firem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v Česku</w:t>
      </w:r>
      <w:r w:rsidRPr="003E5866">
        <w:rPr>
          <w:rFonts w:ascii="Arial" w:eastAsia="Calibri" w:hAnsi="Arial" w:cs="Arial"/>
          <w:sz w:val="20"/>
          <w:szCs w:val="22"/>
          <w:lang w:eastAsia="en-US"/>
        </w:rPr>
        <w:t xml:space="preserve"> z deseti</w:t>
      </w:r>
      <w:r w:rsidR="00254E9B" w:rsidRPr="00534B4B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>Pro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tuzemské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 xml:space="preserve"> podniky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s deseti a více zaměstnanci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AB2188" w:rsidRPr="00534B4B">
        <w:rPr>
          <w:rFonts w:ascii="Arial" w:eastAsia="Calibri" w:hAnsi="Arial" w:cs="Arial"/>
          <w:sz w:val="20"/>
          <w:szCs w:val="22"/>
          <w:lang w:eastAsia="en-US"/>
        </w:rPr>
        <w:t>ale platí, že téměř všechny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585F40" w:rsidRPr="00534B4B">
        <w:rPr>
          <w:rFonts w:ascii="Arial" w:eastAsia="Calibri" w:hAnsi="Arial" w:cs="Arial"/>
          <w:sz w:val="20"/>
          <w:szCs w:val="22"/>
          <w:lang w:eastAsia="en-US"/>
        </w:rPr>
        <w:t>účetní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585F40" w:rsidRPr="00534B4B">
        <w:rPr>
          <w:rFonts w:ascii="Arial" w:eastAsia="Calibri" w:hAnsi="Arial" w:cs="Arial"/>
          <w:sz w:val="20"/>
          <w:szCs w:val="22"/>
          <w:lang w:eastAsia="en-US"/>
        </w:rPr>
        <w:t>doklad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>y</w:t>
      </w:r>
      <w:r w:rsidR="00AB2188" w:rsidRPr="00534B4B">
        <w:rPr>
          <w:rFonts w:ascii="Arial" w:eastAsia="Calibri" w:hAnsi="Arial" w:cs="Arial"/>
          <w:sz w:val="20"/>
          <w:szCs w:val="22"/>
          <w:lang w:eastAsia="en-US"/>
        </w:rPr>
        <w:t xml:space="preserve">, které vystavují v elektronické podobě, jsou 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ve</w:t>
      </w:r>
      <w:r w:rsidR="001B3974" w:rsidRPr="00534B4B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formátu, který </w:t>
      </w:r>
      <w:r w:rsidR="00E2260C" w:rsidRPr="00534B4B">
        <w:rPr>
          <w:rFonts w:ascii="Arial" w:eastAsia="Calibri" w:hAnsi="Arial" w:cs="Arial"/>
          <w:b/>
          <w:sz w:val="20"/>
          <w:szCs w:val="22"/>
          <w:lang w:eastAsia="en-US"/>
        </w:rPr>
        <w:t>neumožň</w:t>
      </w:r>
      <w:r w:rsidR="000E6E2D" w:rsidRPr="00534B4B">
        <w:rPr>
          <w:rFonts w:ascii="Arial" w:eastAsia="Calibri" w:hAnsi="Arial" w:cs="Arial"/>
          <w:b/>
          <w:sz w:val="20"/>
          <w:szCs w:val="22"/>
          <w:lang w:eastAsia="en-US"/>
        </w:rPr>
        <w:t>uje</w:t>
      </w:r>
      <w:r w:rsidR="00E2260C" w:rsidRPr="00534B4B">
        <w:rPr>
          <w:rFonts w:ascii="Arial" w:eastAsia="Calibri" w:hAnsi="Arial" w:cs="Arial"/>
          <w:b/>
          <w:sz w:val="20"/>
          <w:szCs w:val="22"/>
          <w:lang w:eastAsia="en-US"/>
        </w:rPr>
        <w:t xml:space="preserve"> jejich automatizované zpracování</w:t>
      </w:r>
      <w:r w:rsidR="00AB2188" w:rsidRPr="00534B4B">
        <w:rPr>
          <w:rFonts w:ascii="Arial" w:eastAsia="Calibri" w:hAnsi="Arial" w:cs="Arial"/>
          <w:b/>
          <w:sz w:val="20"/>
          <w:szCs w:val="22"/>
          <w:lang w:eastAsia="en-US"/>
        </w:rPr>
        <w:t>.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Často j</w:t>
      </w:r>
      <w:r w:rsidR="00AB2188" w:rsidRPr="00534B4B">
        <w:rPr>
          <w:rFonts w:ascii="Arial" w:eastAsia="Calibri" w:hAnsi="Arial" w:cs="Arial"/>
          <w:sz w:val="20"/>
          <w:szCs w:val="22"/>
          <w:lang w:eastAsia="en-US"/>
        </w:rPr>
        <w:t>de o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faktury </w:t>
      </w:r>
      <w:r w:rsidR="00AB2188" w:rsidRPr="00534B4B">
        <w:rPr>
          <w:rFonts w:ascii="Arial" w:eastAsia="Calibri" w:hAnsi="Arial" w:cs="Arial"/>
          <w:sz w:val="20"/>
          <w:szCs w:val="22"/>
          <w:lang w:eastAsia="en-US"/>
        </w:rPr>
        <w:t xml:space="preserve">zaslané 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e-mailem</w:t>
      </w:r>
      <w:r w:rsidR="007F235A" w:rsidRPr="00534B4B">
        <w:rPr>
          <w:rFonts w:ascii="Arial" w:eastAsia="Calibri" w:hAnsi="Arial" w:cs="Arial"/>
          <w:sz w:val="20"/>
          <w:szCs w:val="22"/>
          <w:lang w:eastAsia="en-US"/>
        </w:rPr>
        <w:t xml:space="preserve">, většinou 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jako příloh</w:t>
      </w:r>
      <w:r w:rsidR="007F235A" w:rsidRPr="00534B4B">
        <w:rPr>
          <w:rFonts w:ascii="Arial" w:eastAsia="Calibri" w:hAnsi="Arial" w:cs="Arial"/>
          <w:sz w:val="20"/>
          <w:szCs w:val="22"/>
          <w:lang w:eastAsia="en-US"/>
        </w:rPr>
        <w:t>a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2260C" w:rsidRPr="00DA1277">
        <w:rPr>
          <w:rFonts w:ascii="Arial" w:eastAsia="Calibri" w:hAnsi="Arial" w:cs="Arial"/>
          <w:b/>
          <w:sz w:val="20"/>
          <w:szCs w:val="22"/>
          <w:lang w:eastAsia="en-US"/>
        </w:rPr>
        <w:t>v PDF formátu</w:t>
      </w:r>
      <w:r w:rsidR="00AB2188" w:rsidRPr="00534B4B">
        <w:rPr>
          <w:rFonts w:ascii="Arial" w:eastAsia="Calibri" w:hAnsi="Arial" w:cs="Arial"/>
          <w:sz w:val="20"/>
          <w:szCs w:val="22"/>
          <w:lang w:eastAsia="en-US"/>
        </w:rPr>
        <w:t>.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V</w:t>
      </w:r>
      <w:r w:rsidRPr="00534B4B">
        <w:rPr>
          <w:rFonts w:ascii="Arial" w:eastAsia="Calibri" w:hAnsi="Arial" w:cs="Arial"/>
          <w:sz w:val="20"/>
          <w:szCs w:val="22"/>
          <w:lang w:eastAsia="en-US"/>
        </w:rPr>
        <w:t xml:space="preserve"> roce 2023 </w:t>
      </w:r>
      <w:r>
        <w:rPr>
          <w:rFonts w:ascii="Arial" w:eastAsia="Calibri" w:hAnsi="Arial" w:cs="Arial"/>
          <w:sz w:val="20"/>
          <w:szCs w:val="22"/>
          <w:lang w:eastAsia="en-US"/>
        </w:rPr>
        <w:t>t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uto možnost využíval</w:t>
      </w:r>
      <w:r w:rsidR="0079729E" w:rsidRPr="00534B4B">
        <w:rPr>
          <w:rFonts w:ascii="Arial" w:eastAsia="Calibri" w:hAnsi="Arial" w:cs="Arial"/>
          <w:sz w:val="20"/>
          <w:szCs w:val="22"/>
          <w:lang w:eastAsia="en-US"/>
        </w:rPr>
        <w:t>o</w:t>
      </w:r>
      <w:r w:rsidR="00070544" w:rsidRPr="00534B4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8</w:t>
      </w:r>
      <w:r w:rsidR="00585F40" w:rsidRPr="00534B4B">
        <w:rPr>
          <w:rFonts w:ascii="Arial" w:eastAsia="Calibri" w:hAnsi="Arial" w:cs="Arial"/>
          <w:sz w:val="20"/>
          <w:szCs w:val="22"/>
          <w:lang w:eastAsia="en-US"/>
        </w:rPr>
        <w:t>8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 xml:space="preserve">% </w:t>
      </w:r>
      <w:r w:rsidR="006E28CF" w:rsidRPr="00534B4B">
        <w:rPr>
          <w:rFonts w:ascii="Arial" w:eastAsia="Calibri" w:hAnsi="Arial" w:cs="Arial"/>
          <w:sz w:val="20"/>
          <w:szCs w:val="22"/>
          <w:lang w:eastAsia="en-US"/>
        </w:rPr>
        <w:t xml:space="preserve">všech 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firem</w:t>
      </w:r>
      <w:r w:rsidR="00585F40" w:rsidRPr="00534B4B">
        <w:rPr>
          <w:rFonts w:ascii="Arial" w:eastAsia="Calibri" w:hAnsi="Arial" w:cs="Arial"/>
          <w:sz w:val="20"/>
          <w:szCs w:val="22"/>
          <w:lang w:eastAsia="en-US"/>
        </w:rPr>
        <w:t xml:space="preserve"> v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585F40" w:rsidRPr="00534B4B">
        <w:rPr>
          <w:rFonts w:ascii="Arial" w:eastAsia="Calibri" w:hAnsi="Arial" w:cs="Arial"/>
          <w:sz w:val="20"/>
          <w:szCs w:val="22"/>
          <w:lang w:eastAsia="en-US"/>
        </w:rPr>
        <w:t>Česku</w:t>
      </w:r>
      <w:r w:rsidR="00667484" w:rsidRPr="00534B4B">
        <w:rPr>
          <w:rFonts w:ascii="Arial" w:eastAsia="Calibri" w:hAnsi="Arial" w:cs="Arial"/>
          <w:sz w:val="20"/>
          <w:szCs w:val="22"/>
          <w:lang w:eastAsia="en-US"/>
        </w:rPr>
        <w:t>, tedy</w:t>
      </w:r>
      <w:r w:rsidR="006E28CF" w:rsidRPr="00534B4B">
        <w:rPr>
          <w:rFonts w:ascii="Arial" w:eastAsia="Calibri" w:hAnsi="Arial" w:cs="Arial"/>
          <w:sz w:val="20"/>
          <w:szCs w:val="22"/>
          <w:lang w:eastAsia="en-US"/>
        </w:rPr>
        <w:t xml:space="preserve"> 98 % z těch, které zasílaly faktury v elektronické podobě</w:t>
      </w:r>
      <w:r w:rsidR="00E2260C" w:rsidRPr="00534B4B">
        <w:rPr>
          <w:rFonts w:ascii="Arial" w:eastAsia="Calibri" w:hAnsi="Arial" w:cs="Arial"/>
          <w:sz w:val="20"/>
          <w:szCs w:val="22"/>
          <w:lang w:eastAsia="en-US"/>
        </w:rPr>
        <w:t>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6754EE" w:rsidRPr="003E5866">
        <w:rPr>
          <w:rFonts w:ascii="Arial" w:hAnsi="Arial" w:cs="Arial"/>
          <w:sz w:val="20"/>
        </w:rPr>
        <w:t>Plně automatizované faktury (tzv. e-faktury) zaslal</w:t>
      </w:r>
      <w:r w:rsidR="00585F40" w:rsidRPr="003E5866">
        <w:rPr>
          <w:rFonts w:ascii="Arial" w:hAnsi="Arial" w:cs="Arial"/>
          <w:sz w:val="20"/>
        </w:rPr>
        <w:t>a</w:t>
      </w:r>
      <w:r w:rsidR="006754EE" w:rsidRPr="003E5866">
        <w:rPr>
          <w:rFonts w:ascii="Arial" w:hAnsi="Arial" w:cs="Arial"/>
          <w:sz w:val="20"/>
        </w:rPr>
        <w:t xml:space="preserve"> </w:t>
      </w:r>
      <w:r w:rsidR="00070544" w:rsidRPr="003E5866">
        <w:rPr>
          <w:rFonts w:ascii="Arial" w:hAnsi="Arial" w:cs="Arial"/>
          <w:sz w:val="20"/>
        </w:rPr>
        <w:t>v roce 202</w:t>
      </w:r>
      <w:r w:rsidR="00585F40" w:rsidRPr="003E5866">
        <w:rPr>
          <w:rFonts w:ascii="Arial" w:hAnsi="Arial" w:cs="Arial"/>
          <w:sz w:val="20"/>
        </w:rPr>
        <w:t>3</w:t>
      </w:r>
      <w:r w:rsidR="008D49F5" w:rsidRPr="003E5866">
        <w:rPr>
          <w:rFonts w:ascii="Arial" w:hAnsi="Arial" w:cs="Arial"/>
          <w:sz w:val="20"/>
        </w:rPr>
        <w:t xml:space="preserve"> </w:t>
      </w:r>
      <w:r w:rsidR="00585F40" w:rsidRPr="003E5866">
        <w:rPr>
          <w:rFonts w:ascii="Arial" w:hAnsi="Arial" w:cs="Arial"/>
          <w:sz w:val="20"/>
        </w:rPr>
        <w:t xml:space="preserve">pětina </w:t>
      </w:r>
      <w:r w:rsidR="006754EE" w:rsidRPr="00534B4B">
        <w:rPr>
          <w:rFonts w:ascii="Arial" w:hAnsi="Arial" w:cs="Arial"/>
          <w:sz w:val="20"/>
        </w:rPr>
        <w:t>firem</w:t>
      </w:r>
      <w:r>
        <w:rPr>
          <w:rFonts w:ascii="Arial" w:hAnsi="Arial" w:cs="Arial"/>
          <w:sz w:val="20"/>
        </w:rPr>
        <w:t xml:space="preserve"> s 10 a více zaměstnanci</w:t>
      </w:r>
      <w:r w:rsidR="008D49F5" w:rsidRPr="00534B4B">
        <w:rPr>
          <w:rFonts w:ascii="Arial" w:hAnsi="Arial" w:cs="Arial"/>
          <w:sz w:val="20"/>
        </w:rPr>
        <w:t xml:space="preserve">, tedy </w:t>
      </w:r>
      <w:r w:rsidR="00585F40" w:rsidRPr="00534B4B">
        <w:rPr>
          <w:rFonts w:ascii="Arial" w:hAnsi="Arial" w:cs="Arial"/>
          <w:sz w:val="20"/>
        </w:rPr>
        <w:t>zhruba</w:t>
      </w:r>
      <w:r w:rsidR="00585F40" w:rsidRPr="00534B4B">
        <w:rPr>
          <w:rFonts w:ascii="Arial" w:hAnsi="Arial" w:cs="Arial"/>
          <w:b/>
          <w:sz w:val="20"/>
        </w:rPr>
        <w:t xml:space="preserve"> čtyřikrát</w:t>
      </w:r>
      <w:r w:rsidR="008D49F5" w:rsidRPr="00534B4B">
        <w:rPr>
          <w:rFonts w:ascii="Arial" w:hAnsi="Arial" w:cs="Arial"/>
          <w:b/>
          <w:sz w:val="20"/>
        </w:rPr>
        <w:t xml:space="preserve"> méně</w:t>
      </w:r>
      <w:r w:rsidR="006E28CF" w:rsidRPr="00534B4B">
        <w:rPr>
          <w:rFonts w:ascii="Arial" w:hAnsi="Arial" w:cs="Arial"/>
          <w:b/>
          <w:sz w:val="20"/>
        </w:rPr>
        <w:t xml:space="preserve"> firem</w:t>
      </w:r>
      <w:r w:rsidR="008D49F5" w:rsidRPr="00534B4B">
        <w:rPr>
          <w:rFonts w:ascii="Arial" w:hAnsi="Arial" w:cs="Arial"/>
          <w:sz w:val="20"/>
        </w:rPr>
        <w:t xml:space="preserve"> </w:t>
      </w:r>
      <w:r w:rsidR="0079729E" w:rsidRPr="00534B4B">
        <w:rPr>
          <w:rFonts w:ascii="Arial" w:hAnsi="Arial" w:cs="Arial"/>
          <w:sz w:val="20"/>
        </w:rPr>
        <w:t xml:space="preserve">než </w:t>
      </w:r>
      <w:r>
        <w:rPr>
          <w:rFonts w:ascii="Arial" w:hAnsi="Arial" w:cs="Arial"/>
          <w:sz w:val="20"/>
        </w:rPr>
        <w:t>faktury např. v PDF</w:t>
      </w:r>
      <w:r w:rsidR="006E28CF" w:rsidRPr="00534B4B">
        <w:rPr>
          <w:rFonts w:ascii="Arial" w:hAnsi="Arial" w:cs="Arial"/>
          <w:sz w:val="20"/>
        </w:rPr>
        <w:t xml:space="preserve">, které </w:t>
      </w:r>
      <w:r w:rsidR="00036996" w:rsidRPr="00534B4B">
        <w:rPr>
          <w:rFonts w:ascii="Arial" w:hAnsi="Arial" w:cs="Arial"/>
          <w:sz w:val="20"/>
        </w:rPr>
        <w:t>neumožňují automatizované zpracování</w:t>
      </w:r>
      <w:r w:rsidR="00585F40" w:rsidRPr="00534B4B">
        <w:rPr>
          <w:rFonts w:ascii="Arial" w:hAnsi="Arial" w:cs="Arial"/>
          <w:sz w:val="20"/>
        </w:rPr>
        <w:t>.</w:t>
      </w:r>
    </w:p>
    <w:p w14:paraId="735402D4" w14:textId="77777777" w:rsidR="00B70579" w:rsidRPr="002B3AB6" w:rsidRDefault="008D49F5" w:rsidP="00242A24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B3AB6">
        <w:rPr>
          <w:rFonts w:ascii="Arial" w:hAnsi="Arial" w:cs="Arial"/>
          <w:sz w:val="20"/>
        </w:rPr>
        <w:t>E-faktury zas</w:t>
      </w:r>
      <w:r w:rsidR="007222A7">
        <w:rPr>
          <w:rFonts w:ascii="Arial" w:hAnsi="Arial" w:cs="Arial"/>
          <w:sz w:val="20"/>
        </w:rPr>
        <w:t>í</w:t>
      </w:r>
      <w:r w:rsidRPr="002B3AB6">
        <w:rPr>
          <w:rFonts w:ascii="Arial" w:hAnsi="Arial" w:cs="Arial"/>
          <w:sz w:val="20"/>
        </w:rPr>
        <w:t>lal</w:t>
      </w:r>
      <w:r w:rsidR="007222A7">
        <w:rPr>
          <w:rFonts w:ascii="Arial" w:hAnsi="Arial" w:cs="Arial"/>
          <w:sz w:val="20"/>
        </w:rPr>
        <w:t>y</w:t>
      </w:r>
      <w:r w:rsidRPr="002B3AB6">
        <w:rPr>
          <w:rFonts w:ascii="Arial" w:hAnsi="Arial" w:cs="Arial"/>
          <w:sz w:val="20"/>
        </w:rPr>
        <w:t xml:space="preserve"> v</w:t>
      </w:r>
      <w:r w:rsidR="00070544" w:rsidRPr="002B3AB6">
        <w:rPr>
          <w:rFonts w:ascii="Arial" w:hAnsi="Arial" w:cs="Arial"/>
          <w:sz w:val="20"/>
        </w:rPr>
        <w:t> roce 202</w:t>
      </w:r>
      <w:r w:rsidR="00585F40">
        <w:rPr>
          <w:rFonts w:ascii="Arial" w:hAnsi="Arial" w:cs="Arial"/>
          <w:sz w:val="20"/>
        </w:rPr>
        <w:t>3</w:t>
      </w:r>
      <w:r w:rsidRPr="002B3AB6">
        <w:rPr>
          <w:rFonts w:ascii="Arial" w:hAnsi="Arial" w:cs="Arial"/>
          <w:sz w:val="20"/>
        </w:rPr>
        <w:t xml:space="preserve"> </w:t>
      </w:r>
      <w:r w:rsidR="007222A7" w:rsidRPr="007222A7">
        <w:rPr>
          <w:rFonts w:ascii="Arial" w:hAnsi="Arial" w:cs="Arial"/>
          <w:b/>
          <w:sz w:val="20"/>
        </w:rPr>
        <w:t>nejčastěji</w:t>
      </w:r>
      <w:r w:rsidR="007222A7">
        <w:rPr>
          <w:rFonts w:ascii="Arial" w:hAnsi="Arial" w:cs="Arial"/>
          <w:sz w:val="20"/>
        </w:rPr>
        <w:t xml:space="preserve"> </w:t>
      </w:r>
      <w:r w:rsidR="001D6E0A" w:rsidRPr="0070062E">
        <w:rPr>
          <w:rFonts w:ascii="Arial" w:hAnsi="Arial" w:cs="Arial"/>
          <w:b/>
          <w:sz w:val="20"/>
        </w:rPr>
        <w:t>velk</w:t>
      </w:r>
      <w:r w:rsidR="007222A7">
        <w:rPr>
          <w:rFonts w:ascii="Arial" w:hAnsi="Arial" w:cs="Arial"/>
          <w:b/>
          <w:sz w:val="20"/>
        </w:rPr>
        <w:t>é</w:t>
      </w:r>
      <w:r w:rsidR="001D6E0A" w:rsidRPr="0070062E">
        <w:rPr>
          <w:rFonts w:ascii="Arial" w:hAnsi="Arial" w:cs="Arial"/>
          <w:b/>
          <w:sz w:val="20"/>
        </w:rPr>
        <w:t xml:space="preserve"> </w:t>
      </w:r>
      <w:r w:rsidR="00585F40" w:rsidRPr="0070062E">
        <w:rPr>
          <w:rFonts w:ascii="Arial" w:hAnsi="Arial" w:cs="Arial"/>
          <w:b/>
          <w:sz w:val="20"/>
        </w:rPr>
        <w:t>podnik</w:t>
      </w:r>
      <w:r w:rsidR="007222A7">
        <w:rPr>
          <w:rFonts w:ascii="Arial" w:hAnsi="Arial" w:cs="Arial"/>
          <w:b/>
          <w:sz w:val="20"/>
        </w:rPr>
        <w:t>y</w:t>
      </w:r>
      <w:r w:rsidR="001D6E0A" w:rsidRPr="002B3AB6">
        <w:rPr>
          <w:rFonts w:ascii="Arial" w:hAnsi="Arial" w:cs="Arial"/>
          <w:sz w:val="20"/>
        </w:rPr>
        <w:t xml:space="preserve"> s více než 250 zaměstnanci (</w:t>
      </w:r>
      <w:r w:rsidR="00070544" w:rsidRPr="002B3AB6">
        <w:rPr>
          <w:rFonts w:ascii="Arial" w:hAnsi="Arial" w:cs="Arial"/>
          <w:sz w:val="20"/>
        </w:rPr>
        <w:t>4</w:t>
      </w:r>
      <w:r w:rsidR="00585F40">
        <w:rPr>
          <w:rFonts w:ascii="Arial" w:hAnsi="Arial" w:cs="Arial"/>
          <w:sz w:val="20"/>
        </w:rPr>
        <w:t>6</w:t>
      </w:r>
      <w:r w:rsidR="000E6E2D">
        <w:rPr>
          <w:rFonts w:ascii="Arial" w:hAnsi="Arial" w:cs="Arial"/>
          <w:sz w:val="20"/>
        </w:rPr>
        <w:t> </w:t>
      </w:r>
      <w:r w:rsidR="001D6E0A" w:rsidRPr="002B3AB6">
        <w:rPr>
          <w:rFonts w:ascii="Arial" w:hAnsi="Arial" w:cs="Arial"/>
          <w:sz w:val="20"/>
        </w:rPr>
        <w:t>%)</w:t>
      </w:r>
      <w:r w:rsidR="007222A7">
        <w:rPr>
          <w:rFonts w:ascii="Arial" w:hAnsi="Arial" w:cs="Arial"/>
          <w:sz w:val="20"/>
        </w:rPr>
        <w:t>.</w:t>
      </w:r>
      <w:r w:rsidR="00585F40">
        <w:rPr>
          <w:rFonts w:ascii="Arial" w:hAnsi="Arial" w:cs="Arial"/>
          <w:sz w:val="20"/>
        </w:rPr>
        <w:t xml:space="preserve"> </w:t>
      </w:r>
      <w:r w:rsidR="007222A7">
        <w:rPr>
          <w:rFonts w:ascii="Arial" w:hAnsi="Arial" w:cs="Arial"/>
          <w:sz w:val="20"/>
        </w:rPr>
        <w:t xml:space="preserve">Zasílala je </w:t>
      </w:r>
      <w:r w:rsidR="00585F40">
        <w:rPr>
          <w:rFonts w:ascii="Arial" w:hAnsi="Arial" w:cs="Arial"/>
          <w:sz w:val="20"/>
        </w:rPr>
        <w:t>necelá třetina středně velkých subjektů (29 %) a 17 % malých firem.</w:t>
      </w:r>
      <w:r w:rsidR="001D6E0A" w:rsidRPr="002B3AB6">
        <w:rPr>
          <w:rFonts w:ascii="Arial" w:hAnsi="Arial" w:cs="Arial"/>
          <w:sz w:val="20"/>
        </w:rPr>
        <w:t xml:space="preserve"> </w:t>
      </w:r>
      <w:r w:rsidR="00585F40">
        <w:rPr>
          <w:rFonts w:ascii="Arial" w:hAnsi="Arial" w:cs="Arial"/>
          <w:sz w:val="20"/>
        </w:rPr>
        <w:t>Z</w:t>
      </w:r>
      <w:r w:rsidR="001D6E0A" w:rsidRPr="002B3AB6">
        <w:rPr>
          <w:rFonts w:ascii="Arial" w:hAnsi="Arial" w:cs="Arial"/>
          <w:sz w:val="20"/>
        </w:rPr>
        <w:t> hlediska odvětv</w:t>
      </w:r>
      <w:r w:rsidR="00036996" w:rsidRPr="002B3AB6">
        <w:rPr>
          <w:rFonts w:ascii="Arial" w:hAnsi="Arial" w:cs="Arial"/>
          <w:sz w:val="20"/>
        </w:rPr>
        <w:t>í</w:t>
      </w:r>
      <w:r w:rsidR="001D6E0A" w:rsidRPr="002B3AB6">
        <w:rPr>
          <w:rFonts w:ascii="Arial" w:hAnsi="Arial" w:cs="Arial"/>
          <w:sz w:val="20"/>
        </w:rPr>
        <w:t xml:space="preserve"> vystavovaly</w:t>
      </w:r>
      <w:r w:rsidR="00585F40">
        <w:rPr>
          <w:rFonts w:ascii="Arial" w:hAnsi="Arial" w:cs="Arial"/>
          <w:sz w:val="20"/>
        </w:rPr>
        <w:t xml:space="preserve"> e-faktury</w:t>
      </w:r>
      <w:r w:rsidR="001D6E0A" w:rsidRPr="002B3AB6">
        <w:rPr>
          <w:rFonts w:ascii="Arial" w:hAnsi="Arial" w:cs="Arial"/>
          <w:sz w:val="20"/>
        </w:rPr>
        <w:t xml:space="preserve"> </w:t>
      </w:r>
      <w:r w:rsidR="007222A7">
        <w:rPr>
          <w:rFonts w:ascii="Arial" w:hAnsi="Arial" w:cs="Arial"/>
          <w:sz w:val="20"/>
        </w:rPr>
        <w:t>především</w:t>
      </w:r>
      <w:r w:rsidR="001D6E0A" w:rsidRPr="002B3AB6">
        <w:rPr>
          <w:rFonts w:ascii="Arial" w:hAnsi="Arial" w:cs="Arial"/>
          <w:sz w:val="20"/>
        </w:rPr>
        <w:t xml:space="preserve"> subjekty </w:t>
      </w:r>
      <w:r w:rsidR="00B70579" w:rsidRPr="002B3AB6">
        <w:rPr>
          <w:rFonts w:ascii="Arial" w:hAnsi="Arial" w:cs="Arial"/>
          <w:sz w:val="20"/>
        </w:rPr>
        <w:t xml:space="preserve">působící </w:t>
      </w:r>
      <w:r w:rsidR="000E6E2D" w:rsidRPr="0070062E">
        <w:rPr>
          <w:rFonts w:ascii="Arial" w:hAnsi="Arial" w:cs="Arial"/>
          <w:b/>
          <w:sz w:val="20"/>
        </w:rPr>
        <w:t>v</w:t>
      </w:r>
      <w:r w:rsidR="00070544" w:rsidRPr="0070062E">
        <w:rPr>
          <w:rFonts w:ascii="Arial" w:hAnsi="Arial" w:cs="Arial"/>
          <w:b/>
          <w:sz w:val="20"/>
        </w:rPr>
        <w:t> automobilov</w:t>
      </w:r>
      <w:r w:rsidR="00585F40" w:rsidRPr="0070062E">
        <w:rPr>
          <w:rFonts w:ascii="Arial" w:hAnsi="Arial" w:cs="Arial"/>
          <w:b/>
          <w:sz w:val="20"/>
        </w:rPr>
        <w:t>ém</w:t>
      </w:r>
      <w:r w:rsidR="00070544" w:rsidRPr="0070062E">
        <w:rPr>
          <w:rFonts w:ascii="Arial" w:hAnsi="Arial" w:cs="Arial"/>
          <w:b/>
          <w:sz w:val="20"/>
        </w:rPr>
        <w:t xml:space="preserve"> </w:t>
      </w:r>
      <w:r w:rsidR="00585F40" w:rsidRPr="0070062E">
        <w:rPr>
          <w:rFonts w:ascii="Arial" w:hAnsi="Arial" w:cs="Arial"/>
          <w:b/>
          <w:sz w:val="20"/>
        </w:rPr>
        <w:t>průmyslu</w:t>
      </w:r>
      <w:r w:rsidR="000E6E2D">
        <w:rPr>
          <w:rFonts w:ascii="Arial" w:hAnsi="Arial" w:cs="Arial"/>
          <w:sz w:val="20"/>
        </w:rPr>
        <w:t xml:space="preserve"> (</w:t>
      </w:r>
      <w:r w:rsidR="00585F40">
        <w:rPr>
          <w:rFonts w:ascii="Arial" w:hAnsi="Arial" w:cs="Arial"/>
          <w:sz w:val="20"/>
        </w:rPr>
        <w:t>CZ NACE 29-30: 42 %</w:t>
      </w:r>
      <w:r w:rsidR="000242BE">
        <w:rPr>
          <w:rFonts w:ascii="Arial" w:hAnsi="Arial" w:cs="Arial"/>
          <w:sz w:val="20"/>
        </w:rPr>
        <w:t>)</w:t>
      </w:r>
      <w:r w:rsidR="00070544" w:rsidRPr="002B3AB6">
        <w:rPr>
          <w:rFonts w:ascii="Arial" w:hAnsi="Arial" w:cs="Arial"/>
          <w:sz w:val="20"/>
        </w:rPr>
        <w:t xml:space="preserve">, </w:t>
      </w:r>
      <w:r w:rsidR="007222A7">
        <w:rPr>
          <w:rFonts w:ascii="Arial" w:hAnsi="Arial" w:cs="Arial"/>
          <w:sz w:val="20"/>
        </w:rPr>
        <w:t xml:space="preserve">dále pak </w:t>
      </w:r>
      <w:r w:rsidR="00B70579" w:rsidRPr="002B3AB6">
        <w:rPr>
          <w:rFonts w:ascii="Arial" w:hAnsi="Arial" w:cs="Arial"/>
          <w:sz w:val="20"/>
        </w:rPr>
        <w:t>v</w:t>
      </w:r>
      <w:r w:rsidR="00036996" w:rsidRPr="002B3AB6">
        <w:rPr>
          <w:rFonts w:ascii="Arial" w:hAnsi="Arial" w:cs="Arial"/>
          <w:sz w:val="20"/>
        </w:rPr>
        <w:t> potravinářském, nápojovém a</w:t>
      </w:r>
      <w:r w:rsidR="002B3AB6">
        <w:rPr>
          <w:rFonts w:ascii="Arial" w:hAnsi="Arial" w:cs="Arial"/>
          <w:sz w:val="20"/>
        </w:rPr>
        <w:t> </w:t>
      </w:r>
      <w:r w:rsidR="00036996" w:rsidRPr="002B3AB6">
        <w:rPr>
          <w:rFonts w:ascii="Arial" w:hAnsi="Arial" w:cs="Arial"/>
          <w:sz w:val="20"/>
        </w:rPr>
        <w:t>tabákovém průmyslu</w:t>
      </w:r>
      <w:r w:rsidR="000242BE">
        <w:rPr>
          <w:rFonts w:ascii="Arial" w:hAnsi="Arial" w:cs="Arial"/>
          <w:sz w:val="20"/>
        </w:rPr>
        <w:t xml:space="preserve"> (</w:t>
      </w:r>
      <w:r w:rsidR="00585F40">
        <w:rPr>
          <w:rFonts w:ascii="Arial" w:hAnsi="Arial" w:cs="Arial"/>
          <w:sz w:val="20"/>
        </w:rPr>
        <w:t xml:space="preserve">CZ NACE 10-12: </w:t>
      </w:r>
      <w:r w:rsidR="000242BE">
        <w:rPr>
          <w:rFonts w:ascii="Arial" w:hAnsi="Arial" w:cs="Arial"/>
          <w:sz w:val="20"/>
        </w:rPr>
        <w:t>3</w:t>
      </w:r>
      <w:r w:rsidR="00585F40">
        <w:rPr>
          <w:rFonts w:ascii="Arial" w:hAnsi="Arial" w:cs="Arial"/>
          <w:sz w:val="20"/>
        </w:rPr>
        <w:t>5</w:t>
      </w:r>
      <w:r w:rsidR="000242BE">
        <w:rPr>
          <w:rFonts w:ascii="Arial" w:hAnsi="Arial" w:cs="Arial"/>
          <w:sz w:val="20"/>
        </w:rPr>
        <w:t> %)</w:t>
      </w:r>
      <w:r w:rsidR="00585F40">
        <w:rPr>
          <w:rFonts w:ascii="Arial" w:hAnsi="Arial" w:cs="Arial"/>
          <w:sz w:val="20"/>
        </w:rPr>
        <w:t>,</w:t>
      </w:r>
      <w:r w:rsidR="00036996" w:rsidRPr="002B3AB6">
        <w:rPr>
          <w:rFonts w:ascii="Arial" w:hAnsi="Arial" w:cs="Arial"/>
          <w:sz w:val="20"/>
        </w:rPr>
        <w:t xml:space="preserve"> </w:t>
      </w:r>
      <w:r w:rsidR="00B70579" w:rsidRPr="002B3AB6">
        <w:rPr>
          <w:rFonts w:ascii="Arial" w:hAnsi="Arial" w:cs="Arial"/>
          <w:sz w:val="20"/>
        </w:rPr>
        <w:t>ve</w:t>
      </w:r>
      <w:r w:rsidR="007950C3" w:rsidRPr="002B3AB6">
        <w:rPr>
          <w:rFonts w:ascii="Arial" w:hAnsi="Arial" w:cs="Arial"/>
          <w:sz w:val="20"/>
        </w:rPr>
        <w:t> </w:t>
      </w:r>
      <w:r w:rsidR="00B70579" w:rsidRPr="002B3AB6">
        <w:rPr>
          <w:rFonts w:ascii="Arial" w:hAnsi="Arial" w:cs="Arial"/>
          <w:sz w:val="20"/>
        </w:rPr>
        <w:t>velkoobchodě</w:t>
      </w:r>
      <w:r w:rsidR="00036996" w:rsidRPr="002B3AB6">
        <w:rPr>
          <w:rFonts w:ascii="Arial" w:hAnsi="Arial" w:cs="Arial"/>
          <w:sz w:val="20"/>
        </w:rPr>
        <w:t xml:space="preserve"> (</w:t>
      </w:r>
      <w:r w:rsidR="0070062E">
        <w:rPr>
          <w:rFonts w:ascii="Arial" w:hAnsi="Arial" w:cs="Arial"/>
          <w:sz w:val="20"/>
        </w:rPr>
        <w:t>33</w:t>
      </w:r>
      <w:r w:rsidR="000242BE">
        <w:rPr>
          <w:rFonts w:ascii="Arial" w:hAnsi="Arial" w:cs="Arial"/>
          <w:sz w:val="20"/>
        </w:rPr>
        <w:t> </w:t>
      </w:r>
      <w:r w:rsidR="00036996" w:rsidRPr="002B3AB6">
        <w:rPr>
          <w:rFonts w:ascii="Arial" w:hAnsi="Arial" w:cs="Arial"/>
          <w:sz w:val="20"/>
        </w:rPr>
        <w:t>%)</w:t>
      </w:r>
      <w:r w:rsidR="0070062E">
        <w:rPr>
          <w:rFonts w:ascii="Arial" w:hAnsi="Arial" w:cs="Arial"/>
          <w:sz w:val="20"/>
        </w:rPr>
        <w:t xml:space="preserve"> nebo podniky působící v telekomunikačních činnostech (32 %)</w:t>
      </w:r>
      <w:r w:rsidR="00036996" w:rsidRPr="002B3AB6">
        <w:rPr>
          <w:rFonts w:ascii="Arial" w:hAnsi="Arial" w:cs="Arial"/>
          <w:sz w:val="20"/>
        </w:rPr>
        <w:t>.</w:t>
      </w:r>
    </w:p>
    <w:p w14:paraId="78FD7CE5" w14:textId="02D2876D" w:rsidR="002B3AB6" w:rsidRPr="0066384B" w:rsidRDefault="000B7FE9" w:rsidP="00242A24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0B7FE9">
        <w:rPr>
          <w:rFonts w:ascii="Arial" w:hAnsi="Arial" w:cs="Arial"/>
          <w:b/>
          <w:sz w:val="20"/>
        </w:rPr>
        <w:t>P</w:t>
      </w:r>
      <w:r w:rsidR="00C045DE" w:rsidRPr="0066384B">
        <w:rPr>
          <w:rFonts w:ascii="Arial" w:hAnsi="Arial" w:cs="Arial"/>
          <w:b/>
          <w:sz w:val="20"/>
        </w:rPr>
        <w:t>ouze</w:t>
      </w:r>
      <w:r>
        <w:rPr>
          <w:rFonts w:ascii="Arial" w:hAnsi="Arial" w:cs="Arial"/>
          <w:b/>
          <w:sz w:val="20"/>
        </w:rPr>
        <w:t xml:space="preserve"> e-faktury</w:t>
      </w:r>
      <w:r w:rsidR="0072039E" w:rsidRPr="0066384B">
        <w:rPr>
          <w:rStyle w:val="Znakapoznpodarou"/>
          <w:rFonts w:ascii="Arial" w:hAnsi="Arial" w:cs="Arial"/>
          <w:b/>
          <w:sz w:val="20"/>
        </w:rPr>
        <w:footnoteReference w:id="1"/>
      </w:r>
      <w:r w:rsidR="00C045DE" w:rsidRPr="0066384B">
        <w:rPr>
          <w:rFonts w:ascii="Arial" w:hAnsi="Arial" w:cs="Arial"/>
          <w:b/>
          <w:sz w:val="20"/>
        </w:rPr>
        <w:t xml:space="preserve"> </w:t>
      </w:r>
      <w:r w:rsidR="00C045DE" w:rsidRPr="0066384B">
        <w:rPr>
          <w:rFonts w:ascii="Arial" w:hAnsi="Arial" w:cs="Arial"/>
          <w:sz w:val="20"/>
        </w:rPr>
        <w:t>vystavovalo v</w:t>
      </w:r>
      <w:r w:rsidR="002B3AB6" w:rsidRPr="0066384B">
        <w:rPr>
          <w:rFonts w:ascii="Arial" w:hAnsi="Arial" w:cs="Arial"/>
          <w:sz w:val="20"/>
        </w:rPr>
        <w:t> roce 202</w:t>
      </w:r>
      <w:r w:rsidR="0066384B" w:rsidRPr="0066384B">
        <w:rPr>
          <w:rFonts w:ascii="Arial" w:hAnsi="Arial" w:cs="Arial"/>
          <w:sz w:val="20"/>
        </w:rPr>
        <w:t>3</w:t>
      </w:r>
      <w:r w:rsidR="0072039E" w:rsidRPr="0066384B">
        <w:rPr>
          <w:rFonts w:ascii="Arial" w:hAnsi="Arial" w:cs="Arial"/>
          <w:sz w:val="20"/>
        </w:rPr>
        <w:t xml:space="preserve"> velmi malé množství</w:t>
      </w:r>
      <w:r w:rsidR="00C045DE" w:rsidRPr="0066384B">
        <w:rPr>
          <w:rFonts w:ascii="Arial" w:hAnsi="Arial" w:cs="Arial"/>
          <w:sz w:val="20"/>
        </w:rPr>
        <w:t xml:space="preserve"> firem</w:t>
      </w:r>
      <w:r w:rsidR="0072039E" w:rsidRPr="0066384B">
        <w:rPr>
          <w:rFonts w:ascii="Arial" w:hAnsi="Arial" w:cs="Arial"/>
          <w:sz w:val="20"/>
        </w:rPr>
        <w:t xml:space="preserve"> (</w:t>
      </w:r>
      <w:r w:rsidR="0066384B" w:rsidRPr="0066384B">
        <w:rPr>
          <w:rFonts w:ascii="Arial" w:hAnsi="Arial" w:cs="Arial"/>
          <w:sz w:val="20"/>
        </w:rPr>
        <w:t>1</w:t>
      </w:r>
      <w:r w:rsidR="0072039E" w:rsidRPr="0066384B">
        <w:rPr>
          <w:rFonts w:ascii="Arial" w:hAnsi="Arial" w:cs="Arial"/>
          <w:sz w:val="20"/>
        </w:rPr>
        <w:t xml:space="preserve"> %)</w:t>
      </w:r>
      <w:r w:rsidR="00C045DE" w:rsidRPr="0066384B">
        <w:rPr>
          <w:rFonts w:ascii="Arial" w:hAnsi="Arial" w:cs="Arial"/>
          <w:sz w:val="20"/>
        </w:rPr>
        <w:t>.</w:t>
      </w:r>
      <w:r w:rsidR="00EA517E">
        <w:rPr>
          <w:rFonts w:ascii="Arial" w:hAnsi="Arial" w:cs="Arial"/>
          <w:sz w:val="20"/>
        </w:rPr>
        <w:t xml:space="preserve"> Je obvyklé, že tuzemské firmy vystavují faktury v elektronické formě oběma způsoby, protože využívání pouze e-faktur závisí také na schopnosti protistrany strojově přenést faktury ve standardizovaném formátu do svého účetního systému. </w:t>
      </w:r>
    </w:p>
    <w:p w14:paraId="2FAD541B" w14:textId="035176E3" w:rsidR="00C045DE" w:rsidRPr="003A1171" w:rsidRDefault="008F1DA1" w:rsidP="00242A24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3A1171">
        <w:rPr>
          <w:rFonts w:ascii="Arial" w:hAnsi="Arial" w:cs="Arial"/>
          <w:sz w:val="20"/>
        </w:rPr>
        <w:t>irmy</w:t>
      </w:r>
      <w:r>
        <w:rPr>
          <w:rFonts w:ascii="Arial" w:hAnsi="Arial" w:cs="Arial"/>
          <w:sz w:val="20"/>
        </w:rPr>
        <w:t xml:space="preserve"> s</w:t>
      </w:r>
      <w:r w:rsidR="0053755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10</w:t>
      </w:r>
      <w:r w:rsidR="005375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více zaměstnanci</w:t>
      </w:r>
      <w:r w:rsidR="003A11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 Česku </w:t>
      </w:r>
      <w:r w:rsidR="003A1171">
        <w:rPr>
          <w:rFonts w:ascii="Arial" w:hAnsi="Arial" w:cs="Arial"/>
          <w:sz w:val="20"/>
        </w:rPr>
        <w:t xml:space="preserve">vystavily v roce 2023 z celkového objemu zaslaných daňových dokladů </w:t>
      </w:r>
      <w:r w:rsidR="003A1171" w:rsidRPr="003A1171">
        <w:rPr>
          <w:rFonts w:ascii="Arial" w:hAnsi="Arial" w:cs="Arial"/>
          <w:b/>
          <w:sz w:val="20"/>
        </w:rPr>
        <w:t>průměrně 10 % e-faktur</w:t>
      </w:r>
      <w:r w:rsidR="003A1171">
        <w:rPr>
          <w:rFonts w:ascii="Arial" w:hAnsi="Arial" w:cs="Arial"/>
          <w:sz w:val="20"/>
        </w:rPr>
        <w:t xml:space="preserve">. </w:t>
      </w:r>
      <w:r w:rsidR="00534B4B">
        <w:rPr>
          <w:rFonts w:ascii="Arial" w:hAnsi="Arial" w:cs="Arial"/>
          <w:sz w:val="20"/>
        </w:rPr>
        <w:t xml:space="preserve">V případě malých firem se jednalo o 9 %, u středních o 13 % a u velkých o 25 % e-faktur </w:t>
      </w:r>
      <w:r w:rsidR="003A1171" w:rsidRPr="003A1171">
        <w:rPr>
          <w:rFonts w:ascii="Arial" w:hAnsi="Arial" w:cs="Arial"/>
          <w:sz w:val="20"/>
        </w:rPr>
        <w:t>z celkového objemu zaslaných faktur</w:t>
      </w:r>
      <w:r w:rsidR="00C045DE" w:rsidRPr="003A1171">
        <w:rPr>
          <w:rFonts w:ascii="Arial" w:hAnsi="Arial" w:cs="Arial"/>
          <w:sz w:val="20"/>
        </w:rPr>
        <w:t xml:space="preserve">. </w:t>
      </w:r>
    </w:p>
    <w:p w14:paraId="0029079B" w14:textId="736104A0" w:rsidR="00B22424" w:rsidRPr="000B56AE" w:rsidRDefault="00537555" w:rsidP="00FA52E0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0B56AE">
        <w:rPr>
          <w:rFonts w:ascii="Arial" w:hAnsi="Arial" w:cs="Arial"/>
          <w:sz w:val="20"/>
        </w:rPr>
        <w:t xml:space="preserve">Poměrně významná část podniků v Česku </w:t>
      </w:r>
      <w:r w:rsidR="00B729A4" w:rsidRPr="000B56AE">
        <w:rPr>
          <w:rFonts w:ascii="Arial" w:hAnsi="Arial" w:cs="Arial"/>
          <w:sz w:val="20"/>
        </w:rPr>
        <w:t xml:space="preserve">stále </w:t>
      </w:r>
      <w:r w:rsidR="00B70579" w:rsidRPr="000B56AE">
        <w:rPr>
          <w:rFonts w:ascii="Arial" w:hAnsi="Arial" w:cs="Arial"/>
          <w:sz w:val="20"/>
        </w:rPr>
        <w:t>vystav</w:t>
      </w:r>
      <w:r w:rsidR="00B729A4" w:rsidRPr="000B56AE">
        <w:rPr>
          <w:rFonts w:ascii="Arial" w:hAnsi="Arial" w:cs="Arial"/>
          <w:sz w:val="20"/>
        </w:rPr>
        <w:t>uj</w:t>
      </w:r>
      <w:r w:rsidRPr="000B56AE">
        <w:rPr>
          <w:rFonts w:ascii="Arial" w:hAnsi="Arial" w:cs="Arial"/>
          <w:sz w:val="20"/>
        </w:rPr>
        <w:t>e</w:t>
      </w:r>
      <w:r w:rsidR="00B70579" w:rsidRPr="000B56AE">
        <w:rPr>
          <w:rFonts w:ascii="Arial" w:hAnsi="Arial" w:cs="Arial"/>
          <w:sz w:val="20"/>
        </w:rPr>
        <w:t xml:space="preserve"> daňové doklady</w:t>
      </w:r>
      <w:r w:rsidR="00B729A4" w:rsidRPr="000B56AE">
        <w:rPr>
          <w:rFonts w:ascii="Arial" w:hAnsi="Arial" w:cs="Arial"/>
          <w:sz w:val="20"/>
        </w:rPr>
        <w:t xml:space="preserve"> </w:t>
      </w:r>
      <w:r w:rsidR="00534B4B" w:rsidRPr="000B56AE">
        <w:rPr>
          <w:rFonts w:ascii="Arial" w:hAnsi="Arial" w:cs="Arial"/>
          <w:sz w:val="20"/>
        </w:rPr>
        <w:t xml:space="preserve">i </w:t>
      </w:r>
      <w:r w:rsidR="00590D35" w:rsidRPr="000B56AE">
        <w:rPr>
          <w:rFonts w:ascii="Arial" w:hAnsi="Arial" w:cs="Arial"/>
          <w:b/>
          <w:sz w:val="20"/>
        </w:rPr>
        <w:t>v papírové podobě</w:t>
      </w:r>
      <w:r w:rsidR="00B22424" w:rsidRPr="000B56AE">
        <w:rPr>
          <w:rFonts w:ascii="Arial" w:hAnsi="Arial" w:cs="Arial"/>
          <w:sz w:val="20"/>
        </w:rPr>
        <w:t>.</w:t>
      </w:r>
      <w:r w:rsidR="004661BA" w:rsidRPr="000B56AE">
        <w:rPr>
          <w:rFonts w:ascii="Arial" w:hAnsi="Arial" w:cs="Arial"/>
          <w:sz w:val="20"/>
        </w:rPr>
        <w:t xml:space="preserve"> </w:t>
      </w:r>
      <w:r w:rsidR="00B22424" w:rsidRPr="000B56AE">
        <w:rPr>
          <w:rFonts w:ascii="Arial" w:hAnsi="Arial" w:cs="Arial"/>
          <w:sz w:val="20"/>
        </w:rPr>
        <w:t>V</w:t>
      </w:r>
      <w:r w:rsidR="000C7426" w:rsidRPr="000B56AE">
        <w:rPr>
          <w:rFonts w:ascii="Arial" w:hAnsi="Arial" w:cs="Arial"/>
          <w:sz w:val="20"/>
        </w:rPr>
        <w:t> roce 20</w:t>
      </w:r>
      <w:r w:rsidR="004661BA" w:rsidRPr="000B56AE">
        <w:rPr>
          <w:rFonts w:ascii="Arial" w:hAnsi="Arial" w:cs="Arial"/>
          <w:sz w:val="20"/>
        </w:rPr>
        <w:t>2</w:t>
      </w:r>
      <w:r w:rsidR="00B22424" w:rsidRPr="000B56AE">
        <w:rPr>
          <w:rFonts w:ascii="Arial" w:hAnsi="Arial" w:cs="Arial"/>
          <w:sz w:val="20"/>
        </w:rPr>
        <w:t>3</w:t>
      </w:r>
      <w:r w:rsidR="000C7426" w:rsidRPr="000B56AE">
        <w:rPr>
          <w:rFonts w:ascii="Arial" w:hAnsi="Arial" w:cs="Arial"/>
          <w:sz w:val="20"/>
        </w:rPr>
        <w:t xml:space="preserve"> jich bylo </w:t>
      </w:r>
      <w:r w:rsidR="00B22424" w:rsidRPr="000B56AE">
        <w:rPr>
          <w:rFonts w:ascii="Arial" w:hAnsi="Arial" w:cs="Arial"/>
          <w:sz w:val="20"/>
        </w:rPr>
        <w:t>69</w:t>
      </w:r>
      <w:r w:rsidR="000242BE" w:rsidRPr="000B56AE">
        <w:rPr>
          <w:rFonts w:ascii="Arial" w:hAnsi="Arial" w:cs="Arial"/>
          <w:sz w:val="20"/>
        </w:rPr>
        <w:t> </w:t>
      </w:r>
      <w:r w:rsidR="000C7426" w:rsidRPr="000B56AE">
        <w:rPr>
          <w:rFonts w:ascii="Arial" w:hAnsi="Arial" w:cs="Arial"/>
          <w:sz w:val="20"/>
        </w:rPr>
        <w:t>%</w:t>
      </w:r>
      <w:r w:rsidR="00B22424" w:rsidRPr="000B56AE">
        <w:rPr>
          <w:rFonts w:ascii="Arial" w:hAnsi="Arial" w:cs="Arial"/>
          <w:sz w:val="20"/>
        </w:rPr>
        <w:t>. Faktury v papírové podobě ale podniky vystavují většinou v</w:t>
      </w:r>
      <w:r w:rsidR="000B56AE" w:rsidRPr="000B56AE">
        <w:rPr>
          <w:rFonts w:ascii="Arial" w:hAnsi="Arial" w:cs="Arial"/>
          <w:sz w:val="20"/>
        </w:rPr>
        <w:t> </w:t>
      </w:r>
      <w:r w:rsidR="00B22424" w:rsidRPr="000B56AE">
        <w:rPr>
          <w:rFonts w:ascii="Arial" w:hAnsi="Arial" w:cs="Arial"/>
          <w:sz w:val="20"/>
        </w:rPr>
        <w:t>kombinaci</w:t>
      </w:r>
      <w:r w:rsidR="000B56AE" w:rsidRPr="000B56AE">
        <w:rPr>
          <w:rFonts w:ascii="Arial" w:hAnsi="Arial" w:cs="Arial"/>
          <w:sz w:val="20"/>
        </w:rPr>
        <w:t xml:space="preserve"> s dalšími typy elektronických faktur,</w:t>
      </w:r>
      <w:r w:rsidR="00B22424" w:rsidRPr="000B56AE">
        <w:rPr>
          <w:rFonts w:ascii="Arial" w:hAnsi="Arial" w:cs="Arial"/>
          <w:sz w:val="20"/>
        </w:rPr>
        <w:t xml:space="preserve"> např. s faktur</w:t>
      </w:r>
      <w:r w:rsidRPr="000B56AE">
        <w:rPr>
          <w:rFonts w:ascii="Arial" w:hAnsi="Arial" w:cs="Arial"/>
          <w:sz w:val="20"/>
        </w:rPr>
        <w:t>ami</w:t>
      </w:r>
      <w:r w:rsidR="00B22424" w:rsidRPr="000B56AE">
        <w:rPr>
          <w:rFonts w:ascii="Arial" w:hAnsi="Arial" w:cs="Arial"/>
          <w:sz w:val="20"/>
        </w:rPr>
        <w:t xml:space="preserve"> v</w:t>
      </w:r>
      <w:r w:rsidR="000B56AE" w:rsidRPr="000B56AE">
        <w:rPr>
          <w:rFonts w:ascii="Arial" w:hAnsi="Arial" w:cs="Arial"/>
          <w:sz w:val="20"/>
        </w:rPr>
        <w:t> </w:t>
      </w:r>
      <w:r w:rsidR="00B22424" w:rsidRPr="000B56AE">
        <w:rPr>
          <w:rFonts w:ascii="Arial" w:hAnsi="Arial" w:cs="Arial"/>
          <w:sz w:val="20"/>
        </w:rPr>
        <w:t>PDF</w:t>
      </w:r>
      <w:r w:rsidR="000B56AE" w:rsidRPr="000B56AE">
        <w:rPr>
          <w:rFonts w:ascii="Arial" w:hAnsi="Arial" w:cs="Arial"/>
          <w:sz w:val="20"/>
        </w:rPr>
        <w:t xml:space="preserve">. </w:t>
      </w:r>
      <w:r w:rsidR="000B56AE" w:rsidRPr="000B56AE">
        <w:rPr>
          <w:rFonts w:ascii="Arial" w:hAnsi="Arial" w:cs="Arial"/>
          <w:b/>
          <w:sz w:val="20"/>
        </w:rPr>
        <w:t>P</w:t>
      </w:r>
      <w:r w:rsidR="00B22424" w:rsidRPr="000B56AE">
        <w:rPr>
          <w:rFonts w:ascii="Arial" w:hAnsi="Arial" w:cs="Arial"/>
          <w:b/>
          <w:sz w:val="20"/>
        </w:rPr>
        <w:t>ouze papírové faktury</w:t>
      </w:r>
      <w:r w:rsidR="00B22424" w:rsidRPr="000B56AE">
        <w:rPr>
          <w:rFonts w:ascii="Arial" w:hAnsi="Arial" w:cs="Arial"/>
          <w:sz w:val="20"/>
        </w:rPr>
        <w:t xml:space="preserve"> </w:t>
      </w:r>
      <w:r w:rsidR="000B56AE" w:rsidRPr="000B56AE">
        <w:rPr>
          <w:rFonts w:ascii="Arial" w:hAnsi="Arial" w:cs="Arial"/>
          <w:sz w:val="20"/>
        </w:rPr>
        <w:t xml:space="preserve">v roce 2023 </w:t>
      </w:r>
      <w:r w:rsidR="00B22424" w:rsidRPr="000B56AE">
        <w:rPr>
          <w:rFonts w:ascii="Arial" w:hAnsi="Arial" w:cs="Arial"/>
          <w:sz w:val="20"/>
        </w:rPr>
        <w:t xml:space="preserve">vystavovalo </w:t>
      </w:r>
      <w:r w:rsidRPr="000B56AE">
        <w:rPr>
          <w:rFonts w:ascii="Arial" w:hAnsi="Arial" w:cs="Arial"/>
          <w:sz w:val="20"/>
        </w:rPr>
        <w:t xml:space="preserve">7 % tuzemských podniků a </w:t>
      </w:r>
      <w:r w:rsidR="000B56AE" w:rsidRPr="000B56AE">
        <w:rPr>
          <w:rFonts w:ascii="Arial" w:hAnsi="Arial" w:cs="Arial"/>
          <w:sz w:val="20"/>
        </w:rPr>
        <w:t xml:space="preserve">tento podíl se </w:t>
      </w:r>
      <w:r w:rsidRPr="000B56AE">
        <w:rPr>
          <w:rFonts w:ascii="Arial" w:hAnsi="Arial" w:cs="Arial"/>
          <w:sz w:val="20"/>
        </w:rPr>
        <w:t>v čase snižuje. Ještě v roce 2017 vystavovalo pouze papírové faktury 23 % firem</w:t>
      </w:r>
      <w:r w:rsidR="00534B4B" w:rsidRPr="000B56AE">
        <w:rPr>
          <w:rFonts w:ascii="Arial" w:hAnsi="Arial" w:cs="Arial"/>
          <w:sz w:val="20"/>
        </w:rPr>
        <w:t>.</w:t>
      </w:r>
      <w:r w:rsidRPr="000B56AE">
        <w:rPr>
          <w:rFonts w:ascii="Arial" w:hAnsi="Arial" w:cs="Arial"/>
          <w:sz w:val="20"/>
        </w:rPr>
        <w:t xml:space="preserve"> </w:t>
      </w:r>
      <w:r w:rsidR="00B76007" w:rsidRPr="000B56AE">
        <w:rPr>
          <w:rFonts w:ascii="Arial" w:hAnsi="Arial" w:cs="Arial"/>
          <w:sz w:val="20"/>
        </w:rPr>
        <w:t xml:space="preserve">Pouze </w:t>
      </w:r>
      <w:r w:rsidRPr="000B56AE">
        <w:rPr>
          <w:rFonts w:ascii="Arial" w:hAnsi="Arial" w:cs="Arial"/>
          <w:sz w:val="20"/>
        </w:rPr>
        <w:t xml:space="preserve">papírové daňové doklady vystavují </w:t>
      </w:r>
      <w:r w:rsidR="00B22424" w:rsidRPr="000B56AE">
        <w:rPr>
          <w:rFonts w:ascii="Arial" w:hAnsi="Arial" w:cs="Arial"/>
          <w:sz w:val="20"/>
        </w:rPr>
        <w:t xml:space="preserve">častěji malé firmy (8 % z nich) a podle převažující ekonomické činnosti jich nalezneme nejvíce ve stravování a pohostinství (17 % podniků), v potravinářském, nápojovém a tabákovém průmyslu (15 %) nebo v maloobchodě (14 %). </w:t>
      </w:r>
    </w:p>
    <w:p w14:paraId="41158752" w14:textId="46B9D295" w:rsidR="00397027" w:rsidRPr="00537555" w:rsidRDefault="000C7426" w:rsidP="00242A24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537555">
        <w:rPr>
          <w:rFonts w:ascii="Arial" w:eastAsia="Calibri" w:hAnsi="Arial" w:cs="Arial"/>
          <w:sz w:val="20"/>
          <w:szCs w:val="22"/>
          <w:lang w:eastAsia="en-US"/>
        </w:rPr>
        <w:t xml:space="preserve">V zasílání faktur elektronickou cestou ve formátu, který </w:t>
      </w:r>
      <w:r w:rsidRPr="00537555">
        <w:rPr>
          <w:rFonts w:ascii="Arial" w:eastAsia="Calibri" w:hAnsi="Arial" w:cs="Arial"/>
          <w:b/>
          <w:sz w:val="20"/>
          <w:szCs w:val="22"/>
          <w:lang w:eastAsia="en-US"/>
        </w:rPr>
        <w:t>neumožňuje jejich automatizované zpracování,</w:t>
      </w:r>
      <w:r w:rsidRPr="00537555">
        <w:rPr>
          <w:rFonts w:ascii="Arial" w:eastAsia="Calibri" w:hAnsi="Arial" w:cs="Arial"/>
          <w:sz w:val="20"/>
          <w:szCs w:val="22"/>
          <w:lang w:eastAsia="en-US"/>
        </w:rPr>
        <w:t xml:space="preserve"> jsou české firmy </w:t>
      </w:r>
      <w:r w:rsidR="00214412" w:rsidRPr="00537555">
        <w:rPr>
          <w:rFonts w:ascii="Arial" w:eastAsia="Calibri" w:hAnsi="Arial" w:cs="Arial"/>
          <w:sz w:val="20"/>
          <w:szCs w:val="22"/>
          <w:lang w:eastAsia="en-US"/>
        </w:rPr>
        <w:t>za rok 2023</w:t>
      </w:r>
      <w:r w:rsidRPr="0053755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397027" w:rsidRPr="00537555">
        <w:rPr>
          <w:rFonts w:ascii="Arial" w:eastAsia="Calibri" w:hAnsi="Arial" w:cs="Arial"/>
          <w:b/>
          <w:sz w:val="20"/>
          <w:szCs w:val="22"/>
          <w:lang w:eastAsia="en-US"/>
        </w:rPr>
        <w:t>na 3. místě v</w:t>
      </w:r>
      <w:r w:rsidR="00A342CA">
        <w:rPr>
          <w:rFonts w:ascii="Arial" w:eastAsia="Calibri" w:hAnsi="Arial" w:cs="Arial"/>
          <w:b/>
          <w:sz w:val="20"/>
          <w:szCs w:val="22"/>
          <w:lang w:eastAsia="en-US"/>
        </w:rPr>
        <w:t> </w:t>
      </w:r>
      <w:r w:rsidR="00397027" w:rsidRPr="00537555">
        <w:rPr>
          <w:rFonts w:ascii="Arial" w:eastAsia="Calibri" w:hAnsi="Arial" w:cs="Arial"/>
          <w:b/>
          <w:sz w:val="20"/>
          <w:szCs w:val="22"/>
          <w:lang w:eastAsia="en-US"/>
        </w:rPr>
        <w:t>EU</w:t>
      </w:r>
      <w:r w:rsidR="00A342CA">
        <w:rPr>
          <w:rFonts w:ascii="Arial" w:eastAsia="Calibri" w:hAnsi="Arial" w:cs="Arial"/>
          <w:b/>
          <w:sz w:val="20"/>
          <w:szCs w:val="22"/>
          <w:lang w:eastAsia="en-US"/>
        </w:rPr>
        <w:t>27</w:t>
      </w:r>
      <w:r w:rsidRPr="00537555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="00537555">
        <w:rPr>
          <w:rFonts w:ascii="Arial" w:eastAsia="Calibri" w:hAnsi="Arial" w:cs="Arial"/>
          <w:sz w:val="20"/>
          <w:szCs w:val="22"/>
          <w:lang w:eastAsia="en-US"/>
        </w:rPr>
        <w:t>Častěji než v Česku zasíla</w:t>
      </w:r>
      <w:r w:rsidR="00366B9E">
        <w:rPr>
          <w:rFonts w:ascii="Arial" w:eastAsia="Calibri" w:hAnsi="Arial" w:cs="Arial"/>
          <w:sz w:val="20"/>
          <w:szCs w:val="22"/>
          <w:lang w:eastAsia="en-US"/>
        </w:rPr>
        <w:t>ly</w:t>
      </w:r>
      <w:r w:rsidR="00537555">
        <w:rPr>
          <w:rFonts w:ascii="Arial" w:eastAsia="Calibri" w:hAnsi="Arial" w:cs="Arial"/>
          <w:sz w:val="20"/>
          <w:szCs w:val="22"/>
          <w:lang w:eastAsia="en-US"/>
        </w:rPr>
        <w:t xml:space="preserve"> tento typ daňových dokladů podniky ve Švédsku (90 % z nich) a ve Finsku (89 % z nich). Průměr za EU27 činil za rok 2023 73 % podniků. </w:t>
      </w:r>
      <w:r w:rsidR="004D7835">
        <w:rPr>
          <w:rFonts w:ascii="Arial" w:eastAsia="Calibri" w:hAnsi="Arial" w:cs="Arial"/>
          <w:sz w:val="20"/>
          <w:szCs w:val="22"/>
          <w:lang w:eastAsia="en-US"/>
        </w:rPr>
        <w:t>Nejméně podniků v rámci Unie zasílá PDF faktury v Itálii (47 %), jde o jedinou zemi, kde je podíl podniků nižší než 50 %.</w:t>
      </w:r>
      <w:r w:rsidR="0053755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71F52F9A" w14:textId="782DE1EF" w:rsidR="000C7426" w:rsidRDefault="000C7426" w:rsidP="00242A24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397027">
        <w:rPr>
          <w:rFonts w:ascii="Arial" w:eastAsia="Calibri" w:hAnsi="Arial" w:cs="Arial"/>
          <w:sz w:val="20"/>
          <w:szCs w:val="22"/>
          <w:lang w:eastAsia="en-US"/>
        </w:rPr>
        <w:t>Pokud však žebříček sestav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íme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 z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 xml:space="preserve"> podniků 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>zasíl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ajících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 plnohodnotn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é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 automatizovan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é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 e-faktur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y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397027">
        <w:rPr>
          <w:rFonts w:ascii="Arial" w:eastAsia="Calibri" w:hAnsi="Arial" w:cs="Arial"/>
          <w:sz w:val="20"/>
          <w:szCs w:val="22"/>
          <w:lang w:eastAsia="en-US"/>
        </w:rPr>
        <w:t>jsou tuzemské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 firmy </w:t>
      </w:r>
      <w:r w:rsidR="00397027" w:rsidRPr="00366B9E">
        <w:rPr>
          <w:rFonts w:ascii="Arial" w:eastAsia="Calibri" w:hAnsi="Arial" w:cs="Arial"/>
          <w:sz w:val="20"/>
          <w:szCs w:val="22"/>
          <w:lang w:eastAsia="en-US"/>
        </w:rPr>
        <w:t xml:space="preserve">hluboko </w:t>
      </w:r>
      <w:r w:rsidR="00CF018B" w:rsidRPr="00366B9E">
        <w:rPr>
          <w:rFonts w:ascii="Arial" w:eastAsia="Calibri" w:hAnsi="Arial" w:cs="Arial"/>
          <w:sz w:val="20"/>
          <w:szCs w:val="22"/>
          <w:lang w:eastAsia="en-US"/>
        </w:rPr>
        <w:t>pod průměrem</w:t>
      </w:r>
      <w:r w:rsidRPr="00366B9E">
        <w:rPr>
          <w:rFonts w:ascii="Arial" w:eastAsia="Calibri" w:hAnsi="Arial" w:cs="Arial"/>
          <w:sz w:val="20"/>
          <w:szCs w:val="22"/>
          <w:lang w:eastAsia="en-US"/>
        </w:rPr>
        <w:t xml:space="preserve"> EU</w:t>
      </w:r>
      <w:r w:rsidR="00214412" w:rsidRPr="00366B9E">
        <w:rPr>
          <w:rFonts w:ascii="Arial" w:eastAsia="Calibri" w:hAnsi="Arial" w:cs="Arial"/>
          <w:sz w:val="20"/>
          <w:szCs w:val="22"/>
          <w:lang w:eastAsia="en-US"/>
        </w:rPr>
        <w:t>27</w:t>
      </w:r>
      <w:r w:rsidR="00397027">
        <w:rPr>
          <w:rFonts w:ascii="Arial" w:eastAsia="Calibri" w:hAnsi="Arial" w:cs="Arial"/>
          <w:b/>
          <w:sz w:val="20"/>
          <w:szCs w:val="22"/>
          <w:lang w:eastAsia="en-US"/>
        </w:rPr>
        <w:t>.</w:t>
      </w:r>
      <w:r w:rsidR="00397027" w:rsidRPr="0039702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 xml:space="preserve">Nejvíce e-faktur vystavují firmy </w:t>
      </w:r>
      <w:r w:rsidR="00397027" w:rsidRPr="00397027">
        <w:rPr>
          <w:rFonts w:ascii="Arial" w:eastAsia="Calibri" w:hAnsi="Arial" w:cs="Arial"/>
          <w:sz w:val="20"/>
          <w:szCs w:val="22"/>
          <w:lang w:eastAsia="en-US"/>
        </w:rPr>
        <w:t>v Itálii (97 %) a ve Finsku (93 %)</w:t>
      </w:r>
      <w:r w:rsidRPr="00397027">
        <w:rPr>
          <w:rFonts w:ascii="Arial" w:eastAsia="Calibri" w:hAnsi="Arial" w:cs="Arial"/>
          <w:sz w:val="20"/>
          <w:szCs w:val="22"/>
          <w:lang w:eastAsia="en-US"/>
        </w:rPr>
        <w:t>.</w:t>
      </w:r>
      <w:r w:rsidR="00397027" w:rsidRPr="00397027">
        <w:rPr>
          <w:rFonts w:ascii="Arial" w:eastAsia="Calibri" w:hAnsi="Arial" w:cs="Arial"/>
          <w:sz w:val="20"/>
          <w:szCs w:val="22"/>
          <w:lang w:eastAsia="en-US"/>
        </w:rPr>
        <w:t xml:space="preserve"> Průměr za evropskou sedmadvacítku za rok 2023 činil 39 %.</w:t>
      </w:r>
      <w:r w:rsidR="00366B9E">
        <w:rPr>
          <w:rFonts w:ascii="Arial" w:eastAsia="Calibri" w:hAnsi="Arial" w:cs="Arial"/>
          <w:sz w:val="20"/>
          <w:szCs w:val="22"/>
          <w:lang w:eastAsia="en-US"/>
        </w:rPr>
        <w:t xml:space="preserve"> Podobně jako podniky v Česku jsou na tom v případě zasílání e-faktur podniky na Kypru, v Řecku nebo v Lotyšsku, nejméně tento typ plně automatizovaných faktur zasílají podniky v Bulharsku (16 %) a Polsku (15 %).</w:t>
      </w:r>
    </w:p>
    <w:p w14:paraId="1A3E74ED" w14:textId="77777777" w:rsidR="00EA517E" w:rsidRDefault="00EA517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hAnsi="Arial" w:cs="Arial"/>
          <w:b/>
          <w:sz w:val="20"/>
        </w:rPr>
        <w:br w:type="page"/>
      </w:r>
    </w:p>
    <w:p w14:paraId="5D9D4E1B" w14:textId="3D9838CA" w:rsidR="00D92207" w:rsidRPr="008F3F65" w:rsidRDefault="00D92207" w:rsidP="000B56AE">
      <w:pPr>
        <w:pStyle w:val="Zkladntext"/>
        <w:tabs>
          <w:tab w:val="left" w:pos="284"/>
        </w:tabs>
        <w:autoSpaceDE w:val="0"/>
        <w:autoSpaceDN w:val="0"/>
        <w:adjustRightInd w:val="0"/>
        <w:spacing w:before="240" w:line="288" w:lineRule="auto"/>
        <w:ind w:right="0"/>
        <w:rPr>
          <w:rFonts w:ascii="Arial" w:hAnsi="Arial" w:cs="Arial"/>
          <w:i/>
          <w:sz w:val="18"/>
          <w:szCs w:val="18"/>
        </w:rPr>
      </w:pPr>
      <w:r w:rsidRPr="008F3F65">
        <w:rPr>
          <w:rFonts w:ascii="Arial" w:hAnsi="Arial" w:cs="Arial"/>
          <w:b/>
          <w:sz w:val="20"/>
        </w:rPr>
        <w:lastRenderedPageBreak/>
        <w:t xml:space="preserve">Graf </w:t>
      </w:r>
      <w:r w:rsidR="00AC3421" w:rsidRPr="008F3F65">
        <w:rPr>
          <w:rFonts w:ascii="Arial" w:hAnsi="Arial" w:cs="Arial"/>
          <w:b/>
          <w:sz w:val="20"/>
        </w:rPr>
        <w:t>9</w:t>
      </w:r>
      <w:r w:rsidRPr="008F3F65">
        <w:rPr>
          <w:rFonts w:ascii="Arial" w:hAnsi="Arial" w:cs="Arial"/>
          <w:b/>
          <w:sz w:val="20"/>
        </w:rPr>
        <w:t xml:space="preserve">.1: </w:t>
      </w:r>
      <w:r w:rsidR="00AC3421" w:rsidRPr="008F3F65">
        <w:rPr>
          <w:rFonts w:ascii="Arial" w:hAnsi="Arial" w:cs="Arial"/>
          <w:b/>
          <w:sz w:val="20"/>
        </w:rPr>
        <w:t xml:space="preserve">Podniky </w:t>
      </w:r>
      <w:r w:rsidRPr="008F3F65">
        <w:rPr>
          <w:rFonts w:ascii="Arial" w:hAnsi="Arial" w:cs="Arial"/>
          <w:b/>
          <w:sz w:val="20"/>
        </w:rPr>
        <w:t>v ČR</w:t>
      </w:r>
      <w:r w:rsidR="00B60BFE" w:rsidRPr="008F3F65">
        <w:rPr>
          <w:rFonts w:ascii="Arial" w:hAnsi="Arial" w:cs="Arial"/>
          <w:b/>
          <w:sz w:val="20"/>
        </w:rPr>
        <w:t xml:space="preserve"> zasílající</w:t>
      </w:r>
      <w:r w:rsidR="00AC3421" w:rsidRPr="008F3F65">
        <w:rPr>
          <w:rFonts w:ascii="Arial" w:hAnsi="Arial" w:cs="Arial"/>
          <w:b/>
          <w:sz w:val="20"/>
        </w:rPr>
        <w:t xml:space="preserve"> </w:t>
      </w:r>
      <w:r w:rsidRPr="008F3F65">
        <w:rPr>
          <w:rFonts w:ascii="Arial" w:hAnsi="Arial" w:cs="Arial"/>
          <w:b/>
          <w:sz w:val="20"/>
        </w:rPr>
        <w:t>faktury</w:t>
      </w:r>
      <w:r w:rsidR="00B60BFE" w:rsidRPr="008F3F65">
        <w:rPr>
          <w:rFonts w:ascii="Arial" w:hAnsi="Arial" w:cs="Arial"/>
          <w:b/>
          <w:sz w:val="20"/>
        </w:rPr>
        <w:t xml:space="preserve"> v elektronické podobě</w:t>
      </w:r>
      <w:r w:rsidR="003A1171" w:rsidRPr="008F3F65">
        <w:rPr>
          <w:rFonts w:ascii="Arial" w:hAnsi="Arial" w:cs="Arial"/>
          <w:b/>
          <w:sz w:val="20"/>
        </w:rPr>
        <w:t>; 2023</w:t>
      </w:r>
      <w:r w:rsidRPr="008F3F65">
        <w:rPr>
          <w:rFonts w:ascii="Arial" w:hAnsi="Arial" w:cs="Arial"/>
          <w:b/>
          <w:sz w:val="20"/>
        </w:rPr>
        <w:t xml:space="preserve"> </w:t>
      </w:r>
    </w:p>
    <w:p w14:paraId="76CA4A41" w14:textId="7A5F41CA" w:rsidR="00014347" w:rsidRDefault="00021674" w:rsidP="00242A24">
      <w:pPr>
        <w:autoSpaceDE w:val="0"/>
        <w:autoSpaceDN w:val="0"/>
        <w:adjustRightInd w:val="0"/>
        <w:spacing w:before="120" w:after="60" w:line="288" w:lineRule="auto"/>
        <w:ind w:right="284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8EFD333" wp14:editId="6B29C6A9">
            <wp:extent cx="5891916" cy="362579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8FA7C2" w14:textId="77777777" w:rsidR="00325133" w:rsidRDefault="00AC3421" w:rsidP="00242A24">
      <w:pPr>
        <w:autoSpaceDE w:val="0"/>
        <w:autoSpaceDN w:val="0"/>
        <w:adjustRightInd w:val="0"/>
        <w:spacing w:before="120" w:after="60" w:line="288" w:lineRule="auto"/>
        <w:ind w:righ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="00325133" w:rsidRPr="00804120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="00325133" w:rsidRPr="00804120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podniků</w:t>
      </w:r>
      <w:r w:rsidR="00325133" w:rsidRPr="00804120">
        <w:rPr>
          <w:rFonts w:ascii="Arial" w:hAnsi="Arial" w:cs="Arial"/>
          <w:i/>
          <w:sz w:val="18"/>
          <w:szCs w:val="18"/>
        </w:rPr>
        <w:t xml:space="preserve"> v dané velikostní skupině </w:t>
      </w:r>
    </w:p>
    <w:p w14:paraId="272398F7" w14:textId="77777777" w:rsidR="00014347" w:rsidRDefault="00014347" w:rsidP="007E264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36110">
        <w:rPr>
          <w:rFonts w:ascii="Arial" w:hAnsi="Arial" w:cs="Arial"/>
          <w:sz w:val="18"/>
          <w:szCs w:val="18"/>
        </w:rPr>
        <w:t>Zdroj: Český statistický úřad</w:t>
      </w:r>
      <w:r w:rsidRPr="00836110">
        <w:rPr>
          <w:rFonts w:ascii="Arial" w:hAnsi="Arial" w:cs="Arial"/>
          <w:b/>
          <w:sz w:val="18"/>
          <w:szCs w:val="18"/>
        </w:rPr>
        <w:t xml:space="preserve"> </w:t>
      </w:r>
    </w:p>
    <w:p w14:paraId="1BB00D41" w14:textId="77777777" w:rsidR="008F3F65" w:rsidRPr="00836110" w:rsidRDefault="008F3F65" w:rsidP="00242A24">
      <w:pPr>
        <w:autoSpaceDE w:val="0"/>
        <w:autoSpaceDN w:val="0"/>
        <w:adjustRightInd w:val="0"/>
        <w:spacing w:before="120" w:after="0" w:line="240" w:lineRule="auto"/>
        <w:ind w:right="284"/>
        <w:jc w:val="right"/>
        <w:rPr>
          <w:noProof/>
          <w:sz w:val="18"/>
          <w:szCs w:val="18"/>
          <w:lang w:eastAsia="cs-CZ"/>
        </w:rPr>
      </w:pPr>
    </w:p>
    <w:p w14:paraId="4BF94211" w14:textId="13C77C2C" w:rsidR="00CF018B" w:rsidRDefault="00F2195F" w:rsidP="000B56AE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AC3421">
        <w:rPr>
          <w:rFonts w:ascii="Arial" w:hAnsi="Arial" w:cs="Arial"/>
          <w:b/>
          <w:sz w:val="20"/>
        </w:rPr>
        <w:t>9</w:t>
      </w:r>
      <w:r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 xml:space="preserve">: </w:t>
      </w:r>
      <w:r w:rsidR="00B60BFE">
        <w:rPr>
          <w:rFonts w:ascii="Arial" w:hAnsi="Arial" w:cs="Arial"/>
          <w:b/>
          <w:sz w:val="20"/>
        </w:rPr>
        <w:t xml:space="preserve">Podniky </w:t>
      </w:r>
      <w:r w:rsidR="00CF018B" w:rsidRPr="006D66B8">
        <w:rPr>
          <w:rFonts w:ascii="Arial" w:hAnsi="Arial" w:cs="Arial"/>
          <w:b/>
          <w:sz w:val="20"/>
        </w:rPr>
        <w:t>v</w:t>
      </w:r>
      <w:r w:rsidR="00CF018B">
        <w:rPr>
          <w:rFonts w:ascii="Arial" w:hAnsi="Arial" w:cs="Arial"/>
          <w:b/>
          <w:sz w:val="20"/>
        </w:rPr>
        <w:t xml:space="preserve"> zemích </w:t>
      </w:r>
      <w:r w:rsidR="00AC3421">
        <w:rPr>
          <w:rFonts w:ascii="Arial" w:hAnsi="Arial" w:cs="Arial"/>
          <w:b/>
          <w:sz w:val="20"/>
        </w:rPr>
        <w:t>EU</w:t>
      </w:r>
      <w:r w:rsidR="000B56AE">
        <w:rPr>
          <w:rFonts w:ascii="Arial" w:hAnsi="Arial" w:cs="Arial"/>
          <w:b/>
          <w:sz w:val="20"/>
        </w:rPr>
        <w:t>27</w:t>
      </w:r>
      <w:r w:rsidR="00B60BFE">
        <w:rPr>
          <w:rFonts w:ascii="Arial" w:hAnsi="Arial" w:cs="Arial"/>
          <w:b/>
          <w:sz w:val="20"/>
        </w:rPr>
        <w:t xml:space="preserve"> zasílající faktury ve formátu neumožňujícím jejich automatizované zpracování (např. v PDF)</w:t>
      </w:r>
      <w:r w:rsidR="00AC3421">
        <w:rPr>
          <w:rFonts w:ascii="Arial" w:hAnsi="Arial" w:cs="Arial"/>
          <w:b/>
          <w:sz w:val="20"/>
        </w:rPr>
        <w:t>; 202</w:t>
      </w:r>
      <w:r w:rsidR="00B60BFE">
        <w:rPr>
          <w:rFonts w:ascii="Arial" w:hAnsi="Arial" w:cs="Arial"/>
          <w:b/>
          <w:sz w:val="20"/>
        </w:rPr>
        <w:t>3</w:t>
      </w:r>
    </w:p>
    <w:p w14:paraId="34685CA5" w14:textId="0A04B043" w:rsidR="00CF018B" w:rsidRDefault="00021674" w:rsidP="000B56AE">
      <w:pPr>
        <w:autoSpaceDE w:val="0"/>
        <w:autoSpaceDN w:val="0"/>
        <w:adjustRightInd w:val="0"/>
        <w:spacing w:after="12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38634A7" wp14:editId="640FCE33">
            <wp:extent cx="6098650" cy="3458817"/>
            <wp:effectExtent l="0" t="0" r="0" b="889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6F0F2" w14:textId="4AD38DD5" w:rsidR="00CF018B" w:rsidRDefault="00AC3421" w:rsidP="00CC2DA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="00CF018B" w:rsidRPr="0079729E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="00CF018B" w:rsidRPr="0079729E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podniků</w:t>
      </w:r>
      <w:r w:rsidR="00CF018B" w:rsidRPr="0079729E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="00CF018B" w:rsidRPr="0079729E">
        <w:rPr>
          <w:rFonts w:ascii="Arial" w:hAnsi="Arial" w:cs="Arial"/>
          <w:i/>
          <w:sz w:val="18"/>
          <w:szCs w:val="18"/>
        </w:rPr>
        <w:t xml:space="preserve">zemi  </w:t>
      </w:r>
      <w:r w:rsidR="0079729E">
        <w:rPr>
          <w:rFonts w:ascii="Arial" w:hAnsi="Arial" w:cs="Arial"/>
          <w:i/>
          <w:sz w:val="18"/>
          <w:szCs w:val="18"/>
        </w:rPr>
        <w:t xml:space="preserve">   </w:t>
      </w:r>
      <w:r w:rsidR="00014347">
        <w:rPr>
          <w:rFonts w:ascii="Arial" w:hAnsi="Arial" w:cs="Arial"/>
          <w:i/>
          <w:sz w:val="18"/>
          <w:szCs w:val="18"/>
        </w:rPr>
        <w:t xml:space="preserve">     </w:t>
      </w:r>
      <w:r w:rsidR="0079729E">
        <w:rPr>
          <w:rFonts w:ascii="Arial" w:hAnsi="Arial" w:cs="Arial"/>
          <w:i/>
          <w:sz w:val="18"/>
          <w:szCs w:val="18"/>
        </w:rPr>
        <w:t xml:space="preserve">   </w:t>
      </w:r>
      <w:r w:rsidR="00CC2DA9">
        <w:rPr>
          <w:rFonts w:ascii="Arial" w:hAnsi="Arial" w:cs="Arial"/>
          <w:i/>
          <w:sz w:val="18"/>
          <w:szCs w:val="18"/>
        </w:rPr>
        <w:t xml:space="preserve">            </w:t>
      </w:r>
      <w:r w:rsidR="0079729E">
        <w:rPr>
          <w:rFonts w:ascii="Arial" w:hAnsi="Arial" w:cs="Arial"/>
          <w:i/>
          <w:sz w:val="18"/>
          <w:szCs w:val="18"/>
        </w:rPr>
        <w:t xml:space="preserve">     </w:t>
      </w:r>
      <w:r w:rsidR="001B3974">
        <w:rPr>
          <w:rFonts w:ascii="Arial" w:hAnsi="Arial" w:cs="Arial"/>
          <w:i/>
          <w:sz w:val="18"/>
          <w:szCs w:val="18"/>
        </w:rPr>
        <w:t xml:space="preserve">      </w:t>
      </w:r>
      <w:r w:rsidR="0079729E">
        <w:rPr>
          <w:rFonts w:ascii="Arial" w:hAnsi="Arial" w:cs="Arial"/>
          <w:i/>
          <w:sz w:val="18"/>
          <w:szCs w:val="18"/>
        </w:rPr>
        <w:t xml:space="preserve"> </w:t>
      </w:r>
      <w:r w:rsidR="00CF018B"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="00CF018B" w:rsidRPr="0079729E">
        <w:rPr>
          <w:rFonts w:ascii="Arial" w:hAnsi="Arial" w:cs="Arial"/>
          <w:sz w:val="18"/>
          <w:szCs w:val="18"/>
        </w:rPr>
        <w:t>droj</w:t>
      </w:r>
      <w:proofErr w:type="gramEnd"/>
      <w:r w:rsidR="00CF018B" w:rsidRPr="0079729E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="00CF018B"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="00CF018B" w:rsidRPr="0079729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2023</w:t>
      </w:r>
    </w:p>
    <w:p w14:paraId="5F4646EF" w14:textId="66F34ED7" w:rsidR="00B60BFE" w:rsidRDefault="00B60BFE" w:rsidP="000B56AE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9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Podniky </w:t>
      </w:r>
      <w:r w:rsidRPr="006D66B8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zemích EU</w:t>
      </w:r>
      <w:r w:rsidR="000B56AE">
        <w:rPr>
          <w:rFonts w:ascii="Arial" w:hAnsi="Arial" w:cs="Arial"/>
          <w:b/>
          <w:sz w:val="20"/>
        </w:rPr>
        <w:t>27</w:t>
      </w:r>
      <w:r>
        <w:rPr>
          <w:rFonts w:ascii="Arial" w:hAnsi="Arial" w:cs="Arial"/>
          <w:b/>
          <w:sz w:val="20"/>
        </w:rPr>
        <w:t xml:space="preserve"> zasílající faktury ve formátu umožňujícím jejich automatizované zpracování (tzv. e-faktury); 2023</w:t>
      </w:r>
    </w:p>
    <w:p w14:paraId="261C228E" w14:textId="1C2E1964" w:rsidR="00B60BFE" w:rsidRDefault="00021674" w:rsidP="00B60BFE">
      <w:pPr>
        <w:tabs>
          <w:tab w:val="left" w:pos="9355"/>
        </w:tabs>
        <w:autoSpaceDE w:val="0"/>
        <w:autoSpaceDN w:val="0"/>
        <w:adjustRightInd w:val="0"/>
        <w:spacing w:after="120" w:line="240" w:lineRule="auto"/>
        <w:ind w:right="284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E9EBE70" wp14:editId="3EDC1568">
            <wp:extent cx="6106795" cy="3578225"/>
            <wp:effectExtent l="0" t="0" r="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725C" w14:textId="46881E9C" w:rsidR="00B60BFE" w:rsidRPr="0079729E" w:rsidRDefault="00B60BFE" w:rsidP="000B56AE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Pr="0079729E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79729E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79729E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79729E">
        <w:rPr>
          <w:rFonts w:ascii="Arial" w:hAnsi="Arial" w:cs="Arial"/>
          <w:i/>
          <w:sz w:val="18"/>
          <w:szCs w:val="18"/>
        </w:rPr>
        <w:t xml:space="preserve">zemi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="000B56AE">
        <w:rPr>
          <w:rFonts w:ascii="Arial" w:hAnsi="Arial" w:cs="Arial"/>
          <w:i/>
          <w:sz w:val="18"/>
          <w:szCs w:val="18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Pr="0079729E">
        <w:rPr>
          <w:rFonts w:ascii="Arial" w:hAnsi="Arial" w:cs="Arial"/>
          <w:sz w:val="18"/>
          <w:szCs w:val="18"/>
        </w:rPr>
        <w:t>droj</w:t>
      </w:r>
      <w:proofErr w:type="gramEnd"/>
      <w:r w:rsidRPr="0079729E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Pr="0079729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2023</w:t>
      </w:r>
    </w:p>
    <w:p w14:paraId="153E05EC" w14:textId="77777777" w:rsidR="00397027" w:rsidRDefault="00397027" w:rsidP="00397027">
      <w:pPr>
        <w:autoSpaceDE w:val="0"/>
        <w:autoSpaceDN w:val="0"/>
        <w:adjustRightInd w:val="0"/>
        <w:spacing w:after="120" w:line="288" w:lineRule="auto"/>
        <w:ind w:right="284"/>
        <w:jc w:val="both"/>
        <w:rPr>
          <w:rFonts w:ascii="Arial" w:hAnsi="Arial" w:cs="Arial"/>
          <w:b/>
          <w:sz w:val="20"/>
        </w:rPr>
      </w:pPr>
    </w:p>
    <w:p w14:paraId="0775E1B0" w14:textId="1F248A6A" w:rsidR="00397027" w:rsidRDefault="00397027" w:rsidP="000B56AE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9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Podniky </w:t>
      </w:r>
      <w:r w:rsidRPr="006D66B8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zemích EU</w:t>
      </w:r>
      <w:r w:rsidR="000B56AE">
        <w:rPr>
          <w:rFonts w:ascii="Arial" w:hAnsi="Arial" w:cs="Arial"/>
          <w:b/>
          <w:sz w:val="20"/>
        </w:rPr>
        <w:t>27</w:t>
      </w:r>
      <w:r>
        <w:rPr>
          <w:rFonts w:ascii="Arial" w:hAnsi="Arial" w:cs="Arial"/>
          <w:b/>
          <w:sz w:val="20"/>
        </w:rPr>
        <w:t xml:space="preserve"> zasílající faktury v papírové podobě; 2023</w:t>
      </w:r>
    </w:p>
    <w:p w14:paraId="505FE432" w14:textId="56944288" w:rsidR="00397027" w:rsidRDefault="00021674" w:rsidP="00397027">
      <w:pPr>
        <w:tabs>
          <w:tab w:val="left" w:pos="9355"/>
        </w:tabs>
        <w:autoSpaceDE w:val="0"/>
        <w:autoSpaceDN w:val="0"/>
        <w:adjustRightInd w:val="0"/>
        <w:spacing w:after="120" w:line="240" w:lineRule="auto"/>
        <w:ind w:right="284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FCAB61" wp14:editId="4AA7818C">
            <wp:extent cx="6122670" cy="3713480"/>
            <wp:effectExtent l="0" t="0" r="0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C2220B" w14:textId="049A5B1E" w:rsidR="00397027" w:rsidRPr="0079729E" w:rsidRDefault="00397027" w:rsidP="000B56AE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Pr="0079729E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79729E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79729E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79729E">
        <w:rPr>
          <w:rFonts w:ascii="Arial" w:hAnsi="Arial" w:cs="Arial"/>
          <w:i/>
          <w:sz w:val="18"/>
          <w:szCs w:val="18"/>
        </w:rPr>
        <w:t xml:space="preserve">zemi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0B56AE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Pr="0079729E">
        <w:rPr>
          <w:rFonts w:ascii="Arial" w:hAnsi="Arial" w:cs="Arial"/>
          <w:sz w:val="18"/>
          <w:szCs w:val="18"/>
        </w:rPr>
        <w:t>droj</w:t>
      </w:r>
      <w:proofErr w:type="gramEnd"/>
      <w:r w:rsidRPr="0079729E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Pr="0079729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2023</w:t>
      </w:r>
    </w:p>
    <w:p w14:paraId="77A0A53B" w14:textId="77777777" w:rsidR="00B60BFE" w:rsidRPr="0079729E" w:rsidRDefault="00B60BFE" w:rsidP="00242A24">
      <w:pPr>
        <w:autoSpaceDE w:val="0"/>
        <w:autoSpaceDN w:val="0"/>
        <w:adjustRightInd w:val="0"/>
        <w:spacing w:before="60" w:after="40"/>
        <w:ind w:right="284"/>
        <w:jc w:val="both"/>
        <w:rPr>
          <w:rFonts w:ascii="Arial" w:hAnsi="Arial" w:cs="Arial"/>
          <w:sz w:val="18"/>
          <w:szCs w:val="18"/>
        </w:rPr>
      </w:pPr>
    </w:p>
    <w:sectPr w:rsidR="00B60BFE" w:rsidRPr="0079729E" w:rsidSect="00242A24">
      <w:pgSz w:w="11906" w:h="16838" w:code="9"/>
      <w:pgMar w:top="1134" w:right="1133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C5CC" w14:textId="77777777" w:rsidR="00923D8C" w:rsidRDefault="00923D8C" w:rsidP="00E71A58">
      <w:r>
        <w:separator/>
      </w:r>
    </w:p>
  </w:endnote>
  <w:endnote w:type="continuationSeparator" w:id="0">
    <w:p w14:paraId="71909938" w14:textId="77777777" w:rsidR="00923D8C" w:rsidRDefault="00923D8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2DEF" w14:textId="77777777" w:rsidR="00923D8C" w:rsidRDefault="00923D8C" w:rsidP="00E71A58">
      <w:r>
        <w:separator/>
      </w:r>
    </w:p>
  </w:footnote>
  <w:footnote w:type="continuationSeparator" w:id="0">
    <w:p w14:paraId="6EA4B34C" w14:textId="77777777" w:rsidR="00923D8C" w:rsidRDefault="00923D8C" w:rsidP="00E71A58">
      <w:r>
        <w:continuationSeparator/>
      </w:r>
    </w:p>
  </w:footnote>
  <w:footnote w:id="1">
    <w:p w14:paraId="69D70E7F" w14:textId="77777777" w:rsidR="0072039E" w:rsidRPr="0072039E" w:rsidRDefault="0072039E" w:rsidP="00EB21D3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72039E">
        <w:rPr>
          <w:rStyle w:val="Znakapoznpodarou"/>
          <w:rFonts w:ascii="Arial" w:hAnsi="Arial" w:cs="Arial"/>
          <w:sz w:val="16"/>
          <w:szCs w:val="16"/>
        </w:rPr>
        <w:footnoteRef/>
      </w:r>
      <w:r w:rsidRPr="0072039E">
        <w:rPr>
          <w:rFonts w:ascii="Arial" w:hAnsi="Arial" w:cs="Arial"/>
          <w:sz w:val="16"/>
          <w:szCs w:val="16"/>
        </w:rPr>
        <w:t xml:space="preserve"> Jednalo se o firmy, které v</w:t>
      </w:r>
      <w:r w:rsidR="007869E9">
        <w:rPr>
          <w:rFonts w:ascii="Arial" w:hAnsi="Arial" w:cs="Arial"/>
          <w:sz w:val="16"/>
          <w:szCs w:val="16"/>
        </w:rPr>
        <w:t> roce 20</w:t>
      </w:r>
      <w:r w:rsidR="00996518">
        <w:rPr>
          <w:rFonts w:ascii="Arial" w:hAnsi="Arial" w:cs="Arial"/>
          <w:sz w:val="16"/>
          <w:szCs w:val="16"/>
        </w:rPr>
        <w:t>23</w:t>
      </w:r>
      <w:r w:rsidRPr="0072039E">
        <w:rPr>
          <w:rFonts w:ascii="Arial" w:hAnsi="Arial" w:cs="Arial"/>
          <w:sz w:val="16"/>
          <w:szCs w:val="16"/>
        </w:rPr>
        <w:t xml:space="preserve"> vystavily a zaslaly </w:t>
      </w:r>
      <w:r w:rsidR="001A2FD5">
        <w:rPr>
          <w:rFonts w:ascii="Arial" w:hAnsi="Arial" w:cs="Arial"/>
          <w:sz w:val="16"/>
          <w:szCs w:val="16"/>
        </w:rPr>
        <w:t xml:space="preserve">pouze </w:t>
      </w:r>
      <w:r w:rsidRPr="0072039E">
        <w:rPr>
          <w:rFonts w:ascii="Arial" w:hAnsi="Arial" w:cs="Arial"/>
          <w:sz w:val="16"/>
          <w:szCs w:val="16"/>
        </w:rPr>
        <w:t xml:space="preserve">elektronické faktury ve standardizovaném formátu umožňujícím automatizované zpracování dat </w:t>
      </w:r>
      <w:r w:rsidRPr="000B56AE">
        <w:rPr>
          <w:rFonts w:ascii="Arial" w:hAnsi="Arial" w:cs="Arial"/>
          <w:sz w:val="16"/>
          <w:szCs w:val="16"/>
          <w:u w:val="single"/>
        </w:rPr>
        <w:t xml:space="preserve">a </w:t>
      </w:r>
      <w:r w:rsidR="001A2FD5" w:rsidRPr="000B56AE">
        <w:rPr>
          <w:rFonts w:ascii="Arial" w:hAnsi="Arial" w:cs="Arial"/>
          <w:sz w:val="16"/>
          <w:szCs w:val="16"/>
          <w:u w:val="single"/>
        </w:rPr>
        <w:t xml:space="preserve">zároveň nezaslaly </w:t>
      </w:r>
      <w:r w:rsidRPr="000B56AE">
        <w:rPr>
          <w:rFonts w:ascii="Arial" w:hAnsi="Arial" w:cs="Arial"/>
          <w:sz w:val="16"/>
          <w:szCs w:val="16"/>
          <w:u w:val="single"/>
        </w:rPr>
        <w:t>žádné další typy faktur</w:t>
      </w:r>
      <w:r w:rsidRPr="0072039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F4"/>
    <w:multiLevelType w:val="hybridMultilevel"/>
    <w:tmpl w:val="64B27A48"/>
    <w:lvl w:ilvl="0" w:tplc="115C727C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6B05"/>
    <w:rsid w:val="0000767A"/>
    <w:rsid w:val="00010702"/>
    <w:rsid w:val="00014347"/>
    <w:rsid w:val="00021674"/>
    <w:rsid w:val="000242BE"/>
    <w:rsid w:val="00030CFC"/>
    <w:rsid w:val="00036996"/>
    <w:rsid w:val="000372A5"/>
    <w:rsid w:val="0004694F"/>
    <w:rsid w:val="00052080"/>
    <w:rsid w:val="000520A4"/>
    <w:rsid w:val="00062EC5"/>
    <w:rsid w:val="00063183"/>
    <w:rsid w:val="00070544"/>
    <w:rsid w:val="00074445"/>
    <w:rsid w:val="00087634"/>
    <w:rsid w:val="000927B4"/>
    <w:rsid w:val="00094959"/>
    <w:rsid w:val="000A1183"/>
    <w:rsid w:val="000B56AE"/>
    <w:rsid w:val="000B7FE9"/>
    <w:rsid w:val="000C3408"/>
    <w:rsid w:val="000C7426"/>
    <w:rsid w:val="000E6E2D"/>
    <w:rsid w:val="00135428"/>
    <w:rsid w:val="001405FA"/>
    <w:rsid w:val="001425C3"/>
    <w:rsid w:val="00143453"/>
    <w:rsid w:val="001519C1"/>
    <w:rsid w:val="00155D56"/>
    <w:rsid w:val="00163793"/>
    <w:rsid w:val="0016380A"/>
    <w:rsid w:val="00165B32"/>
    <w:rsid w:val="001714F2"/>
    <w:rsid w:val="00172962"/>
    <w:rsid w:val="00185010"/>
    <w:rsid w:val="00186FED"/>
    <w:rsid w:val="00194F66"/>
    <w:rsid w:val="001A2FD5"/>
    <w:rsid w:val="001A552F"/>
    <w:rsid w:val="001B3110"/>
    <w:rsid w:val="001B3974"/>
    <w:rsid w:val="001D6E0A"/>
    <w:rsid w:val="001F3765"/>
    <w:rsid w:val="001F4597"/>
    <w:rsid w:val="00214412"/>
    <w:rsid w:val="0022139E"/>
    <w:rsid w:val="002252E0"/>
    <w:rsid w:val="002255F6"/>
    <w:rsid w:val="00236443"/>
    <w:rsid w:val="00236AB7"/>
    <w:rsid w:val="00240220"/>
    <w:rsid w:val="00241CF4"/>
    <w:rsid w:val="00242A24"/>
    <w:rsid w:val="002436BA"/>
    <w:rsid w:val="00244A15"/>
    <w:rsid w:val="0024799E"/>
    <w:rsid w:val="00253E8C"/>
    <w:rsid w:val="00254E9B"/>
    <w:rsid w:val="0028187E"/>
    <w:rsid w:val="00282B49"/>
    <w:rsid w:val="00285A0E"/>
    <w:rsid w:val="0028698F"/>
    <w:rsid w:val="00291005"/>
    <w:rsid w:val="002B3AB6"/>
    <w:rsid w:val="002C31D3"/>
    <w:rsid w:val="002C43BD"/>
    <w:rsid w:val="002E02A1"/>
    <w:rsid w:val="002F4205"/>
    <w:rsid w:val="00300756"/>
    <w:rsid w:val="0030153A"/>
    <w:rsid w:val="00301D16"/>
    <w:rsid w:val="00304771"/>
    <w:rsid w:val="00305DE8"/>
    <w:rsid w:val="00306C5B"/>
    <w:rsid w:val="00307793"/>
    <w:rsid w:val="00317666"/>
    <w:rsid w:val="003209D6"/>
    <w:rsid w:val="003245B5"/>
    <w:rsid w:val="00325133"/>
    <w:rsid w:val="00343E00"/>
    <w:rsid w:val="00356C6E"/>
    <w:rsid w:val="003657F3"/>
    <w:rsid w:val="00366B9E"/>
    <w:rsid w:val="003858B0"/>
    <w:rsid w:val="00385D98"/>
    <w:rsid w:val="00397027"/>
    <w:rsid w:val="003A1171"/>
    <w:rsid w:val="003A2B4D"/>
    <w:rsid w:val="003A2F65"/>
    <w:rsid w:val="003A327C"/>
    <w:rsid w:val="003A478C"/>
    <w:rsid w:val="003A5525"/>
    <w:rsid w:val="003A6B38"/>
    <w:rsid w:val="003B5A32"/>
    <w:rsid w:val="003E5866"/>
    <w:rsid w:val="003F0059"/>
    <w:rsid w:val="003F313C"/>
    <w:rsid w:val="00413550"/>
    <w:rsid w:val="00414240"/>
    <w:rsid w:val="00416151"/>
    <w:rsid w:val="004174E0"/>
    <w:rsid w:val="0043194A"/>
    <w:rsid w:val="00433E14"/>
    <w:rsid w:val="00435BBC"/>
    <w:rsid w:val="00441FDA"/>
    <w:rsid w:val="00462808"/>
    <w:rsid w:val="004661BA"/>
    <w:rsid w:val="0048139F"/>
    <w:rsid w:val="004A77DF"/>
    <w:rsid w:val="004B4984"/>
    <w:rsid w:val="004B55B7"/>
    <w:rsid w:val="004C3867"/>
    <w:rsid w:val="004C4CD0"/>
    <w:rsid w:val="004C70DC"/>
    <w:rsid w:val="004D0211"/>
    <w:rsid w:val="004D7835"/>
    <w:rsid w:val="004F06F5"/>
    <w:rsid w:val="004F0DF9"/>
    <w:rsid w:val="004F108C"/>
    <w:rsid w:val="004F33A0"/>
    <w:rsid w:val="004F4666"/>
    <w:rsid w:val="00501084"/>
    <w:rsid w:val="00504BBF"/>
    <w:rsid w:val="005068F4"/>
    <w:rsid w:val="005108C0"/>
    <w:rsid w:val="00511873"/>
    <w:rsid w:val="00513B7E"/>
    <w:rsid w:val="00515D71"/>
    <w:rsid w:val="00525137"/>
    <w:rsid w:val="005251DD"/>
    <w:rsid w:val="00534B4B"/>
    <w:rsid w:val="00537555"/>
    <w:rsid w:val="005428F8"/>
    <w:rsid w:val="00552AB4"/>
    <w:rsid w:val="00553139"/>
    <w:rsid w:val="00555556"/>
    <w:rsid w:val="00555609"/>
    <w:rsid w:val="005645EF"/>
    <w:rsid w:val="0058291C"/>
    <w:rsid w:val="00583FFD"/>
    <w:rsid w:val="005847EE"/>
    <w:rsid w:val="00585475"/>
    <w:rsid w:val="00585F40"/>
    <w:rsid w:val="00590D35"/>
    <w:rsid w:val="00593152"/>
    <w:rsid w:val="005A13B3"/>
    <w:rsid w:val="005A21E0"/>
    <w:rsid w:val="005B4204"/>
    <w:rsid w:val="005B64C6"/>
    <w:rsid w:val="005C0BD8"/>
    <w:rsid w:val="005D2C3D"/>
    <w:rsid w:val="005D5802"/>
    <w:rsid w:val="005E4798"/>
    <w:rsid w:val="005F419A"/>
    <w:rsid w:val="005F7FA5"/>
    <w:rsid w:val="00604307"/>
    <w:rsid w:val="0060487F"/>
    <w:rsid w:val="0061033C"/>
    <w:rsid w:val="00611A5C"/>
    <w:rsid w:val="006123F0"/>
    <w:rsid w:val="0061552A"/>
    <w:rsid w:val="00624093"/>
    <w:rsid w:val="0064036A"/>
    <w:rsid w:val="006404A7"/>
    <w:rsid w:val="006451E4"/>
    <w:rsid w:val="0064540D"/>
    <w:rsid w:val="00657968"/>
    <w:rsid w:val="00657E87"/>
    <w:rsid w:val="0066384B"/>
    <w:rsid w:val="00667484"/>
    <w:rsid w:val="006710C9"/>
    <w:rsid w:val="006754EE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67F0"/>
    <w:rsid w:val="006B78D8"/>
    <w:rsid w:val="006C113F"/>
    <w:rsid w:val="006D61F6"/>
    <w:rsid w:val="006D66B8"/>
    <w:rsid w:val="006D7909"/>
    <w:rsid w:val="006E279A"/>
    <w:rsid w:val="006E28CF"/>
    <w:rsid w:val="006E313B"/>
    <w:rsid w:val="006E3E49"/>
    <w:rsid w:val="006E7DE3"/>
    <w:rsid w:val="0070062E"/>
    <w:rsid w:val="0072039E"/>
    <w:rsid w:val="007211F5"/>
    <w:rsid w:val="007222A7"/>
    <w:rsid w:val="00730AE8"/>
    <w:rsid w:val="00736422"/>
    <w:rsid w:val="00741493"/>
    <w:rsid w:val="00752180"/>
    <w:rsid w:val="00755D3A"/>
    <w:rsid w:val="007609C6"/>
    <w:rsid w:val="00761B3D"/>
    <w:rsid w:val="00776527"/>
    <w:rsid w:val="0078040D"/>
    <w:rsid w:val="00785B2D"/>
    <w:rsid w:val="007869E9"/>
    <w:rsid w:val="007950C3"/>
    <w:rsid w:val="0079729E"/>
    <w:rsid w:val="007A5C36"/>
    <w:rsid w:val="007C3F6A"/>
    <w:rsid w:val="007D4EAB"/>
    <w:rsid w:val="007D569B"/>
    <w:rsid w:val="007D7174"/>
    <w:rsid w:val="007E2643"/>
    <w:rsid w:val="007E331A"/>
    <w:rsid w:val="007E3D24"/>
    <w:rsid w:val="007E7E61"/>
    <w:rsid w:val="007F0845"/>
    <w:rsid w:val="007F235A"/>
    <w:rsid w:val="00806E9F"/>
    <w:rsid w:val="00810EA9"/>
    <w:rsid w:val="00821FF6"/>
    <w:rsid w:val="0083143E"/>
    <w:rsid w:val="00834FAA"/>
    <w:rsid w:val="00836086"/>
    <w:rsid w:val="00836110"/>
    <w:rsid w:val="00865271"/>
    <w:rsid w:val="00870380"/>
    <w:rsid w:val="00876086"/>
    <w:rsid w:val="0089637F"/>
    <w:rsid w:val="008A65AD"/>
    <w:rsid w:val="008B1968"/>
    <w:rsid w:val="008B7C02"/>
    <w:rsid w:val="008C0E88"/>
    <w:rsid w:val="008C6A0E"/>
    <w:rsid w:val="008D2A16"/>
    <w:rsid w:val="008D49F5"/>
    <w:rsid w:val="008E31FF"/>
    <w:rsid w:val="008F1DA1"/>
    <w:rsid w:val="008F3F65"/>
    <w:rsid w:val="008F41A9"/>
    <w:rsid w:val="008F4811"/>
    <w:rsid w:val="009003A8"/>
    <w:rsid w:val="00902EFF"/>
    <w:rsid w:val="00921F14"/>
    <w:rsid w:val="00923D8C"/>
    <w:rsid w:val="009263D6"/>
    <w:rsid w:val="009303FC"/>
    <w:rsid w:val="0094217D"/>
    <w:rsid w:val="0094427A"/>
    <w:rsid w:val="00962780"/>
    <w:rsid w:val="0096710B"/>
    <w:rsid w:val="00970421"/>
    <w:rsid w:val="00974923"/>
    <w:rsid w:val="0098620F"/>
    <w:rsid w:val="00987E97"/>
    <w:rsid w:val="00996518"/>
    <w:rsid w:val="009B6FD3"/>
    <w:rsid w:val="009E2517"/>
    <w:rsid w:val="00A10D66"/>
    <w:rsid w:val="00A23E43"/>
    <w:rsid w:val="00A342CA"/>
    <w:rsid w:val="00A42547"/>
    <w:rsid w:val="00A44B33"/>
    <w:rsid w:val="00A46DE0"/>
    <w:rsid w:val="00A53B37"/>
    <w:rsid w:val="00A62CE1"/>
    <w:rsid w:val="00A74B21"/>
    <w:rsid w:val="00A75E40"/>
    <w:rsid w:val="00A82956"/>
    <w:rsid w:val="00A857C0"/>
    <w:rsid w:val="00AA559A"/>
    <w:rsid w:val="00AA5B5C"/>
    <w:rsid w:val="00AB0401"/>
    <w:rsid w:val="00AB2188"/>
    <w:rsid w:val="00AB2AF1"/>
    <w:rsid w:val="00AB76F3"/>
    <w:rsid w:val="00AC3421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22424"/>
    <w:rsid w:val="00B32DDB"/>
    <w:rsid w:val="00B439E4"/>
    <w:rsid w:val="00B60BFE"/>
    <w:rsid w:val="00B6608F"/>
    <w:rsid w:val="00B66868"/>
    <w:rsid w:val="00B70579"/>
    <w:rsid w:val="00B729A4"/>
    <w:rsid w:val="00B76007"/>
    <w:rsid w:val="00B76D1E"/>
    <w:rsid w:val="00B94EA5"/>
    <w:rsid w:val="00B95940"/>
    <w:rsid w:val="00B97541"/>
    <w:rsid w:val="00BA39DE"/>
    <w:rsid w:val="00BD258B"/>
    <w:rsid w:val="00BD366B"/>
    <w:rsid w:val="00BD6D50"/>
    <w:rsid w:val="00C045DE"/>
    <w:rsid w:val="00C0475C"/>
    <w:rsid w:val="00C124B7"/>
    <w:rsid w:val="00C21F94"/>
    <w:rsid w:val="00C254EE"/>
    <w:rsid w:val="00C375C6"/>
    <w:rsid w:val="00C4292E"/>
    <w:rsid w:val="00C47CF7"/>
    <w:rsid w:val="00C64A3B"/>
    <w:rsid w:val="00C74F6C"/>
    <w:rsid w:val="00C81083"/>
    <w:rsid w:val="00C847A8"/>
    <w:rsid w:val="00C90CF4"/>
    <w:rsid w:val="00C93389"/>
    <w:rsid w:val="00C97782"/>
    <w:rsid w:val="00CA0C7F"/>
    <w:rsid w:val="00CB35AC"/>
    <w:rsid w:val="00CC0868"/>
    <w:rsid w:val="00CC0C08"/>
    <w:rsid w:val="00CC2DA9"/>
    <w:rsid w:val="00CC61F7"/>
    <w:rsid w:val="00CD57C7"/>
    <w:rsid w:val="00CF018B"/>
    <w:rsid w:val="00CF51EC"/>
    <w:rsid w:val="00D040DD"/>
    <w:rsid w:val="00D1416F"/>
    <w:rsid w:val="00D174A4"/>
    <w:rsid w:val="00D27EFB"/>
    <w:rsid w:val="00D42354"/>
    <w:rsid w:val="00D57B0B"/>
    <w:rsid w:val="00D74B4F"/>
    <w:rsid w:val="00D84372"/>
    <w:rsid w:val="00D9167D"/>
    <w:rsid w:val="00D919EE"/>
    <w:rsid w:val="00D92207"/>
    <w:rsid w:val="00DA1277"/>
    <w:rsid w:val="00DB2F7F"/>
    <w:rsid w:val="00DB3C38"/>
    <w:rsid w:val="00DB6B38"/>
    <w:rsid w:val="00DB6D34"/>
    <w:rsid w:val="00DC114B"/>
    <w:rsid w:val="00DC4BAA"/>
    <w:rsid w:val="00DC5B3B"/>
    <w:rsid w:val="00DE24B9"/>
    <w:rsid w:val="00DE29B4"/>
    <w:rsid w:val="00DE593C"/>
    <w:rsid w:val="00E01C0E"/>
    <w:rsid w:val="00E03848"/>
    <w:rsid w:val="00E03A94"/>
    <w:rsid w:val="00E04694"/>
    <w:rsid w:val="00E161C9"/>
    <w:rsid w:val="00E20E07"/>
    <w:rsid w:val="00E2260C"/>
    <w:rsid w:val="00E61419"/>
    <w:rsid w:val="00E6380F"/>
    <w:rsid w:val="00E71A58"/>
    <w:rsid w:val="00E754D1"/>
    <w:rsid w:val="00E76FD5"/>
    <w:rsid w:val="00E77695"/>
    <w:rsid w:val="00E92C7F"/>
    <w:rsid w:val="00E957E2"/>
    <w:rsid w:val="00EA0C68"/>
    <w:rsid w:val="00EA517E"/>
    <w:rsid w:val="00EB21D3"/>
    <w:rsid w:val="00EC4946"/>
    <w:rsid w:val="00EC7132"/>
    <w:rsid w:val="00EE01F9"/>
    <w:rsid w:val="00EE3E78"/>
    <w:rsid w:val="00EF1F5A"/>
    <w:rsid w:val="00EF4A88"/>
    <w:rsid w:val="00EF4AB5"/>
    <w:rsid w:val="00EF7CCE"/>
    <w:rsid w:val="00F04811"/>
    <w:rsid w:val="00F0488C"/>
    <w:rsid w:val="00F126A0"/>
    <w:rsid w:val="00F128F6"/>
    <w:rsid w:val="00F15BEF"/>
    <w:rsid w:val="00F2195F"/>
    <w:rsid w:val="00F226D7"/>
    <w:rsid w:val="00F24FAA"/>
    <w:rsid w:val="00F3364D"/>
    <w:rsid w:val="00F4274E"/>
    <w:rsid w:val="00F42C99"/>
    <w:rsid w:val="00F61289"/>
    <w:rsid w:val="00F63DDE"/>
    <w:rsid w:val="00F63FB7"/>
    <w:rsid w:val="00F66522"/>
    <w:rsid w:val="00F73A0C"/>
    <w:rsid w:val="00F84F4E"/>
    <w:rsid w:val="00F923A7"/>
    <w:rsid w:val="00F92873"/>
    <w:rsid w:val="00F97972"/>
    <w:rsid w:val="00FC0E5F"/>
    <w:rsid w:val="00FC56DE"/>
    <w:rsid w:val="00FC63A1"/>
    <w:rsid w:val="00FE2F7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1ECE58"/>
  <w15:docId w15:val="{DD829F7A-FBBB-4727-94A7-DFB79C2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584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7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47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7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47EE"/>
    <w:rPr>
      <w:rFonts w:ascii="Times New Roman" w:hAnsi="Times New Roman"/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39D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A39DE"/>
    <w:rPr>
      <w:rFonts w:ascii="Times New Roman" w:hAnsi="Times New Roman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72039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72039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72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3\pomocny_analyza_202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3\pomocny_analyza_202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3\pomocny_analyza_2023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resova4073\Documents\publikace\062005-23\pomocny_analyza_2023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0191017789442987E-2"/>
          <c:y val="0.18815479025975848"/>
          <c:w val="0.97679424920859914"/>
          <c:h val="0.6775120725567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fakturace!$B$102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fakturace!$A$103:$A$106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fakturace!$B$103:$B$106</c:f>
              <c:numCache>
                <c:formatCode>0%</c:formatCode>
                <c:ptCount val="4"/>
                <c:pt idx="0">
                  <c:v>0.89600000000000002</c:v>
                </c:pt>
                <c:pt idx="1">
                  <c:v>0.88200000000000001</c:v>
                </c:pt>
                <c:pt idx="2">
                  <c:v>0.94599999999999995</c:v>
                </c:pt>
                <c:pt idx="3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3-4951-BB78-1395ABE20159}"/>
            </c:ext>
          </c:extLst>
        </c:ser>
        <c:ser>
          <c:idx val="1"/>
          <c:order val="1"/>
          <c:tx>
            <c:strRef>
              <c:f>fakturace!$C$102</c:f>
              <c:strCache>
                <c:ptCount val="1"/>
                <c:pt idx="0">
                  <c:v> ve formátu neumožňujícím jejich automatizované zpracování (např. v PDF)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fakturace!$A$103:$A$106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fakturace!$C$103:$C$106</c:f>
              <c:numCache>
                <c:formatCode>0%</c:formatCode>
                <c:ptCount val="4"/>
                <c:pt idx="0">
                  <c:v>0.875</c:v>
                </c:pt>
                <c:pt idx="1">
                  <c:v>0.85899999999999999</c:v>
                </c:pt>
                <c:pt idx="2">
                  <c:v>0.93400000000000005</c:v>
                </c:pt>
                <c:pt idx="3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A3-4951-BB78-1395ABE20159}"/>
            </c:ext>
          </c:extLst>
        </c:ser>
        <c:ser>
          <c:idx val="3"/>
          <c:order val="2"/>
          <c:tx>
            <c:strRef>
              <c:f>fakturace!$D$102</c:f>
              <c:strCache>
                <c:ptCount val="1"/>
                <c:pt idx="0">
                  <c:v> ve formátu umožňujícím jejich automatizované zpracování (tzv. e-faktury)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fakturace!$A$103:$A$106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fakturace!$D$103:$D$106</c:f>
              <c:numCache>
                <c:formatCode>0%</c:formatCode>
                <c:ptCount val="4"/>
                <c:pt idx="0">
                  <c:v>0.20200000000000001</c:v>
                </c:pt>
                <c:pt idx="1">
                  <c:v>0.17299999999999999</c:v>
                </c:pt>
                <c:pt idx="2">
                  <c:v>0.28599999999999998</c:v>
                </c:pt>
                <c:pt idx="3">
                  <c:v>0.45900000000000002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3-4951-BB78-1395ABE2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76554752"/>
        <c:axId val="176556288"/>
      </c:barChart>
      <c:catAx>
        <c:axId val="1765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76556288"/>
        <c:crosses val="autoZero"/>
        <c:auto val="1"/>
        <c:lblAlgn val="ctr"/>
        <c:lblOffset val="100"/>
        <c:noMultiLvlLbl val="0"/>
      </c:catAx>
      <c:valAx>
        <c:axId val="176556288"/>
        <c:scaling>
          <c:orientation val="minMax"/>
          <c:max val="1.2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655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8634968799574742E-3"/>
          <c:y val="3.4212328397221957E-2"/>
          <c:w val="0.98846975134400028"/>
          <c:h val="0.187374674251127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936835955003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7BFC-489A-8884-A65CEE78E781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7BFC-489A-8884-A65CEE78E781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7BFC-489A-8884-A65CEE78E781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7BFC-489A-8884-A65CEE78E781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7BFC-489A-8884-A65CEE78E781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7BFC-489A-8884-A65CEE78E781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7BFC-489A-8884-A65CEE78E781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7BFC-489A-8884-A65CEE78E781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1-7BFC-489A-8884-A65CEE78E781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7BFC-489A-8884-A65CEE78E781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7BFC-489A-8884-A65CEE78E781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7BFC-489A-8884-A65CEE78E781}"/>
              </c:ext>
            </c:extLst>
          </c:dPt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BFC-489A-8884-A65CEE78E781}"/>
                </c:ext>
              </c:extLst>
            </c:dLbl>
            <c:dLbl>
              <c:idx val="1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BFC-489A-8884-A65CEE78E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fakturace!$A$71:$A$98</c:f>
              <c:strCache>
                <c:ptCount val="28"/>
                <c:pt idx="0">
                  <c:v>Švédsko</c:v>
                </c:pt>
                <c:pt idx="1">
                  <c:v>Finsko</c:v>
                </c:pt>
                <c:pt idx="2">
                  <c:v>Česko</c:v>
                </c:pt>
                <c:pt idx="3">
                  <c:v>Estonsko</c:v>
                </c:pt>
                <c:pt idx="4">
                  <c:v>Rakousko</c:v>
                </c:pt>
                <c:pt idx="5">
                  <c:v>Nizozemsko</c:v>
                </c:pt>
                <c:pt idx="6">
                  <c:v>Dánsko</c:v>
                </c:pt>
                <c:pt idx="7">
                  <c:v>Španělsko</c:v>
                </c:pt>
                <c:pt idx="8">
                  <c:v>Belgie</c:v>
                </c:pt>
                <c:pt idx="9">
                  <c:v>Slovinsko</c:v>
                </c:pt>
                <c:pt idx="10">
                  <c:v>Německo</c:v>
                </c:pt>
                <c:pt idx="11">
                  <c:v>Lotyšsko</c:v>
                </c:pt>
                <c:pt idx="12">
                  <c:v>Chorvatsko</c:v>
                </c:pt>
                <c:pt idx="13">
                  <c:v>Malta</c:v>
                </c:pt>
                <c:pt idx="14">
                  <c:v>Lucembursko</c:v>
                </c:pt>
                <c:pt idx="15">
                  <c:v>Francie</c:v>
                </c:pt>
                <c:pt idx="16">
                  <c:v>EU27</c:v>
                </c:pt>
                <c:pt idx="17">
                  <c:v>Litva</c:v>
                </c:pt>
                <c:pt idx="18">
                  <c:v>Kypr</c:v>
                </c:pt>
                <c:pt idx="19">
                  <c:v>Polsko</c:v>
                </c:pt>
                <c:pt idx="20">
                  <c:v>Portugalsko</c:v>
                </c:pt>
                <c:pt idx="21">
                  <c:v>Bulharsko</c:v>
                </c:pt>
                <c:pt idx="22">
                  <c:v>Maďarsko</c:v>
                </c:pt>
                <c:pt idx="23">
                  <c:v>Řecko</c:v>
                </c:pt>
                <c:pt idx="24">
                  <c:v>Irsko</c:v>
                </c:pt>
                <c:pt idx="25">
                  <c:v>Slovensko</c:v>
                </c:pt>
                <c:pt idx="26">
                  <c:v>Rumunsko</c:v>
                </c:pt>
                <c:pt idx="27">
                  <c:v>Itálie</c:v>
                </c:pt>
              </c:strCache>
            </c:strRef>
          </c:cat>
          <c:val>
            <c:numRef>
              <c:f>fakturace!$B$71:$B$98</c:f>
              <c:numCache>
                <c:formatCode>0%</c:formatCode>
                <c:ptCount val="28"/>
                <c:pt idx="0">
                  <c:v>0.89564100000000002</c:v>
                </c:pt>
                <c:pt idx="1">
                  <c:v>0.88612199999999997</c:v>
                </c:pt>
                <c:pt idx="2">
                  <c:v>0.87494899999999998</c:v>
                </c:pt>
                <c:pt idx="3">
                  <c:v>0.86948599999999998</c:v>
                </c:pt>
                <c:pt idx="4">
                  <c:v>0.86332900000000001</c:v>
                </c:pt>
                <c:pt idx="5">
                  <c:v>0.85785900000000004</c:v>
                </c:pt>
                <c:pt idx="6">
                  <c:v>0.85729699999999998</c:v>
                </c:pt>
                <c:pt idx="7">
                  <c:v>0.83428899999999995</c:v>
                </c:pt>
                <c:pt idx="8">
                  <c:v>0.82143299999999997</c:v>
                </c:pt>
                <c:pt idx="9">
                  <c:v>0.81766300000000003</c:v>
                </c:pt>
                <c:pt idx="10">
                  <c:v>0.81270100000000001</c:v>
                </c:pt>
                <c:pt idx="11">
                  <c:v>0.81229099999999999</c:v>
                </c:pt>
                <c:pt idx="12">
                  <c:v>0.80685700000000005</c:v>
                </c:pt>
                <c:pt idx="13">
                  <c:v>0.78971400000000003</c:v>
                </c:pt>
                <c:pt idx="14">
                  <c:v>0.77836499999999997</c:v>
                </c:pt>
                <c:pt idx="15">
                  <c:v>0.77075899999999997</c:v>
                </c:pt>
                <c:pt idx="16">
                  <c:v>0.72688699999999995</c:v>
                </c:pt>
                <c:pt idx="17">
                  <c:v>0.68852199999999997</c:v>
                </c:pt>
                <c:pt idx="18">
                  <c:v>0.68327300000000002</c:v>
                </c:pt>
                <c:pt idx="19">
                  <c:v>0.67037599999999997</c:v>
                </c:pt>
                <c:pt idx="20">
                  <c:v>0.65572200000000003</c:v>
                </c:pt>
                <c:pt idx="21">
                  <c:v>0.64485099999999995</c:v>
                </c:pt>
                <c:pt idx="22">
                  <c:v>0.60499000000000003</c:v>
                </c:pt>
                <c:pt idx="23">
                  <c:v>0.60077000000000003</c:v>
                </c:pt>
                <c:pt idx="24">
                  <c:v>0.58967400000000003</c:v>
                </c:pt>
                <c:pt idx="25">
                  <c:v>0.56731699999999996</c:v>
                </c:pt>
                <c:pt idx="26">
                  <c:v>0.49666100000000002</c:v>
                </c:pt>
                <c:pt idx="27">
                  <c:v>0.46755400000000003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BFC-489A-8884-A65CEE78E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25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936835955003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8A-442B-83FA-0F8D49010C5E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2-F28A-442B-83FA-0F8D49010C5E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4-F28A-442B-83FA-0F8D49010C5E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6-F28A-442B-83FA-0F8D49010C5E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8-F28A-442B-83FA-0F8D49010C5E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A-F28A-442B-83FA-0F8D49010C5E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C-F28A-442B-83FA-0F8D49010C5E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E-F28A-442B-83FA-0F8D49010C5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28A-442B-83FA-0F8D49010C5E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F28A-442B-83FA-0F8D49010C5E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F28A-442B-83FA-0F8D49010C5E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F28A-442B-83FA-0F8D49010C5E}"/>
              </c:ext>
            </c:extLst>
          </c:dPt>
          <c:dPt>
            <c:idx val="23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7-F28A-442B-83FA-0F8D49010C5E}"/>
              </c:ext>
            </c:extLst>
          </c:dPt>
          <c:dLbls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28A-442B-83FA-0F8D49010C5E}"/>
                </c:ext>
              </c:extLst>
            </c:dLbl>
            <c:dLbl>
              <c:idx val="2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F28A-442B-83FA-0F8D49010C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fakturace!$C$71:$C$98</c:f>
              <c:strCache>
                <c:ptCount val="28"/>
                <c:pt idx="0">
                  <c:v>Itálie</c:v>
                </c:pt>
                <c:pt idx="1">
                  <c:v>Finsko</c:v>
                </c:pt>
                <c:pt idx="2">
                  <c:v>Slovinsko</c:v>
                </c:pt>
                <c:pt idx="3">
                  <c:v>Estonsko</c:v>
                </c:pt>
                <c:pt idx="4">
                  <c:v>Švédsko</c:v>
                </c:pt>
                <c:pt idx="5">
                  <c:v>Dánsko</c:v>
                </c:pt>
                <c:pt idx="6">
                  <c:v>Chorvatsko</c:v>
                </c:pt>
                <c:pt idx="7">
                  <c:v>Španělsko</c:v>
                </c:pt>
                <c:pt idx="8">
                  <c:v>EU27</c:v>
                </c:pt>
                <c:pt idx="9">
                  <c:v>Nizozemsko</c:v>
                </c:pt>
                <c:pt idx="10">
                  <c:v>Rumunsko</c:v>
                </c:pt>
                <c:pt idx="11">
                  <c:v>Belgie</c:v>
                </c:pt>
                <c:pt idx="12">
                  <c:v>Francie</c:v>
                </c:pt>
                <c:pt idx="13">
                  <c:v>Malta</c:v>
                </c:pt>
                <c:pt idx="14">
                  <c:v>Litva</c:v>
                </c:pt>
                <c:pt idx="15">
                  <c:v>Irsko</c:v>
                </c:pt>
                <c:pt idx="16">
                  <c:v>Maďarsko</c:v>
                </c:pt>
                <c:pt idx="17">
                  <c:v>Lucembursko</c:v>
                </c:pt>
                <c:pt idx="18">
                  <c:v>Slovensko</c:v>
                </c:pt>
                <c:pt idx="19">
                  <c:v>Portugalsko</c:v>
                </c:pt>
                <c:pt idx="20">
                  <c:v>Německo</c:v>
                </c:pt>
                <c:pt idx="21">
                  <c:v>Rakousko</c:v>
                </c:pt>
                <c:pt idx="22">
                  <c:v>Kypr</c:v>
                </c:pt>
                <c:pt idx="23">
                  <c:v>Česko</c:v>
                </c:pt>
                <c:pt idx="24">
                  <c:v>Řecko</c:v>
                </c:pt>
                <c:pt idx="25">
                  <c:v>Lotyšsko</c:v>
                </c:pt>
                <c:pt idx="26">
                  <c:v>Bulharsko</c:v>
                </c:pt>
                <c:pt idx="27">
                  <c:v>Polsko</c:v>
                </c:pt>
              </c:strCache>
            </c:strRef>
          </c:cat>
          <c:val>
            <c:numRef>
              <c:f>fakturace!$D$71:$D$98</c:f>
              <c:numCache>
                <c:formatCode>0%</c:formatCode>
                <c:ptCount val="28"/>
                <c:pt idx="0">
                  <c:v>0.97460199999999997</c:v>
                </c:pt>
                <c:pt idx="1">
                  <c:v>0.93214900000000001</c:v>
                </c:pt>
                <c:pt idx="2">
                  <c:v>0.61127100000000001</c:v>
                </c:pt>
                <c:pt idx="3">
                  <c:v>0.59284099999999995</c:v>
                </c:pt>
                <c:pt idx="4">
                  <c:v>0.577237</c:v>
                </c:pt>
                <c:pt idx="5">
                  <c:v>0.558813</c:v>
                </c:pt>
                <c:pt idx="6">
                  <c:v>0.46157700000000002</c:v>
                </c:pt>
                <c:pt idx="7">
                  <c:v>0.39972200000000002</c:v>
                </c:pt>
                <c:pt idx="8">
                  <c:v>0.38621699999999998</c:v>
                </c:pt>
                <c:pt idx="9">
                  <c:v>0.35895899999999997</c:v>
                </c:pt>
                <c:pt idx="10">
                  <c:v>0.35319899999999999</c:v>
                </c:pt>
                <c:pt idx="11">
                  <c:v>0.33312599999999998</c:v>
                </c:pt>
                <c:pt idx="12">
                  <c:v>0.30651499999999998</c:v>
                </c:pt>
                <c:pt idx="13">
                  <c:v>0.294404</c:v>
                </c:pt>
                <c:pt idx="14">
                  <c:v>0.29161399999999998</c:v>
                </c:pt>
                <c:pt idx="15">
                  <c:v>0.28206799999999999</c:v>
                </c:pt>
                <c:pt idx="16">
                  <c:v>0.26104300000000003</c:v>
                </c:pt>
                <c:pt idx="17">
                  <c:v>0.259766</c:v>
                </c:pt>
                <c:pt idx="18">
                  <c:v>0.25379099999999999</c:v>
                </c:pt>
                <c:pt idx="19">
                  <c:v>0.24517900000000001</c:v>
                </c:pt>
                <c:pt idx="20">
                  <c:v>0.244121</c:v>
                </c:pt>
                <c:pt idx="21">
                  <c:v>0.22098200000000001</c:v>
                </c:pt>
                <c:pt idx="22">
                  <c:v>0.21520400000000001</c:v>
                </c:pt>
                <c:pt idx="23">
                  <c:v>0.20246400000000001</c:v>
                </c:pt>
                <c:pt idx="24">
                  <c:v>0.192325</c:v>
                </c:pt>
                <c:pt idx="25">
                  <c:v>0.179698</c:v>
                </c:pt>
                <c:pt idx="26">
                  <c:v>0.15787799999999999</c:v>
                </c:pt>
                <c:pt idx="27">
                  <c:v>0.148147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28A-442B-83FA-0F8D49010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25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407866824866071E-2"/>
          <c:y val="2.5282113748898605E-2"/>
          <c:w val="0.94081556586248649"/>
          <c:h val="0.793683595500375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493-4E30-A95F-AD352BD23222}"/>
              </c:ext>
            </c:extLst>
          </c:dPt>
          <c:dPt>
            <c:idx val="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2-8493-4E30-A95F-AD352BD23222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4-8493-4E30-A95F-AD352BD23222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6-8493-4E30-A95F-AD352BD23222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8-8493-4E30-A95F-AD352BD23222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A-8493-4E30-A95F-AD352BD23222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C-8493-4E30-A95F-AD352BD23222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E-8493-4E30-A95F-AD352BD23222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0-8493-4E30-A95F-AD352BD23222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2-8493-4E30-A95F-AD352BD23222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4-8493-4E30-A95F-AD352BD23222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6-8493-4E30-A95F-AD352BD23222}"/>
              </c:ext>
            </c:extLst>
          </c:dPt>
          <c:dLbls>
            <c:dLbl>
              <c:idx val="1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493-4E30-A95F-AD352BD23222}"/>
                </c:ext>
              </c:extLst>
            </c:dLbl>
            <c:dLbl>
              <c:idx val="1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493-4E30-A95F-AD352BD232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fakturace!$A$127:$A$154</c:f>
              <c:strCache>
                <c:ptCount val="28"/>
                <c:pt idx="0">
                  <c:v>Německo</c:v>
                </c:pt>
                <c:pt idx="1">
                  <c:v>Slovinsko</c:v>
                </c:pt>
                <c:pt idx="2">
                  <c:v>Rakousko</c:v>
                </c:pt>
                <c:pt idx="3">
                  <c:v>Chorvatsko</c:v>
                </c:pt>
                <c:pt idx="4">
                  <c:v>Lotyšsko</c:v>
                </c:pt>
                <c:pt idx="5">
                  <c:v>Portugalsko</c:v>
                </c:pt>
                <c:pt idx="6">
                  <c:v>Polsko</c:v>
                </c:pt>
                <c:pt idx="7">
                  <c:v>Francie</c:v>
                </c:pt>
                <c:pt idx="8">
                  <c:v>Lucembursko</c:v>
                </c:pt>
                <c:pt idx="9">
                  <c:v>Malta</c:v>
                </c:pt>
                <c:pt idx="10">
                  <c:v>Maďarsko</c:v>
                </c:pt>
                <c:pt idx="11">
                  <c:v>Španělsko</c:v>
                </c:pt>
                <c:pt idx="12">
                  <c:v>Švédsko</c:v>
                </c:pt>
                <c:pt idx="13">
                  <c:v>Bulharsko</c:v>
                </c:pt>
                <c:pt idx="14">
                  <c:v>Belgie</c:v>
                </c:pt>
                <c:pt idx="15">
                  <c:v>EU27</c:v>
                </c:pt>
                <c:pt idx="16">
                  <c:v>Česko</c:v>
                </c:pt>
                <c:pt idx="17">
                  <c:v>Kypr</c:v>
                </c:pt>
                <c:pt idx="18">
                  <c:v>Litva</c:v>
                </c:pt>
                <c:pt idx="19">
                  <c:v>Finsko</c:v>
                </c:pt>
                <c:pt idx="20">
                  <c:v>Slovensko</c:v>
                </c:pt>
                <c:pt idx="21">
                  <c:v>Rumunsko</c:v>
                </c:pt>
                <c:pt idx="22">
                  <c:v>Řecko</c:v>
                </c:pt>
                <c:pt idx="23">
                  <c:v>Nizozemsko</c:v>
                </c:pt>
                <c:pt idx="24">
                  <c:v>Irsko</c:v>
                </c:pt>
                <c:pt idx="25">
                  <c:v>Dánsko</c:v>
                </c:pt>
                <c:pt idx="26">
                  <c:v>Estonsko</c:v>
                </c:pt>
                <c:pt idx="27">
                  <c:v>Itálie</c:v>
                </c:pt>
              </c:strCache>
            </c:strRef>
          </c:cat>
          <c:val>
            <c:numRef>
              <c:f>fakturace!$B$127:$B$154</c:f>
              <c:numCache>
                <c:formatCode>0%</c:formatCode>
                <c:ptCount val="28"/>
                <c:pt idx="0">
                  <c:v>0.90117400000000003</c:v>
                </c:pt>
                <c:pt idx="1">
                  <c:v>0.88438499999999998</c:v>
                </c:pt>
                <c:pt idx="2">
                  <c:v>0.87656699999999999</c:v>
                </c:pt>
                <c:pt idx="3">
                  <c:v>0.87329699999999999</c:v>
                </c:pt>
                <c:pt idx="4">
                  <c:v>0.83338400000000001</c:v>
                </c:pt>
                <c:pt idx="5">
                  <c:v>0.83025099999999996</c:v>
                </c:pt>
                <c:pt idx="6">
                  <c:v>0.81791599999999998</c:v>
                </c:pt>
                <c:pt idx="7">
                  <c:v>0.80296000000000001</c:v>
                </c:pt>
                <c:pt idx="8">
                  <c:v>0.79390099999999997</c:v>
                </c:pt>
                <c:pt idx="9">
                  <c:v>0.789516</c:v>
                </c:pt>
                <c:pt idx="10">
                  <c:v>0.77174100000000001</c:v>
                </c:pt>
                <c:pt idx="11">
                  <c:v>0.76433200000000001</c:v>
                </c:pt>
                <c:pt idx="12">
                  <c:v>0.76402800000000004</c:v>
                </c:pt>
                <c:pt idx="13">
                  <c:v>0.75585400000000003</c:v>
                </c:pt>
                <c:pt idx="14">
                  <c:v>0.74945899999999999</c:v>
                </c:pt>
                <c:pt idx="15">
                  <c:v>0.70150199999999996</c:v>
                </c:pt>
                <c:pt idx="16">
                  <c:v>0.69161600000000001</c:v>
                </c:pt>
                <c:pt idx="17">
                  <c:v>0.69109699999999996</c:v>
                </c:pt>
                <c:pt idx="18">
                  <c:v>0.684415</c:v>
                </c:pt>
                <c:pt idx="19">
                  <c:v>0.656524</c:v>
                </c:pt>
                <c:pt idx="20">
                  <c:v>0.63030699999999995</c:v>
                </c:pt>
                <c:pt idx="21">
                  <c:v>0.60943099999999994</c:v>
                </c:pt>
                <c:pt idx="22">
                  <c:v>0.54940800000000001</c:v>
                </c:pt>
                <c:pt idx="23">
                  <c:v>0.49295800000000001</c:v>
                </c:pt>
                <c:pt idx="24">
                  <c:v>0.42859199999999997</c:v>
                </c:pt>
                <c:pt idx="25">
                  <c:v>0.40013700000000002</c:v>
                </c:pt>
                <c:pt idx="26">
                  <c:v>0.377413</c:v>
                </c:pt>
                <c:pt idx="27">
                  <c:v>0.21093899999999999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8493-4E30-A95F-AD352BD23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6599424"/>
        <c:axId val="176600960"/>
      </c:barChart>
      <c:catAx>
        <c:axId val="17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600960"/>
        <c:crosses val="autoZero"/>
        <c:auto val="1"/>
        <c:lblAlgn val="ctr"/>
        <c:lblOffset val="100"/>
        <c:tickLblSkip val="1"/>
        <c:noMultiLvlLbl val="0"/>
      </c:catAx>
      <c:valAx>
        <c:axId val="176600960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599424"/>
        <c:crosses val="autoZero"/>
        <c:crossBetween val="between"/>
        <c:majorUnit val="0.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DF10-626D-46A1-8693-1759633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27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7</cp:revision>
  <cp:lastPrinted>2015-10-09T11:22:00Z</cp:lastPrinted>
  <dcterms:created xsi:type="dcterms:W3CDTF">2024-01-09T09:31:00Z</dcterms:created>
  <dcterms:modified xsi:type="dcterms:W3CDTF">2024-01-09T17:00:00Z</dcterms:modified>
</cp:coreProperties>
</file>