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8019D" w14:textId="2D8E5963" w:rsidR="00194F66" w:rsidRPr="00194F66" w:rsidRDefault="00365C52" w:rsidP="00C8573F">
      <w:pPr>
        <w:pStyle w:val="Nadpis2"/>
        <w:pageBreakBefore/>
        <w:tabs>
          <w:tab w:val="left" w:pos="360"/>
        </w:tabs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194F66" w:rsidRPr="00194F66">
        <w:rPr>
          <w:sz w:val="30"/>
          <w:szCs w:val="30"/>
        </w:rPr>
        <w:t>.</w:t>
      </w:r>
      <w:r w:rsidR="00194F66" w:rsidRPr="00194F66">
        <w:rPr>
          <w:sz w:val="30"/>
          <w:szCs w:val="30"/>
        </w:rPr>
        <w:tab/>
        <w:t>Elektronický prodej</w:t>
      </w:r>
    </w:p>
    <w:p w14:paraId="4282C5AB" w14:textId="6153558D" w:rsidR="007477AC" w:rsidRPr="007477AC" w:rsidRDefault="007477AC" w:rsidP="00C8573F">
      <w:pPr>
        <w:pStyle w:val="Zkladntext"/>
        <w:spacing w:before="0" w:after="80" w:line="264" w:lineRule="auto"/>
        <w:ind w:right="0"/>
        <w:rPr>
          <w:rFonts w:ascii="Arial" w:hAnsi="Arial" w:cs="Arial"/>
          <w:bCs/>
          <w:i/>
          <w:sz w:val="20"/>
        </w:rPr>
      </w:pPr>
      <w:r w:rsidRPr="007477AC">
        <w:rPr>
          <w:rFonts w:ascii="Arial" w:hAnsi="Arial" w:cs="Arial"/>
          <w:bCs/>
          <w:i/>
          <w:sz w:val="20"/>
        </w:rPr>
        <w:t>Během roku 20</w:t>
      </w:r>
      <w:r w:rsidR="00C8573F">
        <w:rPr>
          <w:rFonts w:ascii="Arial" w:hAnsi="Arial" w:cs="Arial"/>
          <w:bCs/>
          <w:i/>
          <w:sz w:val="20"/>
        </w:rPr>
        <w:t>2</w:t>
      </w:r>
      <w:r w:rsidR="00365C52">
        <w:rPr>
          <w:rFonts w:ascii="Arial" w:hAnsi="Arial" w:cs="Arial"/>
          <w:bCs/>
          <w:i/>
          <w:sz w:val="20"/>
        </w:rPr>
        <w:t>2</w:t>
      </w:r>
      <w:r w:rsidRPr="007477AC">
        <w:rPr>
          <w:rFonts w:ascii="Arial" w:hAnsi="Arial" w:cs="Arial"/>
          <w:bCs/>
          <w:i/>
          <w:sz w:val="20"/>
        </w:rPr>
        <w:t xml:space="preserve"> uskutečnil</w:t>
      </w:r>
      <w:r w:rsidR="006160DA">
        <w:rPr>
          <w:rFonts w:ascii="Arial" w:hAnsi="Arial" w:cs="Arial"/>
          <w:bCs/>
          <w:i/>
          <w:sz w:val="20"/>
        </w:rPr>
        <w:t>a</w:t>
      </w:r>
      <w:r w:rsidRPr="007477AC">
        <w:rPr>
          <w:rFonts w:ascii="Arial" w:hAnsi="Arial" w:cs="Arial"/>
          <w:bCs/>
          <w:i/>
          <w:sz w:val="20"/>
        </w:rPr>
        <w:t xml:space="preserve"> elektronický prodej </w:t>
      </w:r>
      <w:r w:rsidR="006160DA">
        <w:rPr>
          <w:rFonts w:ascii="Arial" w:hAnsi="Arial" w:cs="Arial"/>
          <w:bCs/>
          <w:i/>
          <w:sz w:val="20"/>
        </w:rPr>
        <w:t>čtvrtina</w:t>
      </w:r>
      <w:r w:rsidRPr="007477AC">
        <w:rPr>
          <w:rFonts w:ascii="Arial" w:hAnsi="Arial" w:cs="Arial"/>
          <w:bCs/>
          <w:i/>
          <w:sz w:val="20"/>
        </w:rPr>
        <w:t xml:space="preserve"> </w:t>
      </w:r>
      <w:r w:rsidR="00365C52">
        <w:rPr>
          <w:rFonts w:ascii="Arial" w:hAnsi="Arial" w:cs="Arial"/>
          <w:bCs/>
          <w:i/>
          <w:sz w:val="20"/>
        </w:rPr>
        <w:t>tuzemských podniků</w:t>
      </w:r>
      <w:r w:rsidRPr="007477AC">
        <w:rPr>
          <w:rFonts w:ascii="Arial" w:hAnsi="Arial" w:cs="Arial"/>
          <w:bCs/>
          <w:i/>
          <w:sz w:val="20"/>
        </w:rPr>
        <w:t xml:space="preserve"> a tyto prodeje tvořily</w:t>
      </w:r>
      <w:r w:rsidR="00365C52">
        <w:rPr>
          <w:rFonts w:ascii="Arial" w:hAnsi="Arial" w:cs="Arial"/>
          <w:bCs/>
          <w:i/>
          <w:sz w:val="20"/>
        </w:rPr>
        <w:t xml:space="preserve"> více než</w:t>
      </w:r>
      <w:r w:rsidRPr="007477AC">
        <w:rPr>
          <w:rFonts w:ascii="Arial" w:hAnsi="Arial" w:cs="Arial"/>
          <w:bCs/>
          <w:i/>
          <w:sz w:val="20"/>
        </w:rPr>
        <w:t xml:space="preserve"> </w:t>
      </w:r>
      <w:r w:rsidR="007E43B8">
        <w:rPr>
          <w:rFonts w:ascii="Arial" w:hAnsi="Arial" w:cs="Arial"/>
          <w:bCs/>
          <w:i/>
          <w:sz w:val="20"/>
        </w:rPr>
        <w:t>30 %</w:t>
      </w:r>
      <w:r w:rsidRPr="007477AC">
        <w:rPr>
          <w:rFonts w:ascii="Arial" w:hAnsi="Arial" w:cs="Arial"/>
          <w:bCs/>
          <w:i/>
          <w:sz w:val="20"/>
        </w:rPr>
        <w:t xml:space="preserve"> veškerých podnikových tržeb v </w:t>
      </w:r>
      <w:r>
        <w:rPr>
          <w:rFonts w:ascii="Arial" w:hAnsi="Arial" w:cs="Arial"/>
          <w:bCs/>
          <w:i/>
          <w:sz w:val="20"/>
        </w:rPr>
        <w:t>tomto</w:t>
      </w:r>
      <w:r w:rsidRPr="007477AC">
        <w:rPr>
          <w:rFonts w:ascii="Arial" w:hAnsi="Arial" w:cs="Arial"/>
          <w:bCs/>
          <w:i/>
          <w:sz w:val="20"/>
        </w:rPr>
        <w:t xml:space="preserve"> roce. </w:t>
      </w:r>
      <w:r w:rsidR="006160DA">
        <w:rPr>
          <w:rFonts w:ascii="Arial" w:hAnsi="Arial" w:cs="Arial"/>
          <w:bCs/>
          <w:i/>
          <w:sz w:val="20"/>
        </w:rPr>
        <w:t>Od roku 2005, kdy začal ČSÚ tento ukazatel sledovat,</w:t>
      </w:r>
      <w:r w:rsidRPr="007477AC">
        <w:rPr>
          <w:rFonts w:ascii="Arial" w:hAnsi="Arial" w:cs="Arial"/>
          <w:bCs/>
          <w:i/>
          <w:sz w:val="20"/>
        </w:rPr>
        <w:t xml:space="preserve"> </w:t>
      </w:r>
      <w:r w:rsidR="007807B6">
        <w:rPr>
          <w:rFonts w:ascii="Arial" w:hAnsi="Arial" w:cs="Arial"/>
          <w:bCs/>
          <w:i/>
          <w:sz w:val="20"/>
        </w:rPr>
        <w:t>s</w:t>
      </w:r>
      <w:r w:rsidRPr="007477AC">
        <w:rPr>
          <w:rFonts w:ascii="Arial" w:hAnsi="Arial" w:cs="Arial"/>
          <w:bCs/>
          <w:i/>
          <w:sz w:val="20"/>
        </w:rPr>
        <w:t xml:space="preserve">e </w:t>
      </w:r>
      <w:r w:rsidR="006160DA">
        <w:rPr>
          <w:rFonts w:ascii="Arial" w:hAnsi="Arial" w:cs="Arial"/>
          <w:bCs/>
          <w:i/>
          <w:sz w:val="20"/>
        </w:rPr>
        <w:t>tržby z</w:t>
      </w:r>
      <w:r w:rsidRPr="007477AC">
        <w:rPr>
          <w:rFonts w:ascii="Arial" w:hAnsi="Arial" w:cs="Arial"/>
          <w:bCs/>
          <w:i/>
          <w:sz w:val="20"/>
        </w:rPr>
        <w:t xml:space="preserve"> elektronických prodejů </w:t>
      </w:r>
      <w:r w:rsidR="0051380C">
        <w:rPr>
          <w:rFonts w:ascii="Arial" w:hAnsi="Arial" w:cs="Arial"/>
          <w:bCs/>
          <w:i/>
          <w:sz w:val="20"/>
        </w:rPr>
        <w:t xml:space="preserve">na </w:t>
      </w:r>
      <w:r w:rsidRPr="007477AC">
        <w:rPr>
          <w:rFonts w:ascii="Arial" w:hAnsi="Arial" w:cs="Arial"/>
          <w:bCs/>
          <w:i/>
          <w:sz w:val="20"/>
        </w:rPr>
        <w:t>celkových tržb</w:t>
      </w:r>
      <w:r w:rsidR="0051380C">
        <w:rPr>
          <w:rFonts w:ascii="Arial" w:hAnsi="Arial" w:cs="Arial"/>
          <w:bCs/>
          <w:i/>
          <w:sz w:val="20"/>
        </w:rPr>
        <w:t xml:space="preserve">ách </w:t>
      </w:r>
      <w:r w:rsidR="00C8573F">
        <w:rPr>
          <w:rFonts w:ascii="Arial" w:hAnsi="Arial" w:cs="Arial"/>
          <w:bCs/>
          <w:i/>
          <w:sz w:val="20"/>
        </w:rPr>
        <w:t>podniků</w:t>
      </w:r>
      <w:r w:rsidR="006160DA">
        <w:rPr>
          <w:rFonts w:ascii="Arial" w:hAnsi="Arial" w:cs="Arial"/>
          <w:bCs/>
          <w:i/>
          <w:sz w:val="20"/>
        </w:rPr>
        <w:t xml:space="preserve"> zvýšily více než čtyřnásobně</w:t>
      </w:r>
      <w:r w:rsidRPr="007477AC">
        <w:rPr>
          <w:rFonts w:ascii="Arial" w:hAnsi="Arial" w:cs="Arial"/>
          <w:bCs/>
          <w:i/>
          <w:sz w:val="20"/>
        </w:rPr>
        <w:t>.</w:t>
      </w:r>
      <w:r w:rsidR="007E43B8">
        <w:rPr>
          <w:rFonts w:ascii="Arial" w:hAnsi="Arial" w:cs="Arial"/>
          <w:bCs/>
          <w:i/>
          <w:sz w:val="20"/>
        </w:rPr>
        <w:t xml:space="preserve"> </w:t>
      </w:r>
      <w:r w:rsidR="00A6044E">
        <w:rPr>
          <w:rFonts w:ascii="Arial" w:hAnsi="Arial" w:cs="Arial"/>
          <w:bCs/>
          <w:i/>
          <w:sz w:val="20"/>
        </w:rPr>
        <w:t>Tuzemské p</w:t>
      </w:r>
      <w:r w:rsidR="00C8573F">
        <w:rPr>
          <w:rFonts w:ascii="Arial" w:hAnsi="Arial" w:cs="Arial"/>
          <w:bCs/>
          <w:i/>
          <w:sz w:val="20"/>
        </w:rPr>
        <w:t>odniky s 10 a více zaměstnanci</w:t>
      </w:r>
      <w:r w:rsidR="007E43B8">
        <w:rPr>
          <w:rFonts w:ascii="Arial" w:hAnsi="Arial" w:cs="Arial"/>
          <w:bCs/>
          <w:i/>
          <w:sz w:val="20"/>
        </w:rPr>
        <w:t xml:space="preserve"> prodávají častěji přes webové stránky či mobilní aplikace než pomocí elektronické výměny dat (EDI), nicméně tržby firem získané elektronickou výměnou dat</w:t>
      </w:r>
      <w:r w:rsidR="007807B6">
        <w:rPr>
          <w:rFonts w:ascii="Arial" w:hAnsi="Arial" w:cs="Arial"/>
          <w:bCs/>
          <w:i/>
          <w:sz w:val="20"/>
        </w:rPr>
        <w:t xml:space="preserve"> jsou dlouhodobě vyšší. V roce</w:t>
      </w:r>
      <w:r w:rsidR="0051380C">
        <w:rPr>
          <w:rFonts w:ascii="Arial" w:hAnsi="Arial" w:cs="Arial"/>
          <w:bCs/>
          <w:i/>
          <w:sz w:val="20"/>
        </w:rPr>
        <w:t xml:space="preserve"> 20</w:t>
      </w:r>
      <w:r w:rsidR="00C8573F">
        <w:rPr>
          <w:rFonts w:ascii="Arial" w:hAnsi="Arial" w:cs="Arial"/>
          <w:bCs/>
          <w:i/>
          <w:sz w:val="20"/>
        </w:rPr>
        <w:t>2</w:t>
      </w:r>
      <w:r w:rsidR="00365C52">
        <w:rPr>
          <w:rFonts w:ascii="Arial" w:hAnsi="Arial" w:cs="Arial"/>
          <w:bCs/>
          <w:i/>
          <w:sz w:val="20"/>
        </w:rPr>
        <w:t>2</w:t>
      </w:r>
      <w:r w:rsidR="0051380C">
        <w:rPr>
          <w:rFonts w:ascii="Arial" w:hAnsi="Arial" w:cs="Arial"/>
          <w:bCs/>
          <w:i/>
          <w:sz w:val="20"/>
        </w:rPr>
        <w:t xml:space="preserve"> </w:t>
      </w:r>
      <w:r w:rsidR="007807B6">
        <w:rPr>
          <w:rFonts w:ascii="Arial" w:hAnsi="Arial" w:cs="Arial"/>
          <w:bCs/>
          <w:i/>
          <w:sz w:val="20"/>
        </w:rPr>
        <w:t>byly</w:t>
      </w:r>
      <w:r w:rsidR="00205DEC">
        <w:rPr>
          <w:rFonts w:ascii="Arial" w:hAnsi="Arial" w:cs="Arial"/>
          <w:bCs/>
          <w:i/>
          <w:sz w:val="20"/>
        </w:rPr>
        <w:t>, oproti tržbám z webových prodejů,</w:t>
      </w:r>
      <w:r w:rsidR="007807B6">
        <w:rPr>
          <w:rFonts w:ascii="Arial" w:hAnsi="Arial" w:cs="Arial"/>
          <w:bCs/>
          <w:i/>
          <w:sz w:val="20"/>
        </w:rPr>
        <w:t xml:space="preserve"> vyšší </w:t>
      </w:r>
      <w:r w:rsidR="00C8573F">
        <w:rPr>
          <w:rFonts w:ascii="Arial" w:hAnsi="Arial" w:cs="Arial"/>
          <w:bCs/>
          <w:i/>
          <w:sz w:val="20"/>
        </w:rPr>
        <w:t xml:space="preserve">přibližně </w:t>
      </w:r>
      <w:r w:rsidR="00A11466">
        <w:rPr>
          <w:rFonts w:ascii="Arial" w:hAnsi="Arial" w:cs="Arial"/>
          <w:bCs/>
          <w:i/>
          <w:sz w:val="20"/>
        </w:rPr>
        <w:t>2</w:t>
      </w:r>
      <w:r w:rsidR="00C8573F">
        <w:rPr>
          <w:rFonts w:ascii="Arial" w:hAnsi="Arial" w:cs="Arial"/>
          <w:bCs/>
          <w:i/>
          <w:sz w:val="20"/>
        </w:rPr>
        <w:t>,</w:t>
      </w:r>
      <w:r w:rsidR="00365C52">
        <w:rPr>
          <w:rFonts w:ascii="Arial" w:hAnsi="Arial" w:cs="Arial"/>
          <w:bCs/>
          <w:i/>
          <w:sz w:val="20"/>
        </w:rPr>
        <w:t>3</w:t>
      </w:r>
      <w:r w:rsidR="00C8573F">
        <w:rPr>
          <w:rFonts w:ascii="Arial" w:hAnsi="Arial" w:cs="Arial"/>
          <w:bCs/>
          <w:i/>
          <w:sz w:val="20"/>
        </w:rPr>
        <w:t>krát</w:t>
      </w:r>
      <w:r w:rsidR="0051380C">
        <w:rPr>
          <w:rFonts w:ascii="Arial" w:hAnsi="Arial" w:cs="Arial"/>
          <w:bCs/>
          <w:i/>
          <w:sz w:val="20"/>
        </w:rPr>
        <w:t>.</w:t>
      </w:r>
      <w:r w:rsidRPr="007477AC">
        <w:rPr>
          <w:rFonts w:ascii="Arial" w:hAnsi="Arial" w:cs="Arial"/>
          <w:bCs/>
          <w:i/>
          <w:sz w:val="20"/>
        </w:rPr>
        <w:t xml:space="preserve"> </w:t>
      </w:r>
    </w:p>
    <w:p w14:paraId="2DE5FE99" w14:textId="3E2D8E18" w:rsidR="001165D5" w:rsidRPr="007477AC" w:rsidRDefault="001165D5" w:rsidP="00C8573F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i/>
          <w:sz w:val="20"/>
          <w:szCs w:val="20"/>
          <w:lang w:eastAsia="cs-CZ"/>
        </w:rPr>
      </w:pPr>
      <w:r w:rsidRPr="00FC03F2">
        <w:rPr>
          <w:rFonts w:ascii="Arial" w:hAnsi="Arial" w:cs="Arial"/>
          <w:bCs/>
          <w:i/>
          <w:sz w:val="20"/>
          <w:szCs w:val="20"/>
          <w:lang w:eastAsia="cs-CZ"/>
        </w:rPr>
        <w:t xml:space="preserve">Pozn.: 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 xml:space="preserve">otázky v této kapitole se vztahují k roku předcházejícímu šetření, tj. zde konkrétně </w:t>
      </w:r>
      <w:r w:rsidR="00CF431A" w:rsidRPr="007477AC">
        <w:rPr>
          <w:rFonts w:ascii="Arial" w:hAnsi="Arial" w:cs="Arial"/>
          <w:bCs/>
          <w:i/>
          <w:sz w:val="20"/>
          <w:szCs w:val="20"/>
          <w:lang w:eastAsia="cs-CZ"/>
        </w:rPr>
        <w:t xml:space="preserve">k 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>roku 20</w:t>
      </w:r>
      <w:r w:rsidR="00C8573F">
        <w:rPr>
          <w:rFonts w:ascii="Arial" w:hAnsi="Arial" w:cs="Arial"/>
          <w:bCs/>
          <w:i/>
          <w:sz w:val="20"/>
          <w:szCs w:val="20"/>
          <w:lang w:eastAsia="cs-CZ"/>
        </w:rPr>
        <w:t>2</w:t>
      </w:r>
      <w:r w:rsidR="00365C52">
        <w:rPr>
          <w:rFonts w:ascii="Arial" w:hAnsi="Arial" w:cs="Arial"/>
          <w:bCs/>
          <w:i/>
          <w:sz w:val="20"/>
          <w:szCs w:val="20"/>
          <w:lang w:eastAsia="cs-CZ"/>
        </w:rPr>
        <w:t>2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 xml:space="preserve"> </w:t>
      </w:r>
    </w:p>
    <w:p w14:paraId="6B650660" w14:textId="77777777" w:rsidR="00194F66" w:rsidRPr="00194F66" w:rsidRDefault="00194F66" w:rsidP="00C8573F">
      <w:pPr>
        <w:pStyle w:val="Nadpis2"/>
        <w:spacing w:before="240" w:after="120" w:line="240" w:lineRule="auto"/>
        <w:rPr>
          <w:sz w:val="24"/>
          <w:szCs w:val="24"/>
        </w:rPr>
      </w:pPr>
      <w:r w:rsidRPr="00194F66">
        <w:rPr>
          <w:sz w:val="24"/>
          <w:szCs w:val="24"/>
        </w:rPr>
        <w:t>Hlavní zjištění</w:t>
      </w:r>
    </w:p>
    <w:p w14:paraId="532DD1A4" w14:textId="6195E3C1" w:rsidR="00465325" w:rsidRDefault="005C41DA" w:rsidP="00A11466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0" w:line="288" w:lineRule="auto"/>
        <w:ind w:left="284" w:right="0" w:hanging="284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A77F0">
        <w:rPr>
          <w:rFonts w:ascii="Arial" w:eastAsia="Calibri" w:hAnsi="Arial" w:cs="Arial"/>
          <w:iCs/>
          <w:sz w:val="20"/>
          <w:szCs w:val="20"/>
          <w:lang w:eastAsia="en-US"/>
        </w:rPr>
        <w:t>V roce 20</w:t>
      </w:r>
      <w:r w:rsidR="006160DA" w:rsidRPr="009A77F0">
        <w:rPr>
          <w:rFonts w:ascii="Arial" w:eastAsia="Calibri" w:hAnsi="Arial" w:cs="Arial"/>
          <w:iCs/>
          <w:sz w:val="20"/>
          <w:szCs w:val="20"/>
          <w:lang w:eastAsia="en-US"/>
        </w:rPr>
        <w:t>2</w:t>
      </w:r>
      <w:r w:rsidR="00E446D9">
        <w:rPr>
          <w:rFonts w:ascii="Arial" w:eastAsia="Calibri" w:hAnsi="Arial" w:cs="Arial"/>
          <w:iCs/>
          <w:sz w:val="20"/>
          <w:szCs w:val="20"/>
          <w:lang w:eastAsia="en-US"/>
        </w:rPr>
        <w:t>2</w:t>
      </w:r>
      <w:r w:rsidR="00574FD5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574FD5" w:rsidRPr="00A6044E">
        <w:rPr>
          <w:rFonts w:ascii="Arial" w:eastAsia="Calibri" w:hAnsi="Arial" w:cs="Arial"/>
          <w:b/>
          <w:iCs/>
          <w:sz w:val="20"/>
          <w:szCs w:val="20"/>
          <w:lang w:eastAsia="en-US"/>
        </w:rPr>
        <w:t>prodala elektronickou cestou</w:t>
      </w:r>
      <w:r w:rsidR="000A59B8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 </w:t>
      </w:r>
      <w:r w:rsidR="000A59B8" w:rsidRPr="000A59B8">
        <w:rPr>
          <w:rFonts w:ascii="Arial" w:eastAsia="Calibri" w:hAnsi="Arial" w:cs="Arial"/>
          <w:iCs/>
          <w:sz w:val="20"/>
          <w:szCs w:val="20"/>
          <w:lang w:eastAsia="en-US"/>
        </w:rPr>
        <w:t>(</w:t>
      </w:r>
      <w:r w:rsidR="000A59B8">
        <w:rPr>
          <w:rFonts w:ascii="Arial" w:eastAsia="Calibri" w:hAnsi="Arial" w:cs="Arial"/>
          <w:iCs/>
          <w:sz w:val="20"/>
          <w:szCs w:val="20"/>
          <w:lang w:eastAsia="en-US"/>
        </w:rPr>
        <w:t>přes internet nebo jinou počítačovou síť)</w:t>
      </w:r>
      <w:r w:rsidR="00574FD5">
        <w:rPr>
          <w:rFonts w:ascii="Arial" w:eastAsia="Calibri" w:hAnsi="Arial" w:cs="Arial"/>
          <w:iCs/>
          <w:sz w:val="20"/>
          <w:szCs w:val="20"/>
          <w:lang w:eastAsia="en-US"/>
        </w:rPr>
        <w:t xml:space="preserve"> nějaké zboží či službu </w:t>
      </w:r>
      <w:r w:rsidR="00574FD5" w:rsidRPr="00A6044E">
        <w:rPr>
          <w:rFonts w:ascii="Arial" w:eastAsia="Calibri" w:hAnsi="Arial" w:cs="Arial"/>
          <w:iCs/>
          <w:sz w:val="20"/>
          <w:szCs w:val="20"/>
          <w:lang w:eastAsia="en-US"/>
        </w:rPr>
        <w:t>čtvrtina podniků s deseti a více zaměstnanci</w:t>
      </w:r>
      <w:r w:rsidR="000A59B8" w:rsidRPr="000A59B8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0A59B8">
        <w:rPr>
          <w:rFonts w:ascii="Arial" w:eastAsia="Calibri" w:hAnsi="Arial" w:cs="Arial"/>
          <w:iCs/>
          <w:sz w:val="20"/>
          <w:szCs w:val="20"/>
          <w:lang w:eastAsia="en-US"/>
        </w:rPr>
        <w:t>v Česku</w:t>
      </w:r>
      <w:r w:rsidRPr="009A77F0">
        <w:rPr>
          <w:rFonts w:ascii="Arial" w:eastAsia="Calibri" w:hAnsi="Arial" w:cs="Arial"/>
          <w:iCs/>
          <w:sz w:val="20"/>
          <w:szCs w:val="20"/>
          <w:lang w:eastAsia="en-US"/>
        </w:rPr>
        <w:t xml:space="preserve">. </w:t>
      </w:r>
      <w:r w:rsidR="00676B14" w:rsidRPr="009A77F0">
        <w:rPr>
          <w:rFonts w:ascii="Arial" w:eastAsia="Calibri" w:hAnsi="Arial" w:cs="Arial"/>
          <w:b/>
          <w:iCs/>
          <w:sz w:val="20"/>
          <w:szCs w:val="20"/>
          <w:lang w:eastAsia="en-US"/>
        </w:rPr>
        <w:t>T</w:t>
      </w:r>
      <w:r w:rsidRPr="009A77F0">
        <w:rPr>
          <w:rFonts w:ascii="Arial" w:eastAsia="Calibri" w:hAnsi="Arial" w:cs="Arial"/>
          <w:b/>
          <w:iCs/>
          <w:sz w:val="20"/>
          <w:szCs w:val="20"/>
          <w:lang w:eastAsia="en-US"/>
        </w:rPr>
        <w:t>ržby z</w:t>
      </w:r>
      <w:r w:rsidR="00574FD5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 těchto </w:t>
      </w:r>
      <w:r w:rsidRPr="009A77F0">
        <w:rPr>
          <w:rFonts w:ascii="Arial" w:eastAsia="Calibri" w:hAnsi="Arial" w:cs="Arial"/>
          <w:b/>
          <w:iCs/>
          <w:sz w:val="20"/>
          <w:szCs w:val="20"/>
          <w:lang w:eastAsia="en-US"/>
        </w:rPr>
        <w:t>elektronických prodejů</w:t>
      </w:r>
      <w:r w:rsidRPr="009A77F0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574FD5">
        <w:rPr>
          <w:rFonts w:ascii="Arial" w:eastAsia="Calibri" w:hAnsi="Arial" w:cs="Arial"/>
          <w:iCs/>
          <w:sz w:val="20"/>
          <w:szCs w:val="20"/>
          <w:lang w:eastAsia="en-US"/>
        </w:rPr>
        <w:t xml:space="preserve">se </w:t>
      </w:r>
      <w:r w:rsidRPr="009A77F0">
        <w:rPr>
          <w:rFonts w:ascii="Arial" w:eastAsia="Calibri" w:hAnsi="Arial" w:cs="Arial"/>
          <w:iCs/>
          <w:sz w:val="20"/>
          <w:szCs w:val="20"/>
          <w:lang w:eastAsia="en-US"/>
        </w:rPr>
        <w:t>na celkových tržbách podniků s 10 a více zaměstnanci</w:t>
      </w:r>
      <w:r w:rsidR="00676B14" w:rsidRPr="009A77F0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9A77F0">
        <w:rPr>
          <w:rFonts w:ascii="Arial" w:eastAsia="Calibri" w:hAnsi="Arial" w:cs="Arial"/>
          <w:iCs/>
          <w:sz w:val="20"/>
          <w:szCs w:val="20"/>
          <w:lang w:eastAsia="en-US"/>
        </w:rPr>
        <w:t xml:space="preserve">podílely </w:t>
      </w:r>
      <w:r w:rsidR="000A59B8">
        <w:rPr>
          <w:rFonts w:ascii="Arial" w:eastAsia="Calibri" w:hAnsi="Arial" w:cs="Arial"/>
          <w:iCs/>
          <w:sz w:val="20"/>
          <w:szCs w:val="20"/>
          <w:lang w:eastAsia="en-US"/>
        </w:rPr>
        <w:t>bezmála 31</w:t>
      </w:r>
      <w:r w:rsidR="009055A6" w:rsidRPr="009A77F0">
        <w:rPr>
          <w:rFonts w:ascii="Arial" w:eastAsia="Calibri" w:hAnsi="Arial" w:cs="Arial"/>
          <w:iCs/>
          <w:sz w:val="20"/>
          <w:szCs w:val="20"/>
          <w:lang w:eastAsia="en-US"/>
        </w:rPr>
        <w:t> </w:t>
      </w:r>
      <w:r w:rsidRPr="009A77F0">
        <w:rPr>
          <w:rFonts w:ascii="Arial" w:eastAsia="Calibri" w:hAnsi="Arial" w:cs="Arial"/>
          <w:iCs/>
          <w:sz w:val="20"/>
          <w:szCs w:val="20"/>
          <w:lang w:eastAsia="en-US"/>
        </w:rPr>
        <w:t xml:space="preserve">%. </w:t>
      </w:r>
      <w:r w:rsidR="00A6044E">
        <w:rPr>
          <w:rFonts w:ascii="Arial" w:eastAsia="Calibri" w:hAnsi="Arial" w:cs="Arial"/>
          <w:iCs/>
          <w:sz w:val="20"/>
          <w:szCs w:val="20"/>
          <w:lang w:eastAsia="en-US"/>
        </w:rPr>
        <w:t xml:space="preserve">Možnost elektronického prodeje </w:t>
      </w:r>
      <w:r w:rsidR="0073766C">
        <w:rPr>
          <w:rFonts w:ascii="Arial" w:eastAsia="Calibri" w:hAnsi="Arial" w:cs="Arial"/>
          <w:iCs/>
          <w:sz w:val="20"/>
          <w:szCs w:val="20"/>
          <w:lang w:eastAsia="en-US"/>
        </w:rPr>
        <w:t>využívají</w:t>
      </w:r>
      <w:r w:rsidR="00A6044E">
        <w:rPr>
          <w:rFonts w:ascii="Arial" w:eastAsia="Calibri" w:hAnsi="Arial" w:cs="Arial"/>
          <w:iCs/>
          <w:sz w:val="20"/>
          <w:szCs w:val="20"/>
          <w:lang w:eastAsia="en-US"/>
        </w:rPr>
        <w:t xml:space="preserve"> nejvíce</w:t>
      </w:r>
      <w:r w:rsidR="0073766C">
        <w:rPr>
          <w:rFonts w:ascii="Arial" w:eastAsia="Calibri" w:hAnsi="Arial" w:cs="Arial"/>
          <w:iCs/>
          <w:sz w:val="20"/>
          <w:szCs w:val="20"/>
          <w:lang w:eastAsia="en-US"/>
        </w:rPr>
        <w:t xml:space="preserve"> velké podniky, v roce 2022 touto cestou prodávala </w:t>
      </w:r>
      <w:r w:rsidR="007807B6" w:rsidRPr="009A77F0">
        <w:rPr>
          <w:rFonts w:ascii="Arial" w:eastAsia="Calibri" w:hAnsi="Arial" w:cs="Arial"/>
          <w:iCs/>
          <w:sz w:val="20"/>
          <w:szCs w:val="20"/>
          <w:lang w:eastAsia="en-US"/>
        </w:rPr>
        <w:t>více než p</w:t>
      </w:r>
      <w:r w:rsidRPr="009A77F0">
        <w:rPr>
          <w:rFonts w:ascii="Arial" w:eastAsia="Calibri" w:hAnsi="Arial" w:cs="Arial"/>
          <w:iCs/>
          <w:sz w:val="20"/>
          <w:szCs w:val="20"/>
          <w:lang w:eastAsia="en-US"/>
        </w:rPr>
        <w:t>olovina z</w:t>
      </w:r>
      <w:r w:rsidR="00B94F4E" w:rsidRPr="009A77F0">
        <w:rPr>
          <w:rFonts w:ascii="Arial" w:eastAsia="Calibri" w:hAnsi="Arial" w:cs="Arial"/>
          <w:iCs/>
          <w:sz w:val="20"/>
          <w:szCs w:val="20"/>
          <w:lang w:eastAsia="en-US"/>
        </w:rPr>
        <w:t> </w:t>
      </w:r>
      <w:r w:rsidRPr="009A77F0">
        <w:rPr>
          <w:rFonts w:ascii="Arial" w:eastAsia="Calibri" w:hAnsi="Arial" w:cs="Arial"/>
          <w:iCs/>
          <w:sz w:val="20"/>
          <w:szCs w:val="20"/>
          <w:lang w:eastAsia="en-US"/>
        </w:rPr>
        <w:t>nich</w:t>
      </w:r>
      <w:r w:rsidR="00B94F4E" w:rsidRPr="009A77F0">
        <w:rPr>
          <w:rFonts w:ascii="Arial" w:eastAsia="Calibri" w:hAnsi="Arial" w:cs="Arial"/>
          <w:iCs/>
          <w:sz w:val="20"/>
          <w:szCs w:val="20"/>
          <w:lang w:eastAsia="en-US"/>
        </w:rPr>
        <w:t xml:space="preserve"> (5</w:t>
      </w:r>
      <w:r w:rsidR="00E446D9">
        <w:rPr>
          <w:rFonts w:ascii="Arial" w:eastAsia="Calibri" w:hAnsi="Arial" w:cs="Arial"/>
          <w:iCs/>
          <w:sz w:val="20"/>
          <w:szCs w:val="20"/>
          <w:lang w:eastAsia="en-US"/>
        </w:rPr>
        <w:t>2</w:t>
      </w:r>
      <w:r w:rsidR="00B94F4E" w:rsidRPr="009A77F0">
        <w:rPr>
          <w:rFonts w:ascii="Arial" w:eastAsia="Calibri" w:hAnsi="Arial" w:cs="Arial"/>
          <w:iCs/>
          <w:sz w:val="20"/>
          <w:szCs w:val="20"/>
          <w:lang w:eastAsia="en-US"/>
        </w:rPr>
        <w:t>%)</w:t>
      </w:r>
      <w:r w:rsidR="00465325">
        <w:rPr>
          <w:rFonts w:ascii="Arial" w:eastAsia="Calibri" w:hAnsi="Arial" w:cs="Arial"/>
          <w:iCs/>
          <w:sz w:val="20"/>
          <w:szCs w:val="20"/>
          <w:lang w:eastAsia="en-US"/>
        </w:rPr>
        <w:t xml:space="preserve">. Mezi malými podniky to byla cca pětina (22 %) a mezi středními necelá třetina (31 %). </w:t>
      </w:r>
    </w:p>
    <w:p w14:paraId="7C5DF904" w14:textId="120D1322" w:rsidR="0078651B" w:rsidRPr="006C1B42" w:rsidRDefault="0078651B" w:rsidP="0078651B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0" w:line="288" w:lineRule="auto"/>
        <w:ind w:left="284" w:right="0" w:hanging="284"/>
        <w:rPr>
          <w:rFonts w:ascii="Arial" w:hAnsi="Arial" w:cs="Arial"/>
          <w:iCs/>
          <w:sz w:val="20"/>
          <w:szCs w:val="20"/>
        </w:rPr>
      </w:pPr>
      <w:r w:rsidRPr="00C768E2">
        <w:rPr>
          <w:rFonts w:ascii="Arial" w:eastAsia="Calibri" w:hAnsi="Arial" w:cs="Arial"/>
          <w:iCs/>
          <w:sz w:val="20"/>
          <w:szCs w:val="20"/>
          <w:lang w:eastAsia="en-US"/>
        </w:rPr>
        <w:t>V roce 202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2</w:t>
      </w:r>
      <w:r w:rsidRPr="00C768E2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F4606F">
        <w:rPr>
          <w:rFonts w:ascii="Arial" w:eastAsia="Calibri" w:hAnsi="Arial" w:cs="Arial"/>
          <w:iCs/>
          <w:sz w:val="20"/>
          <w:szCs w:val="20"/>
          <w:lang w:eastAsia="en-US"/>
        </w:rPr>
        <w:t>elektronicky prodávala</w:t>
      </w:r>
      <w:r w:rsidRPr="00C768E2">
        <w:rPr>
          <w:rFonts w:ascii="Arial" w:eastAsia="Calibri" w:hAnsi="Arial" w:cs="Arial"/>
          <w:iCs/>
          <w:sz w:val="20"/>
          <w:szCs w:val="20"/>
          <w:lang w:eastAsia="en-US"/>
        </w:rPr>
        <w:t xml:space="preserve"> v rámci EU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27</w:t>
      </w:r>
      <w:r w:rsidRPr="00C768E2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pětina </w:t>
      </w:r>
      <w:r w:rsidRPr="00C768E2">
        <w:rPr>
          <w:rFonts w:ascii="Arial" w:eastAsia="Calibri" w:hAnsi="Arial" w:cs="Arial"/>
          <w:iCs/>
          <w:sz w:val="20"/>
          <w:szCs w:val="20"/>
          <w:lang w:eastAsia="en-US"/>
        </w:rPr>
        <w:t>podniků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, tuzemských podniků bylo 25 %</w:t>
      </w:r>
      <w:r w:rsidRPr="00C768E2">
        <w:rPr>
          <w:rFonts w:ascii="Arial" w:eastAsia="Calibri" w:hAnsi="Arial" w:cs="Arial"/>
          <w:iCs/>
          <w:sz w:val="20"/>
          <w:szCs w:val="20"/>
          <w:lang w:eastAsia="en-US"/>
        </w:rPr>
        <w:t>. V tomto ukazateli dominují podniky ve Švédsku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a v Dánsku, kde cca 35 % podniků uvedlo, že v roce 2022 prodalo </w:t>
      </w:r>
      <w:r w:rsidRPr="00D64D31">
        <w:rPr>
          <w:rFonts w:ascii="Arial" w:eastAsia="Calibri" w:hAnsi="Arial" w:cs="Arial"/>
          <w:iCs/>
          <w:sz w:val="20"/>
          <w:szCs w:val="20"/>
          <w:lang w:eastAsia="en-US"/>
        </w:rPr>
        <w:t>nějaké zboží či službu přes internet nebo jinou počítačovou síť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. </w:t>
      </w:r>
    </w:p>
    <w:p w14:paraId="1DB28611" w14:textId="188EB4F3" w:rsidR="00501A82" w:rsidRDefault="00281650" w:rsidP="00D64D31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0" w:line="288" w:lineRule="auto"/>
        <w:ind w:left="284" w:right="0" w:hanging="284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iCs/>
          <w:sz w:val="20"/>
          <w:szCs w:val="20"/>
          <w:lang w:eastAsia="en-US"/>
        </w:rPr>
        <w:t>V roce 2022 se n</w:t>
      </w:r>
      <w:r w:rsidR="00465325" w:rsidRPr="00D64D31">
        <w:rPr>
          <w:rFonts w:ascii="Arial" w:eastAsia="Calibri" w:hAnsi="Arial" w:cs="Arial"/>
          <w:iCs/>
          <w:sz w:val="20"/>
          <w:szCs w:val="20"/>
          <w:lang w:eastAsia="en-US"/>
        </w:rPr>
        <w:t xml:space="preserve">a celkových tržbách podniků s 250 a více zaměstnanci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podílely</w:t>
      </w:r>
      <w:r w:rsidR="00465325" w:rsidRPr="00D64D31">
        <w:rPr>
          <w:rFonts w:ascii="Arial" w:eastAsia="Calibri" w:hAnsi="Arial" w:cs="Arial"/>
          <w:iCs/>
          <w:sz w:val="20"/>
          <w:szCs w:val="20"/>
          <w:lang w:eastAsia="en-US"/>
        </w:rPr>
        <w:t xml:space="preserve"> elektronické prodeje 42 %. V případě malých podniků s 10 až 49 zaměstnanci </w:t>
      </w:r>
      <w:r w:rsidR="00465325" w:rsidRPr="0078651B">
        <w:rPr>
          <w:rFonts w:ascii="Arial" w:eastAsia="Calibri" w:hAnsi="Arial" w:cs="Arial"/>
          <w:iCs/>
          <w:sz w:val="20"/>
          <w:szCs w:val="20"/>
          <w:lang w:eastAsia="en-US"/>
        </w:rPr>
        <w:t>to bylo</w:t>
      </w:r>
      <w:r w:rsidR="0078651B" w:rsidRPr="0078651B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465325" w:rsidRPr="0078651B">
        <w:rPr>
          <w:rFonts w:ascii="Arial" w:eastAsia="Calibri" w:hAnsi="Arial" w:cs="Arial"/>
          <w:iCs/>
          <w:sz w:val="20"/>
          <w:szCs w:val="20"/>
          <w:lang w:eastAsia="en-US"/>
        </w:rPr>
        <w:t>6 %</w:t>
      </w:r>
      <w:r w:rsidR="00465325" w:rsidRPr="00D64D31">
        <w:rPr>
          <w:rFonts w:ascii="Arial" w:eastAsia="Calibri" w:hAnsi="Arial" w:cs="Arial"/>
          <w:iCs/>
          <w:sz w:val="20"/>
          <w:szCs w:val="20"/>
          <w:lang w:eastAsia="en-US"/>
        </w:rPr>
        <w:t xml:space="preserve"> a u středních podniků 30 %.</w:t>
      </w:r>
      <w:r w:rsidR="005C41DA" w:rsidRPr="00D64D31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</w:p>
    <w:p w14:paraId="35C08CB2" w14:textId="2041A246" w:rsidR="0078651B" w:rsidRPr="00D64D31" w:rsidRDefault="0078651B" w:rsidP="00D64D31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0" w:line="288" w:lineRule="auto"/>
        <w:ind w:left="284" w:right="0" w:hanging="284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</w:rPr>
        <w:t>V</w:t>
      </w:r>
      <w:r w:rsidRPr="006C1B42">
        <w:rPr>
          <w:rFonts w:ascii="Arial" w:hAnsi="Arial" w:cs="Arial"/>
          <w:iCs/>
          <w:sz w:val="20"/>
          <w:szCs w:val="20"/>
        </w:rPr>
        <w:t xml:space="preserve"> podílu tržeb z realizovaných elektronických prodejů se firmy s 10 a více zaměstnanci v Česku za rok 202</w:t>
      </w:r>
      <w:r>
        <w:rPr>
          <w:rFonts w:ascii="Arial" w:hAnsi="Arial" w:cs="Arial"/>
          <w:iCs/>
          <w:sz w:val="20"/>
          <w:szCs w:val="20"/>
        </w:rPr>
        <w:t>2</w:t>
      </w:r>
      <w:r w:rsidRPr="006C1B42">
        <w:rPr>
          <w:rFonts w:ascii="Arial" w:hAnsi="Arial" w:cs="Arial"/>
          <w:iCs/>
          <w:sz w:val="20"/>
          <w:szCs w:val="20"/>
        </w:rPr>
        <w:t xml:space="preserve"> umístily</w:t>
      </w:r>
      <w:r>
        <w:rPr>
          <w:rFonts w:ascii="Arial" w:hAnsi="Arial" w:cs="Arial"/>
          <w:iCs/>
          <w:sz w:val="20"/>
          <w:szCs w:val="20"/>
        </w:rPr>
        <w:t xml:space="preserve"> v rámci zemí EU27</w:t>
      </w:r>
      <w:r w:rsidRPr="006C1B42">
        <w:rPr>
          <w:rFonts w:ascii="Arial" w:hAnsi="Arial" w:cs="Arial"/>
          <w:iCs/>
          <w:sz w:val="20"/>
          <w:szCs w:val="20"/>
        </w:rPr>
        <w:t xml:space="preserve"> </w:t>
      </w:r>
      <w:r w:rsidRPr="006C1B42">
        <w:rPr>
          <w:rFonts w:ascii="Arial" w:hAnsi="Arial" w:cs="Arial"/>
          <w:b/>
          <w:iCs/>
          <w:sz w:val="20"/>
          <w:szCs w:val="20"/>
        </w:rPr>
        <w:t xml:space="preserve">na </w:t>
      </w:r>
      <w:r>
        <w:rPr>
          <w:rFonts w:ascii="Arial" w:hAnsi="Arial" w:cs="Arial"/>
          <w:b/>
          <w:iCs/>
          <w:sz w:val="20"/>
          <w:szCs w:val="20"/>
        </w:rPr>
        <w:t>prvním</w:t>
      </w:r>
      <w:r w:rsidRPr="006C1B42">
        <w:rPr>
          <w:rFonts w:ascii="Arial" w:hAnsi="Arial" w:cs="Arial"/>
          <w:b/>
          <w:iCs/>
          <w:sz w:val="20"/>
          <w:szCs w:val="20"/>
        </w:rPr>
        <w:t xml:space="preserve"> místě</w:t>
      </w:r>
      <w:r w:rsidRPr="006C1B42">
        <w:rPr>
          <w:rFonts w:ascii="Arial" w:hAnsi="Arial" w:cs="Arial"/>
          <w:iCs/>
          <w:sz w:val="20"/>
          <w:szCs w:val="20"/>
        </w:rPr>
        <w:t xml:space="preserve">. </w:t>
      </w:r>
      <w:r w:rsidRPr="006C1B42">
        <w:rPr>
          <w:rFonts w:ascii="Arial" w:hAnsi="Arial" w:cs="Arial"/>
          <w:sz w:val="20"/>
        </w:rPr>
        <w:t>Tržby českých podniků z elektronických prodejů byly za rok 202</w:t>
      </w:r>
      <w:r>
        <w:rPr>
          <w:rFonts w:ascii="Arial" w:hAnsi="Arial" w:cs="Arial"/>
          <w:sz w:val="20"/>
        </w:rPr>
        <w:t>2</w:t>
      </w:r>
      <w:r w:rsidRPr="006C1B42">
        <w:rPr>
          <w:rFonts w:ascii="Arial" w:hAnsi="Arial" w:cs="Arial"/>
          <w:sz w:val="20"/>
        </w:rPr>
        <w:t xml:space="preserve"> na úrovni 3</w:t>
      </w:r>
      <w:r>
        <w:rPr>
          <w:rFonts w:ascii="Arial" w:hAnsi="Arial" w:cs="Arial"/>
          <w:sz w:val="20"/>
        </w:rPr>
        <w:t>1</w:t>
      </w:r>
      <w:r w:rsidRPr="006C1B42">
        <w:rPr>
          <w:rFonts w:ascii="Arial" w:hAnsi="Arial" w:cs="Arial"/>
          <w:sz w:val="20"/>
        </w:rPr>
        <w:t xml:space="preserve"> %, průměr za EU27 činil 18 %</w:t>
      </w:r>
      <w:r>
        <w:rPr>
          <w:rFonts w:ascii="Arial" w:hAnsi="Arial" w:cs="Arial"/>
          <w:sz w:val="20"/>
        </w:rPr>
        <w:t>.</w:t>
      </w:r>
      <w:r w:rsidRPr="006C1B4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Druhé a třetí nejvyšší relativní podíly </w:t>
      </w:r>
      <w:r w:rsidRPr="006C1B42">
        <w:rPr>
          <w:rFonts w:ascii="Arial" w:hAnsi="Arial" w:cs="Arial"/>
          <w:sz w:val="20"/>
        </w:rPr>
        <w:t>trž</w:t>
      </w:r>
      <w:r>
        <w:rPr>
          <w:rFonts w:ascii="Arial" w:hAnsi="Arial" w:cs="Arial"/>
          <w:sz w:val="20"/>
        </w:rPr>
        <w:t>e</w:t>
      </w:r>
      <w:r w:rsidRPr="006C1B42">
        <w:rPr>
          <w:rFonts w:ascii="Arial" w:hAnsi="Arial" w:cs="Arial"/>
          <w:sz w:val="20"/>
        </w:rPr>
        <w:t>b z prodejů uskutečněných elektronickou cestou měl</w:t>
      </w:r>
      <w:r>
        <w:rPr>
          <w:rFonts w:ascii="Arial" w:hAnsi="Arial" w:cs="Arial"/>
          <w:sz w:val="20"/>
        </w:rPr>
        <w:t>y</w:t>
      </w:r>
      <w:r w:rsidRPr="006C1B42">
        <w:rPr>
          <w:rFonts w:ascii="Arial" w:hAnsi="Arial" w:cs="Arial"/>
          <w:sz w:val="20"/>
        </w:rPr>
        <w:t xml:space="preserve"> v roce 202</w:t>
      </w:r>
      <w:r>
        <w:rPr>
          <w:rFonts w:ascii="Arial" w:hAnsi="Arial" w:cs="Arial"/>
          <w:sz w:val="20"/>
        </w:rPr>
        <w:t>2</w:t>
      </w:r>
      <w:r w:rsidRPr="006C1B4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podniky v Dánsku a v Irsku (cca 29 %</w:t>
      </w:r>
      <w:r w:rsidRPr="006C1B42">
        <w:rPr>
          <w:rFonts w:ascii="Arial" w:hAnsi="Arial" w:cs="Arial"/>
          <w:sz w:val="20"/>
        </w:rPr>
        <w:t>), nejmenší</w:t>
      </w:r>
      <w:r>
        <w:rPr>
          <w:rFonts w:ascii="Arial" w:hAnsi="Arial" w:cs="Arial"/>
          <w:sz w:val="20"/>
        </w:rPr>
        <w:t xml:space="preserve"> podíl e-prodejů na celkových tržbách vykázaly podniky v Bulharsku</w:t>
      </w:r>
      <w:r w:rsidRPr="006C1B42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6</w:t>
      </w:r>
      <w:r w:rsidRPr="006C1B42">
        <w:rPr>
          <w:rFonts w:ascii="Arial" w:hAnsi="Arial" w:cs="Arial"/>
          <w:sz w:val="20"/>
        </w:rPr>
        <w:t> %)</w:t>
      </w:r>
      <w:r>
        <w:rPr>
          <w:rFonts w:ascii="Arial" w:hAnsi="Arial" w:cs="Arial"/>
          <w:sz w:val="20"/>
        </w:rPr>
        <w:t xml:space="preserve"> a v Řecku (7 %)</w:t>
      </w:r>
      <w:r w:rsidRPr="006C1B42">
        <w:rPr>
          <w:rFonts w:ascii="Arial" w:hAnsi="Arial" w:cs="Arial"/>
          <w:sz w:val="20"/>
        </w:rPr>
        <w:t>.</w:t>
      </w:r>
    </w:p>
    <w:p w14:paraId="0AABA330" w14:textId="7DAC8F3E" w:rsidR="00D2189F" w:rsidRPr="00F4606F" w:rsidRDefault="00BA5F57" w:rsidP="00A11466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0" w:line="288" w:lineRule="auto"/>
        <w:ind w:left="284" w:right="0" w:hanging="284"/>
        <w:rPr>
          <w:rFonts w:ascii="Arial" w:hAnsi="Arial" w:cs="Arial"/>
          <w:iCs/>
          <w:sz w:val="20"/>
          <w:szCs w:val="20"/>
        </w:rPr>
      </w:pPr>
      <w:r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Více </w:t>
      </w:r>
      <w:r w:rsidRPr="004523A3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než </w:t>
      </w:r>
      <w:r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deseti procenty na </w:t>
      </w:r>
      <w:r w:rsidRPr="004523A3">
        <w:rPr>
          <w:rFonts w:ascii="Arial" w:eastAsia="Calibri" w:hAnsi="Arial" w:cs="Arial"/>
          <w:b/>
          <w:iCs/>
          <w:sz w:val="20"/>
          <w:szCs w:val="20"/>
          <w:lang w:eastAsia="en-US"/>
        </w:rPr>
        <w:t>celkových tržb</w:t>
      </w:r>
      <w:r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ách </w:t>
      </w:r>
      <w:r w:rsidRPr="00F4606F">
        <w:rPr>
          <w:rFonts w:ascii="Arial" w:eastAsia="Calibri" w:hAnsi="Arial" w:cs="Arial"/>
          <w:iCs/>
          <w:sz w:val="20"/>
          <w:szCs w:val="20"/>
          <w:lang w:eastAsia="en-US"/>
        </w:rPr>
        <w:t>se</w:t>
      </w:r>
      <w:r w:rsidRPr="00FC5E1C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395F05">
        <w:rPr>
          <w:rFonts w:ascii="Arial" w:eastAsia="Calibri" w:hAnsi="Arial" w:cs="Arial"/>
          <w:iCs/>
          <w:sz w:val="20"/>
          <w:szCs w:val="20"/>
          <w:lang w:eastAsia="en-US"/>
        </w:rPr>
        <w:t>v</w:t>
      </w:r>
      <w:r w:rsidR="00D64D31" w:rsidRPr="004523A3">
        <w:rPr>
          <w:rFonts w:ascii="Arial" w:eastAsia="Calibri" w:hAnsi="Arial" w:cs="Arial"/>
          <w:iCs/>
          <w:sz w:val="20"/>
          <w:szCs w:val="20"/>
          <w:lang w:eastAsia="en-US"/>
        </w:rPr>
        <w:t> roce 202</w:t>
      </w:r>
      <w:r w:rsidR="00D64D31">
        <w:rPr>
          <w:rFonts w:ascii="Arial" w:eastAsia="Calibri" w:hAnsi="Arial" w:cs="Arial"/>
          <w:iCs/>
          <w:sz w:val="20"/>
          <w:szCs w:val="20"/>
          <w:lang w:eastAsia="en-US"/>
        </w:rPr>
        <w:t>2</w:t>
      </w:r>
      <w:r w:rsidR="00D64D31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iCs/>
          <w:sz w:val="20"/>
          <w:szCs w:val="20"/>
          <w:lang w:eastAsia="en-US"/>
        </w:rPr>
        <w:t>podílely</w:t>
      </w:r>
      <w:r w:rsidRPr="004523A3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 elektronické prodeje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731941" w:rsidRPr="00A6044E">
        <w:rPr>
          <w:rFonts w:ascii="Arial" w:eastAsia="Calibri" w:hAnsi="Arial" w:cs="Arial"/>
          <w:iCs/>
          <w:sz w:val="20"/>
          <w:szCs w:val="20"/>
          <w:lang w:eastAsia="en-US"/>
        </w:rPr>
        <w:t xml:space="preserve">u 17,5 % </w:t>
      </w:r>
      <w:r w:rsidR="00731941">
        <w:rPr>
          <w:rFonts w:ascii="Arial" w:eastAsia="Calibri" w:hAnsi="Arial" w:cs="Arial"/>
          <w:iCs/>
          <w:sz w:val="20"/>
          <w:szCs w:val="20"/>
          <w:lang w:eastAsia="en-US"/>
        </w:rPr>
        <w:t xml:space="preserve">tuzemských </w:t>
      </w:r>
      <w:r w:rsidR="00731941" w:rsidRPr="00A6044E">
        <w:rPr>
          <w:rFonts w:ascii="Arial" w:eastAsia="Calibri" w:hAnsi="Arial" w:cs="Arial"/>
          <w:iCs/>
          <w:sz w:val="20"/>
          <w:szCs w:val="20"/>
          <w:lang w:eastAsia="en-US"/>
        </w:rPr>
        <w:t>podniků</w:t>
      </w:r>
      <w:r w:rsidR="00731941">
        <w:rPr>
          <w:rFonts w:ascii="Arial" w:eastAsia="Calibri" w:hAnsi="Arial" w:cs="Arial"/>
          <w:iCs/>
          <w:sz w:val="20"/>
          <w:szCs w:val="20"/>
          <w:lang w:eastAsia="en-US"/>
        </w:rPr>
        <w:t xml:space="preserve"> s více než 10 zaměstnanci</w:t>
      </w:r>
      <w:r w:rsidR="002A49B3" w:rsidRPr="004523A3">
        <w:rPr>
          <w:rFonts w:ascii="Arial" w:eastAsia="Calibri" w:hAnsi="Arial" w:cs="Arial"/>
          <w:iCs/>
          <w:sz w:val="20"/>
          <w:szCs w:val="20"/>
          <w:lang w:eastAsia="en-US"/>
        </w:rPr>
        <w:t>.</w:t>
      </w:r>
      <w:r w:rsidR="000301B3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F93573">
        <w:rPr>
          <w:rFonts w:ascii="Arial" w:eastAsia="Calibri" w:hAnsi="Arial" w:cs="Arial"/>
          <w:iCs/>
          <w:sz w:val="20"/>
          <w:szCs w:val="20"/>
          <w:lang w:eastAsia="en-US"/>
        </w:rPr>
        <w:t xml:space="preserve">Do této skupiny firem </w:t>
      </w:r>
      <w:r w:rsidR="00F4606F">
        <w:rPr>
          <w:rFonts w:ascii="Arial" w:eastAsia="Calibri" w:hAnsi="Arial" w:cs="Arial"/>
          <w:iCs/>
          <w:sz w:val="20"/>
          <w:szCs w:val="20"/>
          <w:lang w:eastAsia="en-US"/>
        </w:rPr>
        <w:t xml:space="preserve">dlouhodobě </w:t>
      </w:r>
      <w:r w:rsidR="00F93573">
        <w:rPr>
          <w:rFonts w:ascii="Arial" w:eastAsia="Calibri" w:hAnsi="Arial" w:cs="Arial"/>
          <w:iCs/>
          <w:sz w:val="20"/>
          <w:szCs w:val="20"/>
          <w:lang w:eastAsia="en-US"/>
        </w:rPr>
        <w:t>č</w:t>
      </w:r>
      <w:r w:rsidR="00F93573" w:rsidRPr="004523A3">
        <w:rPr>
          <w:rFonts w:ascii="Arial" w:eastAsia="Calibri" w:hAnsi="Arial" w:cs="Arial"/>
          <w:iCs/>
          <w:sz w:val="20"/>
          <w:szCs w:val="20"/>
          <w:lang w:eastAsia="en-US"/>
        </w:rPr>
        <w:t>astěji</w:t>
      </w:r>
      <w:r w:rsidR="00F93573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E957F4">
        <w:rPr>
          <w:rFonts w:ascii="Arial" w:eastAsia="Calibri" w:hAnsi="Arial" w:cs="Arial"/>
          <w:iCs/>
          <w:sz w:val="20"/>
          <w:szCs w:val="20"/>
          <w:lang w:eastAsia="en-US"/>
        </w:rPr>
        <w:t>spadají</w:t>
      </w:r>
      <w:r w:rsidR="004523A3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velké podniky </w:t>
      </w:r>
      <w:r w:rsidR="000301B3" w:rsidRPr="004523A3">
        <w:rPr>
          <w:rFonts w:ascii="Arial" w:eastAsia="Calibri" w:hAnsi="Arial" w:cs="Arial"/>
          <w:iCs/>
          <w:sz w:val="20"/>
          <w:szCs w:val="20"/>
          <w:lang w:eastAsia="en-US"/>
        </w:rPr>
        <w:t>s více než 250 zaměstnanci</w:t>
      </w:r>
      <w:r w:rsidR="004523A3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(</w:t>
      </w:r>
      <w:r w:rsidR="00731941">
        <w:rPr>
          <w:rFonts w:ascii="Arial" w:eastAsia="Calibri" w:hAnsi="Arial" w:cs="Arial"/>
          <w:iCs/>
          <w:sz w:val="20"/>
          <w:szCs w:val="20"/>
          <w:lang w:eastAsia="en-US"/>
        </w:rPr>
        <w:t>v r</w:t>
      </w:r>
      <w:r w:rsidR="00E957F4">
        <w:rPr>
          <w:rFonts w:ascii="Arial" w:eastAsia="Calibri" w:hAnsi="Arial" w:cs="Arial"/>
          <w:iCs/>
          <w:sz w:val="20"/>
          <w:szCs w:val="20"/>
          <w:lang w:eastAsia="en-US"/>
        </w:rPr>
        <w:t>o</w:t>
      </w:r>
      <w:r w:rsidR="00731941">
        <w:rPr>
          <w:rFonts w:ascii="Arial" w:eastAsia="Calibri" w:hAnsi="Arial" w:cs="Arial"/>
          <w:iCs/>
          <w:sz w:val="20"/>
          <w:szCs w:val="20"/>
          <w:lang w:eastAsia="en-US"/>
        </w:rPr>
        <w:t>ce</w:t>
      </w:r>
      <w:r w:rsidR="00E957F4">
        <w:rPr>
          <w:rFonts w:ascii="Arial" w:eastAsia="Calibri" w:hAnsi="Arial" w:cs="Arial"/>
          <w:iCs/>
          <w:sz w:val="20"/>
          <w:szCs w:val="20"/>
          <w:lang w:eastAsia="en-US"/>
        </w:rPr>
        <w:t xml:space="preserve"> 2022</w:t>
      </w:r>
      <w:r w:rsidR="00731941">
        <w:rPr>
          <w:rFonts w:ascii="Arial" w:eastAsia="Calibri" w:hAnsi="Arial" w:cs="Arial"/>
          <w:iCs/>
          <w:sz w:val="20"/>
          <w:szCs w:val="20"/>
          <w:lang w:eastAsia="en-US"/>
        </w:rPr>
        <w:t xml:space="preserve"> toto kritérium naplnilo 41,5 % velkých podniků, ale např. jen 16 % malých firem nebo 21 % středně velkých subjektů)</w:t>
      </w:r>
      <w:r w:rsidR="004523A3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a z</w:t>
      </w:r>
      <w:r w:rsidR="000301B3" w:rsidRPr="004523A3">
        <w:rPr>
          <w:rFonts w:ascii="Arial" w:eastAsia="Calibri" w:hAnsi="Arial" w:cs="Arial"/>
          <w:iCs/>
          <w:sz w:val="20"/>
          <w:szCs w:val="20"/>
          <w:lang w:eastAsia="en-US"/>
        </w:rPr>
        <w:t> hlediska převažující ekonomické činnosti</w:t>
      </w:r>
      <w:r w:rsidR="002A49B3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4D1234">
        <w:rPr>
          <w:rFonts w:ascii="Arial" w:eastAsia="Calibri" w:hAnsi="Arial" w:cs="Arial"/>
          <w:iCs/>
          <w:sz w:val="20"/>
          <w:szCs w:val="20"/>
          <w:lang w:eastAsia="en-US"/>
        </w:rPr>
        <w:t xml:space="preserve">jde </w:t>
      </w:r>
      <w:r w:rsidR="00D2189F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nejčastěji </w:t>
      </w:r>
      <w:r w:rsidR="004D1234">
        <w:rPr>
          <w:rFonts w:ascii="Arial" w:eastAsia="Calibri" w:hAnsi="Arial" w:cs="Arial"/>
          <w:iCs/>
          <w:sz w:val="20"/>
          <w:szCs w:val="20"/>
          <w:lang w:eastAsia="en-US"/>
        </w:rPr>
        <w:t xml:space="preserve">o podniky působící </w:t>
      </w:r>
      <w:r w:rsidR="00D2189F" w:rsidRPr="004523A3">
        <w:rPr>
          <w:rFonts w:ascii="Arial" w:eastAsia="Calibri" w:hAnsi="Arial" w:cs="Arial"/>
          <w:b/>
          <w:iCs/>
          <w:sz w:val="20"/>
          <w:szCs w:val="20"/>
          <w:lang w:eastAsia="en-US"/>
        </w:rPr>
        <w:t>v cestovním ruchu</w:t>
      </w:r>
      <w:r w:rsidR="00501A82" w:rsidRPr="004523A3">
        <w:rPr>
          <w:rFonts w:ascii="Arial" w:eastAsia="Calibri" w:hAnsi="Arial" w:cs="Arial"/>
          <w:iCs/>
          <w:sz w:val="20"/>
          <w:szCs w:val="20"/>
          <w:lang w:eastAsia="en-US"/>
        </w:rPr>
        <w:t>. V</w:t>
      </w:r>
      <w:r w:rsidR="00D2189F" w:rsidRPr="004523A3">
        <w:rPr>
          <w:rFonts w:ascii="Arial" w:eastAsia="Calibri" w:hAnsi="Arial" w:cs="Arial"/>
          <w:iCs/>
          <w:sz w:val="20"/>
          <w:szCs w:val="20"/>
          <w:lang w:eastAsia="en-US"/>
        </w:rPr>
        <w:t> roce 20</w:t>
      </w:r>
      <w:r w:rsidR="000301B3" w:rsidRPr="004523A3">
        <w:rPr>
          <w:rFonts w:ascii="Arial" w:eastAsia="Calibri" w:hAnsi="Arial" w:cs="Arial"/>
          <w:iCs/>
          <w:sz w:val="20"/>
          <w:szCs w:val="20"/>
          <w:lang w:eastAsia="en-US"/>
        </w:rPr>
        <w:t>2</w:t>
      </w:r>
      <w:r w:rsidR="00E957F4">
        <w:rPr>
          <w:rFonts w:ascii="Arial" w:eastAsia="Calibri" w:hAnsi="Arial" w:cs="Arial"/>
          <w:iCs/>
          <w:sz w:val="20"/>
          <w:szCs w:val="20"/>
          <w:lang w:eastAsia="en-US"/>
        </w:rPr>
        <w:t>2</w:t>
      </w:r>
      <w:r w:rsidR="00D2189F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F93573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splňovalo </w:t>
      </w:r>
      <w:r w:rsidR="00D2189F" w:rsidRPr="004523A3">
        <w:rPr>
          <w:rFonts w:ascii="Arial" w:eastAsia="Calibri" w:hAnsi="Arial" w:cs="Arial"/>
          <w:iCs/>
          <w:sz w:val="20"/>
          <w:szCs w:val="20"/>
          <w:lang w:eastAsia="en-US"/>
        </w:rPr>
        <w:t>to</w:t>
      </w:r>
      <w:r w:rsidR="000301B3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to kritérium </w:t>
      </w:r>
      <w:r w:rsidR="004523A3" w:rsidRPr="004523A3">
        <w:rPr>
          <w:rFonts w:ascii="Arial" w:eastAsia="Calibri" w:hAnsi="Arial" w:cs="Arial"/>
          <w:iCs/>
          <w:sz w:val="20"/>
          <w:szCs w:val="20"/>
          <w:lang w:eastAsia="en-US"/>
        </w:rPr>
        <w:t>6</w:t>
      </w:r>
      <w:r w:rsidR="00E957F4">
        <w:rPr>
          <w:rFonts w:ascii="Arial" w:eastAsia="Calibri" w:hAnsi="Arial" w:cs="Arial"/>
          <w:iCs/>
          <w:sz w:val="20"/>
          <w:szCs w:val="20"/>
          <w:lang w:eastAsia="en-US"/>
        </w:rPr>
        <w:t>5</w:t>
      </w:r>
      <w:r w:rsidR="000301B3" w:rsidRPr="004523A3">
        <w:rPr>
          <w:rFonts w:ascii="Arial" w:eastAsia="Calibri" w:hAnsi="Arial" w:cs="Arial"/>
          <w:iCs/>
          <w:sz w:val="20"/>
          <w:szCs w:val="20"/>
          <w:lang w:eastAsia="en-US"/>
        </w:rPr>
        <w:t> </w:t>
      </w:r>
      <w:r w:rsidR="00D2189F" w:rsidRPr="004523A3">
        <w:rPr>
          <w:rFonts w:ascii="Arial" w:eastAsia="Calibri" w:hAnsi="Arial" w:cs="Arial"/>
          <w:iCs/>
          <w:sz w:val="20"/>
          <w:szCs w:val="20"/>
          <w:lang w:eastAsia="en-US"/>
        </w:rPr>
        <w:t>% cestovních agentur a</w:t>
      </w:r>
      <w:r w:rsidR="00501A82" w:rsidRPr="004523A3">
        <w:rPr>
          <w:rFonts w:ascii="Arial" w:eastAsia="Calibri" w:hAnsi="Arial" w:cs="Arial"/>
          <w:iCs/>
          <w:sz w:val="20"/>
          <w:szCs w:val="20"/>
          <w:lang w:eastAsia="en-US"/>
        </w:rPr>
        <w:t> </w:t>
      </w:r>
      <w:r w:rsidR="00D2189F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kanceláří a </w:t>
      </w:r>
      <w:r w:rsidR="00FE342C">
        <w:rPr>
          <w:rFonts w:ascii="Arial" w:eastAsia="Calibri" w:hAnsi="Arial" w:cs="Arial"/>
          <w:iCs/>
          <w:sz w:val="20"/>
          <w:szCs w:val="20"/>
          <w:lang w:eastAsia="en-US"/>
        </w:rPr>
        <w:t>66</w:t>
      </w:r>
      <w:r w:rsidR="000301B3" w:rsidRPr="004523A3">
        <w:rPr>
          <w:rFonts w:ascii="Arial" w:eastAsia="Calibri" w:hAnsi="Arial" w:cs="Arial"/>
          <w:iCs/>
          <w:sz w:val="20"/>
          <w:szCs w:val="20"/>
          <w:lang w:eastAsia="en-US"/>
        </w:rPr>
        <w:t> %</w:t>
      </w:r>
      <w:r w:rsidR="00D2189F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firem poskytujících ubytování. </w:t>
      </w:r>
    </w:p>
    <w:p w14:paraId="27E2D567" w14:textId="77777777" w:rsidR="008A5404" w:rsidRPr="004523A3" w:rsidRDefault="008A5404" w:rsidP="008A5404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0" w:line="288" w:lineRule="auto"/>
        <w:ind w:left="284" w:right="0" w:hanging="284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Podíl podniků prodávajících zboží a/nebo služby </w:t>
      </w:r>
      <w:r w:rsidRPr="004523A3">
        <w:rPr>
          <w:rFonts w:ascii="Arial" w:eastAsia="Calibri" w:hAnsi="Arial" w:cs="Arial"/>
          <w:b/>
          <w:iCs/>
          <w:sz w:val="20"/>
          <w:szCs w:val="20"/>
          <w:lang w:eastAsia="en-US"/>
        </w:rPr>
        <w:t>přes webové stránky</w:t>
      </w:r>
      <w:r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4523A3">
        <w:rPr>
          <w:rFonts w:ascii="Arial" w:eastAsia="Calibri" w:hAnsi="Arial" w:cs="Arial"/>
          <w:b/>
          <w:iCs/>
          <w:sz w:val="20"/>
          <w:szCs w:val="20"/>
          <w:lang w:eastAsia="en-US"/>
        </w:rPr>
        <w:t>nebo mobilní aplikace je dlouhodobě vyšší</w:t>
      </w:r>
      <w:r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než podíl podniků prodávajících zboží a/nebo služby </w:t>
      </w:r>
      <w:r w:rsidRPr="004523A3">
        <w:rPr>
          <w:rFonts w:ascii="Arial" w:eastAsia="Calibri" w:hAnsi="Arial" w:cs="Arial"/>
          <w:b/>
          <w:iCs/>
          <w:sz w:val="20"/>
          <w:szCs w:val="20"/>
          <w:lang w:eastAsia="en-US"/>
        </w:rPr>
        <w:t>pomocí elektronické výměny dat</w:t>
      </w:r>
      <w:r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(EDI). Přes web nebo aplikace prodávala v roce 202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2</w:t>
      </w:r>
      <w:r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v Česku pětina podniků s 10 a více zaměstnanci (2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1</w:t>
      </w:r>
      <w:r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%), pomocí elektronické výměny dat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7</w:t>
      </w:r>
      <w:r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 % podniků. </w:t>
      </w:r>
    </w:p>
    <w:p w14:paraId="44219D12" w14:textId="24A5BC3B" w:rsidR="008A5404" w:rsidRPr="004523A3" w:rsidRDefault="008A5404" w:rsidP="008A5404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0" w:line="288" w:lineRule="auto"/>
        <w:ind w:left="284" w:right="0" w:hanging="284"/>
        <w:rPr>
          <w:rFonts w:ascii="Arial" w:hAnsi="Arial" w:cs="Arial"/>
          <w:iCs/>
          <w:sz w:val="20"/>
          <w:szCs w:val="20"/>
        </w:rPr>
      </w:pPr>
      <w:r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Opačná je situace týkající se podílu </w:t>
      </w:r>
      <w:r w:rsidRPr="004523A3">
        <w:rPr>
          <w:rFonts w:ascii="Arial" w:eastAsia="Calibri" w:hAnsi="Arial" w:cs="Arial"/>
          <w:b/>
          <w:iCs/>
          <w:sz w:val="20"/>
          <w:szCs w:val="20"/>
          <w:lang w:eastAsia="en-US"/>
        </w:rPr>
        <w:t>tržeb</w:t>
      </w:r>
      <w:r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z těchto elektronických prodejů. Tržby z prodejů uskutečněných přes webové stránky tvořily </w:t>
      </w:r>
      <w:r w:rsidR="00F93573">
        <w:rPr>
          <w:rFonts w:ascii="Arial" w:eastAsia="Calibri" w:hAnsi="Arial" w:cs="Arial"/>
          <w:iCs/>
          <w:sz w:val="20"/>
          <w:szCs w:val="20"/>
          <w:lang w:eastAsia="en-US"/>
        </w:rPr>
        <w:t>9</w:t>
      </w:r>
      <w:r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% celkových podnikových tržeb v roce 202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2</w:t>
      </w:r>
      <w:r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, zatímco </w:t>
      </w:r>
      <w:r w:rsidRPr="006C1B42">
        <w:rPr>
          <w:rFonts w:ascii="Arial" w:eastAsia="Calibri" w:hAnsi="Arial" w:cs="Arial"/>
          <w:iCs/>
          <w:sz w:val="20"/>
          <w:szCs w:val="20"/>
          <w:lang w:eastAsia="en-US"/>
        </w:rPr>
        <w:t>tržby získané elektronickou výměnou dat</w:t>
      </w:r>
      <w:r w:rsidRPr="004523A3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 </w:t>
      </w:r>
      <w:r w:rsidRPr="004523A3">
        <w:rPr>
          <w:rFonts w:ascii="Arial" w:eastAsia="Calibri" w:hAnsi="Arial" w:cs="Arial"/>
          <w:iCs/>
          <w:sz w:val="20"/>
          <w:szCs w:val="20"/>
          <w:lang w:eastAsia="en-US"/>
        </w:rPr>
        <w:t>tvořily</w:t>
      </w:r>
      <w:r w:rsidR="00F93573">
        <w:rPr>
          <w:rFonts w:ascii="Arial" w:eastAsia="Calibri" w:hAnsi="Arial" w:cs="Arial"/>
          <w:iCs/>
          <w:sz w:val="20"/>
          <w:szCs w:val="20"/>
          <w:lang w:eastAsia="en-US"/>
        </w:rPr>
        <w:t xml:space="preserve"> více než</w:t>
      </w:r>
      <w:r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21 % celkových podnikových tržeb. </w:t>
      </w:r>
    </w:p>
    <w:p w14:paraId="1B168947" w14:textId="51A5E954" w:rsidR="00950AEF" w:rsidRPr="00FC5E1C" w:rsidRDefault="00D64D31" w:rsidP="00FC5E1C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0" w:line="288" w:lineRule="auto"/>
        <w:ind w:left="284" w:right="0" w:hanging="284"/>
        <w:rPr>
          <w:rFonts w:ascii="Arial" w:hAnsi="Arial" w:cs="Arial"/>
          <w:iCs/>
          <w:sz w:val="20"/>
          <w:szCs w:val="20"/>
        </w:rPr>
      </w:pPr>
      <w:r w:rsidRPr="00FC5E1C">
        <w:rPr>
          <w:rFonts w:ascii="Arial" w:eastAsia="Calibri" w:hAnsi="Arial" w:cs="Arial"/>
          <w:iCs/>
          <w:sz w:val="20"/>
          <w:szCs w:val="20"/>
          <w:lang w:eastAsia="en-US"/>
        </w:rPr>
        <w:t xml:space="preserve">Přibližně na úrovni </w:t>
      </w:r>
      <w:r w:rsidR="005C41DA" w:rsidRPr="00FC5E1C">
        <w:rPr>
          <w:rFonts w:ascii="Arial" w:eastAsia="Calibri" w:hAnsi="Arial" w:cs="Arial"/>
          <w:iCs/>
          <w:sz w:val="20"/>
          <w:szCs w:val="20"/>
          <w:lang w:eastAsia="en-US"/>
        </w:rPr>
        <w:t>průměr</w:t>
      </w:r>
      <w:r w:rsidRPr="003924D3">
        <w:rPr>
          <w:rFonts w:ascii="Arial" w:eastAsia="Calibri" w:hAnsi="Arial" w:cs="Arial"/>
          <w:iCs/>
          <w:sz w:val="20"/>
          <w:szCs w:val="20"/>
          <w:lang w:eastAsia="en-US"/>
        </w:rPr>
        <w:t>u</w:t>
      </w:r>
      <w:r w:rsidR="00D603E0" w:rsidRPr="003924D3">
        <w:rPr>
          <w:rFonts w:ascii="Arial" w:eastAsia="Calibri" w:hAnsi="Arial" w:cs="Arial"/>
          <w:iCs/>
          <w:sz w:val="20"/>
          <w:szCs w:val="20"/>
          <w:lang w:eastAsia="en-US"/>
        </w:rPr>
        <w:t xml:space="preserve"> EU27</w:t>
      </w:r>
      <w:r w:rsidRPr="003924D3">
        <w:rPr>
          <w:rFonts w:ascii="Arial" w:eastAsia="Calibri" w:hAnsi="Arial" w:cs="Arial"/>
          <w:iCs/>
          <w:sz w:val="20"/>
          <w:szCs w:val="20"/>
          <w:lang w:eastAsia="en-US"/>
        </w:rPr>
        <w:t xml:space="preserve"> (20 %) je Česko </w:t>
      </w:r>
      <w:r w:rsidRPr="00FC5E1C">
        <w:rPr>
          <w:rFonts w:ascii="Arial" w:hAnsi="Arial" w:cs="Arial"/>
          <w:iCs/>
          <w:sz w:val="20"/>
          <w:szCs w:val="20"/>
        </w:rPr>
        <w:t xml:space="preserve">v podílu firem, které </w:t>
      </w:r>
      <w:r w:rsidR="001E2E61" w:rsidRPr="00FC5E1C">
        <w:rPr>
          <w:rFonts w:ascii="Arial" w:hAnsi="Arial" w:cs="Arial"/>
          <w:iCs/>
          <w:sz w:val="20"/>
          <w:szCs w:val="20"/>
        </w:rPr>
        <w:t>prodávaly</w:t>
      </w:r>
      <w:r w:rsidRPr="00FC5E1C">
        <w:rPr>
          <w:rFonts w:ascii="Arial" w:hAnsi="Arial" w:cs="Arial"/>
          <w:iCs/>
          <w:sz w:val="20"/>
          <w:szCs w:val="20"/>
        </w:rPr>
        <w:t xml:space="preserve"> </w:t>
      </w:r>
      <w:r w:rsidR="009F3E7F" w:rsidRPr="00FC5E1C">
        <w:rPr>
          <w:rFonts w:ascii="Arial" w:hAnsi="Arial" w:cs="Arial"/>
          <w:iCs/>
          <w:sz w:val="20"/>
          <w:szCs w:val="20"/>
        </w:rPr>
        <w:t>přes webové stránky</w:t>
      </w:r>
      <w:r w:rsidR="001B65FE" w:rsidRPr="00FC5E1C">
        <w:rPr>
          <w:rFonts w:ascii="Arial" w:hAnsi="Arial" w:cs="Arial"/>
          <w:iCs/>
          <w:sz w:val="20"/>
          <w:szCs w:val="20"/>
        </w:rPr>
        <w:t xml:space="preserve"> nebo mobilní aplikace</w:t>
      </w:r>
      <w:r w:rsidRPr="00FC5E1C">
        <w:rPr>
          <w:rFonts w:ascii="Arial" w:hAnsi="Arial" w:cs="Arial"/>
          <w:iCs/>
          <w:sz w:val="20"/>
          <w:szCs w:val="20"/>
        </w:rPr>
        <w:t>.</w:t>
      </w:r>
      <w:r w:rsidR="009F3E7F" w:rsidRPr="00FC5E1C">
        <w:rPr>
          <w:rFonts w:ascii="Arial" w:hAnsi="Arial" w:cs="Arial"/>
          <w:iCs/>
          <w:sz w:val="20"/>
          <w:szCs w:val="20"/>
        </w:rPr>
        <w:t xml:space="preserve"> </w:t>
      </w:r>
      <w:r w:rsidR="006C1B42" w:rsidRPr="00FC5E1C">
        <w:rPr>
          <w:rFonts w:ascii="Arial" w:hAnsi="Arial" w:cs="Arial"/>
          <w:sz w:val="20"/>
        </w:rPr>
        <w:t>První příčk</w:t>
      </w:r>
      <w:r w:rsidRPr="00FC5E1C">
        <w:rPr>
          <w:rFonts w:ascii="Arial" w:hAnsi="Arial" w:cs="Arial"/>
          <w:sz w:val="20"/>
        </w:rPr>
        <w:t>a</w:t>
      </w:r>
      <w:r w:rsidR="006C1B42" w:rsidRPr="00FC5E1C">
        <w:rPr>
          <w:rFonts w:ascii="Arial" w:hAnsi="Arial" w:cs="Arial"/>
          <w:sz w:val="20"/>
        </w:rPr>
        <w:t xml:space="preserve"> patřil</w:t>
      </w:r>
      <w:r w:rsidRPr="00FC5E1C">
        <w:rPr>
          <w:rFonts w:ascii="Arial" w:hAnsi="Arial" w:cs="Arial"/>
          <w:sz w:val="20"/>
        </w:rPr>
        <w:t>a</w:t>
      </w:r>
      <w:r w:rsidR="006C1B42" w:rsidRPr="00FC5E1C">
        <w:rPr>
          <w:rFonts w:ascii="Arial" w:hAnsi="Arial" w:cs="Arial"/>
          <w:sz w:val="20"/>
        </w:rPr>
        <w:t xml:space="preserve"> </w:t>
      </w:r>
      <w:r w:rsidRPr="00FC5E1C">
        <w:rPr>
          <w:rFonts w:ascii="Arial" w:hAnsi="Arial" w:cs="Arial"/>
          <w:sz w:val="20"/>
        </w:rPr>
        <w:t>v tomto ukazatel</w:t>
      </w:r>
      <w:r w:rsidR="0012002F" w:rsidRPr="00FC5E1C">
        <w:rPr>
          <w:rFonts w:ascii="Arial" w:hAnsi="Arial" w:cs="Arial"/>
          <w:sz w:val="20"/>
        </w:rPr>
        <w:t>i</w:t>
      </w:r>
      <w:r w:rsidRPr="00FC5E1C">
        <w:rPr>
          <w:rFonts w:ascii="Arial" w:hAnsi="Arial" w:cs="Arial"/>
          <w:sz w:val="20"/>
        </w:rPr>
        <w:t xml:space="preserve"> </w:t>
      </w:r>
      <w:r w:rsidR="00E36F00" w:rsidRPr="00FC5E1C">
        <w:rPr>
          <w:rFonts w:ascii="Arial" w:hAnsi="Arial" w:cs="Arial"/>
          <w:sz w:val="20"/>
        </w:rPr>
        <w:t>podnikům v</w:t>
      </w:r>
      <w:r w:rsidR="0012002F" w:rsidRPr="00FC5E1C">
        <w:rPr>
          <w:rFonts w:ascii="Arial" w:hAnsi="Arial" w:cs="Arial"/>
          <w:sz w:val="20"/>
        </w:rPr>
        <w:t> </w:t>
      </w:r>
      <w:r w:rsidR="00E36F00" w:rsidRPr="00FC5E1C">
        <w:rPr>
          <w:rFonts w:ascii="Arial" w:hAnsi="Arial" w:cs="Arial"/>
          <w:sz w:val="20"/>
        </w:rPr>
        <w:t>Litvě</w:t>
      </w:r>
      <w:r w:rsidR="0012002F" w:rsidRPr="00FC5E1C">
        <w:rPr>
          <w:rFonts w:ascii="Arial" w:hAnsi="Arial" w:cs="Arial"/>
          <w:sz w:val="20"/>
        </w:rPr>
        <w:t xml:space="preserve">, kde </w:t>
      </w:r>
      <w:r w:rsidR="0078651B" w:rsidRPr="00FC5E1C">
        <w:rPr>
          <w:rFonts w:ascii="Arial" w:hAnsi="Arial" w:cs="Arial"/>
          <w:sz w:val="20"/>
        </w:rPr>
        <w:t xml:space="preserve">v roce 2022 </w:t>
      </w:r>
      <w:r w:rsidR="0012002F" w:rsidRPr="00FC5E1C">
        <w:rPr>
          <w:rFonts w:ascii="Arial" w:hAnsi="Arial" w:cs="Arial"/>
          <w:sz w:val="20"/>
        </w:rPr>
        <w:t xml:space="preserve">využilo prodeje přes web </w:t>
      </w:r>
      <w:r w:rsidR="006C1B42" w:rsidRPr="00FC5E1C">
        <w:rPr>
          <w:rFonts w:ascii="Arial" w:hAnsi="Arial" w:cs="Arial"/>
          <w:sz w:val="20"/>
        </w:rPr>
        <w:t>37 % podniků</w:t>
      </w:r>
      <w:r w:rsidR="0012002F" w:rsidRPr="00FC5E1C">
        <w:rPr>
          <w:rFonts w:ascii="Arial" w:hAnsi="Arial" w:cs="Arial"/>
          <w:sz w:val="20"/>
        </w:rPr>
        <w:t xml:space="preserve"> s deseti a více zaměstnanci. N</w:t>
      </w:r>
      <w:r w:rsidR="006C1B42" w:rsidRPr="00FC5E1C">
        <w:rPr>
          <w:rFonts w:ascii="Arial" w:hAnsi="Arial" w:cs="Arial"/>
          <w:sz w:val="20"/>
        </w:rPr>
        <w:t>ejméně často přes we</w:t>
      </w:r>
      <w:r w:rsidR="00E36F00" w:rsidRPr="00FC5E1C">
        <w:rPr>
          <w:rFonts w:ascii="Arial" w:hAnsi="Arial" w:cs="Arial"/>
          <w:sz w:val="20"/>
        </w:rPr>
        <w:t>b prodávaly podniky v</w:t>
      </w:r>
      <w:r w:rsidR="0012002F" w:rsidRPr="00FC5E1C">
        <w:rPr>
          <w:rFonts w:ascii="Arial" w:hAnsi="Arial" w:cs="Arial"/>
          <w:sz w:val="20"/>
        </w:rPr>
        <w:t> </w:t>
      </w:r>
      <w:r w:rsidR="00E36F00" w:rsidRPr="00FC5E1C">
        <w:rPr>
          <w:rFonts w:ascii="Arial" w:hAnsi="Arial" w:cs="Arial"/>
          <w:sz w:val="20"/>
        </w:rPr>
        <w:t>Rumunsku</w:t>
      </w:r>
      <w:r w:rsidR="0012002F" w:rsidRPr="00FC5E1C">
        <w:rPr>
          <w:rFonts w:ascii="Arial" w:hAnsi="Arial" w:cs="Arial"/>
          <w:sz w:val="20"/>
        </w:rPr>
        <w:t xml:space="preserve">, kde </w:t>
      </w:r>
      <w:r w:rsidR="001E2E61" w:rsidRPr="00FC5E1C">
        <w:rPr>
          <w:rFonts w:ascii="Arial" w:hAnsi="Arial" w:cs="Arial"/>
          <w:sz w:val="20"/>
        </w:rPr>
        <w:t>takto činila</w:t>
      </w:r>
      <w:r w:rsidR="0012002F" w:rsidRPr="00FC5E1C">
        <w:rPr>
          <w:rFonts w:ascii="Arial" w:hAnsi="Arial" w:cs="Arial"/>
          <w:sz w:val="20"/>
        </w:rPr>
        <w:t xml:space="preserve"> cca desetina tamních podniků. </w:t>
      </w:r>
      <w:r w:rsidR="00F650E6" w:rsidRPr="00FC5E1C">
        <w:rPr>
          <w:rFonts w:ascii="Arial" w:eastAsia="Calibri" w:hAnsi="Arial" w:cs="Arial"/>
          <w:iCs/>
          <w:sz w:val="20"/>
          <w:szCs w:val="20"/>
          <w:lang w:eastAsia="en-US"/>
        </w:rPr>
        <w:t>Pomocí EDI prodávaly v rámci EU</w:t>
      </w:r>
      <w:r w:rsidR="000B3036" w:rsidRPr="00FC5E1C">
        <w:rPr>
          <w:rFonts w:ascii="Arial" w:eastAsia="Calibri" w:hAnsi="Arial" w:cs="Arial"/>
          <w:iCs/>
          <w:sz w:val="20"/>
          <w:szCs w:val="20"/>
          <w:lang w:eastAsia="en-US"/>
        </w:rPr>
        <w:t>27</w:t>
      </w:r>
      <w:r w:rsidR="00F650E6" w:rsidRPr="003924D3">
        <w:rPr>
          <w:rFonts w:ascii="Arial" w:eastAsia="Calibri" w:hAnsi="Arial" w:cs="Arial"/>
          <w:iCs/>
          <w:sz w:val="20"/>
          <w:szCs w:val="20"/>
          <w:lang w:eastAsia="en-US"/>
        </w:rPr>
        <w:t xml:space="preserve"> nejčastěji podniky v Dánsku a ve Švédsku, v každé z těchto zemí více než 14 % podniků. </w:t>
      </w:r>
      <w:r w:rsidR="0012002F" w:rsidRPr="00FC5E1C">
        <w:rPr>
          <w:rFonts w:ascii="Arial" w:eastAsia="Calibri" w:hAnsi="Arial" w:cs="Arial"/>
          <w:iCs/>
          <w:sz w:val="20"/>
          <w:szCs w:val="20"/>
          <w:lang w:eastAsia="en-US"/>
        </w:rPr>
        <w:t>V Česku to bylo 7 %</w:t>
      </w:r>
      <w:r w:rsidR="0078651B" w:rsidRPr="00FC5E1C">
        <w:rPr>
          <w:rFonts w:ascii="Arial" w:eastAsia="Calibri" w:hAnsi="Arial" w:cs="Arial"/>
          <w:iCs/>
          <w:sz w:val="20"/>
          <w:szCs w:val="20"/>
          <w:lang w:eastAsia="en-US"/>
        </w:rPr>
        <w:t xml:space="preserve"> podniků</w:t>
      </w:r>
      <w:r w:rsidR="0012002F" w:rsidRPr="00FC5E1C">
        <w:rPr>
          <w:rFonts w:ascii="Arial" w:eastAsia="Calibri" w:hAnsi="Arial" w:cs="Arial"/>
          <w:iCs/>
          <w:sz w:val="20"/>
          <w:szCs w:val="20"/>
          <w:lang w:eastAsia="en-US"/>
        </w:rPr>
        <w:t xml:space="preserve"> a průměr za EU27 byl 6 % podniků.</w:t>
      </w:r>
    </w:p>
    <w:p w14:paraId="12A3579E" w14:textId="2AE1F1F0" w:rsidR="00676B14" w:rsidRPr="000F7491" w:rsidRDefault="00762576" w:rsidP="00A11466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0F7491">
        <w:rPr>
          <w:rFonts w:ascii="Arial" w:hAnsi="Arial" w:cs="Arial"/>
          <w:iCs/>
          <w:sz w:val="20"/>
          <w:szCs w:val="20"/>
        </w:rPr>
        <w:t>Elektronick</w:t>
      </w:r>
      <w:r w:rsidR="000F7491">
        <w:rPr>
          <w:rFonts w:ascii="Arial" w:hAnsi="Arial" w:cs="Arial"/>
          <w:iCs/>
          <w:sz w:val="20"/>
          <w:szCs w:val="20"/>
        </w:rPr>
        <w:t>ý</w:t>
      </w:r>
      <w:r w:rsidR="00676B14" w:rsidRPr="000F7491">
        <w:rPr>
          <w:rFonts w:ascii="Arial" w:hAnsi="Arial" w:cs="Arial"/>
          <w:iCs/>
          <w:sz w:val="20"/>
          <w:szCs w:val="20"/>
        </w:rPr>
        <w:t xml:space="preserve"> </w:t>
      </w:r>
      <w:r w:rsidRPr="000F7491">
        <w:rPr>
          <w:rFonts w:ascii="Arial" w:hAnsi="Arial" w:cs="Arial"/>
          <w:iCs/>
          <w:sz w:val="20"/>
          <w:szCs w:val="20"/>
        </w:rPr>
        <w:t>prode</w:t>
      </w:r>
      <w:r w:rsidR="000F7491">
        <w:rPr>
          <w:rFonts w:ascii="Arial" w:hAnsi="Arial" w:cs="Arial"/>
          <w:iCs/>
          <w:sz w:val="20"/>
          <w:szCs w:val="20"/>
        </w:rPr>
        <w:t>j</w:t>
      </w:r>
      <w:r w:rsidRPr="000F7491">
        <w:rPr>
          <w:rFonts w:ascii="Arial" w:hAnsi="Arial" w:cs="Arial"/>
          <w:iCs/>
          <w:sz w:val="20"/>
          <w:szCs w:val="20"/>
        </w:rPr>
        <w:t xml:space="preserve"> </w:t>
      </w:r>
      <w:r w:rsidR="00FC5E1C">
        <w:rPr>
          <w:rFonts w:ascii="Arial" w:hAnsi="Arial" w:cs="Arial"/>
          <w:iCs/>
          <w:sz w:val="20"/>
          <w:szCs w:val="20"/>
        </w:rPr>
        <w:t>přes EDI</w:t>
      </w:r>
      <w:r w:rsidR="00676B14" w:rsidRPr="000F7491">
        <w:rPr>
          <w:rFonts w:ascii="Arial" w:hAnsi="Arial" w:cs="Arial"/>
          <w:iCs/>
          <w:sz w:val="20"/>
          <w:szCs w:val="20"/>
        </w:rPr>
        <w:t xml:space="preserve"> </w:t>
      </w:r>
      <w:r w:rsidR="00FD65FD" w:rsidRPr="000F7491">
        <w:rPr>
          <w:rFonts w:ascii="Arial" w:hAnsi="Arial" w:cs="Arial"/>
          <w:iCs/>
          <w:sz w:val="20"/>
          <w:szCs w:val="20"/>
        </w:rPr>
        <w:t xml:space="preserve">uskutečňují </w:t>
      </w:r>
      <w:r w:rsidR="00676B14" w:rsidRPr="000F7491">
        <w:rPr>
          <w:rFonts w:ascii="Arial" w:hAnsi="Arial" w:cs="Arial"/>
          <w:iCs/>
          <w:sz w:val="20"/>
          <w:szCs w:val="20"/>
        </w:rPr>
        <w:t xml:space="preserve">především velké </w:t>
      </w:r>
      <w:r w:rsidR="00FD65FD" w:rsidRPr="000F7491">
        <w:rPr>
          <w:rFonts w:ascii="Arial" w:hAnsi="Arial" w:cs="Arial"/>
          <w:iCs/>
          <w:sz w:val="20"/>
          <w:szCs w:val="20"/>
        </w:rPr>
        <w:t>podniky</w:t>
      </w:r>
      <w:r w:rsidR="00601A3B" w:rsidRPr="000F7491">
        <w:rPr>
          <w:rFonts w:ascii="Arial" w:hAnsi="Arial" w:cs="Arial"/>
          <w:iCs/>
          <w:sz w:val="20"/>
          <w:szCs w:val="20"/>
        </w:rPr>
        <w:t>,</w:t>
      </w:r>
      <w:r w:rsidR="00676B14" w:rsidRPr="000F7491">
        <w:rPr>
          <w:rFonts w:ascii="Arial" w:hAnsi="Arial" w:cs="Arial"/>
          <w:iCs/>
          <w:sz w:val="20"/>
          <w:szCs w:val="20"/>
        </w:rPr>
        <w:t xml:space="preserve"> v roce 20</w:t>
      </w:r>
      <w:r w:rsidR="00FD65FD" w:rsidRPr="000F7491">
        <w:rPr>
          <w:rFonts w:ascii="Arial" w:hAnsi="Arial" w:cs="Arial"/>
          <w:iCs/>
          <w:sz w:val="20"/>
          <w:szCs w:val="20"/>
        </w:rPr>
        <w:t>2</w:t>
      </w:r>
      <w:r w:rsidR="00121282">
        <w:rPr>
          <w:rFonts w:ascii="Arial" w:hAnsi="Arial" w:cs="Arial"/>
          <w:iCs/>
          <w:sz w:val="20"/>
          <w:szCs w:val="20"/>
        </w:rPr>
        <w:t>2</w:t>
      </w:r>
      <w:r w:rsidR="00C442B4" w:rsidRPr="000F7491">
        <w:rPr>
          <w:rFonts w:ascii="Arial" w:hAnsi="Arial" w:cs="Arial"/>
          <w:iCs/>
          <w:sz w:val="20"/>
          <w:szCs w:val="20"/>
        </w:rPr>
        <w:t xml:space="preserve"> </w:t>
      </w:r>
      <w:r w:rsidR="00FD65FD" w:rsidRPr="000F7491">
        <w:rPr>
          <w:rFonts w:ascii="Arial" w:hAnsi="Arial" w:cs="Arial"/>
          <w:iCs/>
          <w:sz w:val="20"/>
          <w:szCs w:val="20"/>
        </w:rPr>
        <w:t>tímto způsobem prodávalo</w:t>
      </w:r>
      <w:r w:rsidR="00676B14" w:rsidRPr="000F7491">
        <w:rPr>
          <w:rFonts w:ascii="Arial" w:hAnsi="Arial" w:cs="Arial"/>
          <w:iCs/>
          <w:sz w:val="20"/>
          <w:szCs w:val="20"/>
        </w:rPr>
        <w:t xml:space="preserve"> zboží či služby 3</w:t>
      </w:r>
      <w:r w:rsidR="00121282">
        <w:rPr>
          <w:rFonts w:ascii="Arial" w:hAnsi="Arial" w:cs="Arial"/>
          <w:iCs/>
          <w:sz w:val="20"/>
          <w:szCs w:val="20"/>
        </w:rPr>
        <w:t>8</w:t>
      </w:r>
      <w:r w:rsidR="001B65FE" w:rsidRPr="000F7491">
        <w:rPr>
          <w:rFonts w:ascii="Arial" w:hAnsi="Arial" w:cs="Arial"/>
          <w:iCs/>
          <w:sz w:val="20"/>
          <w:szCs w:val="20"/>
        </w:rPr>
        <w:t xml:space="preserve"> </w:t>
      </w:r>
      <w:r w:rsidR="00676B14" w:rsidRPr="000F7491">
        <w:rPr>
          <w:rFonts w:ascii="Arial" w:hAnsi="Arial" w:cs="Arial"/>
          <w:iCs/>
          <w:sz w:val="20"/>
          <w:szCs w:val="20"/>
        </w:rPr>
        <w:t xml:space="preserve">% velkých, ale pouze </w:t>
      </w:r>
      <w:r w:rsidR="00121282">
        <w:rPr>
          <w:rFonts w:ascii="Arial" w:hAnsi="Arial" w:cs="Arial"/>
          <w:iCs/>
          <w:sz w:val="20"/>
          <w:szCs w:val="20"/>
        </w:rPr>
        <w:t>4</w:t>
      </w:r>
      <w:r w:rsidR="00983D08">
        <w:rPr>
          <w:rFonts w:ascii="Arial" w:hAnsi="Arial" w:cs="Arial"/>
          <w:iCs/>
          <w:sz w:val="20"/>
          <w:szCs w:val="20"/>
        </w:rPr>
        <w:t> </w:t>
      </w:r>
      <w:r w:rsidR="00676B14" w:rsidRPr="000F7491">
        <w:rPr>
          <w:rFonts w:ascii="Arial" w:hAnsi="Arial" w:cs="Arial"/>
          <w:iCs/>
          <w:sz w:val="20"/>
          <w:szCs w:val="20"/>
        </w:rPr>
        <w:t>% malých firem</w:t>
      </w:r>
      <w:r w:rsidR="00D603E0" w:rsidRPr="000F7491">
        <w:rPr>
          <w:rFonts w:ascii="Arial" w:hAnsi="Arial" w:cs="Arial"/>
          <w:iCs/>
          <w:sz w:val="20"/>
          <w:szCs w:val="20"/>
        </w:rPr>
        <w:t xml:space="preserve">. </w:t>
      </w:r>
      <w:r w:rsidR="00676B14" w:rsidRPr="000F7491">
        <w:rPr>
          <w:rFonts w:ascii="Arial" w:hAnsi="Arial" w:cs="Arial"/>
          <w:iCs/>
          <w:sz w:val="20"/>
          <w:szCs w:val="20"/>
        </w:rPr>
        <w:t xml:space="preserve">Z odvětvového pohledu je </w:t>
      </w:r>
      <w:r w:rsidR="00FD65FD" w:rsidRPr="000F7491">
        <w:rPr>
          <w:rFonts w:ascii="Arial" w:hAnsi="Arial" w:cs="Arial"/>
          <w:iCs/>
          <w:sz w:val="20"/>
          <w:szCs w:val="20"/>
        </w:rPr>
        <w:t xml:space="preserve">uskutečňování </w:t>
      </w:r>
      <w:r w:rsidR="00676B14" w:rsidRPr="000F7491">
        <w:rPr>
          <w:rFonts w:ascii="Arial" w:hAnsi="Arial" w:cs="Arial"/>
          <w:iCs/>
          <w:sz w:val="20"/>
          <w:szCs w:val="20"/>
        </w:rPr>
        <w:t>e</w:t>
      </w:r>
      <w:r w:rsidR="00FD65FD" w:rsidRPr="000F7491">
        <w:rPr>
          <w:rFonts w:ascii="Arial" w:hAnsi="Arial" w:cs="Arial"/>
          <w:iCs/>
          <w:sz w:val="20"/>
          <w:szCs w:val="20"/>
        </w:rPr>
        <w:t xml:space="preserve">lektronického </w:t>
      </w:r>
      <w:r w:rsidR="00676B14" w:rsidRPr="000F7491">
        <w:rPr>
          <w:rFonts w:ascii="Arial" w:hAnsi="Arial" w:cs="Arial"/>
          <w:iCs/>
          <w:sz w:val="20"/>
          <w:szCs w:val="20"/>
        </w:rPr>
        <w:t>prodej</w:t>
      </w:r>
      <w:r w:rsidR="00FD65FD" w:rsidRPr="000F7491">
        <w:rPr>
          <w:rFonts w:ascii="Arial" w:hAnsi="Arial" w:cs="Arial"/>
          <w:iCs/>
          <w:sz w:val="20"/>
          <w:szCs w:val="20"/>
        </w:rPr>
        <w:t>e</w:t>
      </w:r>
      <w:r w:rsidR="00676B14" w:rsidRPr="000F7491">
        <w:rPr>
          <w:rFonts w:ascii="Arial" w:hAnsi="Arial" w:cs="Arial"/>
          <w:iCs/>
          <w:sz w:val="20"/>
          <w:szCs w:val="20"/>
        </w:rPr>
        <w:t xml:space="preserve"> </w:t>
      </w:r>
      <w:r w:rsidR="00FD65FD" w:rsidRPr="000F7491">
        <w:rPr>
          <w:rFonts w:ascii="Arial" w:hAnsi="Arial" w:cs="Arial"/>
          <w:iCs/>
          <w:sz w:val="20"/>
          <w:szCs w:val="20"/>
        </w:rPr>
        <w:t>pomocí EDI</w:t>
      </w:r>
      <w:r w:rsidR="00676B14" w:rsidRPr="000F7491">
        <w:rPr>
          <w:rFonts w:ascii="Arial" w:hAnsi="Arial" w:cs="Arial"/>
          <w:iCs/>
          <w:sz w:val="20"/>
          <w:szCs w:val="20"/>
        </w:rPr>
        <w:t xml:space="preserve"> </w:t>
      </w:r>
      <w:r w:rsidR="00676B14" w:rsidRPr="000F7491">
        <w:rPr>
          <w:rFonts w:ascii="Arial" w:hAnsi="Arial" w:cs="Arial"/>
          <w:b/>
          <w:iCs/>
          <w:sz w:val="20"/>
          <w:szCs w:val="20"/>
        </w:rPr>
        <w:t>dlouhodobě nejvíce rozšířen</w:t>
      </w:r>
      <w:r w:rsidR="00D603E0" w:rsidRPr="000F7491">
        <w:rPr>
          <w:rFonts w:ascii="Arial" w:hAnsi="Arial" w:cs="Arial"/>
          <w:b/>
          <w:iCs/>
          <w:sz w:val="20"/>
          <w:szCs w:val="20"/>
        </w:rPr>
        <w:t>o</w:t>
      </w:r>
      <w:r w:rsidR="00676B14" w:rsidRPr="000F7491">
        <w:rPr>
          <w:rFonts w:ascii="Arial" w:hAnsi="Arial" w:cs="Arial"/>
          <w:b/>
          <w:iCs/>
          <w:sz w:val="20"/>
          <w:szCs w:val="20"/>
        </w:rPr>
        <w:t xml:space="preserve"> v automobilovém průmyslu</w:t>
      </w:r>
      <w:r w:rsidR="00FD65FD" w:rsidRPr="000F7491">
        <w:rPr>
          <w:rFonts w:ascii="Arial" w:hAnsi="Arial" w:cs="Arial"/>
          <w:b/>
          <w:iCs/>
          <w:sz w:val="20"/>
          <w:szCs w:val="20"/>
        </w:rPr>
        <w:t xml:space="preserve"> </w:t>
      </w:r>
      <w:r w:rsidR="00FD65FD" w:rsidRPr="000F7491">
        <w:rPr>
          <w:rFonts w:ascii="Arial" w:hAnsi="Arial" w:cs="Arial"/>
          <w:iCs/>
          <w:sz w:val="20"/>
          <w:szCs w:val="20"/>
        </w:rPr>
        <w:t>(</w:t>
      </w:r>
      <w:r w:rsidR="003924D3" w:rsidRPr="000F7491">
        <w:rPr>
          <w:rFonts w:ascii="Arial" w:hAnsi="Arial" w:cs="Arial"/>
          <w:iCs/>
          <w:sz w:val="20"/>
          <w:szCs w:val="20"/>
        </w:rPr>
        <w:t>CZ</w:t>
      </w:r>
      <w:r w:rsidR="003924D3">
        <w:rPr>
          <w:rFonts w:ascii="Arial" w:hAnsi="Arial" w:cs="Arial"/>
          <w:iCs/>
          <w:sz w:val="20"/>
          <w:szCs w:val="20"/>
        </w:rPr>
        <w:t> </w:t>
      </w:r>
      <w:r w:rsidR="00FD65FD" w:rsidRPr="000F7491">
        <w:rPr>
          <w:rFonts w:ascii="Arial" w:hAnsi="Arial" w:cs="Arial"/>
          <w:iCs/>
          <w:sz w:val="20"/>
          <w:szCs w:val="20"/>
        </w:rPr>
        <w:t xml:space="preserve">NACE </w:t>
      </w:r>
      <w:r w:rsidR="004523A3" w:rsidRPr="000F7491">
        <w:rPr>
          <w:rFonts w:ascii="Arial" w:hAnsi="Arial" w:cs="Arial"/>
          <w:iCs/>
          <w:sz w:val="20"/>
          <w:szCs w:val="20"/>
        </w:rPr>
        <w:t>29</w:t>
      </w:r>
      <w:r w:rsidR="00FD65FD" w:rsidRPr="000F7491">
        <w:rPr>
          <w:rFonts w:ascii="Arial" w:hAnsi="Arial" w:cs="Arial"/>
          <w:iCs/>
          <w:sz w:val="20"/>
          <w:szCs w:val="20"/>
        </w:rPr>
        <w:t>).</w:t>
      </w:r>
      <w:r w:rsidR="00676B14" w:rsidRPr="000F7491">
        <w:rPr>
          <w:rFonts w:ascii="Arial" w:hAnsi="Arial" w:cs="Arial"/>
          <w:iCs/>
          <w:sz w:val="20"/>
          <w:szCs w:val="20"/>
        </w:rPr>
        <w:t xml:space="preserve"> </w:t>
      </w:r>
      <w:r w:rsidR="00FD65FD" w:rsidRPr="000F7491">
        <w:rPr>
          <w:rFonts w:ascii="Arial" w:hAnsi="Arial" w:cs="Arial"/>
          <w:iCs/>
          <w:sz w:val="20"/>
          <w:szCs w:val="20"/>
        </w:rPr>
        <w:t>V roce 202</w:t>
      </w:r>
      <w:r w:rsidR="00121282">
        <w:rPr>
          <w:rFonts w:ascii="Arial" w:hAnsi="Arial" w:cs="Arial"/>
          <w:iCs/>
          <w:sz w:val="20"/>
          <w:szCs w:val="20"/>
        </w:rPr>
        <w:t>2</w:t>
      </w:r>
      <w:r w:rsidR="00FD65FD" w:rsidRPr="000F7491">
        <w:rPr>
          <w:rFonts w:ascii="Arial" w:hAnsi="Arial" w:cs="Arial"/>
          <w:iCs/>
          <w:sz w:val="20"/>
          <w:szCs w:val="20"/>
        </w:rPr>
        <w:t xml:space="preserve"> tímto způsobem prodával</w:t>
      </w:r>
      <w:r w:rsidR="004523A3" w:rsidRPr="000F7491">
        <w:rPr>
          <w:rFonts w:ascii="Arial" w:hAnsi="Arial" w:cs="Arial"/>
          <w:iCs/>
          <w:sz w:val="20"/>
          <w:szCs w:val="20"/>
        </w:rPr>
        <w:t xml:space="preserve">a téměř polovina </w:t>
      </w:r>
      <w:r w:rsidR="000F7491" w:rsidRPr="000F7491">
        <w:rPr>
          <w:rFonts w:ascii="Arial" w:hAnsi="Arial" w:cs="Arial"/>
          <w:iCs/>
          <w:sz w:val="20"/>
          <w:szCs w:val="20"/>
        </w:rPr>
        <w:t xml:space="preserve">podniků </w:t>
      </w:r>
      <w:r w:rsidR="004523A3" w:rsidRPr="000F7491">
        <w:rPr>
          <w:rFonts w:ascii="Arial" w:hAnsi="Arial" w:cs="Arial"/>
          <w:iCs/>
          <w:sz w:val="20"/>
          <w:szCs w:val="20"/>
        </w:rPr>
        <w:t>(</w:t>
      </w:r>
      <w:r w:rsidR="0078139D" w:rsidRPr="000F7491">
        <w:rPr>
          <w:rFonts w:ascii="Arial" w:hAnsi="Arial" w:cs="Arial"/>
          <w:iCs/>
          <w:sz w:val="20"/>
          <w:szCs w:val="20"/>
        </w:rPr>
        <w:t>4</w:t>
      </w:r>
      <w:r w:rsidR="004523A3" w:rsidRPr="000F7491">
        <w:rPr>
          <w:rFonts w:ascii="Arial" w:hAnsi="Arial" w:cs="Arial"/>
          <w:iCs/>
          <w:sz w:val="20"/>
          <w:szCs w:val="20"/>
        </w:rPr>
        <w:t>8</w:t>
      </w:r>
      <w:r w:rsidR="00676B14" w:rsidRPr="000F7491">
        <w:rPr>
          <w:rFonts w:ascii="Arial" w:hAnsi="Arial" w:cs="Arial"/>
          <w:iCs/>
          <w:sz w:val="20"/>
          <w:szCs w:val="20"/>
        </w:rPr>
        <w:t> %</w:t>
      </w:r>
      <w:r w:rsidR="004523A3" w:rsidRPr="000F7491">
        <w:rPr>
          <w:rFonts w:ascii="Arial" w:hAnsi="Arial" w:cs="Arial"/>
          <w:iCs/>
          <w:sz w:val="20"/>
          <w:szCs w:val="20"/>
        </w:rPr>
        <w:t>)</w:t>
      </w:r>
      <w:r w:rsidR="00676B14" w:rsidRPr="000F7491">
        <w:rPr>
          <w:rFonts w:ascii="Arial" w:hAnsi="Arial" w:cs="Arial"/>
          <w:iCs/>
          <w:sz w:val="20"/>
          <w:szCs w:val="20"/>
        </w:rPr>
        <w:t xml:space="preserve"> </w:t>
      </w:r>
      <w:r w:rsidR="00FD65FD" w:rsidRPr="000F7491">
        <w:rPr>
          <w:rFonts w:ascii="Arial" w:hAnsi="Arial" w:cs="Arial"/>
          <w:iCs/>
          <w:sz w:val="20"/>
          <w:szCs w:val="20"/>
        </w:rPr>
        <w:t>v tomto odvětví</w:t>
      </w:r>
      <w:r w:rsidR="00676B14" w:rsidRPr="000F7491">
        <w:rPr>
          <w:rFonts w:ascii="Arial" w:hAnsi="Arial" w:cs="Arial"/>
          <w:iCs/>
          <w:sz w:val="20"/>
          <w:szCs w:val="20"/>
        </w:rPr>
        <w:t xml:space="preserve">. </w:t>
      </w:r>
      <w:r w:rsidR="00FD65FD" w:rsidRPr="000F7491">
        <w:rPr>
          <w:rFonts w:ascii="Arial" w:hAnsi="Arial" w:cs="Arial"/>
          <w:iCs/>
          <w:sz w:val="20"/>
          <w:szCs w:val="20"/>
        </w:rPr>
        <w:t>Ve</w:t>
      </w:r>
      <w:r w:rsidR="00BD0D40" w:rsidRPr="000F7491">
        <w:rPr>
          <w:rFonts w:ascii="Arial" w:hAnsi="Arial" w:cs="Arial"/>
          <w:iCs/>
          <w:sz w:val="20"/>
          <w:szCs w:val="20"/>
        </w:rPr>
        <w:t> </w:t>
      </w:r>
      <w:r w:rsidR="001B65FE" w:rsidRPr="000F7491">
        <w:rPr>
          <w:rFonts w:ascii="Arial" w:hAnsi="Arial" w:cs="Arial"/>
          <w:iCs/>
          <w:sz w:val="20"/>
          <w:szCs w:val="20"/>
        </w:rPr>
        <w:t>zpracovatelské</w:t>
      </w:r>
      <w:r w:rsidR="00FD65FD" w:rsidRPr="000F7491">
        <w:rPr>
          <w:rFonts w:ascii="Arial" w:hAnsi="Arial" w:cs="Arial"/>
          <w:iCs/>
          <w:sz w:val="20"/>
          <w:szCs w:val="20"/>
        </w:rPr>
        <w:t>m</w:t>
      </w:r>
      <w:r w:rsidR="001B65FE" w:rsidRPr="000F7491">
        <w:rPr>
          <w:rFonts w:ascii="Arial" w:hAnsi="Arial" w:cs="Arial"/>
          <w:iCs/>
          <w:sz w:val="20"/>
          <w:szCs w:val="20"/>
        </w:rPr>
        <w:t xml:space="preserve"> průmyslu jsou prodeje prostřednictvím EDI</w:t>
      </w:r>
      <w:r w:rsidR="00007A65">
        <w:rPr>
          <w:rFonts w:ascii="Arial" w:hAnsi="Arial" w:cs="Arial"/>
          <w:iCs/>
          <w:sz w:val="20"/>
          <w:szCs w:val="20"/>
        </w:rPr>
        <w:t>,</w:t>
      </w:r>
      <w:r w:rsidR="00FD65FD" w:rsidRPr="000F7491">
        <w:rPr>
          <w:rFonts w:ascii="Arial" w:hAnsi="Arial" w:cs="Arial"/>
          <w:iCs/>
          <w:sz w:val="20"/>
          <w:szCs w:val="20"/>
        </w:rPr>
        <w:t xml:space="preserve"> kromě automobilového průmyslu</w:t>
      </w:r>
      <w:r w:rsidR="00007A65">
        <w:rPr>
          <w:rFonts w:ascii="Arial" w:hAnsi="Arial" w:cs="Arial"/>
          <w:iCs/>
          <w:sz w:val="20"/>
          <w:szCs w:val="20"/>
        </w:rPr>
        <w:t>,</w:t>
      </w:r>
      <w:r w:rsidR="001B65FE" w:rsidRPr="000F7491">
        <w:rPr>
          <w:rFonts w:ascii="Arial" w:hAnsi="Arial" w:cs="Arial"/>
          <w:iCs/>
          <w:sz w:val="20"/>
          <w:szCs w:val="20"/>
        </w:rPr>
        <w:t xml:space="preserve"> </w:t>
      </w:r>
      <w:r w:rsidR="00EB46E6" w:rsidRPr="000F7491">
        <w:rPr>
          <w:rFonts w:ascii="Arial" w:hAnsi="Arial" w:cs="Arial"/>
          <w:iCs/>
          <w:sz w:val="20"/>
          <w:szCs w:val="20"/>
        </w:rPr>
        <w:t xml:space="preserve">poměrně časté </w:t>
      </w:r>
      <w:r w:rsidR="00FD65FD" w:rsidRPr="000F7491">
        <w:rPr>
          <w:rFonts w:ascii="Arial" w:hAnsi="Arial" w:cs="Arial"/>
          <w:iCs/>
          <w:sz w:val="20"/>
          <w:szCs w:val="20"/>
        </w:rPr>
        <w:t xml:space="preserve">ještě </w:t>
      </w:r>
      <w:r w:rsidR="00EB46E6" w:rsidRPr="000F7491">
        <w:rPr>
          <w:rFonts w:ascii="Arial" w:hAnsi="Arial" w:cs="Arial"/>
          <w:iCs/>
          <w:sz w:val="20"/>
          <w:szCs w:val="20"/>
        </w:rPr>
        <w:t>v</w:t>
      </w:r>
      <w:r w:rsidR="00FD65FD" w:rsidRPr="000F7491">
        <w:rPr>
          <w:rFonts w:ascii="Arial" w:hAnsi="Arial" w:cs="Arial"/>
          <w:iCs/>
          <w:sz w:val="20"/>
          <w:szCs w:val="20"/>
        </w:rPr>
        <w:t xml:space="preserve"> potravinářství, </w:t>
      </w:r>
      <w:r w:rsidR="00F2509D" w:rsidRPr="000F7491">
        <w:rPr>
          <w:rFonts w:ascii="Arial" w:hAnsi="Arial" w:cs="Arial"/>
          <w:iCs/>
          <w:sz w:val="20"/>
          <w:szCs w:val="20"/>
        </w:rPr>
        <w:t xml:space="preserve">nejvíce </w:t>
      </w:r>
      <w:r w:rsidR="00FD65FD" w:rsidRPr="000F7491">
        <w:rPr>
          <w:rFonts w:ascii="Arial" w:hAnsi="Arial" w:cs="Arial"/>
          <w:iCs/>
          <w:sz w:val="20"/>
          <w:szCs w:val="20"/>
        </w:rPr>
        <w:t xml:space="preserve">v odvětví </w:t>
      </w:r>
      <w:r w:rsidR="00FD65FD" w:rsidRPr="000F7491">
        <w:rPr>
          <w:rFonts w:ascii="Arial" w:hAnsi="Arial" w:cs="Arial"/>
          <w:b/>
          <w:iCs/>
          <w:sz w:val="20"/>
          <w:szCs w:val="20"/>
        </w:rPr>
        <w:t>v</w:t>
      </w:r>
      <w:r w:rsidR="00F2509D" w:rsidRPr="000F7491">
        <w:rPr>
          <w:rFonts w:ascii="Arial" w:hAnsi="Arial" w:cs="Arial"/>
          <w:b/>
          <w:iCs/>
          <w:sz w:val="20"/>
          <w:szCs w:val="20"/>
        </w:rPr>
        <w:t>ýroba nápojů</w:t>
      </w:r>
      <w:r w:rsidR="00F2509D" w:rsidRPr="000F7491">
        <w:rPr>
          <w:rFonts w:ascii="Arial" w:hAnsi="Arial" w:cs="Arial"/>
          <w:iCs/>
          <w:sz w:val="20"/>
          <w:szCs w:val="20"/>
        </w:rPr>
        <w:t xml:space="preserve"> (CZ NACE 11), kde pomocí EDI </w:t>
      </w:r>
      <w:r w:rsidR="00F2509D" w:rsidRPr="000F7491">
        <w:rPr>
          <w:rFonts w:ascii="Arial" w:hAnsi="Arial" w:cs="Arial"/>
          <w:iCs/>
          <w:sz w:val="20"/>
          <w:szCs w:val="20"/>
        </w:rPr>
        <w:lastRenderedPageBreak/>
        <w:t>prodával</w:t>
      </w:r>
      <w:r w:rsidR="00121282">
        <w:rPr>
          <w:rFonts w:ascii="Arial" w:hAnsi="Arial" w:cs="Arial"/>
          <w:iCs/>
          <w:sz w:val="20"/>
          <w:szCs w:val="20"/>
        </w:rPr>
        <w:t>o</w:t>
      </w:r>
      <w:r w:rsidR="00F2509D" w:rsidRPr="000F7491">
        <w:rPr>
          <w:rFonts w:ascii="Arial" w:hAnsi="Arial" w:cs="Arial"/>
          <w:iCs/>
          <w:sz w:val="20"/>
          <w:szCs w:val="20"/>
        </w:rPr>
        <w:t xml:space="preserve"> </w:t>
      </w:r>
      <w:r w:rsidR="00121282">
        <w:rPr>
          <w:rFonts w:ascii="Arial" w:hAnsi="Arial" w:cs="Arial"/>
          <w:iCs/>
          <w:sz w:val="20"/>
          <w:szCs w:val="20"/>
        </w:rPr>
        <w:t>41 %</w:t>
      </w:r>
      <w:r w:rsidR="00F2509D" w:rsidRPr="000F7491">
        <w:rPr>
          <w:rFonts w:ascii="Arial" w:hAnsi="Arial" w:cs="Arial"/>
          <w:iCs/>
          <w:sz w:val="20"/>
          <w:szCs w:val="20"/>
        </w:rPr>
        <w:t xml:space="preserve"> </w:t>
      </w:r>
      <w:r w:rsidR="00FD65FD" w:rsidRPr="000F7491">
        <w:rPr>
          <w:rFonts w:ascii="Arial" w:hAnsi="Arial" w:cs="Arial"/>
          <w:iCs/>
          <w:sz w:val="20"/>
          <w:szCs w:val="20"/>
        </w:rPr>
        <w:t>podniků</w:t>
      </w:r>
      <w:r w:rsidR="00121282">
        <w:rPr>
          <w:rFonts w:ascii="Arial" w:hAnsi="Arial" w:cs="Arial"/>
          <w:iCs/>
          <w:sz w:val="20"/>
          <w:szCs w:val="20"/>
        </w:rPr>
        <w:t xml:space="preserve">, </w:t>
      </w:r>
      <w:r w:rsidR="00F2509D" w:rsidRPr="000F7491">
        <w:rPr>
          <w:rFonts w:ascii="Arial" w:hAnsi="Arial" w:cs="Arial"/>
          <w:iCs/>
          <w:sz w:val="20"/>
          <w:szCs w:val="20"/>
        </w:rPr>
        <w:t xml:space="preserve">ve </w:t>
      </w:r>
      <w:r w:rsidR="00F2509D" w:rsidRPr="000F7491">
        <w:rPr>
          <w:rFonts w:ascii="Arial" w:hAnsi="Arial" w:cs="Arial"/>
          <w:b/>
          <w:iCs/>
          <w:sz w:val="20"/>
          <w:szCs w:val="20"/>
        </w:rPr>
        <w:t>výrobě potravin</w:t>
      </w:r>
      <w:r w:rsidR="00F2509D" w:rsidRPr="000F7491">
        <w:rPr>
          <w:rFonts w:ascii="Arial" w:hAnsi="Arial" w:cs="Arial"/>
          <w:iCs/>
          <w:sz w:val="20"/>
          <w:szCs w:val="20"/>
        </w:rPr>
        <w:t xml:space="preserve"> (CZ NACE 10) to bylo </w:t>
      </w:r>
      <w:r w:rsidR="00121282">
        <w:rPr>
          <w:rFonts w:ascii="Arial" w:hAnsi="Arial" w:cs="Arial"/>
          <w:iCs/>
          <w:sz w:val="20"/>
          <w:szCs w:val="20"/>
        </w:rPr>
        <w:t>25</w:t>
      </w:r>
      <w:r w:rsidR="00F2509D" w:rsidRPr="000F7491">
        <w:rPr>
          <w:rFonts w:ascii="Arial" w:hAnsi="Arial" w:cs="Arial"/>
          <w:iCs/>
          <w:sz w:val="20"/>
          <w:szCs w:val="20"/>
        </w:rPr>
        <w:t xml:space="preserve"> % </w:t>
      </w:r>
      <w:r w:rsidR="004D1234">
        <w:rPr>
          <w:rFonts w:ascii="Arial" w:hAnsi="Arial" w:cs="Arial"/>
          <w:iCs/>
          <w:sz w:val="20"/>
          <w:szCs w:val="20"/>
        </w:rPr>
        <w:t>firem</w:t>
      </w:r>
      <w:r w:rsidR="00EB46E6" w:rsidRPr="000F7491">
        <w:rPr>
          <w:rFonts w:ascii="Arial" w:hAnsi="Arial" w:cs="Arial"/>
          <w:iCs/>
          <w:sz w:val="20"/>
          <w:szCs w:val="20"/>
        </w:rPr>
        <w:t xml:space="preserve">. </w:t>
      </w:r>
      <w:r w:rsidR="000F7491" w:rsidRPr="000F7491">
        <w:rPr>
          <w:rFonts w:ascii="Arial" w:hAnsi="Arial" w:cs="Arial"/>
          <w:iCs/>
          <w:sz w:val="20"/>
          <w:szCs w:val="20"/>
        </w:rPr>
        <w:t>Z</w:t>
      </w:r>
      <w:r w:rsidR="00EB46E6" w:rsidRPr="000F7491">
        <w:rPr>
          <w:rFonts w:ascii="Arial" w:hAnsi="Arial" w:cs="Arial"/>
          <w:iCs/>
          <w:sz w:val="20"/>
          <w:szCs w:val="20"/>
        </w:rPr>
        <w:t xml:space="preserve"> odvětví služeb je prodej pomocí EDI rozšířen </w:t>
      </w:r>
      <w:r w:rsidR="000F7491" w:rsidRPr="000F7491">
        <w:rPr>
          <w:rFonts w:ascii="Arial" w:hAnsi="Arial" w:cs="Arial"/>
          <w:iCs/>
          <w:sz w:val="20"/>
          <w:szCs w:val="20"/>
        </w:rPr>
        <w:t>nejvíce</w:t>
      </w:r>
      <w:r w:rsidR="00EB46E6" w:rsidRPr="000F7491">
        <w:rPr>
          <w:rFonts w:ascii="Arial" w:hAnsi="Arial" w:cs="Arial"/>
          <w:iCs/>
          <w:sz w:val="20"/>
          <w:szCs w:val="20"/>
        </w:rPr>
        <w:t xml:space="preserve"> </w:t>
      </w:r>
      <w:r w:rsidR="00F2509D" w:rsidRPr="000F7491">
        <w:rPr>
          <w:rFonts w:ascii="Arial" w:hAnsi="Arial" w:cs="Arial"/>
          <w:iCs/>
          <w:sz w:val="20"/>
          <w:szCs w:val="20"/>
        </w:rPr>
        <w:t>ve </w:t>
      </w:r>
      <w:r w:rsidR="00F2509D" w:rsidRPr="000F7491">
        <w:rPr>
          <w:rFonts w:ascii="Arial" w:hAnsi="Arial" w:cs="Arial"/>
          <w:b/>
          <w:iCs/>
          <w:sz w:val="20"/>
          <w:szCs w:val="20"/>
        </w:rPr>
        <w:t>velkoobchodě</w:t>
      </w:r>
      <w:r w:rsidR="00F2509D" w:rsidRPr="000F7491">
        <w:rPr>
          <w:rFonts w:ascii="Arial" w:hAnsi="Arial" w:cs="Arial"/>
          <w:iCs/>
          <w:sz w:val="20"/>
          <w:szCs w:val="20"/>
        </w:rPr>
        <w:t xml:space="preserve"> (</w:t>
      </w:r>
      <w:r w:rsidR="00F93573">
        <w:rPr>
          <w:rFonts w:ascii="Arial" w:hAnsi="Arial" w:cs="Arial"/>
          <w:iCs/>
          <w:sz w:val="20"/>
          <w:szCs w:val="20"/>
        </w:rPr>
        <w:t xml:space="preserve">CZ NACE 46: </w:t>
      </w:r>
      <w:r w:rsidR="000F7491" w:rsidRPr="000F7491">
        <w:rPr>
          <w:rFonts w:ascii="Arial" w:hAnsi="Arial" w:cs="Arial"/>
          <w:iCs/>
          <w:sz w:val="20"/>
          <w:szCs w:val="20"/>
        </w:rPr>
        <w:t>1</w:t>
      </w:r>
      <w:r w:rsidR="00121282">
        <w:rPr>
          <w:rFonts w:ascii="Arial" w:hAnsi="Arial" w:cs="Arial"/>
          <w:iCs/>
          <w:sz w:val="20"/>
          <w:szCs w:val="20"/>
        </w:rPr>
        <w:t>8</w:t>
      </w:r>
      <w:r w:rsidR="00F2509D" w:rsidRPr="000F7491">
        <w:rPr>
          <w:rFonts w:ascii="Arial" w:hAnsi="Arial" w:cs="Arial"/>
          <w:iCs/>
          <w:sz w:val="20"/>
          <w:szCs w:val="20"/>
        </w:rPr>
        <w:t xml:space="preserve"> % </w:t>
      </w:r>
      <w:r w:rsidR="004D1234">
        <w:rPr>
          <w:rFonts w:ascii="Arial" w:hAnsi="Arial" w:cs="Arial"/>
          <w:iCs/>
          <w:sz w:val="20"/>
          <w:szCs w:val="20"/>
        </w:rPr>
        <w:t>podnik</w:t>
      </w:r>
      <w:r w:rsidR="00F2509D" w:rsidRPr="000F7491">
        <w:rPr>
          <w:rFonts w:ascii="Arial" w:hAnsi="Arial" w:cs="Arial"/>
          <w:iCs/>
          <w:sz w:val="20"/>
          <w:szCs w:val="20"/>
        </w:rPr>
        <w:t>ů)</w:t>
      </w:r>
      <w:r w:rsidR="00676B14" w:rsidRPr="000F7491">
        <w:rPr>
          <w:rFonts w:ascii="Arial" w:hAnsi="Arial" w:cs="Arial"/>
          <w:iCs/>
          <w:sz w:val="20"/>
          <w:szCs w:val="20"/>
        </w:rPr>
        <w:t>.</w:t>
      </w:r>
    </w:p>
    <w:p w14:paraId="1F64F1C3" w14:textId="4E6935DB" w:rsidR="00F2509D" w:rsidRPr="000F7491" w:rsidRDefault="00F2509D" w:rsidP="00A11466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88" w:lineRule="auto"/>
        <w:ind w:left="284" w:right="142" w:hanging="284"/>
        <w:jc w:val="both"/>
        <w:rPr>
          <w:rFonts w:ascii="Arial" w:hAnsi="Arial" w:cs="Arial"/>
          <w:iCs/>
          <w:sz w:val="20"/>
          <w:szCs w:val="20"/>
        </w:rPr>
      </w:pPr>
      <w:r w:rsidRPr="000F7491">
        <w:rPr>
          <w:rFonts w:ascii="Arial" w:hAnsi="Arial" w:cs="Arial"/>
          <w:iCs/>
          <w:sz w:val="20"/>
          <w:szCs w:val="20"/>
        </w:rPr>
        <w:t xml:space="preserve">Detailnější údaje o online prodeji uskutečněném přes webové stránky nebo mobilní aplikace naleznete v kapitole č. </w:t>
      </w:r>
      <w:r w:rsidR="00121282">
        <w:rPr>
          <w:rFonts w:ascii="Arial" w:hAnsi="Arial" w:cs="Arial"/>
          <w:iCs/>
          <w:sz w:val="20"/>
          <w:szCs w:val="20"/>
        </w:rPr>
        <w:t>8</w:t>
      </w:r>
      <w:r w:rsidRPr="000F7491">
        <w:rPr>
          <w:rFonts w:ascii="Arial" w:hAnsi="Arial" w:cs="Arial"/>
          <w:iCs/>
          <w:sz w:val="20"/>
          <w:szCs w:val="20"/>
        </w:rPr>
        <w:t xml:space="preserve"> této publikace. </w:t>
      </w:r>
      <w:r w:rsidR="00C73584">
        <w:rPr>
          <w:rFonts w:ascii="Arial" w:hAnsi="Arial" w:cs="Arial"/>
          <w:iCs/>
          <w:sz w:val="20"/>
          <w:szCs w:val="20"/>
        </w:rPr>
        <w:t>Zde pouze stručně zmíníme, že p</w:t>
      </w:r>
      <w:r w:rsidRPr="000F7491">
        <w:rPr>
          <w:rFonts w:ascii="Arial" w:hAnsi="Arial" w:cs="Arial"/>
          <w:iCs/>
          <w:sz w:val="20"/>
          <w:szCs w:val="20"/>
        </w:rPr>
        <w:t>rodej</w:t>
      </w:r>
      <w:r w:rsidR="00D603E0" w:rsidRPr="000F7491">
        <w:rPr>
          <w:rFonts w:ascii="Arial" w:hAnsi="Arial" w:cs="Arial"/>
          <w:iCs/>
          <w:sz w:val="20"/>
          <w:szCs w:val="20"/>
        </w:rPr>
        <w:t xml:space="preserve"> přes web</w:t>
      </w:r>
      <w:r w:rsidRPr="000F7491">
        <w:rPr>
          <w:rFonts w:ascii="Arial" w:hAnsi="Arial" w:cs="Arial"/>
          <w:iCs/>
          <w:sz w:val="20"/>
          <w:szCs w:val="20"/>
        </w:rPr>
        <w:t xml:space="preserve"> </w:t>
      </w:r>
      <w:r w:rsidR="000F7491">
        <w:rPr>
          <w:rFonts w:ascii="Arial" w:hAnsi="Arial" w:cs="Arial"/>
          <w:iCs/>
          <w:sz w:val="20"/>
          <w:szCs w:val="20"/>
        </w:rPr>
        <w:t xml:space="preserve">nebo přes aplikace </w:t>
      </w:r>
      <w:r w:rsidRPr="000F7491">
        <w:rPr>
          <w:rFonts w:ascii="Arial" w:hAnsi="Arial" w:cs="Arial"/>
          <w:iCs/>
          <w:sz w:val="20"/>
          <w:szCs w:val="20"/>
        </w:rPr>
        <w:t>převažuje prakticky ve všech odvětvích, především v sektoru služeb. Nejvýrazněji je to vidět např</w:t>
      </w:r>
      <w:r w:rsidR="00F30A87">
        <w:rPr>
          <w:rFonts w:ascii="Arial" w:hAnsi="Arial" w:cs="Arial"/>
          <w:iCs/>
          <w:sz w:val="20"/>
          <w:szCs w:val="20"/>
        </w:rPr>
        <w:t>íklad</w:t>
      </w:r>
      <w:r w:rsidR="00F30A87" w:rsidRPr="000F7491">
        <w:rPr>
          <w:rFonts w:ascii="Arial" w:hAnsi="Arial" w:cs="Arial"/>
          <w:iCs/>
          <w:sz w:val="20"/>
          <w:szCs w:val="20"/>
        </w:rPr>
        <w:t xml:space="preserve"> </w:t>
      </w:r>
      <w:r w:rsidR="000F7491" w:rsidRPr="000F7491">
        <w:rPr>
          <w:rFonts w:ascii="Arial" w:hAnsi="Arial" w:cs="Arial"/>
          <w:iCs/>
          <w:sz w:val="20"/>
          <w:szCs w:val="20"/>
        </w:rPr>
        <w:t>u cestovních agentur a kanceláří</w:t>
      </w:r>
      <w:r w:rsidR="000F7491">
        <w:rPr>
          <w:rFonts w:ascii="Arial" w:hAnsi="Arial" w:cs="Arial"/>
          <w:iCs/>
          <w:sz w:val="20"/>
          <w:szCs w:val="20"/>
        </w:rPr>
        <w:t>,</w:t>
      </w:r>
      <w:r w:rsidR="000F7491" w:rsidRPr="000F7491">
        <w:rPr>
          <w:rFonts w:ascii="Arial" w:hAnsi="Arial" w:cs="Arial"/>
          <w:iCs/>
          <w:sz w:val="20"/>
          <w:szCs w:val="20"/>
        </w:rPr>
        <w:t xml:space="preserve"> </w:t>
      </w:r>
      <w:r w:rsidRPr="000F7491">
        <w:rPr>
          <w:rFonts w:ascii="Arial" w:hAnsi="Arial" w:cs="Arial"/>
          <w:iCs/>
          <w:sz w:val="20"/>
          <w:szCs w:val="20"/>
        </w:rPr>
        <w:t>v ubytování, stravování a pohostinství,</w:t>
      </w:r>
      <w:r w:rsidR="000F7491">
        <w:rPr>
          <w:rFonts w:ascii="Arial" w:hAnsi="Arial" w:cs="Arial"/>
          <w:iCs/>
          <w:sz w:val="20"/>
          <w:szCs w:val="20"/>
        </w:rPr>
        <w:t xml:space="preserve"> </w:t>
      </w:r>
      <w:r w:rsidRPr="000F7491">
        <w:rPr>
          <w:rFonts w:ascii="Arial" w:hAnsi="Arial" w:cs="Arial"/>
          <w:iCs/>
          <w:sz w:val="20"/>
          <w:szCs w:val="20"/>
        </w:rPr>
        <w:t>ve stavebnictví</w:t>
      </w:r>
      <w:r w:rsidR="003924D3">
        <w:rPr>
          <w:rFonts w:ascii="Arial" w:hAnsi="Arial" w:cs="Arial"/>
          <w:iCs/>
          <w:sz w:val="20"/>
          <w:szCs w:val="20"/>
        </w:rPr>
        <w:t xml:space="preserve"> či</w:t>
      </w:r>
      <w:r w:rsidRPr="000F7491">
        <w:rPr>
          <w:rFonts w:ascii="Arial" w:hAnsi="Arial" w:cs="Arial"/>
          <w:iCs/>
          <w:sz w:val="20"/>
          <w:szCs w:val="20"/>
        </w:rPr>
        <w:t xml:space="preserve"> v sekci CZ NACE J nazvané </w:t>
      </w:r>
      <w:r w:rsidRPr="0078651B">
        <w:rPr>
          <w:rFonts w:ascii="Arial" w:hAnsi="Arial" w:cs="Arial"/>
          <w:iCs/>
          <w:sz w:val="20"/>
          <w:szCs w:val="20"/>
        </w:rPr>
        <w:t>Informační a komunikační činnosti</w:t>
      </w:r>
      <w:r w:rsidRPr="000F7491">
        <w:rPr>
          <w:rFonts w:ascii="Arial" w:hAnsi="Arial" w:cs="Arial"/>
          <w:iCs/>
          <w:sz w:val="20"/>
          <w:szCs w:val="20"/>
        </w:rPr>
        <w:t xml:space="preserve"> </w:t>
      </w:r>
      <w:r w:rsidR="003924D3">
        <w:rPr>
          <w:rFonts w:ascii="Arial" w:hAnsi="Arial" w:cs="Arial"/>
          <w:iCs/>
          <w:sz w:val="20"/>
          <w:szCs w:val="20"/>
        </w:rPr>
        <w:t>a</w:t>
      </w:r>
      <w:r w:rsidR="003924D3" w:rsidRPr="000F7491">
        <w:rPr>
          <w:rFonts w:ascii="Arial" w:hAnsi="Arial" w:cs="Arial"/>
          <w:iCs/>
          <w:sz w:val="20"/>
          <w:szCs w:val="20"/>
        </w:rPr>
        <w:t xml:space="preserve"> </w:t>
      </w:r>
      <w:r w:rsidRPr="000F7491">
        <w:rPr>
          <w:rFonts w:ascii="Arial" w:hAnsi="Arial" w:cs="Arial"/>
          <w:iCs/>
          <w:sz w:val="20"/>
          <w:szCs w:val="20"/>
        </w:rPr>
        <w:t xml:space="preserve">v maloobchodě. Ve většině odvětví zpracovatelského průmyslu naopak převažuje prodej pomocí EDI, nejvýrazněji v již zmíněném automobilovém průmyslu.  </w:t>
      </w:r>
    </w:p>
    <w:p w14:paraId="7E9B8381" w14:textId="7075CB3E" w:rsidR="00FF01C1" w:rsidRPr="000F7491" w:rsidRDefault="00510498" w:rsidP="00A11466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F261C">
        <w:rPr>
          <w:rFonts w:ascii="Arial" w:hAnsi="Arial" w:cs="Arial"/>
          <w:iCs/>
          <w:sz w:val="20"/>
          <w:szCs w:val="20"/>
        </w:rPr>
        <w:t xml:space="preserve">Jak bylo zmíněno </w:t>
      </w:r>
      <w:r w:rsidR="00121282">
        <w:rPr>
          <w:rFonts w:ascii="Arial" w:hAnsi="Arial" w:cs="Arial"/>
          <w:iCs/>
          <w:sz w:val="20"/>
          <w:szCs w:val="20"/>
        </w:rPr>
        <w:t>dříve</w:t>
      </w:r>
      <w:r w:rsidRPr="002F261C">
        <w:rPr>
          <w:rFonts w:ascii="Arial" w:hAnsi="Arial" w:cs="Arial"/>
          <w:iCs/>
          <w:sz w:val="20"/>
          <w:szCs w:val="20"/>
        </w:rPr>
        <w:t xml:space="preserve">, </w:t>
      </w:r>
      <w:r w:rsidR="003924D3">
        <w:rPr>
          <w:rFonts w:ascii="Arial" w:hAnsi="Arial" w:cs="Arial"/>
          <w:iCs/>
          <w:sz w:val="20"/>
          <w:szCs w:val="20"/>
        </w:rPr>
        <w:t xml:space="preserve">jsou tržby z prodejů přes </w:t>
      </w:r>
      <w:r w:rsidR="00D603E0" w:rsidRPr="002F261C">
        <w:rPr>
          <w:rFonts w:ascii="Arial" w:hAnsi="Arial" w:cs="Arial"/>
          <w:iCs/>
          <w:sz w:val="20"/>
          <w:szCs w:val="20"/>
        </w:rPr>
        <w:t>webov</w:t>
      </w:r>
      <w:r w:rsidR="003924D3">
        <w:rPr>
          <w:rFonts w:ascii="Arial" w:hAnsi="Arial" w:cs="Arial"/>
          <w:iCs/>
          <w:sz w:val="20"/>
          <w:szCs w:val="20"/>
        </w:rPr>
        <w:t>é</w:t>
      </w:r>
      <w:r w:rsidR="00D603E0" w:rsidRPr="002F261C">
        <w:rPr>
          <w:rFonts w:ascii="Arial" w:hAnsi="Arial" w:cs="Arial"/>
          <w:iCs/>
          <w:sz w:val="20"/>
          <w:szCs w:val="20"/>
        </w:rPr>
        <w:t xml:space="preserve"> stránky nebo mobilní aplikace</w:t>
      </w:r>
      <w:r w:rsidR="003E20C5" w:rsidRPr="002F261C">
        <w:rPr>
          <w:rFonts w:ascii="Arial" w:hAnsi="Arial" w:cs="Arial"/>
          <w:iCs/>
          <w:sz w:val="20"/>
          <w:szCs w:val="20"/>
        </w:rPr>
        <w:t xml:space="preserve"> </w:t>
      </w:r>
      <w:r w:rsidR="00295C1F" w:rsidRPr="002F261C">
        <w:rPr>
          <w:rFonts w:ascii="Arial" w:hAnsi="Arial" w:cs="Arial"/>
          <w:iCs/>
          <w:sz w:val="20"/>
          <w:szCs w:val="20"/>
        </w:rPr>
        <w:t>výrazně</w:t>
      </w:r>
      <w:r w:rsidR="003E20C5" w:rsidRPr="002F261C">
        <w:rPr>
          <w:rFonts w:ascii="Arial" w:hAnsi="Arial" w:cs="Arial"/>
          <w:iCs/>
          <w:sz w:val="20"/>
          <w:szCs w:val="20"/>
        </w:rPr>
        <w:t xml:space="preserve"> nižší než tržby podniků získané elektronickou výměnou dat</w:t>
      </w:r>
      <w:r w:rsidR="003E20C5" w:rsidRPr="00510498">
        <w:rPr>
          <w:rFonts w:ascii="Arial" w:hAnsi="Arial" w:cs="Arial"/>
          <w:iCs/>
          <w:sz w:val="20"/>
          <w:szCs w:val="20"/>
        </w:rPr>
        <w:t>.</w:t>
      </w:r>
      <w:r w:rsidR="003E20C5" w:rsidRPr="000F7491">
        <w:rPr>
          <w:rFonts w:ascii="Arial" w:hAnsi="Arial" w:cs="Arial"/>
          <w:iCs/>
          <w:sz w:val="20"/>
          <w:szCs w:val="20"/>
        </w:rPr>
        <w:t xml:space="preserve"> </w:t>
      </w:r>
      <w:r w:rsidR="00501A82" w:rsidRPr="000F7491">
        <w:rPr>
          <w:rFonts w:ascii="Arial" w:hAnsi="Arial" w:cs="Arial"/>
          <w:iCs/>
          <w:sz w:val="20"/>
          <w:szCs w:val="20"/>
        </w:rPr>
        <w:t>Situaci nejlépe ilustruje příklad</w:t>
      </w:r>
      <w:r w:rsidR="00FF01C1" w:rsidRPr="000F7491">
        <w:rPr>
          <w:rFonts w:ascii="Arial" w:hAnsi="Arial" w:cs="Arial"/>
          <w:iCs/>
          <w:sz w:val="20"/>
          <w:szCs w:val="20"/>
        </w:rPr>
        <w:t xml:space="preserve"> elektronického průmyslu (CZ NACE 26)</w:t>
      </w:r>
      <w:r w:rsidR="00501A82" w:rsidRPr="000F7491">
        <w:rPr>
          <w:rFonts w:ascii="Arial" w:hAnsi="Arial" w:cs="Arial"/>
          <w:iCs/>
          <w:sz w:val="20"/>
          <w:szCs w:val="20"/>
        </w:rPr>
        <w:t xml:space="preserve">, kdy </w:t>
      </w:r>
      <w:r w:rsidR="00C035B7" w:rsidRPr="000F7491">
        <w:rPr>
          <w:rFonts w:ascii="Arial" w:hAnsi="Arial" w:cs="Arial"/>
          <w:iCs/>
          <w:sz w:val="20"/>
          <w:szCs w:val="20"/>
        </w:rPr>
        <w:t xml:space="preserve">webové prodeje </w:t>
      </w:r>
      <w:r w:rsidR="00501A82" w:rsidRPr="000F7491">
        <w:rPr>
          <w:rFonts w:ascii="Arial" w:hAnsi="Arial" w:cs="Arial"/>
          <w:iCs/>
          <w:sz w:val="20"/>
          <w:szCs w:val="20"/>
        </w:rPr>
        <w:t>v</w:t>
      </w:r>
      <w:r w:rsidR="00FF01C1" w:rsidRPr="000F7491">
        <w:rPr>
          <w:rFonts w:ascii="Arial" w:hAnsi="Arial" w:cs="Arial"/>
          <w:iCs/>
          <w:sz w:val="20"/>
          <w:szCs w:val="20"/>
        </w:rPr>
        <w:t xml:space="preserve"> tomto odvětví </w:t>
      </w:r>
      <w:r w:rsidR="008C233F" w:rsidRPr="000F7491">
        <w:rPr>
          <w:rFonts w:ascii="Arial" w:hAnsi="Arial" w:cs="Arial"/>
          <w:iCs/>
          <w:sz w:val="20"/>
          <w:szCs w:val="20"/>
        </w:rPr>
        <w:t>uskutečňovalo</w:t>
      </w:r>
      <w:r w:rsidR="00FF01C1" w:rsidRPr="000F7491">
        <w:rPr>
          <w:rFonts w:ascii="Arial" w:hAnsi="Arial" w:cs="Arial"/>
          <w:iCs/>
          <w:sz w:val="20"/>
          <w:szCs w:val="20"/>
        </w:rPr>
        <w:t xml:space="preserve"> </w:t>
      </w:r>
      <w:r w:rsidR="00121282">
        <w:rPr>
          <w:rFonts w:ascii="Arial" w:hAnsi="Arial" w:cs="Arial"/>
          <w:iCs/>
          <w:sz w:val="20"/>
          <w:szCs w:val="20"/>
        </w:rPr>
        <w:t>16</w:t>
      </w:r>
      <w:r w:rsidR="00FF01C1" w:rsidRPr="000F7491">
        <w:rPr>
          <w:rFonts w:ascii="Arial" w:hAnsi="Arial" w:cs="Arial"/>
          <w:iCs/>
          <w:sz w:val="20"/>
          <w:szCs w:val="20"/>
        </w:rPr>
        <w:t xml:space="preserve"> % </w:t>
      </w:r>
      <w:r w:rsidR="004D1234">
        <w:rPr>
          <w:rFonts w:ascii="Arial" w:hAnsi="Arial" w:cs="Arial"/>
          <w:iCs/>
          <w:sz w:val="20"/>
          <w:szCs w:val="20"/>
        </w:rPr>
        <w:t>podniků</w:t>
      </w:r>
      <w:r w:rsidR="00FF01C1" w:rsidRPr="000F7491">
        <w:rPr>
          <w:rFonts w:ascii="Arial" w:hAnsi="Arial" w:cs="Arial"/>
          <w:iCs/>
          <w:sz w:val="20"/>
          <w:szCs w:val="20"/>
        </w:rPr>
        <w:t xml:space="preserve"> a prostřednictvím EDI </w:t>
      </w:r>
      <w:r w:rsidR="008C233F" w:rsidRPr="000F7491">
        <w:rPr>
          <w:rFonts w:ascii="Arial" w:hAnsi="Arial" w:cs="Arial"/>
          <w:iCs/>
          <w:sz w:val="20"/>
          <w:szCs w:val="20"/>
        </w:rPr>
        <w:t>1</w:t>
      </w:r>
      <w:r w:rsidR="00121282">
        <w:rPr>
          <w:rFonts w:ascii="Arial" w:hAnsi="Arial" w:cs="Arial"/>
          <w:iCs/>
          <w:sz w:val="20"/>
          <w:szCs w:val="20"/>
        </w:rPr>
        <w:t>3</w:t>
      </w:r>
      <w:r w:rsidR="00366859">
        <w:rPr>
          <w:rFonts w:ascii="Arial" w:hAnsi="Arial" w:cs="Arial"/>
          <w:iCs/>
          <w:sz w:val="20"/>
          <w:szCs w:val="20"/>
        </w:rPr>
        <w:t> </w:t>
      </w:r>
      <w:r w:rsidR="00FF01C1" w:rsidRPr="000F7491">
        <w:rPr>
          <w:rFonts w:ascii="Arial" w:hAnsi="Arial" w:cs="Arial"/>
          <w:iCs/>
          <w:sz w:val="20"/>
          <w:szCs w:val="20"/>
        </w:rPr>
        <w:t>%</w:t>
      </w:r>
      <w:r w:rsidR="004D1234">
        <w:rPr>
          <w:rFonts w:ascii="Arial" w:hAnsi="Arial" w:cs="Arial"/>
          <w:iCs/>
          <w:sz w:val="20"/>
          <w:szCs w:val="20"/>
        </w:rPr>
        <w:t xml:space="preserve"> firem</w:t>
      </w:r>
      <w:r w:rsidR="00AB2957">
        <w:rPr>
          <w:rFonts w:ascii="Arial" w:hAnsi="Arial" w:cs="Arial"/>
          <w:iCs/>
          <w:sz w:val="20"/>
          <w:szCs w:val="20"/>
        </w:rPr>
        <w:t>, oba typy prodejů byly tedy podobně časté. T</w:t>
      </w:r>
      <w:r w:rsidR="00FF01C1" w:rsidRPr="000F7491">
        <w:rPr>
          <w:rFonts w:ascii="Arial" w:hAnsi="Arial" w:cs="Arial"/>
          <w:iCs/>
          <w:sz w:val="20"/>
          <w:szCs w:val="20"/>
        </w:rPr>
        <w:t>ržby z </w:t>
      </w:r>
      <w:r w:rsidR="00AB2957">
        <w:rPr>
          <w:rFonts w:ascii="Arial" w:hAnsi="Arial" w:cs="Arial"/>
          <w:iCs/>
          <w:sz w:val="20"/>
          <w:szCs w:val="20"/>
        </w:rPr>
        <w:t>webových</w:t>
      </w:r>
      <w:r w:rsidR="00FF01C1" w:rsidRPr="000F7491">
        <w:rPr>
          <w:rFonts w:ascii="Arial" w:hAnsi="Arial" w:cs="Arial"/>
          <w:iCs/>
          <w:sz w:val="20"/>
          <w:szCs w:val="20"/>
        </w:rPr>
        <w:t xml:space="preserve"> prodejů </w:t>
      </w:r>
      <w:r w:rsidR="00D603E0" w:rsidRPr="000F7491">
        <w:rPr>
          <w:rFonts w:ascii="Arial" w:hAnsi="Arial" w:cs="Arial"/>
          <w:iCs/>
          <w:sz w:val="20"/>
          <w:szCs w:val="20"/>
        </w:rPr>
        <w:t>za rok 202</w:t>
      </w:r>
      <w:r w:rsidR="00121282">
        <w:rPr>
          <w:rFonts w:ascii="Arial" w:hAnsi="Arial" w:cs="Arial"/>
          <w:iCs/>
          <w:sz w:val="20"/>
          <w:szCs w:val="20"/>
        </w:rPr>
        <w:t>2</w:t>
      </w:r>
      <w:r w:rsidR="00D603E0" w:rsidRPr="000F7491">
        <w:rPr>
          <w:rFonts w:ascii="Arial" w:hAnsi="Arial" w:cs="Arial"/>
          <w:iCs/>
          <w:sz w:val="20"/>
          <w:szCs w:val="20"/>
        </w:rPr>
        <w:t xml:space="preserve"> </w:t>
      </w:r>
      <w:r w:rsidR="00FF01C1" w:rsidRPr="000F7491">
        <w:rPr>
          <w:rFonts w:ascii="Arial" w:hAnsi="Arial" w:cs="Arial"/>
          <w:iCs/>
          <w:sz w:val="20"/>
          <w:szCs w:val="20"/>
        </w:rPr>
        <w:t>tvořily</w:t>
      </w:r>
      <w:r w:rsidR="00AB2957">
        <w:rPr>
          <w:rFonts w:ascii="Arial" w:hAnsi="Arial" w:cs="Arial"/>
          <w:iCs/>
          <w:sz w:val="20"/>
          <w:szCs w:val="20"/>
        </w:rPr>
        <w:t xml:space="preserve"> ale</w:t>
      </w:r>
      <w:r w:rsidR="008C233F" w:rsidRPr="000F7491">
        <w:rPr>
          <w:rFonts w:ascii="Arial" w:hAnsi="Arial" w:cs="Arial"/>
          <w:iCs/>
          <w:sz w:val="20"/>
          <w:szCs w:val="20"/>
        </w:rPr>
        <w:t xml:space="preserve"> v tomto odvětví</w:t>
      </w:r>
      <w:r w:rsidR="00FF01C1" w:rsidRPr="000F7491">
        <w:rPr>
          <w:rFonts w:ascii="Arial" w:hAnsi="Arial" w:cs="Arial"/>
          <w:iCs/>
          <w:sz w:val="20"/>
          <w:szCs w:val="20"/>
        </w:rPr>
        <w:t xml:space="preserve"> jen 1</w:t>
      </w:r>
      <w:r w:rsidR="00121282">
        <w:rPr>
          <w:rFonts w:ascii="Arial" w:hAnsi="Arial" w:cs="Arial"/>
          <w:iCs/>
          <w:sz w:val="20"/>
          <w:szCs w:val="20"/>
        </w:rPr>
        <w:t>,4</w:t>
      </w:r>
      <w:r w:rsidR="00501A82" w:rsidRPr="000F7491">
        <w:rPr>
          <w:rFonts w:ascii="Arial" w:hAnsi="Arial" w:cs="Arial"/>
          <w:iCs/>
          <w:sz w:val="20"/>
          <w:szCs w:val="20"/>
        </w:rPr>
        <w:t> </w:t>
      </w:r>
      <w:r w:rsidR="00FF01C1" w:rsidRPr="000F7491">
        <w:rPr>
          <w:rFonts w:ascii="Arial" w:hAnsi="Arial" w:cs="Arial"/>
          <w:iCs/>
          <w:sz w:val="20"/>
          <w:szCs w:val="20"/>
        </w:rPr>
        <w:t>% z celkových tržeb, zatímco tržby získané elektronickou výměnou dat tvořily v</w:t>
      </w:r>
      <w:r w:rsidR="00D603E0" w:rsidRPr="000F7491">
        <w:rPr>
          <w:rFonts w:ascii="Arial" w:hAnsi="Arial" w:cs="Arial"/>
          <w:iCs/>
          <w:sz w:val="20"/>
          <w:szCs w:val="20"/>
        </w:rPr>
        <w:t>e stejném</w:t>
      </w:r>
      <w:r w:rsidR="00FF01C1" w:rsidRPr="000F7491">
        <w:rPr>
          <w:rFonts w:ascii="Arial" w:hAnsi="Arial" w:cs="Arial"/>
          <w:iCs/>
          <w:sz w:val="20"/>
          <w:szCs w:val="20"/>
        </w:rPr>
        <w:t xml:space="preserve"> roce </w:t>
      </w:r>
      <w:r w:rsidR="008C233F" w:rsidRPr="000F7491">
        <w:rPr>
          <w:rFonts w:ascii="Arial" w:hAnsi="Arial" w:cs="Arial"/>
          <w:iCs/>
          <w:sz w:val="20"/>
          <w:szCs w:val="20"/>
        </w:rPr>
        <w:t>7</w:t>
      </w:r>
      <w:r w:rsidR="00121282">
        <w:rPr>
          <w:rFonts w:ascii="Arial" w:hAnsi="Arial" w:cs="Arial"/>
          <w:iCs/>
          <w:sz w:val="20"/>
          <w:szCs w:val="20"/>
        </w:rPr>
        <w:t>4</w:t>
      </w:r>
      <w:r w:rsidR="00FF01C1" w:rsidRPr="000F7491">
        <w:rPr>
          <w:rFonts w:ascii="Arial" w:hAnsi="Arial" w:cs="Arial"/>
          <w:iCs/>
          <w:sz w:val="20"/>
          <w:szCs w:val="20"/>
        </w:rPr>
        <w:t xml:space="preserve"> % z jejich celkových tržeb.</w:t>
      </w:r>
    </w:p>
    <w:p w14:paraId="2F10D883" w14:textId="35D01BA1" w:rsidR="001B2BDA" w:rsidRPr="00AB2957" w:rsidRDefault="003A1530" w:rsidP="001B2BDA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before="0" w:after="60" w:line="288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>N</w:t>
      </w:r>
      <w:r w:rsidR="001B2BDA" w:rsidRPr="00AB2957"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>ejvyšší tržb</w:t>
      </w: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>y</w:t>
      </w:r>
      <w:r w:rsidR="001B2BDA" w:rsidRPr="00AB2957"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 z prodejů uskutečněných pomocí elektronické výměny dat </w:t>
      </w:r>
      <w:r w:rsidR="001B2BDA" w:rsidRPr="00AB2957">
        <w:rPr>
          <w:rFonts w:ascii="Arial" w:eastAsia="Calibri" w:hAnsi="Arial" w:cs="Arial"/>
          <w:bCs/>
          <w:iCs/>
          <w:sz w:val="20"/>
          <w:szCs w:val="20"/>
          <w:lang w:eastAsia="en-US"/>
        </w:rPr>
        <w:t>vykázal v roce 202</w:t>
      </w:r>
      <w:r w:rsidR="00121282">
        <w:rPr>
          <w:rFonts w:ascii="Arial" w:eastAsia="Calibri" w:hAnsi="Arial" w:cs="Arial"/>
          <w:bCs/>
          <w:iCs/>
          <w:sz w:val="20"/>
          <w:szCs w:val="20"/>
          <w:lang w:eastAsia="en-US"/>
        </w:rPr>
        <w:t>2</w:t>
      </w:r>
      <w:r w:rsidR="001B2BDA" w:rsidRPr="00AB2957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 </w:t>
      </w:r>
      <w:r w:rsidR="00AB2957" w:rsidRPr="00AB2957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právě již zmíněný </w:t>
      </w:r>
      <w:r w:rsidR="001B2BDA" w:rsidRPr="00AB2957"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>elektronický průmysl</w:t>
      </w:r>
      <w:r w:rsidR="001B2BDA" w:rsidRPr="00AB2957">
        <w:rPr>
          <w:rFonts w:ascii="Arial" w:eastAsia="Calibri" w:hAnsi="Arial" w:cs="Arial"/>
          <w:bCs/>
          <w:iCs/>
          <w:sz w:val="20"/>
          <w:szCs w:val="20"/>
          <w:lang w:eastAsia="en-US"/>
        </w:rPr>
        <w:t>, tedy výroba počítačů, elektronických a optických přístrojů a zařízení (</w:t>
      </w:r>
      <w:r w:rsidR="001B2BDA" w:rsidRPr="00AB2957">
        <w:rPr>
          <w:rFonts w:ascii="Arial" w:eastAsia="Calibri" w:hAnsi="Arial" w:cs="Arial"/>
          <w:sz w:val="20"/>
          <w:szCs w:val="22"/>
          <w:lang w:eastAsia="en-US"/>
        </w:rPr>
        <w:t>7</w:t>
      </w:r>
      <w:r w:rsidR="00121282">
        <w:rPr>
          <w:rFonts w:ascii="Arial" w:eastAsia="Calibri" w:hAnsi="Arial" w:cs="Arial"/>
          <w:sz w:val="20"/>
          <w:szCs w:val="22"/>
          <w:lang w:eastAsia="en-US"/>
        </w:rPr>
        <w:t>4</w:t>
      </w:r>
      <w:r w:rsidR="001B2BDA" w:rsidRPr="00AB2957">
        <w:rPr>
          <w:rFonts w:ascii="Arial" w:eastAsia="Calibri" w:hAnsi="Arial" w:cs="Arial"/>
          <w:sz w:val="20"/>
          <w:szCs w:val="22"/>
          <w:lang w:eastAsia="en-US"/>
        </w:rPr>
        <w:t>% podíl na</w:t>
      </w:r>
      <w:r w:rsidR="00D603E0" w:rsidRPr="00AB2957">
        <w:rPr>
          <w:rFonts w:ascii="Arial" w:eastAsia="Calibri" w:hAnsi="Arial" w:cs="Arial"/>
          <w:sz w:val="20"/>
          <w:szCs w:val="22"/>
          <w:lang w:eastAsia="en-US"/>
        </w:rPr>
        <w:t> </w:t>
      </w:r>
      <w:r w:rsidR="001B2BDA" w:rsidRPr="00AB2957">
        <w:rPr>
          <w:rFonts w:ascii="Arial" w:eastAsia="Calibri" w:hAnsi="Arial" w:cs="Arial"/>
          <w:sz w:val="20"/>
          <w:szCs w:val="22"/>
          <w:lang w:eastAsia="en-US"/>
        </w:rPr>
        <w:t xml:space="preserve">celkových tržbách podniků v tomto odvětví). </w:t>
      </w:r>
      <w:r>
        <w:rPr>
          <w:rFonts w:ascii="Arial" w:eastAsia="Calibri" w:hAnsi="Arial" w:cs="Arial"/>
          <w:sz w:val="20"/>
          <w:szCs w:val="22"/>
          <w:lang w:eastAsia="en-US"/>
        </w:rPr>
        <w:t>S velkým odstupem pak následují podniky</w:t>
      </w:r>
      <w:r w:rsidR="00E9292D">
        <w:rPr>
          <w:rFonts w:ascii="Arial" w:eastAsia="Calibri" w:hAnsi="Arial" w:cs="Arial"/>
          <w:sz w:val="20"/>
          <w:szCs w:val="22"/>
          <w:lang w:eastAsia="en-US"/>
        </w:rPr>
        <w:t xml:space="preserve"> v</w:t>
      </w:r>
      <w:r w:rsidR="001B2BDA" w:rsidRPr="00AB2957">
        <w:rPr>
          <w:rFonts w:ascii="Arial" w:eastAsia="Calibri" w:hAnsi="Arial" w:cs="Arial"/>
          <w:sz w:val="20"/>
          <w:szCs w:val="22"/>
          <w:lang w:eastAsia="en-US"/>
        </w:rPr>
        <w:t> </w:t>
      </w:r>
      <w:r w:rsidR="001B2BDA" w:rsidRPr="00E9292D">
        <w:rPr>
          <w:rFonts w:ascii="Arial" w:eastAsia="Calibri" w:hAnsi="Arial" w:cs="Arial"/>
          <w:sz w:val="20"/>
          <w:szCs w:val="22"/>
          <w:lang w:eastAsia="en-US"/>
        </w:rPr>
        <w:t>elektrotechnickém průmyslu</w:t>
      </w:r>
      <w:r w:rsidR="001B2BDA" w:rsidRPr="00AB2957">
        <w:rPr>
          <w:rFonts w:ascii="Arial" w:hAnsi="Arial" w:cs="Arial"/>
          <w:sz w:val="20"/>
        </w:rPr>
        <w:t xml:space="preserve"> (</w:t>
      </w:r>
      <w:r w:rsidR="00AB2957" w:rsidRPr="00AB2957">
        <w:rPr>
          <w:rFonts w:ascii="Arial" w:hAnsi="Arial" w:cs="Arial"/>
          <w:sz w:val="20"/>
        </w:rPr>
        <w:t xml:space="preserve">CZ NACE 27: </w:t>
      </w:r>
      <w:r w:rsidR="001B2BDA" w:rsidRPr="00AB2957">
        <w:rPr>
          <w:rFonts w:ascii="Arial" w:hAnsi="Arial" w:cs="Arial"/>
          <w:sz w:val="20"/>
        </w:rPr>
        <w:t>4</w:t>
      </w:r>
      <w:r w:rsidR="00E9292D">
        <w:rPr>
          <w:rFonts w:ascii="Arial" w:hAnsi="Arial" w:cs="Arial"/>
          <w:sz w:val="20"/>
        </w:rPr>
        <w:t>3</w:t>
      </w:r>
      <w:r w:rsidR="001B2BDA" w:rsidRPr="00AB2957">
        <w:rPr>
          <w:rFonts w:ascii="Arial" w:eastAsia="Calibri" w:hAnsi="Arial" w:cs="Arial"/>
          <w:sz w:val="20"/>
          <w:szCs w:val="22"/>
          <w:lang w:eastAsia="en-US"/>
        </w:rPr>
        <w:t xml:space="preserve"> % z celkových tržeb)</w:t>
      </w:r>
      <w:r w:rsidR="00AB2957" w:rsidRPr="00AB2957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1B2BDA" w:rsidRPr="00AB2957">
        <w:rPr>
          <w:rFonts w:ascii="Arial" w:eastAsia="Calibri" w:hAnsi="Arial" w:cs="Arial"/>
          <w:sz w:val="20"/>
          <w:szCs w:val="22"/>
          <w:lang w:eastAsia="en-US"/>
        </w:rPr>
        <w:t xml:space="preserve">nebo </w:t>
      </w:r>
      <w:r w:rsidR="001B2BDA" w:rsidRPr="00E9292D">
        <w:rPr>
          <w:rFonts w:ascii="Arial" w:eastAsia="Calibri" w:hAnsi="Arial" w:cs="Arial"/>
          <w:sz w:val="20"/>
          <w:szCs w:val="22"/>
          <w:lang w:eastAsia="en-US"/>
        </w:rPr>
        <w:t>v automobilovém průmyslu</w:t>
      </w:r>
      <w:r w:rsidR="001B2BDA" w:rsidRPr="00AB2957">
        <w:rPr>
          <w:rFonts w:ascii="Arial" w:eastAsia="Calibri" w:hAnsi="Arial" w:cs="Arial"/>
          <w:sz w:val="20"/>
          <w:szCs w:val="22"/>
          <w:lang w:eastAsia="en-US"/>
        </w:rPr>
        <w:t xml:space="preserve"> (CZ NACE 29: </w:t>
      </w:r>
      <w:r w:rsidR="00AB2957" w:rsidRPr="00AB2957">
        <w:rPr>
          <w:rFonts w:ascii="Arial" w:eastAsia="Calibri" w:hAnsi="Arial" w:cs="Arial"/>
          <w:sz w:val="20"/>
          <w:szCs w:val="22"/>
          <w:lang w:eastAsia="en-US"/>
        </w:rPr>
        <w:t>3</w:t>
      </w:r>
      <w:r w:rsidR="00E9292D">
        <w:rPr>
          <w:rFonts w:ascii="Arial" w:eastAsia="Calibri" w:hAnsi="Arial" w:cs="Arial"/>
          <w:sz w:val="20"/>
          <w:szCs w:val="22"/>
          <w:lang w:eastAsia="en-US"/>
        </w:rPr>
        <w:t>6</w:t>
      </w:r>
      <w:r w:rsidR="00AB2957" w:rsidRPr="00AB2957">
        <w:rPr>
          <w:rFonts w:ascii="Arial" w:eastAsia="Calibri" w:hAnsi="Arial" w:cs="Arial"/>
          <w:sz w:val="20"/>
          <w:szCs w:val="22"/>
          <w:lang w:eastAsia="en-US"/>
        </w:rPr>
        <w:t xml:space="preserve"> %</w:t>
      </w:r>
      <w:r w:rsidR="001B2BDA" w:rsidRPr="00AB2957">
        <w:rPr>
          <w:rFonts w:ascii="Arial" w:eastAsia="Calibri" w:hAnsi="Arial" w:cs="Arial"/>
          <w:sz w:val="20"/>
          <w:szCs w:val="22"/>
          <w:lang w:eastAsia="en-US"/>
        </w:rPr>
        <w:t xml:space="preserve"> z celkových tržeb). </w:t>
      </w:r>
    </w:p>
    <w:p w14:paraId="344EDBC1" w14:textId="77777777" w:rsidR="008C233F" w:rsidRPr="00F4606F" w:rsidRDefault="008C233F" w:rsidP="008C233F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iCs/>
          <w:sz w:val="10"/>
          <w:szCs w:val="10"/>
        </w:rPr>
      </w:pPr>
    </w:p>
    <w:p w14:paraId="41675DF2" w14:textId="390B5078" w:rsidR="00475062" w:rsidRPr="00646715" w:rsidRDefault="00475062" w:rsidP="00FE342C">
      <w:pPr>
        <w:tabs>
          <w:tab w:val="left" w:pos="360"/>
        </w:tabs>
        <w:autoSpaceDE w:val="0"/>
        <w:autoSpaceDN w:val="0"/>
        <w:adjustRightInd w:val="0"/>
        <w:spacing w:after="80" w:line="288" w:lineRule="auto"/>
        <w:jc w:val="both"/>
        <w:rPr>
          <w:noProof/>
          <w:spacing w:val="-4"/>
          <w:lang w:eastAsia="cs-CZ"/>
        </w:rPr>
      </w:pPr>
      <w:r w:rsidRPr="00646715">
        <w:rPr>
          <w:rFonts w:ascii="Arial" w:hAnsi="Arial" w:cs="Arial"/>
          <w:b/>
          <w:spacing w:val="-4"/>
          <w:sz w:val="20"/>
        </w:rPr>
        <w:t xml:space="preserve">Graf </w:t>
      </w:r>
      <w:r w:rsidR="00FE342C">
        <w:rPr>
          <w:rFonts w:ascii="Arial" w:hAnsi="Arial" w:cs="Arial"/>
          <w:b/>
          <w:spacing w:val="-4"/>
          <w:sz w:val="20"/>
        </w:rPr>
        <w:t>7</w:t>
      </w:r>
      <w:r w:rsidRPr="00646715">
        <w:rPr>
          <w:rFonts w:ascii="Arial" w:hAnsi="Arial" w:cs="Arial"/>
          <w:b/>
          <w:spacing w:val="-4"/>
          <w:sz w:val="20"/>
        </w:rPr>
        <w:t xml:space="preserve">.1: Elektronický prodej v podnicích v ČR </w:t>
      </w:r>
      <w:r w:rsidRPr="00646715">
        <w:rPr>
          <w:noProof/>
          <w:spacing w:val="-4"/>
          <w:lang w:eastAsia="cs-CZ"/>
        </w:rPr>
        <w:t xml:space="preserve"> </w:t>
      </w:r>
    </w:p>
    <w:p w14:paraId="358BEA5A" w14:textId="00503BF5" w:rsidR="00475062" w:rsidRDefault="00A7047C" w:rsidP="00475062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drawing>
          <wp:inline distT="0" distB="0" distL="0" distR="0" wp14:anchorId="2118D3DD" wp14:editId="4D305904">
            <wp:extent cx="6098650" cy="21389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3AA4594" w14:textId="77777777" w:rsidR="00475062" w:rsidRDefault="00475062" w:rsidP="00C8573F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 w:cs="Arial"/>
          <w:iCs/>
          <w:sz w:val="10"/>
          <w:szCs w:val="10"/>
        </w:rPr>
      </w:pPr>
    </w:p>
    <w:p w14:paraId="463C1229" w14:textId="021AD2A1" w:rsidR="00DA7FE7" w:rsidRDefault="00DA7FE7" w:rsidP="00DA7FE7">
      <w:pPr>
        <w:spacing w:after="80" w:line="240" w:lineRule="auto"/>
        <w:rPr>
          <w:rFonts w:ascii="Arial" w:hAnsi="Arial" w:cs="Arial"/>
          <w:i/>
          <w:sz w:val="18"/>
          <w:szCs w:val="18"/>
        </w:rPr>
      </w:pPr>
      <w:r w:rsidRPr="002C6BA4">
        <w:rPr>
          <w:rFonts w:ascii="Arial" w:hAnsi="Arial" w:cs="Arial"/>
          <w:b/>
          <w:sz w:val="20"/>
        </w:rPr>
        <w:t xml:space="preserve">Graf </w:t>
      </w:r>
      <w:r w:rsidR="00FE342C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>.2</w:t>
      </w:r>
      <w:r w:rsidRPr="002C6BA4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Podniky v ČR</w:t>
      </w:r>
      <w:r w:rsidRPr="0045049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usk</w:t>
      </w:r>
      <w:r w:rsidR="002F261C">
        <w:rPr>
          <w:rFonts w:ascii="Arial" w:hAnsi="Arial" w:cs="Arial"/>
          <w:b/>
          <w:sz w:val="20"/>
        </w:rPr>
        <w:t xml:space="preserve">utečňující elektronické prodeje; </w:t>
      </w:r>
      <w:r>
        <w:rPr>
          <w:rFonts w:ascii="Arial" w:hAnsi="Arial" w:cs="Arial"/>
          <w:b/>
          <w:sz w:val="20"/>
        </w:rPr>
        <w:t>202</w:t>
      </w:r>
      <w:r w:rsidR="00FE342C">
        <w:rPr>
          <w:rFonts w:ascii="Arial" w:hAnsi="Arial" w:cs="Arial"/>
          <w:b/>
          <w:sz w:val="20"/>
        </w:rPr>
        <w:t>2</w:t>
      </w:r>
    </w:p>
    <w:p w14:paraId="09918F1B" w14:textId="53AA6AB7" w:rsidR="00DA7FE7" w:rsidRDefault="00A7047C" w:rsidP="00DA7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4BCCD4E8" wp14:editId="69BC8893">
            <wp:extent cx="6050942" cy="2250220"/>
            <wp:effectExtent l="0" t="0" r="6985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02BBAFA" w14:textId="121CD17A" w:rsidR="00DA7FE7" w:rsidRDefault="00CA286B" w:rsidP="00DA7FE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</w:t>
      </w:r>
      <w:r w:rsidR="00DA7FE7">
        <w:rPr>
          <w:rFonts w:ascii="Arial" w:hAnsi="Arial" w:cs="Arial"/>
          <w:i/>
          <w:sz w:val="18"/>
          <w:szCs w:val="18"/>
        </w:rPr>
        <w:t xml:space="preserve"> </w:t>
      </w:r>
      <w:r w:rsidR="00FE342C">
        <w:rPr>
          <w:rFonts w:ascii="Arial" w:hAnsi="Arial" w:cs="Arial"/>
          <w:i/>
          <w:sz w:val="18"/>
          <w:szCs w:val="18"/>
        </w:rPr>
        <w:t>z</w:t>
      </w:r>
      <w:r w:rsidR="00DA7FE7">
        <w:rPr>
          <w:rFonts w:ascii="Arial" w:hAnsi="Arial" w:cs="Arial"/>
          <w:i/>
          <w:sz w:val="18"/>
          <w:szCs w:val="18"/>
        </w:rPr>
        <w:t xml:space="preserve"> celkové</w:t>
      </w:r>
      <w:r w:rsidR="00FE342C">
        <w:rPr>
          <w:rFonts w:ascii="Arial" w:hAnsi="Arial" w:cs="Arial"/>
          <w:i/>
          <w:sz w:val="18"/>
          <w:szCs w:val="18"/>
        </w:rPr>
        <w:t>ho</w:t>
      </w:r>
      <w:r w:rsidR="00DA7FE7">
        <w:rPr>
          <w:rFonts w:ascii="Arial" w:hAnsi="Arial" w:cs="Arial"/>
          <w:i/>
          <w:sz w:val="18"/>
          <w:szCs w:val="18"/>
        </w:rPr>
        <w:t xml:space="preserve"> počtu podniků</w:t>
      </w:r>
      <w:r w:rsidR="00DA7FE7" w:rsidRPr="00F94198">
        <w:rPr>
          <w:rFonts w:ascii="Arial" w:hAnsi="Arial" w:cs="Arial"/>
          <w:i/>
          <w:sz w:val="18"/>
          <w:szCs w:val="18"/>
        </w:rPr>
        <w:t xml:space="preserve"> v dané </w:t>
      </w:r>
      <w:r w:rsidR="00DA7FE7">
        <w:rPr>
          <w:rFonts w:ascii="Arial" w:hAnsi="Arial" w:cs="Arial"/>
          <w:i/>
          <w:sz w:val="18"/>
          <w:szCs w:val="18"/>
        </w:rPr>
        <w:t xml:space="preserve">velikostní </w:t>
      </w:r>
      <w:r w:rsidR="00DA7FE7" w:rsidRPr="00F94198">
        <w:rPr>
          <w:rFonts w:ascii="Arial" w:hAnsi="Arial" w:cs="Arial"/>
          <w:i/>
          <w:sz w:val="18"/>
          <w:szCs w:val="18"/>
        </w:rPr>
        <w:t>skupině</w:t>
      </w:r>
      <w:r w:rsidR="00DA7FE7">
        <w:rPr>
          <w:rFonts w:ascii="Arial" w:hAnsi="Arial" w:cs="Arial"/>
          <w:i/>
          <w:sz w:val="18"/>
          <w:szCs w:val="18"/>
        </w:rPr>
        <w:t xml:space="preserve"> </w:t>
      </w:r>
    </w:p>
    <w:p w14:paraId="6D716681" w14:textId="77777777" w:rsidR="00C035B7" w:rsidRPr="00221B6A" w:rsidRDefault="00C035B7" w:rsidP="00C035B7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  <w:r w:rsidRPr="00221B6A">
        <w:rPr>
          <w:rFonts w:ascii="Arial" w:hAnsi="Arial" w:cs="Arial"/>
          <w:sz w:val="18"/>
          <w:szCs w:val="18"/>
        </w:rPr>
        <w:t>Zdroj: Český statistický úřad, 20</w:t>
      </w:r>
      <w:r>
        <w:rPr>
          <w:rFonts w:ascii="Arial" w:hAnsi="Arial" w:cs="Arial"/>
          <w:sz w:val="18"/>
          <w:szCs w:val="18"/>
        </w:rPr>
        <w:t>23</w:t>
      </w:r>
    </w:p>
    <w:p w14:paraId="54226882" w14:textId="029886D5" w:rsidR="00FB73C1" w:rsidRDefault="00FB73C1" w:rsidP="00C8573F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 w:cs="Arial"/>
          <w:b/>
          <w:sz w:val="20"/>
        </w:rPr>
      </w:pPr>
      <w:r w:rsidRPr="00974FBE">
        <w:rPr>
          <w:rFonts w:ascii="Arial" w:hAnsi="Arial" w:cs="Arial"/>
          <w:b/>
          <w:sz w:val="20"/>
        </w:rPr>
        <w:lastRenderedPageBreak/>
        <w:t xml:space="preserve">Graf </w:t>
      </w:r>
      <w:r w:rsidR="00FE342C">
        <w:rPr>
          <w:rFonts w:ascii="Arial" w:hAnsi="Arial" w:cs="Arial"/>
          <w:b/>
          <w:sz w:val="20"/>
        </w:rPr>
        <w:t>7</w:t>
      </w:r>
      <w:r w:rsidRPr="00974FBE">
        <w:rPr>
          <w:rFonts w:ascii="Arial" w:hAnsi="Arial" w:cs="Arial"/>
          <w:b/>
          <w:sz w:val="20"/>
        </w:rPr>
        <w:t>.</w:t>
      </w:r>
      <w:r w:rsidR="00DA7FE7">
        <w:rPr>
          <w:rFonts w:ascii="Arial" w:hAnsi="Arial" w:cs="Arial"/>
          <w:b/>
          <w:sz w:val="20"/>
        </w:rPr>
        <w:t>3</w:t>
      </w:r>
      <w:r w:rsidRPr="00974FBE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Tržby z elektronick</w:t>
      </w:r>
      <w:r w:rsidR="000B197C">
        <w:rPr>
          <w:rFonts w:ascii="Arial" w:hAnsi="Arial" w:cs="Arial"/>
          <w:b/>
          <w:sz w:val="20"/>
        </w:rPr>
        <w:t>ých</w:t>
      </w:r>
      <w:r w:rsidRPr="007361FE">
        <w:rPr>
          <w:rFonts w:ascii="Arial" w:hAnsi="Arial" w:cs="Arial"/>
          <w:b/>
          <w:sz w:val="20"/>
        </w:rPr>
        <w:t xml:space="preserve"> prodej</w:t>
      </w:r>
      <w:r w:rsidR="000B197C">
        <w:rPr>
          <w:rFonts w:ascii="Arial" w:hAnsi="Arial" w:cs="Arial"/>
          <w:b/>
          <w:sz w:val="20"/>
        </w:rPr>
        <w:t>ů</w:t>
      </w:r>
      <w:r>
        <w:rPr>
          <w:rFonts w:ascii="Arial" w:hAnsi="Arial" w:cs="Arial"/>
          <w:b/>
          <w:sz w:val="20"/>
        </w:rPr>
        <w:t xml:space="preserve"> v</w:t>
      </w:r>
      <w:r w:rsidR="000B197C">
        <w:rPr>
          <w:rFonts w:ascii="Arial" w:hAnsi="Arial" w:cs="Arial"/>
          <w:b/>
          <w:sz w:val="20"/>
        </w:rPr>
        <w:t> podnicích v</w:t>
      </w:r>
      <w:r w:rsidRPr="007361FE">
        <w:rPr>
          <w:rFonts w:ascii="Arial" w:hAnsi="Arial" w:cs="Arial"/>
          <w:b/>
          <w:sz w:val="20"/>
        </w:rPr>
        <w:t xml:space="preserve"> ČR podle použité sítě </w:t>
      </w:r>
    </w:p>
    <w:p w14:paraId="4710168C" w14:textId="42E75EB1" w:rsidR="00FB73C1" w:rsidRDefault="00A7047C" w:rsidP="00C8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4128761B" wp14:editId="4742DA6A">
            <wp:extent cx="6120765" cy="2479675"/>
            <wp:effectExtent l="0" t="0" r="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F3DD219" w14:textId="6F348BE7" w:rsidR="00FB73C1" w:rsidRDefault="00CA286B" w:rsidP="00C8573F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</w:t>
      </w:r>
      <w:r w:rsidR="000B197C" w:rsidRPr="004D1860">
        <w:rPr>
          <w:rFonts w:ascii="Arial" w:hAnsi="Arial" w:cs="Arial"/>
          <w:i/>
          <w:sz w:val="18"/>
          <w:szCs w:val="18"/>
        </w:rPr>
        <w:t xml:space="preserve"> </w:t>
      </w:r>
      <w:r w:rsidR="00E5249D">
        <w:rPr>
          <w:rFonts w:ascii="Arial" w:hAnsi="Arial" w:cs="Arial"/>
          <w:i/>
          <w:sz w:val="18"/>
          <w:szCs w:val="18"/>
          <w:u w:val="single"/>
        </w:rPr>
        <w:t>z</w:t>
      </w:r>
      <w:r w:rsidR="000B197C" w:rsidRPr="000B197C">
        <w:rPr>
          <w:rFonts w:ascii="Arial" w:hAnsi="Arial" w:cs="Arial"/>
          <w:i/>
          <w:sz w:val="18"/>
          <w:szCs w:val="18"/>
          <w:u w:val="single"/>
        </w:rPr>
        <w:t xml:space="preserve"> celkových trž</w:t>
      </w:r>
      <w:r w:rsidR="00E5249D">
        <w:rPr>
          <w:rFonts w:ascii="Arial" w:hAnsi="Arial" w:cs="Arial"/>
          <w:i/>
          <w:sz w:val="18"/>
          <w:szCs w:val="18"/>
          <w:u w:val="single"/>
        </w:rPr>
        <w:t>e</w:t>
      </w:r>
      <w:r w:rsidR="000B197C" w:rsidRPr="000B197C">
        <w:rPr>
          <w:rFonts w:ascii="Arial" w:hAnsi="Arial" w:cs="Arial"/>
          <w:i/>
          <w:sz w:val="18"/>
          <w:szCs w:val="18"/>
          <w:u w:val="single"/>
        </w:rPr>
        <w:t>b</w:t>
      </w:r>
      <w:r w:rsidR="000B197C" w:rsidRPr="004D1860">
        <w:rPr>
          <w:rFonts w:ascii="Arial" w:hAnsi="Arial" w:cs="Arial"/>
          <w:i/>
          <w:sz w:val="18"/>
          <w:szCs w:val="18"/>
        </w:rPr>
        <w:t xml:space="preserve"> podniků s 10 a více zaměstnanci </w:t>
      </w:r>
      <w:r w:rsidR="00FB73C1">
        <w:rPr>
          <w:rFonts w:ascii="Arial" w:hAnsi="Arial" w:cs="Arial"/>
          <w:i/>
          <w:sz w:val="18"/>
          <w:szCs w:val="18"/>
        </w:rPr>
        <w:t>v dan</w:t>
      </w:r>
      <w:r w:rsidR="00E5249D">
        <w:rPr>
          <w:rFonts w:ascii="Arial" w:hAnsi="Arial" w:cs="Arial"/>
          <w:i/>
          <w:sz w:val="18"/>
          <w:szCs w:val="18"/>
        </w:rPr>
        <w:t>ém</w:t>
      </w:r>
      <w:r w:rsidR="00FB73C1">
        <w:rPr>
          <w:rFonts w:ascii="Arial" w:hAnsi="Arial" w:cs="Arial"/>
          <w:i/>
          <w:sz w:val="18"/>
          <w:szCs w:val="18"/>
        </w:rPr>
        <w:t xml:space="preserve"> </w:t>
      </w:r>
      <w:r w:rsidR="00E5249D">
        <w:rPr>
          <w:rFonts w:ascii="Arial" w:hAnsi="Arial" w:cs="Arial"/>
          <w:i/>
          <w:sz w:val="18"/>
          <w:szCs w:val="18"/>
        </w:rPr>
        <w:t>roce</w:t>
      </w:r>
    </w:p>
    <w:p w14:paraId="2CAD26EC" w14:textId="77777777" w:rsidR="00C035B7" w:rsidRDefault="00C035B7" w:rsidP="00B63DB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</w:rPr>
      </w:pPr>
    </w:p>
    <w:p w14:paraId="58B92ACD" w14:textId="77777777" w:rsidR="00384DBB" w:rsidRDefault="00384DBB">
      <w:pPr>
        <w:spacing w:after="0" w:line="240" w:lineRule="auto"/>
        <w:rPr>
          <w:rFonts w:ascii="Arial" w:hAnsi="Arial" w:cs="Arial"/>
          <w:b/>
          <w:sz w:val="20"/>
        </w:rPr>
      </w:pPr>
    </w:p>
    <w:p w14:paraId="52ABD8BB" w14:textId="33188638" w:rsidR="00384DBB" w:rsidRDefault="00384DBB" w:rsidP="00384DBB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 w:cs="Arial"/>
          <w:b/>
          <w:sz w:val="20"/>
        </w:rPr>
      </w:pPr>
      <w:r w:rsidRPr="00974FBE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7</w:t>
      </w:r>
      <w:r w:rsidRPr="00974FB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4</w:t>
      </w:r>
      <w:r w:rsidRPr="00974FBE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Tržby z elektronických</w:t>
      </w:r>
      <w:r w:rsidRPr="007361FE">
        <w:rPr>
          <w:rFonts w:ascii="Arial" w:hAnsi="Arial" w:cs="Arial"/>
          <w:b/>
          <w:sz w:val="20"/>
        </w:rPr>
        <w:t xml:space="preserve"> prodej</w:t>
      </w:r>
      <w:r>
        <w:rPr>
          <w:rFonts w:ascii="Arial" w:hAnsi="Arial" w:cs="Arial"/>
          <w:b/>
          <w:sz w:val="20"/>
        </w:rPr>
        <w:t>ů v podnicích v</w:t>
      </w:r>
      <w:r w:rsidRPr="007361FE">
        <w:rPr>
          <w:rFonts w:ascii="Arial" w:hAnsi="Arial" w:cs="Arial"/>
          <w:b/>
          <w:sz w:val="20"/>
        </w:rPr>
        <w:t xml:space="preserve"> ČR podle </w:t>
      </w:r>
      <w:r w:rsidR="00345E04">
        <w:rPr>
          <w:rFonts w:ascii="Arial" w:hAnsi="Arial" w:cs="Arial"/>
          <w:b/>
          <w:sz w:val="20"/>
        </w:rPr>
        <w:t xml:space="preserve">vybraných </w:t>
      </w:r>
      <w:r>
        <w:rPr>
          <w:rFonts w:ascii="Arial" w:hAnsi="Arial" w:cs="Arial"/>
          <w:b/>
          <w:sz w:val="20"/>
        </w:rPr>
        <w:t xml:space="preserve">odvětví a </w:t>
      </w:r>
      <w:r w:rsidR="006F0FF4">
        <w:rPr>
          <w:rFonts w:ascii="Arial" w:hAnsi="Arial" w:cs="Arial"/>
          <w:b/>
          <w:sz w:val="20"/>
        </w:rPr>
        <w:t xml:space="preserve">použité </w:t>
      </w:r>
      <w:r w:rsidRPr="007361FE">
        <w:rPr>
          <w:rFonts w:ascii="Arial" w:hAnsi="Arial" w:cs="Arial"/>
          <w:b/>
          <w:sz w:val="20"/>
        </w:rPr>
        <w:t>sítě</w:t>
      </w:r>
      <w:r>
        <w:rPr>
          <w:rFonts w:ascii="Arial" w:hAnsi="Arial" w:cs="Arial"/>
          <w:b/>
          <w:sz w:val="20"/>
        </w:rPr>
        <w:t>; 2022</w:t>
      </w:r>
      <w:r w:rsidRPr="007361FE">
        <w:rPr>
          <w:rFonts w:ascii="Arial" w:hAnsi="Arial" w:cs="Arial"/>
          <w:b/>
          <w:sz w:val="20"/>
        </w:rPr>
        <w:t xml:space="preserve"> </w:t>
      </w:r>
    </w:p>
    <w:p w14:paraId="1B7B2730" w14:textId="2A9EDE6C" w:rsidR="006F0FF4" w:rsidRDefault="00A7047C" w:rsidP="00384DBB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drawing>
          <wp:inline distT="0" distB="0" distL="0" distR="0" wp14:anchorId="2BC79FCA" wp14:editId="241202C2">
            <wp:extent cx="6098650" cy="5096786"/>
            <wp:effectExtent l="0" t="0" r="0" b="889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7C81AC0" w14:textId="00E90509" w:rsidR="00384DBB" w:rsidRDefault="00384DBB" w:rsidP="00384DBB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</w:t>
      </w:r>
      <w:r w:rsidRPr="004D186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  <w:u w:val="single"/>
        </w:rPr>
        <w:t>z</w:t>
      </w:r>
      <w:r w:rsidRPr="000B197C">
        <w:rPr>
          <w:rFonts w:ascii="Arial" w:hAnsi="Arial" w:cs="Arial"/>
          <w:i/>
          <w:sz w:val="18"/>
          <w:szCs w:val="18"/>
          <w:u w:val="single"/>
        </w:rPr>
        <w:t xml:space="preserve"> celkových trž</w:t>
      </w:r>
      <w:r>
        <w:rPr>
          <w:rFonts w:ascii="Arial" w:hAnsi="Arial" w:cs="Arial"/>
          <w:i/>
          <w:sz w:val="18"/>
          <w:szCs w:val="18"/>
          <w:u w:val="single"/>
        </w:rPr>
        <w:t>e</w:t>
      </w:r>
      <w:r w:rsidRPr="000B197C">
        <w:rPr>
          <w:rFonts w:ascii="Arial" w:hAnsi="Arial" w:cs="Arial"/>
          <w:i/>
          <w:sz w:val="18"/>
          <w:szCs w:val="18"/>
          <w:u w:val="single"/>
        </w:rPr>
        <w:t>b</w:t>
      </w:r>
      <w:r w:rsidRPr="004D1860">
        <w:rPr>
          <w:rFonts w:ascii="Arial" w:hAnsi="Arial" w:cs="Arial"/>
          <w:i/>
          <w:sz w:val="18"/>
          <w:szCs w:val="18"/>
        </w:rPr>
        <w:t xml:space="preserve"> podniků s 10 a více zaměstnanci </w:t>
      </w:r>
      <w:r>
        <w:rPr>
          <w:rFonts w:ascii="Arial" w:hAnsi="Arial" w:cs="Arial"/>
          <w:i/>
          <w:sz w:val="18"/>
          <w:szCs w:val="18"/>
        </w:rPr>
        <w:t>v daném roce</w:t>
      </w:r>
    </w:p>
    <w:p w14:paraId="0F4DE2C3" w14:textId="439CC65E" w:rsidR="00DA6083" w:rsidRDefault="00384DBB" w:rsidP="00A7047C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sz w:val="20"/>
        </w:rPr>
      </w:pPr>
      <w:r w:rsidRPr="00221B6A">
        <w:rPr>
          <w:rFonts w:ascii="Arial" w:hAnsi="Arial" w:cs="Arial"/>
          <w:sz w:val="18"/>
          <w:szCs w:val="18"/>
        </w:rPr>
        <w:t>Zdroj: Český statistický úřad, 20</w:t>
      </w:r>
      <w:r>
        <w:rPr>
          <w:rFonts w:ascii="Arial" w:hAnsi="Arial" w:cs="Arial"/>
          <w:sz w:val="18"/>
          <w:szCs w:val="18"/>
        </w:rPr>
        <w:t>23</w:t>
      </w:r>
      <w:r w:rsidR="00DA6083">
        <w:rPr>
          <w:rFonts w:ascii="Arial" w:hAnsi="Arial" w:cs="Arial"/>
          <w:b/>
          <w:sz w:val="20"/>
        </w:rPr>
        <w:br w:type="page"/>
      </w:r>
    </w:p>
    <w:p w14:paraId="7246D34A" w14:textId="250A90A4" w:rsidR="00B63DB5" w:rsidRPr="00C768E2" w:rsidRDefault="00B63DB5" w:rsidP="00B63DB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</w:rPr>
      </w:pPr>
      <w:r w:rsidRPr="00C768E2">
        <w:rPr>
          <w:rFonts w:ascii="Arial" w:hAnsi="Arial" w:cs="Arial"/>
          <w:b/>
          <w:sz w:val="20"/>
        </w:rPr>
        <w:lastRenderedPageBreak/>
        <w:t xml:space="preserve">Graf </w:t>
      </w:r>
      <w:r w:rsidR="00E5249D">
        <w:rPr>
          <w:rFonts w:ascii="Arial" w:hAnsi="Arial" w:cs="Arial"/>
          <w:b/>
          <w:sz w:val="20"/>
        </w:rPr>
        <w:t>7</w:t>
      </w:r>
      <w:r w:rsidRPr="00C768E2">
        <w:rPr>
          <w:rFonts w:ascii="Arial" w:hAnsi="Arial" w:cs="Arial"/>
          <w:b/>
          <w:sz w:val="20"/>
        </w:rPr>
        <w:t>.</w:t>
      </w:r>
      <w:r w:rsidR="00681FA9">
        <w:rPr>
          <w:rFonts w:ascii="Arial" w:hAnsi="Arial" w:cs="Arial"/>
          <w:b/>
          <w:sz w:val="20"/>
        </w:rPr>
        <w:t>5</w:t>
      </w:r>
      <w:r w:rsidRPr="00C768E2">
        <w:rPr>
          <w:rFonts w:ascii="Arial" w:hAnsi="Arial" w:cs="Arial"/>
          <w:b/>
          <w:sz w:val="20"/>
        </w:rPr>
        <w:t>: Podniky v zemích EU</w:t>
      </w:r>
      <w:r w:rsidR="00D63B85">
        <w:rPr>
          <w:rFonts w:ascii="Arial" w:hAnsi="Arial" w:cs="Arial"/>
          <w:b/>
          <w:sz w:val="20"/>
        </w:rPr>
        <w:t>27</w:t>
      </w:r>
      <w:r w:rsidRPr="00C768E2">
        <w:rPr>
          <w:rFonts w:ascii="Arial" w:hAnsi="Arial" w:cs="Arial"/>
          <w:b/>
          <w:sz w:val="20"/>
        </w:rPr>
        <w:t xml:space="preserve"> usk</w:t>
      </w:r>
      <w:r w:rsidR="002F261C">
        <w:rPr>
          <w:rFonts w:ascii="Arial" w:hAnsi="Arial" w:cs="Arial"/>
          <w:b/>
          <w:sz w:val="20"/>
        </w:rPr>
        <w:t xml:space="preserve">utečňující elektronické prodeje; </w:t>
      </w:r>
      <w:r w:rsidRPr="00C768E2">
        <w:rPr>
          <w:rFonts w:ascii="Arial" w:hAnsi="Arial" w:cs="Arial"/>
          <w:b/>
          <w:sz w:val="20"/>
        </w:rPr>
        <w:t>202</w:t>
      </w:r>
      <w:r w:rsidR="00E5249D">
        <w:rPr>
          <w:rFonts w:ascii="Arial" w:hAnsi="Arial" w:cs="Arial"/>
          <w:b/>
          <w:sz w:val="20"/>
        </w:rPr>
        <w:t>2</w:t>
      </w:r>
    </w:p>
    <w:p w14:paraId="2224AF7A" w14:textId="5E79DC9D" w:rsidR="00B63DB5" w:rsidRPr="00C768E2" w:rsidRDefault="00681FA9" w:rsidP="00B63DB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0411556C" wp14:editId="213B56DB">
            <wp:extent cx="6106601" cy="3562350"/>
            <wp:effectExtent l="0" t="0" r="889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46C9CE1" w14:textId="4175544C" w:rsidR="00B63DB5" w:rsidRPr="00C768E2" w:rsidRDefault="00B63DB5" w:rsidP="00B63DB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C768E2">
        <w:rPr>
          <w:rFonts w:ascii="Arial" w:hAnsi="Arial" w:cs="Arial"/>
          <w:i/>
          <w:sz w:val="18"/>
          <w:szCs w:val="18"/>
        </w:rPr>
        <w:t>* podniky dané země, které</w:t>
      </w:r>
      <w:r w:rsidR="00C768E2">
        <w:rPr>
          <w:rFonts w:ascii="Arial" w:hAnsi="Arial" w:cs="Arial"/>
          <w:i/>
          <w:sz w:val="18"/>
          <w:szCs w:val="18"/>
        </w:rPr>
        <w:t xml:space="preserve"> měly</w:t>
      </w:r>
      <w:r w:rsidRPr="00C768E2">
        <w:rPr>
          <w:rFonts w:ascii="Arial" w:hAnsi="Arial" w:cs="Arial"/>
          <w:i/>
          <w:sz w:val="18"/>
          <w:szCs w:val="18"/>
        </w:rPr>
        <w:t xml:space="preserve"> v průběhu roku 202</w:t>
      </w:r>
      <w:r w:rsidR="00B86381">
        <w:rPr>
          <w:rFonts w:ascii="Arial" w:hAnsi="Arial" w:cs="Arial"/>
          <w:i/>
          <w:sz w:val="18"/>
          <w:szCs w:val="18"/>
        </w:rPr>
        <w:t>2</w:t>
      </w:r>
      <w:r w:rsidRPr="00C768E2">
        <w:rPr>
          <w:rFonts w:ascii="Arial" w:hAnsi="Arial" w:cs="Arial"/>
          <w:i/>
          <w:sz w:val="18"/>
          <w:szCs w:val="18"/>
        </w:rPr>
        <w:t xml:space="preserve"> tržby z elektronických prodejů </w:t>
      </w:r>
    </w:p>
    <w:p w14:paraId="05CB6179" w14:textId="32AEFB81" w:rsidR="00B63DB5" w:rsidRDefault="00CA286B" w:rsidP="00B63DB5">
      <w:pPr>
        <w:autoSpaceDE w:val="0"/>
        <w:autoSpaceDN w:val="0"/>
        <w:adjustRightInd w:val="0"/>
        <w:spacing w:before="12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</w:t>
      </w:r>
      <w:r w:rsidR="00B63DB5" w:rsidRPr="00C768E2">
        <w:rPr>
          <w:rFonts w:ascii="Arial" w:hAnsi="Arial" w:cs="Arial"/>
          <w:i/>
          <w:sz w:val="18"/>
          <w:szCs w:val="18"/>
        </w:rPr>
        <w:t xml:space="preserve"> </w:t>
      </w:r>
      <w:r w:rsidR="00B86381">
        <w:rPr>
          <w:rFonts w:ascii="Arial" w:hAnsi="Arial" w:cs="Arial"/>
          <w:i/>
          <w:sz w:val="18"/>
          <w:szCs w:val="18"/>
        </w:rPr>
        <w:t>z</w:t>
      </w:r>
      <w:r w:rsidR="00B63DB5" w:rsidRPr="00C768E2">
        <w:rPr>
          <w:rFonts w:ascii="Arial" w:hAnsi="Arial" w:cs="Arial"/>
          <w:i/>
          <w:sz w:val="18"/>
          <w:szCs w:val="18"/>
        </w:rPr>
        <w:t xml:space="preserve"> celkové</w:t>
      </w:r>
      <w:r w:rsidR="00B86381">
        <w:rPr>
          <w:rFonts w:ascii="Arial" w:hAnsi="Arial" w:cs="Arial"/>
          <w:i/>
          <w:sz w:val="18"/>
          <w:szCs w:val="18"/>
        </w:rPr>
        <w:t>ho</w:t>
      </w:r>
      <w:r w:rsidR="00B63DB5" w:rsidRPr="00C768E2">
        <w:rPr>
          <w:rFonts w:ascii="Arial" w:hAnsi="Arial" w:cs="Arial"/>
          <w:i/>
          <w:sz w:val="18"/>
          <w:szCs w:val="18"/>
        </w:rPr>
        <w:t xml:space="preserve"> počtu podniků s 10 a více zaměstnanci v dané zemi         </w:t>
      </w:r>
      <w:r w:rsidR="00D63B85">
        <w:rPr>
          <w:rFonts w:ascii="Arial" w:hAnsi="Arial" w:cs="Arial"/>
          <w:i/>
          <w:sz w:val="18"/>
          <w:szCs w:val="18"/>
        </w:rPr>
        <w:t xml:space="preserve">     </w:t>
      </w:r>
      <w:r w:rsidR="00B63DB5" w:rsidRPr="00C768E2">
        <w:rPr>
          <w:rFonts w:ascii="Arial" w:hAnsi="Arial" w:cs="Arial"/>
          <w:i/>
          <w:sz w:val="18"/>
          <w:szCs w:val="18"/>
        </w:rPr>
        <w:t xml:space="preserve">                z</w:t>
      </w:r>
      <w:r w:rsidR="00B63DB5" w:rsidRPr="00C768E2">
        <w:rPr>
          <w:rFonts w:ascii="Arial" w:hAnsi="Arial" w:cs="Arial"/>
          <w:sz w:val="18"/>
          <w:szCs w:val="18"/>
        </w:rPr>
        <w:t>droj dat: Eurostat, prosinec 202</w:t>
      </w:r>
      <w:r w:rsidR="00B86381">
        <w:rPr>
          <w:rFonts w:ascii="Arial" w:hAnsi="Arial" w:cs="Arial"/>
          <w:sz w:val="18"/>
          <w:szCs w:val="18"/>
        </w:rPr>
        <w:t>3</w:t>
      </w:r>
    </w:p>
    <w:p w14:paraId="66670AA3" w14:textId="77777777" w:rsidR="007855C6" w:rsidRPr="00DA7FE7" w:rsidRDefault="007855C6" w:rsidP="00C8573F">
      <w:pPr>
        <w:autoSpaceDE w:val="0"/>
        <w:autoSpaceDN w:val="0"/>
        <w:adjustRightInd w:val="0"/>
        <w:spacing w:before="120" w:after="0" w:line="288" w:lineRule="auto"/>
        <w:jc w:val="both"/>
        <w:rPr>
          <w:noProof/>
          <w:highlight w:val="yellow"/>
          <w:lang w:eastAsia="cs-CZ"/>
        </w:rPr>
      </w:pPr>
    </w:p>
    <w:p w14:paraId="673085CE" w14:textId="3A01032B" w:rsidR="00C035B7" w:rsidRDefault="00C035B7">
      <w:pPr>
        <w:spacing w:after="0" w:line="240" w:lineRule="auto"/>
        <w:rPr>
          <w:rFonts w:ascii="Arial" w:hAnsi="Arial" w:cs="Arial"/>
          <w:b/>
          <w:spacing w:val="-6"/>
          <w:sz w:val="20"/>
        </w:rPr>
      </w:pPr>
    </w:p>
    <w:p w14:paraId="1A100B73" w14:textId="52D87915" w:rsidR="00B63DB5" w:rsidRPr="00E5249D" w:rsidRDefault="00B63DB5" w:rsidP="00B63DB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pacing w:val="-6"/>
          <w:sz w:val="20"/>
          <w:highlight w:val="yellow"/>
        </w:rPr>
      </w:pPr>
      <w:r w:rsidRPr="00E5249D">
        <w:rPr>
          <w:rFonts w:ascii="Arial" w:hAnsi="Arial" w:cs="Arial"/>
          <w:b/>
          <w:spacing w:val="-6"/>
          <w:sz w:val="20"/>
        </w:rPr>
        <w:t xml:space="preserve">Graf </w:t>
      </w:r>
      <w:r w:rsidR="00E5249D" w:rsidRPr="00E5249D">
        <w:rPr>
          <w:rFonts w:ascii="Arial" w:hAnsi="Arial" w:cs="Arial"/>
          <w:b/>
          <w:spacing w:val="-6"/>
          <w:sz w:val="20"/>
        </w:rPr>
        <w:t>7</w:t>
      </w:r>
      <w:r w:rsidR="000B197C" w:rsidRPr="00E5249D">
        <w:rPr>
          <w:rFonts w:ascii="Arial" w:hAnsi="Arial" w:cs="Arial"/>
          <w:b/>
          <w:spacing w:val="-6"/>
          <w:sz w:val="20"/>
        </w:rPr>
        <w:t>.</w:t>
      </w:r>
      <w:r w:rsidR="00681FA9">
        <w:rPr>
          <w:rFonts w:ascii="Arial" w:hAnsi="Arial" w:cs="Arial"/>
          <w:b/>
          <w:spacing w:val="-6"/>
          <w:sz w:val="20"/>
        </w:rPr>
        <w:t>6</w:t>
      </w:r>
      <w:bookmarkStart w:id="0" w:name="_GoBack"/>
      <w:bookmarkEnd w:id="0"/>
      <w:r w:rsidRPr="00E5249D">
        <w:rPr>
          <w:rFonts w:ascii="Arial" w:hAnsi="Arial" w:cs="Arial"/>
          <w:b/>
          <w:spacing w:val="-6"/>
          <w:sz w:val="20"/>
        </w:rPr>
        <w:t>: Tržby podniků v zemích EU</w:t>
      </w:r>
      <w:r w:rsidR="00D63B85">
        <w:rPr>
          <w:rFonts w:ascii="Arial" w:hAnsi="Arial" w:cs="Arial"/>
          <w:b/>
          <w:spacing w:val="-6"/>
          <w:sz w:val="20"/>
        </w:rPr>
        <w:t>27</w:t>
      </w:r>
      <w:r w:rsidRPr="00E5249D">
        <w:rPr>
          <w:rFonts w:ascii="Arial" w:hAnsi="Arial" w:cs="Arial"/>
          <w:b/>
          <w:spacing w:val="-6"/>
          <w:sz w:val="20"/>
        </w:rPr>
        <w:t xml:space="preserve"> z uskutečněných </w:t>
      </w:r>
      <w:r w:rsidR="000B197C" w:rsidRPr="00E5249D">
        <w:rPr>
          <w:rFonts w:ascii="Arial" w:hAnsi="Arial" w:cs="Arial"/>
          <w:b/>
          <w:spacing w:val="-6"/>
          <w:sz w:val="20"/>
        </w:rPr>
        <w:t>elektronických</w:t>
      </w:r>
      <w:r w:rsidR="002F261C" w:rsidRPr="00E5249D">
        <w:rPr>
          <w:rFonts w:ascii="Arial" w:hAnsi="Arial" w:cs="Arial"/>
          <w:b/>
          <w:spacing w:val="-6"/>
          <w:sz w:val="20"/>
        </w:rPr>
        <w:t xml:space="preserve"> prodejů; </w:t>
      </w:r>
      <w:r w:rsidRPr="00E5249D">
        <w:rPr>
          <w:rFonts w:ascii="Arial" w:hAnsi="Arial" w:cs="Arial"/>
          <w:b/>
          <w:spacing w:val="-6"/>
          <w:sz w:val="20"/>
        </w:rPr>
        <w:t>202</w:t>
      </w:r>
      <w:r w:rsidR="00E5249D" w:rsidRPr="00E5249D">
        <w:rPr>
          <w:rFonts w:ascii="Arial" w:hAnsi="Arial" w:cs="Arial"/>
          <w:b/>
          <w:spacing w:val="-6"/>
          <w:sz w:val="20"/>
        </w:rPr>
        <w:t>2</w:t>
      </w:r>
    </w:p>
    <w:p w14:paraId="7493F465" w14:textId="745F6457" w:rsidR="00B63DB5" w:rsidRPr="00DA7FE7" w:rsidRDefault="00681FA9" w:rsidP="00B63DB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20"/>
          <w:szCs w:val="20"/>
          <w:highlight w:val="yellow"/>
        </w:rPr>
      </w:pPr>
      <w:r>
        <w:rPr>
          <w:noProof/>
          <w:lang w:eastAsia="cs-CZ"/>
        </w:rPr>
        <w:drawing>
          <wp:inline distT="0" distB="0" distL="0" distR="0" wp14:anchorId="0A995D83" wp14:editId="7C7FC833">
            <wp:extent cx="6058894" cy="3633746"/>
            <wp:effectExtent l="0" t="0" r="0" b="508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B13BAAE" w14:textId="66DA845D" w:rsidR="00B63DB5" w:rsidRPr="00C768E2" w:rsidRDefault="00B63DB5" w:rsidP="00B63DB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C768E2">
        <w:rPr>
          <w:rFonts w:ascii="Arial" w:hAnsi="Arial" w:cs="Arial"/>
          <w:i/>
          <w:sz w:val="18"/>
          <w:szCs w:val="18"/>
        </w:rPr>
        <w:t>* tržby podniků dané země, které měly v průběhu roku 202</w:t>
      </w:r>
      <w:r w:rsidR="00B86381">
        <w:rPr>
          <w:rFonts w:ascii="Arial" w:hAnsi="Arial" w:cs="Arial"/>
          <w:i/>
          <w:sz w:val="18"/>
          <w:szCs w:val="18"/>
        </w:rPr>
        <w:t>2</w:t>
      </w:r>
      <w:r w:rsidRPr="00C768E2">
        <w:rPr>
          <w:rFonts w:ascii="Arial" w:hAnsi="Arial" w:cs="Arial"/>
          <w:i/>
          <w:sz w:val="18"/>
          <w:szCs w:val="18"/>
        </w:rPr>
        <w:t xml:space="preserve"> tržby z </w:t>
      </w:r>
      <w:r w:rsidR="000B197C" w:rsidRPr="00C768E2">
        <w:rPr>
          <w:rFonts w:ascii="Arial" w:hAnsi="Arial" w:cs="Arial"/>
          <w:i/>
          <w:sz w:val="18"/>
          <w:szCs w:val="18"/>
        </w:rPr>
        <w:t>elektronických</w:t>
      </w:r>
      <w:r w:rsidRPr="00C768E2">
        <w:rPr>
          <w:rFonts w:ascii="Arial" w:hAnsi="Arial" w:cs="Arial"/>
          <w:i/>
          <w:sz w:val="18"/>
          <w:szCs w:val="18"/>
        </w:rPr>
        <w:t xml:space="preserve"> prodejů uskutečněných prostřednictvím </w:t>
      </w:r>
      <w:r w:rsidR="000B197C" w:rsidRPr="00C768E2">
        <w:rPr>
          <w:rFonts w:ascii="Arial" w:hAnsi="Arial" w:cs="Arial"/>
          <w:i/>
          <w:sz w:val="18"/>
          <w:szCs w:val="18"/>
        </w:rPr>
        <w:t>počítačových sítí</w:t>
      </w:r>
      <w:r w:rsidRPr="00C768E2">
        <w:rPr>
          <w:rFonts w:ascii="Arial" w:hAnsi="Arial" w:cs="Arial"/>
          <w:i/>
          <w:sz w:val="18"/>
          <w:szCs w:val="18"/>
        </w:rPr>
        <w:t>, na jejich celkových tržbách v roce 202</w:t>
      </w:r>
      <w:r w:rsidR="00B86381">
        <w:rPr>
          <w:rFonts w:ascii="Arial" w:hAnsi="Arial" w:cs="Arial"/>
          <w:i/>
          <w:sz w:val="18"/>
          <w:szCs w:val="18"/>
        </w:rPr>
        <w:t>2</w:t>
      </w:r>
    </w:p>
    <w:p w14:paraId="7D7FFB44" w14:textId="7B9A3C3F" w:rsidR="00E17BDD" w:rsidRDefault="00CA286B" w:rsidP="004D1234">
      <w:pPr>
        <w:autoSpaceDE w:val="0"/>
        <w:autoSpaceDN w:val="0"/>
        <w:adjustRightInd w:val="0"/>
        <w:spacing w:before="12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</w:t>
      </w:r>
      <w:r w:rsidR="00B63DB5" w:rsidRPr="00C768E2">
        <w:rPr>
          <w:rFonts w:ascii="Arial" w:hAnsi="Arial" w:cs="Arial"/>
          <w:i/>
          <w:sz w:val="18"/>
          <w:szCs w:val="18"/>
        </w:rPr>
        <w:t xml:space="preserve"> </w:t>
      </w:r>
      <w:r w:rsidR="00B86381">
        <w:rPr>
          <w:rFonts w:ascii="Arial" w:hAnsi="Arial" w:cs="Arial"/>
          <w:i/>
          <w:sz w:val="18"/>
          <w:szCs w:val="18"/>
          <w:u w:val="single"/>
        </w:rPr>
        <w:t>z</w:t>
      </w:r>
      <w:r w:rsidR="00B63DB5" w:rsidRPr="00C768E2">
        <w:rPr>
          <w:rFonts w:ascii="Arial" w:hAnsi="Arial" w:cs="Arial"/>
          <w:i/>
          <w:sz w:val="18"/>
          <w:szCs w:val="18"/>
          <w:u w:val="single"/>
        </w:rPr>
        <w:t xml:space="preserve"> celkových trž</w:t>
      </w:r>
      <w:r w:rsidR="00B86381">
        <w:rPr>
          <w:rFonts w:ascii="Arial" w:hAnsi="Arial" w:cs="Arial"/>
          <w:i/>
          <w:sz w:val="18"/>
          <w:szCs w:val="18"/>
          <w:u w:val="single"/>
        </w:rPr>
        <w:t>e</w:t>
      </w:r>
      <w:r w:rsidR="00B63DB5" w:rsidRPr="00C768E2">
        <w:rPr>
          <w:rFonts w:ascii="Arial" w:hAnsi="Arial" w:cs="Arial"/>
          <w:i/>
          <w:sz w:val="18"/>
          <w:szCs w:val="18"/>
          <w:u w:val="single"/>
        </w:rPr>
        <w:t>b</w:t>
      </w:r>
      <w:r w:rsidR="00B63DB5" w:rsidRPr="00C768E2">
        <w:rPr>
          <w:rFonts w:ascii="Arial" w:hAnsi="Arial" w:cs="Arial"/>
          <w:i/>
          <w:sz w:val="18"/>
          <w:szCs w:val="18"/>
        </w:rPr>
        <w:t xml:space="preserve"> podniků s 10 a více zaměstnanci v dané zemi       </w:t>
      </w:r>
      <w:r w:rsidR="00D63B85">
        <w:rPr>
          <w:rFonts w:ascii="Arial" w:hAnsi="Arial" w:cs="Arial"/>
          <w:i/>
          <w:sz w:val="18"/>
          <w:szCs w:val="18"/>
        </w:rPr>
        <w:t xml:space="preserve">      </w:t>
      </w:r>
      <w:r w:rsidR="00B63DB5" w:rsidRPr="00C768E2">
        <w:rPr>
          <w:rFonts w:ascii="Arial" w:hAnsi="Arial" w:cs="Arial"/>
          <w:i/>
          <w:sz w:val="18"/>
          <w:szCs w:val="18"/>
        </w:rPr>
        <w:t xml:space="preserve">               z</w:t>
      </w:r>
      <w:r w:rsidR="00B63DB5" w:rsidRPr="00C768E2">
        <w:rPr>
          <w:rFonts w:ascii="Arial" w:hAnsi="Arial" w:cs="Arial"/>
          <w:sz w:val="18"/>
          <w:szCs w:val="18"/>
        </w:rPr>
        <w:t>droj dat: Eurostat, prosinec 202</w:t>
      </w:r>
      <w:r w:rsidR="00B86381">
        <w:rPr>
          <w:rFonts w:ascii="Arial" w:hAnsi="Arial" w:cs="Arial"/>
          <w:sz w:val="18"/>
          <w:szCs w:val="18"/>
        </w:rPr>
        <w:t>3</w:t>
      </w:r>
    </w:p>
    <w:sectPr w:rsidR="00E17BDD" w:rsidSect="00C8573F">
      <w:pgSz w:w="11906" w:h="16838" w:code="9"/>
      <w:pgMar w:top="1134" w:right="1133" w:bottom="1418" w:left="1134" w:header="680" w:footer="680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F8ED6" w14:textId="77777777" w:rsidR="00B903A2" w:rsidRDefault="00B903A2" w:rsidP="00E71A58">
      <w:r>
        <w:separator/>
      </w:r>
    </w:p>
  </w:endnote>
  <w:endnote w:type="continuationSeparator" w:id="0">
    <w:p w14:paraId="114A3C02" w14:textId="77777777" w:rsidR="00B903A2" w:rsidRDefault="00B903A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0F34D" w14:textId="77777777" w:rsidR="00B903A2" w:rsidRDefault="00B903A2" w:rsidP="00E71A58">
      <w:r>
        <w:separator/>
      </w:r>
    </w:p>
  </w:footnote>
  <w:footnote w:type="continuationSeparator" w:id="0">
    <w:p w14:paraId="21D02CF6" w14:textId="77777777" w:rsidR="00B903A2" w:rsidRDefault="00B903A2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271844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82FA25BC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433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6F"/>
    <w:rsid w:val="000038F3"/>
    <w:rsid w:val="0000767A"/>
    <w:rsid w:val="00007A65"/>
    <w:rsid w:val="00010702"/>
    <w:rsid w:val="00012476"/>
    <w:rsid w:val="00014B27"/>
    <w:rsid w:val="00014E7A"/>
    <w:rsid w:val="00015E95"/>
    <w:rsid w:val="000301B3"/>
    <w:rsid w:val="0004694F"/>
    <w:rsid w:val="00046E9C"/>
    <w:rsid w:val="00062EC5"/>
    <w:rsid w:val="00066A39"/>
    <w:rsid w:val="000776E0"/>
    <w:rsid w:val="00087634"/>
    <w:rsid w:val="000904A1"/>
    <w:rsid w:val="00091072"/>
    <w:rsid w:val="00095184"/>
    <w:rsid w:val="000A1183"/>
    <w:rsid w:val="000A59B8"/>
    <w:rsid w:val="000A67F2"/>
    <w:rsid w:val="000B197C"/>
    <w:rsid w:val="000B21FF"/>
    <w:rsid w:val="000B3036"/>
    <w:rsid w:val="000B7912"/>
    <w:rsid w:val="000C2014"/>
    <w:rsid w:val="000C3408"/>
    <w:rsid w:val="000D1E62"/>
    <w:rsid w:val="000D3BAF"/>
    <w:rsid w:val="000E1717"/>
    <w:rsid w:val="000E75E3"/>
    <w:rsid w:val="000F49D3"/>
    <w:rsid w:val="000F7491"/>
    <w:rsid w:val="000F7936"/>
    <w:rsid w:val="001015BD"/>
    <w:rsid w:val="001051A6"/>
    <w:rsid w:val="00110E16"/>
    <w:rsid w:val="001121B4"/>
    <w:rsid w:val="001165D5"/>
    <w:rsid w:val="00116D03"/>
    <w:rsid w:val="0012002F"/>
    <w:rsid w:val="00121282"/>
    <w:rsid w:val="00134725"/>
    <w:rsid w:val="001405FA"/>
    <w:rsid w:val="001406DC"/>
    <w:rsid w:val="001425C3"/>
    <w:rsid w:val="00143453"/>
    <w:rsid w:val="00144F60"/>
    <w:rsid w:val="0016045B"/>
    <w:rsid w:val="00163793"/>
    <w:rsid w:val="0016380A"/>
    <w:rsid w:val="00164922"/>
    <w:rsid w:val="001714F2"/>
    <w:rsid w:val="00180C81"/>
    <w:rsid w:val="00185010"/>
    <w:rsid w:val="0018666E"/>
    <w:rsid w:val="00191C8B"/>
    <w:rsid w:val="0019329A"/>
    <w:rsid w:val="00194F66"/>
    <w:rsid w:val="001A5015"/>
    <w:rsid w:val="001A552F"/>
    <w:rsid w:val="001B2BDA"/>
    <w:rsid w:val="001B3110"/>
    <w:rsid w:val="001B65FE"/>
    <w:rsid w:val="001B7F0E"/>
    <w:rsid w:val="001C43EE"/>
    <w:rsid w:val="001E2243"/>
    <w:rsid w:val="001E2E61"/>
    <w:rsid w:val="001E7FB0"/>
    <w:rsid w:val="001F3765"/>
    <w:rsid w:val="001F4597"/>
    <w:rsid w:val="00201E83"/>
    <w:rsid w:val="00201F9E"/>
    <w:rsid w:val="002042E3"/>
    <w:rsid w:val="00205DEC"/>
    <w:rsid w:val="00215DD0"/>
    <w:rsid w:val="0021721B"/>
    <w:rsid w:val="00220DE2"/>
    <w:rsid w:val="0022139E"/>
    <w:rsid w:val="00221B6A"/>
    <w:rsid w:val="00221FFB"/>
    <w:rsid w:val="002252E0"/>
    <w:rsid w:val="002255F6"/>
    <w:rsid w:val="002304A4"/>
    <w:rsid w:val="00236443"/>
    <w:rsid w:val="002405CF"/>
    <w:rsid w:val="002436BA"/>
    <w:rsid w:val="00244A15"/>
    <w:rsid w:val="0024799E"/>
    <w:rsid w:val="00253673"/>
    <w:rsid w:val="00257036"/>
    <w:rsid w:val="00270C59"/>
    <w:rsid w:val="0027595F"/>
    <w:rsid w:val="00281650"/>
    <w:rsid w:val="0028698F"/>
    <w:rsid w:val="00287D5C"/>
    <w:rsid w:val="0029440B"/>
    <w:rsid w:val="00295308"/>
    <w:rsid w:val="00295C1F"/>
    <w:rsid w:val="002A49B3"/>
    <w:rsid w:val="002C2193"/>
    <w:rsid w:val="002C31D3"/>
    <w:rsid w:val="002C43BD"/>
    <w:rsid w:val="002C6DD4"/>
    <w:rsid w:val="002D1075"/>
    <w:rsid w:val="002D36F9"/>
    <w:rsid w:val="002E02A1"/>
    <w:rsid w:val="002E0482"/>
    <w:rsid w:val="002E1D9F"/>
    <w:rsid w:val="002E54BB"/>
    <w:rsid w:val="002F261C"/>
    <w:rsid w:val="002F2864"/>
    <w:rsid w:val="002F5533"/>
    <w:rsid w:val="00303365"/>
    <w:rsid w:val="00304771"/>
    <w:rsid w:val="00306C5B"/>
    <w:rsid w:val="003155EE"/>
    <w:rsid w:val="003209D6"/>
    <w:rsid w:val="00343E00"/>
    <w:rsid w:val="0034440F"/>
    <w:rsid w:val="00345E04"/>
    <w:rsid w:val="003547FD"/>
    <w:rsid w:val="00356452"/>
    <w:rsid w:val="003657F3"/>
    <w:rsid w:val="00365C52"/>
    <w:rsid w:val="00366859"/>
    <w:rsid w:val="00384DBB"/>
    <w:rsid w:val="00385D98"/>
    <w:rsid w:val="00386E36"/>
    <w:rsid w:val="00387630"/>
    <w:rsid w:val="00390EE5"/>
    <w:rsid w:val="003924D3"/>
    <w:rsid w:val="00395F05"/>
    <w:rsid w:val="003A1530"/>
    <w:rsid w:val="003A2B4D"/>
    <w:rsid w:val="003A327C"/>
    <w:rsid w:val="003A478C"/>
    <w:rsid w:val="003A5525"/>
    <w:rsid w:val="003A6B38"/>
    <w:rsid w:val="003B0334"/>
    <w:rsid w:val="003B5A32"/>
    <w:rsid w:val="003B5CA0"/>
    <w:rsid w:val="003C0DCB"/>
    <w:rsid w:val="003C14FE"/>
    <w:rsid w:val="003C42E1"/>
    <w:rsid w:val="003E20C5"/>
    <w:rsid w:val="003E77BE"/>
    <w:rsid w:val="003F313C"/>
    <w:rsid w:val="003F6A21"/>
    <w:rsid w:val="00413550"/>
    <w:rsid w:val="00414240"/>
    <w:rsid w:val="00427A73"/>
    <w:rsid w:val="0043194A"/>
    <w:rsid w:val="004357FF"/>
    <w:rsid w:val="00443A51"/>
    <w:rsid w:val="004449EB"/>
    <w:rsid w:val="004523A3"/>
    <w:rsid w:val="004560CB"/>
    <w:rsid w:val="0046345D"/>
    <w:rsid w:val="00465325"/>
    <w:rsid w:val="004703BF"/>
    <w:rsid w:val="00475062"/>
    <w:rsid w:val="0048139F"/>
    <w:rsid w:val="004843C6"/>
    <w:rsid w:val="00494678"/>
    <w:rsid w:val="004A402E"/>
    <w:rsid w:val="004A77DF"/>
    <w:rsid w:val="004B22BA"/>
    <w:rsid w:val="004B411F"/>
    <w:rsid w:val="004B55B7"/>
    <w:rsid w:val="004B6206"/>
    <w:rsid w:val="004C3867"/>
    <w:rsid w:val="004C4CD0"/>
    <w:rsid w:val="004C70DC"/>
    <w:rsid w:val="004D0211"/>
    <w:rsid w:val="004D0595"/>
    <w:rsid w:val="004D1234"/>
    <w:rsid w:val="004F06F5"/>
    <w:rsid w:val="004F0DF9"/>
    <w:rsid w:val="004F32CB"/>
    <w:rsid w:val="004F33A0"/>
    <w:rsid w:val="004F4666"/>
    <w:rsid w:val="004F596E"/>
    <w:rsid w:val="00501A82"/>
    <w:rsid w:val="00501D94"/>
    <w:rsid w:val="00503901"/>
    <w:rsid w:val="005068F4"/>
    <w:rsid w:val="00510498"/>
    <w:rsid w:val="005108C0"/>
    <w:rsid w:val="00511873"/>
    <w:rsid w:val="0051380C"/>
    <w:rsid w:val="00513B7E"/>
    <w:rsid w:val="005170C1"/>
    <w:rsid w:val="005209D8"/>
    <w:rsid w:val="00525137"/>
    <w:rsid w:val="005251DD"/>
    <w:rsid w:val="00526416"/>
    <w:rsid w:val="00541D8F"/>
    <w:rsid w:val="005478D0"/>
    <w:rsid w:val="00550A74"/>
    <w:rsid w:val="00553139"/>
    <w:rsid w:val="00565041"/>
    <w:rsid w:val="00567D3C"/>
    <w:rsid w:val="00574FD5"/>
    <w:rsid w:val="00583CF3"/>
    <w:rsid w:val="00583F39"/>
    <w:rsid w:val="00583FFD"/>
    <w:rsid w:val="00585475"/>
    <w:rsid w:val="00585D8F"/>
    <w:rsid w:val="00593152"/>
    <w:rsid w:val="005A21E0"/>
    <w:rsid w:val="005B4204"/>
    <w:rsid w:val="005B6A8B"/>
    <w:rsid w:val="005C41DA"/>
    <w:rsid w:val="005D5802"/>
    <w:rsid w:val="005D6589"/>
    <w:rsid w:val="005E7EC7"/>
    <w:rsid w:val="005F419A"/>
    <w:rsid w:val="005F68D9"/>
    <w:rsid w:val="005F7FA5"/>
    <w:rsid w:val="00601A3B"/>
    <w:rsid w:val="00604307"/>
    <w:rsid w:val="0060487F"/>
    <w:rsid w:val="006123F0"/>
    <w:rsid w:val="006160DA"/>
    <w:rsid w:val="006169B6"/>
    <w:rsid w:val="00624093"/>
    <w:rsid w:val="00636C93"/>
    <w:rsid w:val="00637FE6"/>
    <w:rsid w:val="0064036A"/>
    <w:rsid w:val="006404A7"/>
    <w:rsid w:val="00640712"/>
    <w:rsid w:val="006451E4"/>
    <w:rsid w:val="00646715"/>
    <w:rsid w:val="006535B3"/>
    <w:rsid w:val="00657968"/>
    <w:rsid w:val="00657E87"/>
    <w:rsid w:val="00660808"/>
    <w:rsid w:val="00660D29"/>
    <w:rsid w:val="0066151F"/>
    <w:rsid w:val="00661E58"/>
    <w:rsid w:val="00665CBF"/>
    <w:rsid w:val="006664D5"/>
    <w:rsid w:val="0066687D"/>
    <w:rsid w:val="006710C9"/>
    <w:rsid w:val="00675E37"/>
    <w:rsid w:val="00676B14"/>
    <w:rsid w:val="00681FA9"/>
    <w:rsid w:val="0068260E"/>
    <w:rsid w:val="00684ECC"/>
    <w:rsid w:val="00693C50"/>
    <w:rsid w:val="006953D1"/>
    <w:rsid w:val="00695BEF"/>
    <w:rsid w:val="006977F6"/>
    <w:rsid w:val="00697A13"/>
    <w:rsid w:val="00697BBB"/>
    <w:rsid w:val="006A09CC"/>
    <w:rsid w:val="006A109C"/>
    <w:rsid w:val="006B78D8"/>
    <w:rsid w:val="006C113F"/>
    <w:rsid w:val="006C1B42"/>
    <w:rsid w:val="006C7861"/>
    <w:rsid w:val="006D61F6"/>
    <w:rsid w:val="006E279A"/>
    <w:rsid w:val="006E2B05"/>
    <w:rsid w:val="006E313B"/>
    <w:rsid w:val="006E7DE3"/>
    <w:rsid w:val="006F0FF4"/>
    <w:rsid w:val="00700A8D"/>
    <w:rsid w:val="007211F5"/>
    <w:rsid w:val="00723C36"/>
    <w:rsid w:val="00730AE8"/>
    <w:rsid w:val="00731941"/>
    <w:rsid w:val="007361FE"/>
    <w:rsid w:val="0073766C"/>
    <w:rsid w:val="00741493"/>
    <w:rsid w:val="007477AC"/>
    <w:rsid w:val="00752180"/>
    <w:rsid w:val="00752629"/>
    <w:rsid w:val="00755D3A"/>
    <w:rsid w:val="007609C6"/>
    <w:rsid w:val="00761B3D"/>
    <w:rsid w:val="00762576"/>
    <w:rsid w:val="00775360"/>
    <w:rsid w:val="00776527"/>
    <w:rsid w:val="007807B6"/>
    <w:rsid w:val="0078139D"/>
    <w:rsid w:val="007814D6"/>
    <w:rsid w:val="007855C6"/>
    <w:rsid w:val="00785B2D"/>
    <w:rsid w:val="0078651B"/>
    <w:rsid w:val="00786E68"/>
    <w:rsid w:val="00791C4D"/>
    <w:rsid w:val="007940ED"/>
    <w:rsid w:val="007A3FED"/>
    <w:rsid w:val="007A5C36"/>
    <w:rsid w:val="007A68B0"/>
    <w:rsid w:val="007B57B5"/>
    <w:rsid w:val="007B6EF0"/>
    <w:rsid w:val="007C3F6A"/>
    <w:rsid w:val="007C4904"/>
    <w:rsid w:val="007C700E"/>
    <w:rsid w:val="007C70D3"/>
    <w:rsid w:val="007D7174"/>
    <w:rsid w:val="007E3D24"/>
    <w:rsid w:val="007E43B8"/>
    <w:rsid w:val="007E7E61"/>
    <w:rsid w:val="007F0845"/>
    <w:rsid w:val="007F4B37"/>
    <w:rsid w:val="007F6765"/>
    <w:rsid w:val="00821F6F"/>
    <w:rsid w:val="00821FF6"/>
    <w:rsid w:val="0082558C"/>
    <w:rsid w:val="0083143E"/>
    <w:rsid w:val="00834FAA"/>
    <w:rsid w:val="00836086"/>
    <w:rsid w:val="00837234"/>
    <w:rsid w:val="008448EC"/>
    <w:rsid w:val="0085412C"/>
    <w:rsid w:val="00865180"/>
    <w:rsid w:val="00866093"/>
    <w:rsid w:val="00874090"/>
    <w:rsid w:val="00876086"/>
    <w:rsid w:val="008777E4"/>
    <w:rsid w:val="00887564"/>
    <w:rsid w:val="008A5404"/>
    <w:rsid w:val="008B474C"/>
    <w:rsid w:val="008B7C02"/>
    <w:rsid w:val="008C011B"/>
    <w:rsid w:val="008C015A"/>
    <w:rsid w:val="008C0E88"/>
    <w:rsid w:val="008C233F"/>
    <w:rsid w:val="008D2A16"/>
    <w:rsid w:val="008D39E9"/>
    <w:rsid w:val="008E31FF"/>
    <w:rsid w:val="008F1BD3"/>
    <w:rsid w:val="008F34CE"/>
    <w:rsid w:val="008F41A9"/>
    <w:rsid w:val="008F5C9F"/>
    <w:rsid w:val="009003A8"/>
    <w:rsid w:val="00902EFF"/>
    <w:rsid w:val="009055A6"/>
    <w:rsid w:val="00921F14"/>
    <w:rsid w:val="00931BA4"/>
    <w:rsid w:val="00933ECC"/>
    <w:rsid w:val="00935018"/>
    <w:rsid w:val="00936E0F"/>
    <w:rsid w:val="00937B2C"/>
    <w:rsid w:val="0094427A"/>
    <w:rsid w:val="00950AEF"/>
    <w:rsid w:val="00953F72"/>
    <w:rsid w:val="00960952"/>
    <w:rsid w:val="00963C67"/>
    <w:rsid w:val="009665E3"/>
    <w:rsid w:val="00967C71"/>
    <w:rsid w:val="00974923"/>
    <w:rsid w:val="009832E0"/>
    <w:rsid w:val="00983D08"/>
    <w:rsid w:val="009849A2"/>
    <w:rsid w:val="0098620F"/>
    <w:rsid w:val="00987E97"/>
    <w:rsid w:val="009A2301"/>
    <w:rsid w:val="009A506C"/>
    <w:rsid w:val="009A758E"/>
    <w:rsid w:val="009A77F0"/>
    <w:rsid w:val="009B66DE"/>
    <w:rsid w:val="009B6FD3"/>
    <w:rsid w:val="009C21F1"/>
    <w:rsid w:val="009D0373"/>
    <w:rsid w:val="009D0EDF"/>
    <w:rsid w:val="009F3E7F"/>
    <w:rsid w:val="009F5B71"/>
    <w:rsid w:val="00A07270"/>
    <w:rsid w:val="00A10D66"/>
    <w:rsid w:val="00A10DE4"/>
    <w:rsid w:val="00A11466"/>
    <w:rsid w:val="00A1546D"/>
    <w:rsid w:val="00A16592"/>
    <w:rsid w:val="00A20DCF"/>
    <w:rsid w:val="00A23E43"/>
    <w:rsid w:val="00A25341"/>
    <w:rsid w:val="00A331AD"/>
    <w:rsid w:val="00A42547"/>
    <w:rsid w:val="00A4261A"/>
    <w:rsid w:val="00A46DE0"/>
    <w:rsid w:val="00A6044E"/>
    <w:rsid w:val="00A62CE1"/>
    <w:rsid w:val="00A7047C"/>
    <w:rsid w:val="00A75E40"/>
    <w:rsid w:val="00A81588"/>
    <w:rsid w:val="00A82273"/>
    <w:rsid w:val="00A857C0"/>
    <w:rsid w:val="00A944EE"/>
    <w:rsid w:val="00AA5534"/>
    <w:rsid w:val="00AA559A"/>
    <w:rsid w:val="00AB2957"/>
    <w:rsid w:val="00AB2AF1"/>
    <w:rsid w:val="00AB49E0"/>
    <w:rsid w:val="00AB76F3"/>
    <w:rsid w:val="00AC77ED"/>
    <w:rsid w:val="00AD2995"/>
    <w:rsid w:val="00AD306C"/>
    <w:rsid w:val="00AD3E20"/>
    <w:rsid w:val="00AD55FD"/>
    <w:rsid w:val="00AE3A2E"/>
    <w:rsid w:val="00AF2A1B"/>
    <w:rsid w:val="00B066D7"/>
    <w:rsid w:val="00B112AC"/>
    <w:rsid w:val="00B1214B"/>
    <w:rsid w:val="00B1229C"/>
    <w:rsid w:val="00B14740"/>
    <w:rsid w:val="00B17E71"/>
    <w:rsid w:val="00B17FDE"/>
    <w:rsid w:val="00B21D75"/>
    <w:rsid w:val="00B27F79"/>
    <w:rsid w:val="00B32D12"/>
    <w:rsid w:val="00B32DDB"/>
    <w:rsid w:val="00B63DB5"/>
    <w:rsid w:val="00B6608F"/>
    <w:rsid w:val="00B7498A"/>
    <w:rsid w:val="00B76D1E"/>
    <w:rsid w:val="00B86381"/>
    <w:rsid w:val="00B903A2"/>
    <w:rsid w:val="00B94F4E"/>
    <w:rsid w:val="00B95940"/>
    <w:rsid w:val="00BA055C"/>
    <w:rsid w:val="00BA10B3"/>
    <w:rsid w:val="00BA5F57"/>
    <w:rsid w:val="00BC64D5"/>
    <w:rsid w:val="00BD0D40"/>
    <w:rsid w:val="00BD258B"/>
    <w:rsid w:val="00BD366B"/>
    <w:rsid w:val="00BD6D50"/>
    <w:rsid w:val="00BE5D22"/>
    <w:rsid w:val="00C035B7"/>
    <w:rsid w:val="00C0475C"/>
    <w:rsid w:val="00C063B6"/>
    <w:rsid w:val="00C14C63"/>
    <w:rsid w:val="00C21F94"/>
    <w:rsid w:val="00C22FED"/>
    <w:rsid w:val="00C2361E"/>
    <w:rsid w:val="00C3575E"/>
    <w:rsid w:val="00C442B4"/>
    <w:rsid w:val="00C51B83"/>
    <w:rsid w:val="00C73584"/>
    <w:rsid w:val="00C768E2"/>
    <w:rsid w:val="00C847A8"/>
    <w:rsid w:val="00C84831"/>
    <w:rsid w:val="00C8573F"/>
    <w:rsid w:val="00C87923"/>
    <w:rsid w:val="00C90CF4"/>
    <w:rsid w:val="00C93389"/>
    <w:rsid w:val="00CA0C7F"/>
    <w:rsid w:val="00CA286B"/>
    <w:rsid w:val="00CB26CD"/>
    <w:rsid w:val="00CB35AC"/>
    <w:rsid w:val="00CB5435"/>
    <w:rsid w:val="00CC0868"/>
    <w:rsid w:val="00CC24AD"/>
    <w:rsid w:val="00CC61F7"/>
    <w:rsid w:val="00CD57C7"/>
    <w:rsid w:val="00CF35BC"/>
    <w:rsid w:val="00CF431A"/>
    <w:rsid w:val="00CF51EC"/>
    <w:rsid w:val="00D040DD"/>
    <w:rsid w:val="00D12065"/>
    <w:rsid w:val="00D1416F"/>
    <w:rsid w:val="00D2189F"/>
    <w:rsid w:val="00D33A87"/>
    <w:rsid w:val="00D3535F"/>
    <w:rsid w:val="00D356E2"/>
    <w:rsid w:val="00D3579F"/>
    <w:rsid w:val="00D35C67"/>
    <w:rsid w:val="00D466E6"/>
    <w:rsid w:val="00D57B0B"/>
    <w:rsid w:val="00D603E0"/>
    <w:rsid w:val="00D63B85"/>
    <w:rsid w:val="00D64D31"/>
    <w:rsid w:val="00D67EA5"/>
    <w:rsid w:val="00D72E09"/>
    <w:rsid w:val="00D87840"/>
    <w:rsid w:val="00D9569D"/>
    <w:rsid w:val="00DA6083"/>
    <w:rsid w:val="00DA7FE7"/>
    <w:rsid w:val="00DB619C"/>
    <w:rsid w:val="00DB6B38"/>
    <w:rsid w:val="00DC29B0"/>
    <w:rsid w:val="00DC5B3B"/>
    <w:rsid w:val="00DE0111"/>
    <w:rsid w:val="00DE1D1B"/>
    <w:rsid w:val="00DF1B5C"/>
    <w:rsid w:val="00DF7B9A"/>
    <w:rsid w:val="00DF7C0A"/>
    <w:rsid w:val="00E01C0E"/>
    <w:rsid w:val="00E02C6D"/>
    <w:rsid w:val="00E0343F"/>
    <w:rsid w:val="00E04694"/>
    <w:rsid w:val="00E110C4"/>
    <w:rsid w:val="00E16DEA"/>
    <w:rsid w:val="00E17BDD"/>
    <w:rsid w:val="00E20E07"/>
    <w:rsid w:val="00E27262"/>
    <w:rsid w:val="00E36F00"/>
    <w:rsid w:val="00E446D9"/>
    <w:rsid w:val="00E51673"/>
    <w:rsid w:val="00E5249D"/>
    <w:rsid w:val="00E71A58"/>
    <w:rsid w:val="00E72046"/>
    <w:rsid w:val="00E72ACD"/>
    <w:rsid w:val="00E856E0"/>
    <w:rsid w:val="00E9292D"/>
    <w:rsid w:val="00E95707"/>
    <w:rsid w:val="00E957F4"/>
    <w:rsid w:val="00EA0C68"/>
    <w:rsid w:val="00EA347C"/>
    <w:rsid w:val="00EA71E3"/>
    <w:rsid w:val="00EB46E6"/>
    <w:rsid w:val="00EC4851"/>
    <w:rsid w:val="00EC7132"/>
    <w:rsid w:val="00ED0CA0"/>
    <w:rsid w:val="00ED4E55"/>
    <w:rsid w:val="00EE01F9"/>
    <w:rsid w:val="00EE3E78"/>
    <w:rsid w:val="00EF1F5A"/>
    <w:rsid w:val="00EF3374"/>
    <w:rsid w:val="00EF473C"/>
    <w:rsid w:val="00F04811"/>
    <w:rsid w:val="00F0488C"/>
    <w:rsid w:val="00F07344"/>
    <w:rsid w:val="00F15BEF"/>
    <w:rsid w:val="00F226D7"/>
    <w:rsid w:val="00F24FAA"/>
    <w:rsid w:val="00F2509D"/>
    <w:rsid w:val="00F30A87"/>
    <w:rsid w:val="00F3364D"/>
    <w:rsid w:val="00F4274E"/>
    <w:rsid w:val="00F42C99"/>
    <w:rsid w:val="00F4606F"/>
    <w:rsid w:val="00F52969"/>
    <w:rsid w:val="00F55806"/>
    <w:rsid w:val="00F55BAA"/>
    <w:rsid w:val="00F63DDE"/>
    <w:rsid w:val="00F63FB7"/>
    <w:rsid w:val="00F650E6"/>
    <w:rsid w:val="00F65524"/>
    <w:rsid w:val="00F66522"/>
    <w:rsid w:val="00F73A0C"/>
    <w:rsid w:val="00F93573"/>
    <w:rsid w:val="00F976F8"/>
    <w:rsid w:val="00FA00AC"/>
    <w:rsid w:val="00FA0E74"/>
    <w:rsid w:val="00FA2BED"/>
    <w:rsid w:val="00FA616F"/>
    <w:rsid w:val="00FA70EC"/>
    <w:rsid w:val="00FB73C1"/>
    <w:rsid w:val="00FC03F2"/>
    <w:rsid w:val="00FC0E5F"/>
    <w:rsid w:val="00FC1388"/>
    <w:rsid w:val="00FC54F9"/>
    <w:rsid w:val="00FC56DE"/>
    <w:rsid w:val="00FC5E1C"/>
    <w:rsid w:val="00FD1179"/>
    <w:rsid w:val="00FD4D68"/>
    <w:rsid w:val="00FD65FD"/>
    <w:rsid w:val="00FD7662"/>
    <w:rsid w:val="00FE087F"/>
    <w:rsid w:val="00FE2F78"/>
    <w:rsid w:val="00FE342C"/>
    <w:rsid w:val="00FF01C1"/>
    <w:rsid w:val="00FF4AD8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89DF738"/>
  <w15:docId w15:val="{1BD93FBE-05B0-437E-98BB-4C781E25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5209D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5209D8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5209D8"/>
    <w:rPr>
      <w:vertAlign w:val="superscript"/>
    </w:rPr>
  </w:style>
  <w:style w:type="character" w:styleId="Odkaznakoment">
    <w:name w:val="annotation reference"/>
    <w:uiPriority w:val="99"/>
    <w:semiHidden/>
    <w:unhideWhenUsed/>
    <w:rsid w:val="002944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40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9440B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40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9440B"/>
    <w:rPr>
      <w:rFonts w:ascii="Times New Roman" w:hAnsi="Times New Roman"/>
      <w:b/>
      <w:bCs/>
      <w:lang w:eastAsia="en-US"/>
    </w:rPr>
  </w:style>
  <w:style w:type="character" w:styleId="Sledovanodkaz">
    <w:name w:val="FollowedHyperlink"/>
    <w:uiPriority w:val="99"/>
    <w:semiHidden/>
    <w:unhideWhenUsed/>
    <w:rsid w:val="00FE34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2.120937921433854E-2"/>
          <c:y val="5.6925181649591101E-2"/>
          <c:w val="0.96987646544181982"/>
          <c:h val="0.830266107247542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el_prodej!$A$31</c:f>
              <c:strCache>
                <c:ptCount val="1"/>
                <c:pt idx="0">
                  <c:v> podniky uskutečňující elektronické prodeje celkem - % z celkového počtu podniků s 10 a více zaměstnanci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(el_prodej!$C$30,el_prodej!$E$30,el_prodej!$G$30,el_prodej!$I$30,el_prodej!$K$30,el_prodej!$M$30,el_prodej!$O$30,el_prodej!$Q$30,el_prodej!$S$30)</c:f>
              <c:numCache>
                <c:formatCode>General</c:formatCode>
                <c:ptCount val="9"/>
                <c:pt idx="0">
                  <c:v>2006</c:v>
                </c:pt>
                <c:pt idx="1">
                  <c:v>2008</c:v>
                </c:pt>
                <c:pt idx="2">
                  <c:v>2010</c:v>
                </c:pt>
                <c:pt idx="3">
                  <c:v>2012</c:v>
                </c:pt>
                <c:pt idx="4">
                  <c:v>2014</c:v>
                </c:pt>
                <c:pt idx="5">
                  <c:v>2016</c:v>
                </c:pt>
                <c:pt idx="6">
                  <c:v>2018</c:v>
                </c:pt>
                <c:pt idx="7">
                  <c:v>2020</c:v>
                </c:pt>
                <c:pt idx="8">
                  <c:v>2022</c:v>
                </c:pt>
              </c:numCache>
            </c:numRef>
          </c:cat>
          <c:val>
            <c:numRef>
              <c:f>(el_prodej!$C$31,el_prodej!$E$31,el_prodej!$G$31,el_prodej!$I$31,el_prodej!$K$31,el_prodej!$M$31,el_prodej!$O$31,el_prodej!$Q$31,el_prodej!$S$31)</c:f>
              <c:numCache>
                <c:formatCode>0%</c:formatCode>
                <c:ptCount val="9"/>
                <c:pt idx="0">
                  <c:v>0.121</c:v>
                </c:pt>
                <c:pt idx="1">
                  <c:v>0.153</c:v>
                </c:pt>
                <c:pt idx="2">
                  <c:v>0.26800000000000002</c:v>
                </c:pt>
                <c:pt idx="3">
                  <c:v>0.27</c:v>
                </c:pt>
                <c:pt idx="4">
                  <c:v>0.246</c:v>
                </c:pt>
                <c:pt idx="5">
                  <c:v>0.23899999999999999</c:v>
                </c:pt>
                <c:pt idx="6">
                  <c:v>0.29799999999999999</c:v>
                </c:pt>
                <c:pt idx="7">
                  <c:v>0.255</c:v>
                </c:pt>
                <c:pt idx="8">
                  <c:v>0.247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F6-4B61-91A9-1B08DE9FF05A}"/>
            </c:ext>
          </c:extLst>
        </c:ser>
        <c:ser>
          <c:idx val="1"/>
          <c:order val="1"/>
          <c:tx>
            <c:strRef>
              <c:f>el_prodej!$A$32</c:f>
              <c:strCache>
                <c:ptCount val="1"/>
                <c:pt idx="0">
                  <c:v> celkové tržby podniků z elektronických prodejů - % z celkových tržeb podniků s 10 a více zaměstnanci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(el_prodej!$C$30,el_prodej!$E$30,el_prodej!$G$30,el_prodej!$I$30,el_prodej!$K$30,el_prodej!$M$30,el_prodej!$O$30,el_prodej!$Q$30,el_prodej!$S$30)</c:f>
              <c:numCache>
                <c:formatCode>General</c:formatCode>
                <c:ptCount val="9"/>
                <c:pt idx="0">
                  <c:v>2006</c:v>
                </c:pt>
                <c:pt idx="1">
                  <c:v>2008</c:v>
                </c:pt>
                <c:pt idx="2">
                  <c:v>2010</c:v>
                </c:pt>
                <c:pt idx="3">
                  <c:v>2012</c:v>
                </c:pt>
                <c:pt idx="4">
                  <c:v>2014</c:v>
                </c:pt>
                <c:pt idx="5">
                  <c:v>2016</c:v>
                </c:pt>
                <c:pt idx="6">
                  <c:v>2018</c:v>
                </c:pt>
                <c:pt idx="7">
                  <c:v>2020</c:v>
                </c:pt>
                <c:pt idx="8">
                  <c:v>2022</c:v>
                </c:pt>
              </c:numCache>
            </c:numRef>
          </c:cat>
          <c:val>
            <c:numRef>
              <c:f>(el_prodej!$C$32,el_prodej!$E$32,el_prodej!$G$32,el_prodej!$I$32,el_prodej!$K$32,el_prodej!$M$32,el_prodej!$O$32,el_prodej!$Q$32,el_prodej!$S$32)</c:f>
              <c:numCache>
                <c:formatCode>0%</c:formatCode>
                <c:ptCount val="9"/>
                <c:pt idx="0">
                  <c:v>8.2000000000000003E-2</c:v>
                </c:pt>
                <c:pt idx="1">
                  <c:v>0.13800000000000001</c:v>
                </c:pt>
                <c:pt idx="2">
                  <c:v>0.247</c:v>
                </c:pt>
                <c:pt idx="3">
                  <c:v>0.246</c:v>
                </c:pt>
                <c:pt idx="4">
                  <c:v>0.28799999999999998</c:v>
                </c:pt>
                <c:pt idx="5">
                  <c:v>0.311</c:v>
                </c:pt>
                <c:pt idx="6">
                  <c:v>0.318</c:v>
                </c:pt>
                <c:pt idx="7">
                  <c:v>0.3</c:v>
                </c:pt>
                <c:pt idx="8">
                  <c:v>0.30499999999999999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F6-4B61-91A9-1B08DE9FF0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134976"/>
        <c:axId val="177906816"/>
      </c:barChart>
      <c:catAx>
        <c:axId val="17713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7906816"/>
        <c:crosses val="autoZero"/>
        <c:auto val="1"/>
        <c:lblAlgn val="ctr"/>
        <c:lblOffset val="100"/>
        <c:noMultiLvlLbl val="0"/>
      </c:catAx>
      <c:valAx>
        <c:axId val="177906816"/>
        <c:scaling>
          <c:orientation val="minMax"/>
          <c:max val="0.5"/>
          <c:min val="0"/>
        </c:scaling>
        <c:delete val="1"/>
        <c:axPos val="l"/>
        <c:numFmt formatCode="0%" sourceLinked="1"/>
        <c:majorTickMark val="out"/>
        <c:minorTickMark val="none"/>
        <c:tickLblPos val="nextTo"/>
        <c:crossAx val="177134976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1.4337711072014411E-2"/>
          <c:y val="2.0483041158097879E-2"/>
          <c:w val="0.97126970316555716"/>
          <c:h val="0.1723923167561299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1.0191017789442987E-2"/>
          <c:y val="5.1463378398454912E-2"/>
          <c:w val="0.97679424920859914"/>
          <c:h val="0.7668660382969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el_prodej!$B$174</c:f>
              <c:strCache>
                <c:ptCount val="1"/>
                <c:pt idx="0">
                  <c:v> Celkem</c:v>
                </c:pt>
              </c:strCache>
            </c:strRef>
          </c:tx>
          <c:spPr>
            <a:solidFill>
              <a:srgbClr val="ABF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chemeClr val="tx1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el_prodej!$A$175:$A$178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el_prodej!$B$175:$B$178</c:f>
              <c:numCache>
                <c:formatCode>0%</c:formatCode>
                <c:ptCount val="4"/>
                <c:pt idx="0">
                  <c:v>0.247</c:v>
                </c:pt>
                <c:pt idx="1">
                  <c:v>0.22</c:v>
                </c:pt>
                <c:pt idx="2">
                  <c:v>0.312</c:v>
                </c:pt>
                <c:pt idx="3">
                  <c:v>0.51700000000000002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4B-487E-AE57-456798565851}"/>
            </c:ext>
          </c:extLst>
        </c:ser>
        <c:ser>
          <c:idx val="1"/>
          <c:order val="1"/>
          <c:tx>
            <c:strRef>
              <c:f>el_prodej!$C$174</c:f>
              <c:strCache>
                <c:ptCount val="1"/>
                <c:pt idx="0">
                  <c:v> přes webové stránky, mobilní aplikace, online tržiště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el_prodej!$A$175:$A$178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el_prodej!$C$175:$C$178</c:f>
              <c:numCache>
                <c:formatCode>0%</c:formatCode>
                <c:ptCount val="4"/>
                <c:pt idx="0">
                  <c:v>0.20499999999999999</c:v>
                </c:pt>
                <c:pt idx="1">
                  <c:v>0.19900000000000001</c:v>
                </c:pt>
                <c:pt idx="2">
                  <c:v>0.217</c:v>
                </c:pt>
                <c:pt idx="3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4B-487E-AE57-456798565851}"/>
            </c:ext>
          </c:extLst>
        </c:ser>
        <c:ser>
          <c:idx val="3"/>
          <c:order val="2"/>
          <c:tx>
            <c:strRef>
              <c:f>el_prodej!$D$174</c:f>
              <c:strCache>
                <c:ptCount val="1"/>
                <c:pt idx="0">
                  <c:v> pomocí elektronické výměny dat (EDI)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el_prodej!$A$175:$A$178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el_prodej!$D$175:$D$178</c:f>
              <c:numCache>
                <c:formatCode>0%</c:formatCode>
                <c:ptCount val="4"/>
                <c:pt idx="0">
                  <c:v>7.3999999999999996E-2</c:v>
                </c:pt>
                <c:pt idx="1">
                  <c:v>0.04</c:v>
                </c:pt>
                <c:pt idx="2">
                  <c:v>0.16600000000000001</c:v>
                </c:pt>
                <c:pt idx="3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4B-487E-AE57-4567985658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176554752"/>
        <c:axId val="176556288"/>
      </c:barChart>
      <c:catAx>
        <c:axId val="176554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56288"/>
        <c:crosses val="autoZero"/>
        <c:auto val="1"/>
        <c:lblAlgn val="ctr"/>
        <c:lblOffset val="100"/>
        <c:noMultiLvlLbl val="0"/>
      </c:catAx>
      <c:valAx>
        <c:axId val="176556288"/>
        <c:scaling>
          <c:orientation val="minMax"/>
          <c:max val="0.65000000000000013"/>
          <c:min val="0"/>
        </c:scaling>
        <c:delete val="1"/>
        <c:axPos val="l"/>
        <c:numFmt formatCode="0%" sourceLinked="1"/>
        <c:majorTickMark val="out"/>
        <c:minorTickMark val="none"/>
        <c:tickLblPos val="nextTo"/>
        <c:crossAx val="1765547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5.9682949658027701E-4"/>
          <c:y val="3.4212328397221957E-2"/>
          <c:w val="0.99486975241906606"/>
          <c:h val="6.90966665604046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812454565628284E-2"/>
          <c:y val="0.16756824529786837"/>
          <c:w val="0.92691803014546759"/>
          <c:h val="0.7901653048085970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el_prodej!$A$36</c:f>
              <c:strCache>
                <c:ptCount val="1"/>
                <c:pt idx="0">
                  <c:v> přes webové stránky, mobilní aplikace, online tržiště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chemeClr val="tx1"/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(el_prodej!$C$35,el_prodej!$E$35,el_prodej!$G$35,el_prodej!$I$35,el_prodej!$K$35,el_prodej!$M$35,el_prodej!$O$35,el_prodej!$Q$35)</c:f>
              <c:strCache>
                <c:ptCount val="8"/>
                <c:pt idx="0">
                  <c:v>2008</c:v>
                </c:pt>
                <c:pt idx="1">
                  <c:v>2010</c:v>
                </c:pt>
                <c:pt idx="2">
                  <c:v>2012</c:v>
                </c:pt>
                <c:pt idx="3">
                  <c:v>2014</c:v>
                </c:pt>
                <c:pt idx="4">
                  <c:v>2016</c:v>
                </c:pt>
                <c:pt idx="5">
                  <c:v>2018</c:v>
                </c:pt>
                <c:pt idx="6">
                  <c:v>2020</c:v>
                </c:pt>
                <c:pt idx="7">
                  <c:v>2022</c:v>
                </c:pt>
              </c:strCache>
            </c:strRef>
          </c:cat>
          <c:val>
            <c:numRef>
              <c:f>(el_prodej!$C$36,el_prodej!$E$36,el_prodej!$G$36,el_prodej!$I$36,el_prodej!$K$36,el_prodej!$M$36,el_prodej!$O$36,el_prodej!$Q$36)</c:f>
              <c:numCache>
                <c:formatCode>0%</c:formatCode>
                <c:ptCount val="8"/>
                <c:pt idx="0">
                  <c:v>5.0999999999999997E-2</c:v>
                </c:pt>
                <c:pt idx="1">
                  <c:v>5.5E-2</c:v>
                </c:pt>
                <c:pt idx="2">
                  <c:v>0.05</c:v>
                </c:pt>
                <c:pt idx="3">
                  <c:v>5.1999999999999998E-2</c:v>
                </c:pt>
                <c:pt idx="4">
                  <c:v>8.5999999999999993E-2</c:v>
                </c:pt>
                <c:pt idx="5">
                  <c:v>8.7999999999999995E-2</c:v>
                </c:pt>
                <c:pt idx="6">
                  <c:v>8.5999999999999993E-2</c:v>
                </c:pt>
                <c:pt idx="7">
                  <c:v>9.1999999999999998E-2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E4-4990-AD31-E6163FD49C2A}"/>
            </c:ext>
          </c:extLst>
        </c:ser>
        <c:ser>
          <c:idx val="1"/>
          <c:order val="1"/>
          <c:tx>
            <c:strRef>
              <c:f>el_prodej!$A$37</c:f>
              <c:strCache>
                <c:ptCount val="1"/>
                <c:pt idx="0">
                  <c:v> pomocí elektronické výměny dat (EDI)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(el_prodej!$C$35,el_prodej!$E$35,el_prodej!$G$35,el_prodej!$I$35,el_prodej!$K$35,el_prodej!$M$35,el_prodej!$O$35,el_prodej!$Q$35)</c:f>
              <c:strCache>
                <c:ptCount val="8"/>
                <c:pt idx="0">
                  <c:v>2008</c:v>
                </c:pt>
                <c:pt idx="1">
                  <c:v>2010</c:v>
                </c:pt>
                <c:pt idx="2">
                  <c:v>2012</c:v>
                </c:pt>
                <c:pt idx="3">
                  <c:v>2014</c:v>
                </c:pt>
                <c:pt idx="4">
                  <c:v>2016</c:v>
                </c:pt>
                <c:pt idx="5">
                  <c:v>2018</c:v>
                </c:pt>
                <c:pt idx="6">
                  <c:v>2020</c:v>
                </c:pt>
                <c:pt idx="7">
                  <c:v>2022</c:v>
                </c:pt>
              </c:strCache>
            </c:strRef>
          </c:cat>
          <c:val>
            <c:numRef>
              <c:f>(el_prodej!$C$37,el_prodej!$E$37,el_prodej!$G$37,el_prodej!$I$37,el_prodej!$K$37,el_prodej!$M$37,el_prodej!$O$37,el_prodej!$Q$37)</c:f>
              <c:numCache>
                <c:formatCode>0%</c:formatCode>
                <c:ptCount val="8"/>
                <c:pt idx="0">
                  <c:v>0.10299999999999999</c:v>
                </c:pt>
                <c:pt idx="1">
                  <c:v>0.16600000000000001</c:v>
                </c:pt>
                <c:pt idx="2">
                  <c:v>0.19500000000000001</c:v>
                </c:pt>
                <c:pt idx="3">
                  <c:v>0.23599999999999999</c:v>
                </c:pt>
                <c:pt idx="4">
                  <c:v>0.22500000000000001</c:v>
                </c:pt>
                <c:pt idx="5">
                  <c:v>0.22999999999999998</c:v>
                </c:pt>
                <c:pt idx="6">
                  <c:v>0.21400000000000002</c:v>
                </c:pt>
                <c:pt idx="7">
                  <c:v>0.21299999999999999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E4-4990-AD31-E6163FD49C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178269568"/>
        <c:axId val="178279552"/>
      </c:barChart>
      <c:catAx>
        <c:axId val="1782695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78279552"/>
        <c:crosses val="autoZero"/>
        <c:auto val="1"/>
        <c:lblAlgn val="ctr"/>
        <c:lblOffset val="100"/>
        <c:noMultiLvlLbl val="0"/>
      </c:catAx>
      <c:valAx>
        <c:axId val="178279552"/>
        <c:scaling>
          <c:orientation val="minMax"/>
          <c:max val="0.35000000000000009"/>
          <c:min val="0"/>
        </c:scaling>
        <c:delete val="1"/>
        <c:axPos val="b"/>
        <c:numFmt formatCode="0%" sourceLinked="1"/>
        <c:majorTickMark val="out"/>
        <c:minorTickMark val="none"/>
        <c:tickLblPos val="none"/>
        <c:crossAx val="178269568"/>
        <c:crosses val="autoZero"/>
        <c:crossBetween val="between"/>
      </c:valAx>
      <c:spPr>
        <a:ln>
          <a:noFill/>
        </a:ln>
      </c:spPr>
    </c:plotArea>
    <c:legend>
      <c:legendPos val="t"/>
      <c:layout>
        <c:manualLayout>
          <c:xMode val="edge"/>
          <c:yMode val="edge"/>
          <c:x val="1.2918510925779246E-2"/>
          <c:y val="4.9541953179783875E-2"/>
          <c:w val="0.95077262693156761"/>
          <c:h val="0.1083181355374869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456664384343254"/>
          <c:y val="8.6441019285246209E-2"/>
          <c:w val="0.59516389934953784"/>
          <c:h val="0.8712924598154113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el_prodej!$A$195</c:f>
              <c:strCache>
                <c:ptCount val="1"/>
                <c:pt idx="0">
                  <c:v> přes webové stránky, mobilní aplikace, online tržiště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chemeClr val="tx1"/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el_prodej!$B$194:$O$194</c:f>
              <c:strCache>
                <c:ptCount val="14"/>
                <c:pt idx="0">
                  <c:v>Stravování a pohostinství (CZ NACE 56)</c:v>
                </c:pt>
                <c:pt idx="1">
                  <c:v>Textilní, oděvní, kožedělní a obuvnický průmysl 
(CZ NACE 13–15)</c:v>
                </c:pt>
                <c:pt idx="2">
                  <c:v>Činnosti v oblasti IT; Informační činnosti 
(CZ NACE 62–63)</c:v>
                </c:pt>
                <c:pt idx="3">
                  <c:v>Metalurgický a kovozpracující průmysl 
(CZ NACE 24-25)</c:v>
                </c:pt>
                <c:pt idx="4">
                  <c:v> Doprava a skladování (CZ NACE 49–53)</c:v>
                </c:pt>
                <c:pt idx="5">
                  <c:v>Velkoobchod (CZ NACE 46)</c:v>
                </c:pt>
                <c:pt idx="6">
                  <c:v>Maloobchod (CZ NACE 47)</c:v>
                </c:pt>
                <c:pt idx="7">
                  <c:v>Automobilový průmysl a výroba ostatních
doprav. prostředků (CZ NACE 29–30)</c:v>
                </c:pt>
                <c:pt idx="8">
                  <c:v>Činnosti v oblasti vydavatelství, 
filmu a TV programů (CZ NACE 58–60)</c:v>
                </c:pt>
                <c:pt idx="9">
                  <c:v>Potravinářský, nápojový a tabákový 
průmysl (CZ NACE 10–12)</c:v>
                </c:pt>
                <c:pt idx="10">
                  <c:v>Elektrotechnický a strojírenský průmysl 
(CZ NACE 27-28)</c:v>
                </c:pt>
                <c:pt idx="11">
                  <c:v>Ubytování (CZ NACE 55)</c:v>
                </c:pt>
                <c:pt idx="12">
                  <c:v>Činnosti cestovních kanceláří (CZ NACE 79)</c:v>
                </c:pt>
                <c:pt idx="13">
                  <c:v>Elektronický průmysl - Výroba počítačů 
a elektron. přístrojů a zaříz.(CZ NACE 26)</c:v>
                </c:pt>
              </c:strCache>
            </c:strRef>
          </c:cat>
          <c:val>
            <c:numRef>
              <c:f>el_prodej!$B$195:$O$195</c:f>
              <c:numCache>
                <c:formatCode>0%</c:formatCode>
                <c:ptCount val="14"/>
                <c:pt idx="0">
                  <c:v>6.7000000000000004E-2</c:v>
                </c:pt>
                <c:pt idx="1">
                  <c:v>5.0999999999999997E-2</c:v>
                </c:pt>
                <c:pt idx="2">
                  <c:v>0.123</c:v>
                </c:pt>
                <c:pt idx="3">
                  <c:v>1.7999999999999999E-2</c:v>
                </c:pt>
                <c:pt idx="4">
                  <c:v>7.5999999999999998E-2</c:v>
                </c:pt>
                <c:pt idx="5">
                  <c:v>0.16200000000000001</c:v>
                </c:pt>
                <c:pt idx="6">
                  <c:v>0.218</c:v>
                </c:pt>
                <c:pt idx="7">
                  <c:v>0.01</c:v>
                </c:pt>
                <c:pt idx="8">
                  <c:v>0.308</c:v>
                </c:pt>
                <c:pt idx="9">
                  <c:v>2.4E-2</c:v>
                </c:pt>
                <c:pt idx="10">
                  <c:v>4.2999999999999997E-2</c:v>
                </c:pt>
                <c:pt idx="11">
                  <c:v>0.39200000000000002</c:v>
                </c:pt>
                <c:pt idx="12">
                  <c:v>0.72199999999999998</c:v>
                </c:pt>
                <c:pt idx="13">
                  <c:v>1.4E-2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C6-45B9-92D9-184C749B61A1}"/>
            </c:ext>
          </c:extLst>
        </c:ser>
        <c:ser>
          <c:idx val="1"/>
          <c:order val="1"/>
          <c:tx>
            <c:strRef>
              <c:f>el_prodej!$A$196</c:f>
              <c:strCache>
                <c:ptCount val="1"/>
                <c:pt idx="0">
                  <c:v> pomocí elektronické výměny dat (EDI)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el_prodej!$B$194:$O$194</c:f>
              <c:strCache>
                <c:ptCount val="14"/>
                <c:pt idx="0">
                  <c:v>Stravování a pohostinství (CZ NACE 56)</c:v>
                </c:pt>
                <c:pt idx="1">
                  <c:v>Textilní, oděvní, kožedělní a obuvnický průmysl 
(CZ NACE 13–15)</c:v>
                </c:pt>
                <c:pt idx="2">
                  <c:v>Činnosti v oblasti IT; Informační činnosti 
(CZ NACE 62–63)</c:v>
                </c:pt>
                <c:pt idx="3">
                  <c:v>Metalurgický a kovozpracující průmysl 
(CZ NACE 24-25)</c:v>
                </c:pt>
                <c:pt idx="4">
                  <c:v> Doprava a skladování (CZ NACE 49–53)</c:v>
                </c:pt>
                <c:pt idx="5">
                  <c:v>Velkoobchod (CZ NACE 46)</c:v>
                </c:pt>
                <c:pt idx="6">
                  <c:v>Maloobchod (CZ NACE 47)</c:v>
                </c:pt>
                <c:pt idx="7">
                  <c:v>Automobilový průmysl a výroba ostatních
doprav. prostředků (CZ NACE 29–30)</c:v>
                </c:pt>
                <c:pt idx="8">
                  <c:v>Činnosti v oblasti vydavatelství, 
filmu a TV programů (CZ NACE 58–60)</c:v>
                </c:pt>
                <c:pt idx="9">
                  <c:v>Potravinářský, nápojový a tabákový 
průmysl (CZ NACE 10–12)</c:v>
                </c:pt>
                <c:pt idx="10">
                  <c:v>Elektrotechnický a strojírenský průmysl 
(CZ NACE 27-28)</c:v>
                </c:pt>
                <c:pt idx="11">
                  <c:v>Ubytování (CZ NACE 55)</c:v>
                </c:pt>
                <c:pt idx="12">
                  <c:v>Činnosti cestovních kanceláří (CZ NACE 79)</c:v>
                </c:pt>
                <c:pt idx="13">
                  <c:v>Elektronický průmysl - Výroba počítačů 
a elektron. přístrojů a zaříz.(CZ NACE 26)</c:v>
                </c:pt>
              </c:strCache>
            </c:strRef>
          </c:cat>
          <c:val>
            <c:numRef>
              <c:f>el_prodej!$B$196:$O$196</c:f>
              <c:numCache>
                <c:formatCode>0%</c:formatCode>
                <c:ptCount val="14"/>
                <c:pt idx="0">
                  <c:v>3.7999999999999999E-2</c:v>
                </c:pt>
                <c:pt idx="1">
                  <c:v>7.4999999999999997E-2</c:v>
                </c:pt>
                <c:pt idx="2">
                  <c:v>2.5999999999999999E-2</c:v>
                </c:pt>
                <c:pt idx="3">
                  <c:v>0.13200000000000001</c:v>
                </c:pt>
                <c:pt idx="4">
                  <c:v>0.20799999999999999</c:v>
                </c:pt>
                <c:pt idx="5">
                  <c:v>0.155</c:v>
                </c:pt>
                <c:pt idx="6">
                  <c:v>0.107</c:v>
                </c:pt>
                <c:pt idx="7">
                  <c:v>0.33500000000000002</c:v>
                </c:pt>
                <c:pt idx="8">
                  <c:v>5.7000000000000002E-2</c:v>
                </c:pt>
                <c:pt idx="9">
                  <c:v>0.34599999999999997</c:v>
                </c:pt>
                <c:pt idx="10">
                  <c:v>0.34300000000000003</c:v>
                </c:pt>
                <c:pt idx="11">
                  <c:v>3.3000000000000002E-2</c:v>
                </c:pt>
                <c:pt idx="12">
                  <c:v>2.4E-2</c:v>
                </c:pt>
                <c:pt idx="13">
                  <c:v>0.73799999999999999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C6-45B9-92D9-184C749B61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178269568"/>
        <c:axId val="178279552"/>
      </c:barChart>
      <c:catAx>
        <c:axId val="1782695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78279552"/>
        <c:crosses val="autoZero"/>
        <c:auto val="1"/>
        <c:lblAlgn val="ctr"/>
        <c:lblOffset val="100"/>
        <c:noMultiLvlLbl val="0"/>
      </c:catAx>
      <c:valAx>
        <c:axId val="178279552"/>
        <c:scaling>
          <c:orientation val="minMax"/>
          <c:max val="0.75000000000000011"/>
          <c:min val="0"/>
        </c:scaling>
        <c:delete val="1"/>
        <c:axPos val="b"/>
        <c:numFmt formatCode="0%" sourceLinked="1"/>
        <c:majorTickMark val="out"/>
        <c:minorTickMark val="none"/>
        <c:tickLblPos val="nextTo"/>
        <c:crossAx val="178269568"/>
        <c:crosses val="autoZero"/>
        <c:crossBetween val="between"/>
      </c:valAx>
      <c:spPr>
        <a:ln>
          <a:noFill/>
        </a:ln>
      </c:spPr>
    </c:plotArea>
    <c:legend>
      <c:legendPos val="t"/>
      <c:layout>
        <c:manualLayout>
          <c:xMode val="edge"/>
          <c:yMode val="edge"/>
          <c:x val="2.485898413025172E-2"/>
          <c:y val="7.0389539689000927E-3"/>
          <c:w val="0.95027696701311026"/>
          <c:h val="5.032799694494391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7116276592307222E-2"/>
          <c:y val="2.4904590147203774E-2"/>
          <c:w val="0.94272718042108294"/>
          <c:h val="0.79100267569976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el_prodej!$B$60</c:f>
              <c:strCache>
                <c:ptCount val="1"/>
                <c:pt idx="0">
                  <c:v> Celkem*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009BB4"/>
              </a:solidFill>
              <a:ln w="19050">
                <a:noFill/>
              </a:ln>
            </c:spPr>
            <c:extLst>
              <c:ext xmlns:c16="http://schemas.microsoft.com/office/drawing/2014/chart" uri="{C3380CC4-5D6E-409C-BE32-E72D297353CC}">
                <c16:uniqueId val="{00000001-9FC6-4FEA-AF1C-BB737BE73AAE}"/>
              </c:ext>
            </c:extLst>
          </c:dPt>
          <c:dPt>
            <c:idx val="5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3-9FC6-4FEA-AF1C-BB737BE73AAE}"/>
              </c:ext>
            </c:extLst>
          </c:dPt>
          <c:dPt>
            <c:idx val="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5-9FC6-4FEA-AF1C-BB737BE73AAE}"/>
              </c:ext>
            </c:extLst>
          </c:dPt>
          <c:dPt>
            <c:idx val="8"/>
            <c:invertIfNegative val="0"/>
            <c:bubble3D val="0"/>
            <c:spPr>
              <a:solidFill>
                <a:srgbClr val="009BB4"/>
              </a:solidFill>
              <a:ln w="19050">
                <a:noFill/>
              </a:ln>
            </c:spPr>
            <c:extLst>
              <c:ext xmlns:c16="http://schemas.microsoft.com/office/drawing/2014/chart" uri="{C3380CC4-5D6E-409C-BE32-E72D297353CC}">
                <c16:uniqueId val="{00000007-9FC6-4FEA-AF1C-BB737BE73AAE}"/>
              </c:ext>
            </c:extLst>
          </c:dPt>
          <c:dPt>
            <c:idx val="10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9FC6-4FEA-AF1C-BB737BE73AAE}"/>
              </c:ext>
            </c:extLst>
          </c:dPt>
          <c:dPt>
            <c:idx val="1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B-9FC6-4FEA-AF1C-BB737BE73AAE}"/>
              </c:ext>
            </c:extLst>
          </c:dPt>
          <c:dPt>
            <c:idx val="1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D-9FC6-4FEA-AF1C-BB737BE73AAE}"/>
              </c:ext>
            </c:extLst>
          </c:dPt>
          <c:dPt>
            <c:idx val="14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F-9FC6-4FEA-AF1C-BB737BE73AAE}"/>
              </c:ext>
            </c:extLst>
          </c:dPt>
          <c:dPt>
            <c:idx val="15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1-9FC6-4FEA-AF1C-BB737BE73AAE}"/>
              </c:ext>
            </c:extLst>
          </c:dPt>
          <c:dPt>
            <c:idx val="1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3-9FC6-4FEA-AF1C-BB737BE73AAE}"/>
              </c:ext>
            </c:extLst>
          </c:dPt>
          <c:dPt>
            <c:idx val="18"/>
            <c:invertIfNegative val="0"/>
            <c:bubble3D val="0"/>
            <c:spPr>
              <a:solidFill>
                <a:srgbClr val="009BB4"/>
              </a:solidFill>
              <a:ln w="19050">
                <a:noFill/>
              </a:ln>
            </c:spPr>
            <c:extLst>
              <c:ext xmlns:c16="http://schemas.microsoft.com/office/drawing/2014/chart" uri="{C3380CC4-5D6E-409C-BE32-E72D297353CC}">
                <c16:uniqueId val="{00000015-9FC6-4FEA-AF1C-BB737BE73AAE}"/>
              </c:ext>
            </c:extLst>
          </c:dPt>
          <c:dPt>
            <c:idx val="21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7-9FC6-4FEA-AF1C-BB737BE73AAE}"/>
              </c:ext>
            </c:extLst>
          </c:dPt>
          <c:dPt>
            <c:idx val="2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9-9FC6-4FEA-AF1C-BB737BE73AAE}"/>
              </c:ext>
            </c:extLst>
          </c:dPt>
          <c:dPt>
            <c:idx val="2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B-9FC6-4FEA-AF1C-BB737BE73AAE}"/>
              </c:ext>
            </c:extLst>
          </c:dPt>
          <c:dPt>
            <c:idx val="24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D-9FC6-4FEA-AF1C-BB737BE73AAE}"/>
              </c:ext>
            </c:extLst>
          </c:dPt>
          <c:dPt>
            <c:idx val="27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F-9FC6-4FEA-AF1C-BB737BE73AAE}"/>
              </c:ext>
            </c:extLst>
          </c:dPt>
          <c:dLbls>
            <c:dLbl>
              <c:idx val="1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FC6-4FEA-AF1C-BB737BE73AAE}"/>
                </c:ext>
              </c:extLst>
            </c:dLbl>
            <c:dLbl>
              <c:idx val="14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9FC6-4FEA-AF1C-BB737BE73A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el_prodej!$A$61:$A$88</c:f>
              <c:strCache>
                <c:ptCount val="28"/>
                <c:pt idx="0">
                  <c:v>Dánsko</c:v>
                </c:pt>
                <c:pt idx="1">
                  <c:v>Švédsko</c:v>
                </c:pt>
                <c:pt idx="2">
                  <c:v>Malta</c:v>
                </c:pt>
                <c:pt idx="3">
                  <c:v>Litva</c:v>
                </c:pt>
                <c:pt idx="4">
                  <c:v>Belgie</c:v>
                </c:pt>
                <c:pt idx="5">
                  <c:v>Irsko</c:v>
                </c:pt>
                <c:pt idx="6">
                  <c:v>Španělsko</c:v>
                </c:pt>
                <c:pt idx="7">
                  <c:v>Chorvatsko</c:v>
                </c:pt>
                <c:pt idx="8">
                  <c:v>Nizozemsko</c:v>
                </c:pt>
                <c:pt idx="9">
                  <c:v>Finsko</c:v>
                </c:pt>
                <c:pt idx="10">
                  <c:v>Česko</c:v>
                </c:pt>
                <c:pt idx="11">
                  <c:v>Maďarsko</c:v>
                </c:pt>
                <c:pt idx="12">
                  <c:v>Rakousko</c:v>
                </c:pt>
                <c:pt idx="13">
                  <c:v>Kypr</c:v>
                </c:pt>
                <c:pt idx="14">
                  <c:v>EU27</c:v>
                </c:pt>
                <c:pt idx="15">
                  <c:v>Německo</c:v>
                </c:pt>
                <c:pt idx="16">
                  <c:v>Řecko</c:v>
                </c:pt>
                <c:pt idx="17">
                  <c:v>Slovinsko</c:v>
                </c:pt>
                <c:pt idx="18">
                  <c:v>Estonsko</c:v>
                </c:pt>
                <c:pt idx="19">
                  <c:v>Lotyšsko</c:v>
                </c:pt>
                <c:pt idx="20">
                  <c:v>Portugalsko</c:v>
                </c:pt>
                <c:pt idx="21">
                  <c:v>Slovensko</c:v>
                </c:pt>
                <c:pt idx="22">
                  <c:v>Polsko</c:v>
                </c:pt>
                <c:pt idx="23">
                  <c:v>Itálie</c:v>
                </c:pt>
                <c:pt idx="24">
                  <c:v>Francie</c:v>
                </c:pt>
                <c:pt idx="25">
                  <c:v>Bulharsko</c:v>
                </c:pt>
                <c:pt idx="26">
                  <c:v>Rumunsko</c:v>
                </c:pt>
                <c:pt idx="27">
                  <c:v>Lucembursko</c:v>
                </c:pt>
              </c:strCache>
            </c:strRef>
          </c:cat>
          <c:val>
            <c:numRef>
              <c:f>el_prodej!$B$61:$B$88</c:f>
              <c:numCache>
                <c:formatCode>0%</c:formatCode>
                <c:ptCount val="28"/>
                <c:pt idx="0">
                  <c:v>0.36460599999999999</c:v>
                </c:pt>
                <c:pt idx="1">
                  <c:v>0.35355199999999998</c:v>
                </c:pt>
                <c:pt idx="2">
                  <c:v>0.31753799999999999</c:v>
                </c:pt>
                <c:pt idx="3">
                  <c:v>0.31102999999999997</c:v>
                </c:pt>
                <c:pt idx="4">
                  <c:v>0.30476799999999998</c:v>
                </c:pt>
                <c:pt idx="5">
                  <c:v>0.30471799999999999</c:v>
                </c:pt>
                <c:pt idx="6">
                  <c:v>0.30169299999999999</c:v>
                </c:pt>
                <c:pt idx="7">
                  <c:v>0.30041899999999999</c:v>
                </c:pt>
                <c:pt idx="8">
                  <c:v>0.25139400000000001</c:v>
                </c:pt>
                <c:pt idx="9">
                  <c:v>0.24507100000000001</c:v>
                </c:pt>
                <c:pt idx="10">
                  <c:v>0.23586399999999999</c:v>
                </c:pt>
                <c:pt idx="11">
                  <c:v>0.22425</c:v>
                </c:pt>
                <c:pt idx="12">
                  <c:v>0.21262300000000001</c:v>
                </c:pt>
                <c:pt idx="13">
                  <c:v>0.20930399999999999</c:v>
                </c:pt>
                <c:pt idx="14">
                  <c:v>0.19705</c:v>
                </c:pt>
                <c:pt idx="15">
                  <c:v>0.19555500000000001</c:v>
                </c:pt>
                <c:pt idx="16">
                  <c:v>0.18373200000000001</c:v>
                </c:pt>
                <c:pt idx="17">
                  <c:v>0.180529</c:v>
                </c:pt>
                <c:pt idx="18">
                  <c:v>0.180196</c:v>
                </c:pt>
                <c:pt idx="19">
                  <c:v>0.174289</c:v>
                </c:pt>
                <c:pt idx="20">
                  <c:v>0.170378</c:v>
                </c:pt>
                <c:pt idx="21">
                  <c:v>0.152388</c:v>
                </c:pt>
                <c:pt idx="22">
                  <c:v>0.148284</c:v>
                </c:pt>
                <c:pt idx="23">
                  <c:v>0.13484599999999999</c:v>
                </c:pt>
                <c:pt idx="24">
                  <c:v>0.134265</c:v>
                </c:pt>
                <c:pt idx="25">
                  <c:v>0.13306399999999999</c:v>
                </c:pt>
                <c:pt idx="26">
                  <c:v>0.123278</c:v>
                </c:pt>
                <c:pt idx="27">
                  <c:v>9.3837000000000004E-2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9FC6-4FEA-AF1C-BB737BE73AA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178718592"/>
        <c:axId val="178719744"/>
      </c:barChart>
      <c:barChart>
        <c:barDir val="col"/>
        <c:grouping val="clustered"/>
        <c:varyColors val="0"/>
        <c:ser>
          <c:idx val="1"/>
          <c:order val="1"/>
          <c:tx>
            <c:strRef>
              <c:f>el_prodej!$C$60</c:f>
              <c:strCache>
                <c:ptCount val="1"/>
                <c:pt idx="0">
                  <c:v> z toho pomocí elektronické výměny dat (EDI)</c:v>
                </c:pt>
              </c:strCache>
            </c:strRef>
          </c:tx>
          <c:spPr>
            <a:solidFill>
              <a:srgbClr val="47E5FF"/>
            </a:solidFill>
            <a:ln w="25400">
              <a:noFill/>
            </a:ln>
          </c:spPr>
          <c:invertIfNegative val="0"/>
          <c:dLbls>
            <c:dLbl>
              <c:idx val="1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1-9FC6-4FEA-AF1C-BB737BE73AAE}"/>
                </c:ext>
              </c:extLst>
            </c:dLbl>
            <c:dLbl>
              <c:idx val="14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2-9FC6-4FEA-AF1C-BB737BE73A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el_prodej!$A$61:$A$88</c:f>
              <c:strCache>
                <c:ptCount val="28"/>
                <c:pt idx="0">
                  <c:v>Dánsko</c:v>
                </c:pt>
                <c:pt idx="1">
                  <c:v>Švédsko</c:v>
                </c:pt>
                <c:pt idx="2">
                  <c:v>Malta</c:v>
                </c:pt>
                <c:pt idx="3">
                  <c:v>Litva</c:v>
                </c:pt>
                <c:pt idx="4">
                  <c:v>Belgie</c:v>
                </c:pt>
                <c:pt idx="5">
                  <c:v>Irsko</c:v>
                </c:pt>
                <c:pt idx="6">
                  <c:v>Španělsko</c:v>
                </c:pt>
                <c:pt idx="7">
                  <c:v>Chorvatsko</c:v>
                </c:pt>
                <c:pt idx="8">
                  <c:v>Nizozemsko</c:v>
                </c:pt>
                <c:pt idx="9">
                  <c:v>Finsko</c:v>
                </c:pt>
                <c:pt idx="10">
                  <c:v>Česko</c:v>
                </c:pt>
                <c:pt idx="11">
                  <c:v>Maďarsko</c:v>
                </c:pt>
                <c:pt idx="12">
                  <c:v>Rakousko</c:v>
                </c:pt>
                <c:pt idx="13">
                  <c:v>Kypr</c:v>
                </c:pt>
                <c:pt idx="14">
                  <c:v>EU27</c:v>
                </c:pt>
                <c:pt idx="15">
                  <c:v>Německo</c:v>
                </c:pt>
                <c:pt idx="16">
                  <c:v>Řecko</c:v>
                </c:pt>
                <c:pt idx="17">
                  <c:v>Slovinsko</c:v>
                </c:pt>
                <c:pt idx="18">
                  <c:v>Estonsko</c:v>
                </c:pt>
                <c:pt idx="19">
                  <c:v>Lotyšsko</c:v>
                </c:pt>
                <c:pt idx="20">
                  <c:v>Portugalsko</c:v>
                </c:pt>
                <c:pt idx="21">
                  <c:v>Slovensko</c:v>
                </c:pt>
                <c:pt idx="22">
                  <c:v>Polsko</c:v>
                </c:pt>
                <c:pt idx="23">
                  <c:v>Itálie</c:v>
                </c:pt>
                <c:pt idx="24">
                  <c:v>Francie</c:v>
                </c:pt>
                <c:pt idx="25">
                  <c:v>Bulharsko</c:v>
                </c:pt>
                <c:pt idx="26">
                  <c:v>Rumunsko</c:v>
                </c:pt>
                <c:pt idx="27">
                  <c:v>Lucembursko</c:v>
                </c:pt>
              </c:strCache>
            </c:strRef>
          </c:cat>
          <c:val>
            <c:numRef>
              <c:f>el_prodej!$C$61:$C$88</c:f>
              <c:numCache>
                <c:formatCode>0%</c:formatCode>
                <c:ptCount val="28"/>
                <c:pt idx="0">
                  <c:v>0.14760599999999999</c:v>
                </c:pt>
                <c:pt idx="1">
                  <c:v>0.14114099999999999</c:v>
                </c:pt>
                <c:pt idx="2">
                  <c:v>5.7986999999999997E-2</c:v>
                </c:pt>
                <c:pt idx="3">
                  <c:v>5.1750999999999998E-2</c:v>
                </c:pt>
                <c:pt idx="4">
                  <c:v>0.10720300000000001</c:v>
                </c:pt>
                <c:pt idx="5">
                  <c:v>0.101174</c:v>
                </c:pt>
                <c:pt idx="6">
                  <c:v>8.6249000000000006E-2</c:v>
                </c:pt>
                <c:pt idx="7">
                  <c:v>8.5364999999999996E-2</c:v>
                </c:pt>
                <c:pt idx="8">
                  <c:v>7.2492000000000001E-2</c:v>
                </c:pt>
                <c:pt idx="9">
                  <c:v>0.12590199999999999</c:v>
                </c:pt>
                <c:pt idx="10">
                  <c:v>7.3855000000000004E-2</c:v>
                </c:pt>
                <c:pt idx="11">
                  <c:v>5.0091999999999998E-2</c:v>
                </c:pt>
                <c:pt idx="12">
                  <c:v>5.9414000000000002E-2</c:v>
                </c:pt>
                <c:pt idx="13">
                  <c:v>3.5622000000000001E-2</c:v>
                </c:pt>
                <c:pt idx="14">
                  <c:v>5.8456000000000001E-2</c:v>
                </c:pt>
                <c:pt idx="15">
                  <c:v>5.6591000000000002E-2</c:v>
                </c:pt>
                <c:pt idx="16">
                  <c:v>1.0458E-2</c:v>
                </c:pt>
                <c:pt idx="17">
                  <c:v>6.8505999999999997E-2</c:v>
                </c:pt>
                <c:pt idx="18">
                  <c:v>7.3316000000000006E-2</c:v>
                </c:pt>
                <c:pt idx="19">
                  <c:v>4.7074999999999999E-2</c:v>
                </c:pt>
                <c:pt idx="20">
                  <c:v>5.9699000000000002E-2</c:v>
                </c:pt>
                <c:pt idx="21">
                  <c:v>3.9845999999999999E-2</c:v>
                </c:pt>
                <c:pt idx="22">
                  <c:v>3.4556000000000003E-2</c:v>
                </c:pt>
                <c:pt idx="23">
                  <c:v>5.1964000000000003E-2</c:v>
                </c:pt>
                <c:pt idx="24">
                  <c:v>3.6248000000000002E-2</c:v>
                </c:pt>
                <c:pt idx="25">
                  <c:v>1.7198999999999999E-2</c:v>
                </c:pt>
                <c:pt idx="26">
                  <c:v>3.3159000000000001E-2</c:v>
                </c:pt>
                <c:pt idx="27">
                  <c:v>2.7858000000000001E-2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3-9FC6-4FEA-AF1C-BB737BE73A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727168"/>
        <c:axId val="178725632"/>
      </c:barChart>
      <c:catAx>
        <c:axId val="178718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/>
            </a:pPr>
            <a:endParaRPr lang="cs-CZ"/>
          </a:p>
        </c:txPr>
        <c:crossAx val="178719744"/>
        <c:crosses val="autoZero"/>
        <c:auto val="1"/>
        <c:lblAlgn val="ctr"/>
        <c:lblOffset val="100"/>
        <c:noMultiLvlLbl val="0"/>
      </c:catAx>
      <c:valAx>
        <c:axId val="178719744"/>
        <c:scaling>
          <c:orientation val="minMax"/>
          <c:max val="0.5"/>
          <c:min val="0"/>
        </c:scaling>
        <c:delete val="0"/>
        <c:axPos val="l"/>
        <c:majorGridlines>
          <c:spPr>
            <a:ln w="3175">
              <a:solidFill>
                <a:srgbClr val="A6A6A6">
                  <a:alpha val="35000"/>
                </a:srgbClr>
              </a:solidFill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spPr>
          <a:ln w="3175">
            <a:solidFill>
              <a:srgbClr val="868686"/>
            </a:solidFill>
          </a:ln>
        </c:spPr>
        <c:txPr>
          <a:bodyPr/>
          <a:lstStyle/>
          <a:p>
            <a:pPr>
              <a:defRPr sz="700"/>
            </a:pPr>
            <a:endParaRPr lang="cs-CZ"/>
          </a:p>
        </c:txPr>
        <c:crossAx val="178718592"/>
        <c:crosses val="autoZero"/>
        <c:crossBetween val="between"/>
        <c:majorUnit val="5.000000000000001E-2"/>
      </c:valAx>
      <c:valAx>
        <c:axId val="178725632"/>
        <c:scaling>
          <c:orientation val="minMax"/>
          <c:max val="0.30000000000000004"/>
          <c:min val="0"/>
        </c:scaling>
        <c:delete val="1"/>
        <c:axPos val="r"/>
        <c:numFmt formatCode="0%" sourceLinked="1"/>
        <c:majorTickMark val="out"/>
        <c:minorTickMark val="none"/>
        <c:tickLblPos val="nextTo"/>
        <c:crossAx val="178727168"/>
        <c:crosses val="max"/>
        <c:crossBetween val="between"/>
        <c:majorUnit val="0.1"/>
      </c:valAx>
      <c:catAx>
        <c:axId val="1787271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8725632"/>
        <c:crosses val="autoZero"/>
        <c:auto val="1"/>
        <c:lblAlgn val="ctr"/>
        <c:lblOffset val="100"/>
        <c:noMultiLvlLbl val="0"/>
      </c:catAx>
      <c:spPr>
        <a:noFill/>
        <a:ln w="12700">
          <a:noFill/>
          <a:prstDash val="solid"/>
        </a:ln>
      </c:spPr>
    </c:plotArea>
    <c:legend>
      <c:legendPos val="t"/>
      <c:layout>
        <c:manualLayout>
          <c:xMode val="edge"/>
          <c:yMode val="edge"/>
          <c:x val="0.42593568164982881"/>
          <c:y val="3.9305856239795829E-2"/>
          <c:w val="0.41541793142064132"/>
          <c:h val="0.127949749315391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7116276592307222E-2"/>
          <c:y val="2.4904590147203774E-2"/>
          <c:w val="0.94227696959743568"/>
          <c:h val="0.760824455766558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el_prodej!$B$91</c:f>
              <c:strCache>
                <c:ptCount val="1"/>
                <c:pt idx="0">
                  <c:v> Celkem*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DE68-497A-9121-A9D7EC7B4414}"/>
              </c:ext>
            </c:extLst>
          </c:dPt>
          <c:dPt>
            <c:idx val="1"/>
            <c:invertIfNegative val="0"/>
            <c:bubble3D val="0"/>
            <c:spPr>
              <a:solidFill>
                <a:srgbClr val="009BB4"/>
              </a:solidFill>
              <a:ln w="19050">
                <a:noFill/>
              </a:ln>
            </c:spPr>
            <c:extLst>
              <c:ext xmlns:c16="http://schemas.microsoft.com/office/drawing/2014/chart" uri="{C3380CC4-5D6E-409C-BE32-E72D297353CC}">
                <c16:uniqueId val="{00000003-DE68-497A-9121-A9D7EC7B4414}"/>
              </c:ext>
            </c:extLst>
          </c:dPt>
          <c:dPt>
            <c:idx val="5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5-DE68-497A-9121-A9D7EC7B4414}"/>
              </c:ext>
            </c:extLst>
          </c:dPt>
          <c:dPt>
            <c:idx val="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7-DE68-497A-9121-A9D7EC7B4414}"/>
              </c:ext>
            </c:extLst>
          </c:dPt>
          <c:dPt>
            <c:idx val="8"/>
            <c:invertIfNegative val="0"/>
            <c:bubble3D val="0"/>
            <c:spPr>
              <a:solidFill>
                <a:srgbClr val="009BB4"/>
              </a:solidFill>
              <a:ln w="19050">
                <a:noFill/>
              </a:ln>
            </c:spPr>
            <c:extLst>
              <c:ext xmlns:c16="http://schemas.microsoft.com/office/drawing/2014/chart" uri="{C3380CC4-5D6E-409C-BE32-E72D297353CC}">
                <c16:uniqueId val="{00000009-DE68-497A-9121-A9D7EC7B4414}"/>
              </c:ext>
            </c:extLst>
          </c:dPt>
          <c:dPt>
            <c:idx val="10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B-DE68-497A-9121-A9D7EC7B4414}"/>
              </c:ext>
            </c:extLst>
          </c:dPt>
          <c:dPt>
            <c:idx val="12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D-DE68-497A-9121-A9D7EC7B4414}"/>
              </c:ext>
            </c:extLst>
          </c:dPt>
          <c:dPt>
            <c:idx val="1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F-DE68-497A-9121-A9D7EC7B4414}"/>
              </c:ext>
            </c:extLst>
          </c:dPt>
          <c:dPt>
            <c:idx val="14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1-DE68-497A-9121-A9D7EC7B4414}"/>
              </c:ext>
            </c:extLst>
          </c:dPt>
          <c:dPt>
            <c:idx val="15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3-DE68-497A-9121-A9D7EC7B4414}"/>
              </c:ext>
            </c:extLst>
          </c:dPt>
          <c:dPt>
            <c:idx val="1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5-DE68-497A-9121-A9D7EC7B4414}"/>
              </c:ext>
            </c:extLst>
          </c:dPt>
          <c:dPt>
            <c:idx val="18"/>
            <c:invertIfNegative val="0"/>
            <c:bubble3D val="0"/>
            <c:spPr>
              <a:solidFill>
                <a:srgbClr val="009BB4"/>
              </a:solidFill>
              <a:ln w="19050">
                <a:noFill/>
              </a:ln>
            </c:spPr>
            <c:extLst>
              <c:ext xmlns:c16="http://schemas.microsoft.com/office/drawing/2014/chart" uri="{C3380CC4-5D6E-409C-BE32-E72D297353CC}">
                <c16:uniqueId val="{00000017-DE68-497A-9121-A9D7EC7B4414}"/>
              </c:ext>
            </c:extLst>
          </c:dPt>
          <c:dPt>
            <c:idx val="21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9-DE68-497A-9121-A9D7EC7B4414}"/>
              </c:ext>
            </c:extLst>
          </c:dPt>
          <c:dPt>
            <c:idx val="2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B-DE68-497A-9121-A9D7EC7B4414}"/>
              </c:ext>
            </c:extLst>
          </c:dPt>
          <c:dPt>
            <c:idx val="2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D-DE68-497A-9121-A9D7EC7B4414}"/>
              </c:ext>
            </c:extLst>
          </c:dPt>
          <c:dPt>
            <c:idx val="24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F-DE68-497A-9121-A9D7EC7B4414}"/>
              </c:ext>
            </c:extLst>
          </c:dPt>
          <c:dPt>
            <c:idx val="27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21-DE68-497A-9121-A9D7EC7B4414}"/>
              </c:ext>
            </c:extLst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E68-497A-9121-A9D7EC7B4414}"/>
                </c:ext>
              </c:extLst>
            </c:dLbl>
            <c:dLbl>
              <c:idx val="1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DE68-497A-9121-A9D7EC7B44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el_prodej!$A$92:$A$118</c:f>
              <c:strCache>
                <c:ptCount val="27"/>
                <c:pt idx="0">
                  <c:v>Česko</c:v>
                </c:pt>
                <c:pt idx="1">
                  <c:v>Dánsko</c:v>
                </c:pt>
                <c:pt idx="2">
                  <c:v>Irsko</c:v>
                </c:pt>
                <c:pt idx="3">
                  <c:v>Belgie</c:v>
                </c:pt>
                <c:pt idx="4">
                  <c:v>Švédsko</c:v>
                </c:pt>
                <c:pt idx="5">
                  <c:v>Finsko</c:v>
                </c:pt>
                <c:pt idx="6">
                  <c:v>Lucembursko</c:v>
                </c:pt>
                <c:pt idx="7">
                  <c:v>Maďarsko</c:v>
                </c:pt>
                <c:pt idx="8">
                  <c:v>Slovensko</c:v>
                </c:pt>
                <c:pt idx="9">
                  <c:v>Španělsko</c:v>
                </c:pt>
                <c:pt idx="10">
                  <c:v>Nizozemsko</c:v>
                </c:pt>
                <c:pt idx="11">
                  <c:v>Portugalsko</c:v>
                </c:pt>
                <c:pt idx="12">
                  <c:v>EU27</c:v>
                </c:pt>
                <c:pt idx="13">
                  <c:v>Německo</c:v>
                </c:pt>
                <c:pt idx="14">
                  <c:v>Slovinsko</c:v>
                </c:pt>
                <c:pt idx="15">
                  <c:v>Estonsko</c:v>
                </c:pt>
                <c:pt idx="16">
                  <c:v>Litva</c:v>
                </c:pt>
                <c:pt idx="17">
                  <c:v>Chorvatsko</c:v>
                </c:pt>
                <c:pt idx="18">
                  <c:v>Rakousko</c:v>
                </c:pt>
                <c:pt idx="19">
                  <c:v>Malta</c:v>
                </c:pt>
                <c:pt idx="20">
                  <c:v>Polsko</c:v>
                </c:pt>
                <c:pt idx="21">
                  <c:v>Kypr</c:v>
                </c:pt>
                <c:pt idx="22">
                  <c:v>Rumunsko</c:v>
                </c:pt>
                <c:pt idx="23">
                  <c:v>Francie</c:v>
                </c:pt>
                <c:pt idx="24">
                  <c:v>Lotyšsko</c:v>
                </c:pt>
                <c:pt idx="25">
                  <c:v>Řecko</c:v>
                </c:pt>
                <c:pt idx="26">
                  <c:v>Bulharsko</c:v>
                </c:pt>
              </c:strCache>
            </c:strRef>
          </c:cat>
          <c:val>
            <c:numRef>
              <c:f>el_prodej!$B$92:$B$118</c:f>
              <c:numCache>
                <c:formatCode>0%</c:formatCode>
                <c:ptCount val="27"/>
                <c:pt idx="0">
                  <c:v>0.30488999999999999</c:v>
                </c:pt>
                <c:pt idx="1">
                  <c:v>0.28635699999999997</c:v>
                </c:pt>
                <c:pt idx="2">
                  <c:v>0.283945</c:v>
                </c:pt>
                <c:pt idx="3">
                  <c:v>0.26563500000000001</c:v>
                </c:pt>
                <c:pt idx="4">
                  <c:v>0.25556600000000002</c:v>
                </c:pt>
                <c:pt idx="5">
                  <c:v>0.24932199999999999</c:v>
                </c:pt>
                <c:pt idx="6">
                  <c:v>0.24274699999999999</c:v>
                </c:pt>
                <c:pt idx="7">
                  <c:v>0.23063900000000001</c:v>
                </c:pt>
                <c:pt idx="8">
                  <c:v>0.21546999999999999</c:v>
                </c:pt>
                <c:pt idx="9">
                  <c:v>0.19353000000000001</c:v>
                </c:pt>
                <c:pt idx="10">
                  <c:v>0.18992899999999999</c:v>
                </c:pt>
                <c:pt idx="11">
                  <c:v>0.189914</c:v>
                </c:pt>
                <c:pt idx="12">
                  <c:v>0.17996200000000001</c:v>
                </c:pt>
                <c:pt idx="13">
                  <c:v>0.17705399999999999</c:v>
                </c:pt>
                <c:pt idx="14">
                  <c:v>0.171485</c:v>
                </c:pt>
                <c:pt idx="15">
                  <c:v>0.15589</c:v>
                </c:pt>
                <c:pt idx="16">
                  <c:v>0.155393</c:v>
                </c:pt>
                <c:pt idx="17">
                  <c:v>0.152807</c:v>
                </c:pt>
                <c:pt idx="18">
                  <c:v>0.141982</c:v>
                </c:pt>
                <c:pt idx="19">
                  <c:v>0.12978300000000001</c:v>
                </c:pt>
                <c:pt idx="20">
                  <c:v>0.12875300000000001</c:v>
                </c:pt>
                <c:pt idx="21">
                  <c:v>0.125836</c:v>
                </c:pt>
                <c:pt idx="22">
                  <c:v>0.11554300000000001</c:v>
                </c:pt>
                <c:pt idx="23">
                  <c:v>0.11494500000000001</c:v>
                </c:pt>
                <c:pt idx="24">
                  <c:v>0.102227</c:v>
                </c:pt>
                <c:pt idx="25">
                  <c:v>7.0664000000000005E-2</c:v>
                </c:pt>
                <c:pt idx="26">
                  <c:v>6.3177999999999998E-2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DE68-497A-9121-A9D7EC7B441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178718592"/>
        <c:axId val="178719744"/>
      </c:barChart>
      <c:barChart>
        <c:barDir val="col"/>
        <c:grouping val="clustered"/>
        <c:varyColors val="0"/>
        <c:ser>
          <c:idx val="1"/>
          <c:order val="1"/>
          <c:tx>
            <c:strRef>
              <c:f>el_prodej!$C$91</c:f>
              <c:strCache>
                <c:ptCount val="1"/>
                <c:pt idx="0">
                  <c:v> z toho pomocí elektronické výměny dat (EDI)</c:v>
                </c:pt>
              </c:strCache>
            </c:strRef>
          </c:tx>
          <c:spPr>
            <a:solidFill>
              <a:srgbClr val="47E5FF"/>
            </a:solidFill>
            <a:ln w="25400">
              <a:noFill/>
            </a:ln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3-DE68-497A-9121-A9D7EC7B4414}"/>
                </c:ext>
              </c:extLst>
            </c:dLbl>
            <c:dLbl>
              <c:idx val="1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4-DE68-497A-9121-A9D7EC7B44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el_prodej!$A$92:$A$118</c:f>
              <c:strCache>
                <c:ptCount val="27"/>
                <c:pt idx="0">
                  <c:v>Česko</c:v>
                </c:pt>
                <c:pt idx="1">
                  <c:v>Dánsko</c:v>
                </c:pt>
                <c:pt idx="2">
                  <c:v>Irsko</c:v>
                </c:pt>
                <c:pt idx="3">
                  <c:v>Belgie</c:v>
                </c:pt>
                <c:pt idx="4">
                  <c:v>Švédsko</c:v>
                </c:pt>
                <c:pt idx="5">
                  <c:v>Finsko</c:v>
                </c:pt>
                <c:pt idx="6">
                  <c:v>Lucembursko</c:v>
                </c:pt>
                <c:pt idx="7">
                  <c:v>Maďarsko</c:v>
                </c:pt>
                <c:pt idx="8">
                  <c:v>Slovensko</c:v>
                </c:pt>
                <c:pt idx="9">
                  <c:v>Španělsko</c:v>
                </c:pt>
                <c:pt idx="10">
                  <c:v>Nizozemsko</c:v>
                </c:pt>
                <c:pt idx="11">
                  <c:v>Portugalsko</c:v>
                </c:pt>
                <c:pt idx="12">
                  <c:v>EU27</c:v>
                </c:pt>
                <c:pt idx="13">
                  <c:v>Německo</c:v>
                </c:pt>
                <c:pt idx="14">
                  <c:v>Slovinsko</c:v>
                </c:pt>
                <c:pt idx="15">
                  <c:v>Estonsko</c:v>
                </c:pt>
                <c:pt idx="16">
                  <c:v>Litva</c:v>
                </c:pt>
                <c:pt idx="17">
                  <c:v>Chorvatsko</c:v>
                </c:pt>
                <c:pt idx="18">
                  <c:v>Rakousko</c:v>
                </c:pt>
                <c:pt idx="19">
                  <c:v>Malta</c:v>
                </c:pt>
                <c:pt idx="20">
                  <c:v>Polsko</c:v>
                </c:pt>
                <c:pt idx="21">
                  <c:v>Kypr</c:v>
                </c:pt>
                <c:pt idx="22">
                  <c:v>Rumunsko</c:v>
                </c:pt>
                <c:pt idx="23">
                  <c:v>Francie</c:v>
                </c:pt>
                <c:pt idx="24">
                  <c:v>Lotyšsko</c:v>
                </c:pt>
                <c:pt idx="25">
                  <c:v>Řecko</c:v>
                </c:pt>
                <c:pt idx="26">
                  <c:v>Bulharsko</c:v>
                </c:pt>
              </c:strCache>
            </c:strRef>
          </c:cat>
          <c:val>
            <c:numRef>
              <c:f>el_prodej!$C$92:$C$118</c:f>
              <c:numCache>
                <c:formatCode>0%</c:formatCode>
                <c:ptCount val="27"/>
                <c:pt idx="0">
                  <c:v>0.21259800000000001</c:v>
                </c:pt>
                <c:pt idx="1">
                  <c:v>0.21617800000000001</c:v>
                </c:pt>
                <c:pt idx="2">
                  <c:v>8.7285000000000001E-2</c:v>
                </c:pt>
                <c:pt idx="3">
                  <c:v>0.17088400000000001</c:v>
                </c:pt>
                <c:pt idx="4">
                  <c:v>0.15081900000000001</c:v>
                </c:pt>
                <c:pt idx="5">
                  <c:v>0.18410099999999999</c:v>
                </c:pt>
                <c:pt idx="7">
                  <c:v>0.16525599999999999</c:v>
                </c:pt>
                <c:pt idx="8">
                  <c:v>0.149536</c:v>
                </c:pt>
                <c:pt idx="9">
                  <c:v>0.107931</c:v>
                </c:pt>
                <c:pt idx="10">
                  <c:v>9.1453000000000007E-2</c:v>
                </c:pt>
                <c:pt idx="11">
                  <c:v>0.11878900000000001</c:v>
                </c:pt>
                <c:pt idx="12">
                  <c:v>0.112457</c:v>
                </c:pt>
                <c:pt idx="13">
                  <c:v>0.105295</c:v>
                </c:pt>
                <c:pt idx="14">
                  <c:v>0.130602</c:v>
                </c:pt>
                <c:pt idx="15">
                  <c:v>8.0488000000000004E-2</c:v>
                </c:pt>
                <c:pt idx="16">
                  <c:v>5.6243000000000001E-2</c:v>
                </c:pt>
                <c:pt idx="17">
                  <c:v>8.2392999999999994E-2</c:v>
                </c:pt>
                <c:pt idx="18">
                  <c:v>9.9235000000000004E-2</c:v>
                </c:pt>
                <c:pt idx="19">
                  <c:v>7.0323999999999998E-2</c:v>
                </c:pt>
                <c:pt idx="20">
                  <c:v>0.11142000000000001</c:v>
                </c:pt>
                <c:pt idx="21">
                  <c:v>3.3208000000000001E-2</c:v>
                </c:pt>
                <c:pt idx="22">
                  <c:v>5.1207999999999997E-2</c:v>
                </c:pt>
                <c:pt idx="23">
                  <c:v>7.6081999999999997E-2</c:v>
                </c:pt>
                <c:pt idx="24">
                  <c:v>4.2953999999999999E-2</c:v>
                </c:pt>
                <c:pt idx="25">
                  <c:v>2.0163E-2</c:v>
                </c:pt>
                <c:pt idx="26">
                  <c:v>2.0376999999999999E-2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DE68-497A-9121-A9D7EC7B44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727168"/>
        <c:axId val="178725632"/>
      </c:barChart>
      <c:catAx>
        <c:axId val="178718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/>
            </a:pPr>
            <a:endParaRPr lang="cs-CZ"/>
          </a:p>
        </c:txPr>
        <c:crossAx val="178719744"/>
        <c:crosses val="autoZero"/>
        <c:auto val="1"/>
        <c:lblAlgn val="ctr"/>
        <c:lblOffset val="100"/>
        <c:noMultiLvlLbl val="0"/>
      </c:catAx>
      <c:valAx>
        <c:axId val="178719744"/>
        <c:scaling>
          <c:orientation val="minMax"/>
          <c:max val="0.4"/>
          <c:min val="0"/>
        </c:scaling>
        <c:delete val="0"/>
        <c:axPos val="l"/>
        <c:majorGridlines>
          <c:spPr>
            <a:ln w="3175">
              <a:solidFill>
                <a:srgbClr val="A6A6A6">
                  <a:alpha val="35000"/>
                </a:srgbClr>
              </a:solidFill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spPr>
          <a:ln w="3175">
            <a:solidFill>
              <a:srgbClr val="868686"/>
            </a:solidFill>
          </a:ln>
        </c:spPr>
        <c:txPr>
          <a:bodyPr/>
          <a:lstStyle/>
          <a:p>
            <a:pPr>
              <a:defRPr sz="700"/>
            </a:pPr>
            <a:endParaRPr lang="cs-CZ"/>
          </a:p>
        </c:txPr>
        <c:crossAx val="178718592"/>
        <c:crosses val="autoZero"/>
        <c:crossBetween val="between"/>
        <c:majorUnit val="5.000000000000001E-2"/>
      </c:valAx>
      <c:valAx>
        <c:axId val="178725632"/>
        <c:scaling>
          <c:orientation val="minMax"/>
          <c:max val="0.30000000000000004"/>
          <c:min val="0"/>
        </c:scaling>
        <c:delete val="1"/>
        <c:axPos val="r"/>
        <c:numFmt formatCode="0%" sourceLinked="1"/>
        <c:majorTickMark val="out"/>
        <c:minorTickMark val="none"/>
        <c:tickLblPos val="nextTo"/>
        <c:crossAx val="178727168"/>
        <c:crosses val="max"/>
        <c:crossBetween val="between"/>
        <c:majorUnit val="0.1"/>
      </c:valAx>
      <c:catAx>
        <c:axId val="1787271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8725632"/>
        <c:crosses val="autoZero"/>
        <c:auto val="1"/>
        <c:lblAlgn val="ctr"/>
        <c:lblOffset val="100"/>
        <c:noMultiLvlLbl val="0"/>
      </c:catAx>
      <c:spPr>
        <a:noFill/>
        <a:ln w="12700">
          <a:noFill/>
          <a:prstDash val="solid"/>
        </a:ln>
      </c:spPr>
    </c:plotArea>
    <c:legend>
      <c:legendPos val="t"/>
      <c:layout>
        <c:manualLayout>
          <c:xMode val="edge"/>
          <c:yMode val="edge"/>
          <c:x val="0.41955602439647199"/>
          <c:y val="5.7131107274692276E-2"/>
          <c:w val="0.41541793142064132"/>
          <c:h val="0.127949749315391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0BAFE-5C4D-4846-A86A-023AED48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2039</TotalTime>
  <Pages>4</Pages>
  <Words>1093</Words>
  <Characters>6452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Burešová Kamila</cp:lastModifiedBy>
  <cp:revision>24</cp:revision>
  <cp:lastPrinted>2017-10-16T09:51:00Z</cp:lastPrinted>
  <dcterms:created xsi:type="dcterms:W3CDTF">2024-01-08T09:26:00Z</dcterms:created>
  <dcterms:modified xsi:type="dcterms:W3CDTF">2024-01-11T13:02:00Z</dcterms:modified>
</cp:coreProperties>
</file>