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drawings/drawing5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6.xml" ContentType="application/vnd.openxmlformats-officedocument.drawingml.chartshapes+xml"/>
  <Override PartName="/word/charts/chart16.xml" ContentType="application/vnd.openxmlformats-officedocument.drawingml.chart+xml"/>
  <Override PartName="/word/theme/themeOverride9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08982" w14:textId="3AF3222A" w:rsidR="001F7008" w:rsidRDefault="001F7008" w:rsidP="002D23AB">
      <w:pPr>
        <w:spacing w:after="0" w:line="240" w:lineRule="auto"/>
      </w:pPr>
      <w:bookmarkStart w:id="0" w:name="_Toc444112494"/>
    </w:p>
    <w:p w14:paraId="1C72731C" w14:textId="77777777" w:rsidR="007D3BFE" w:rsidRDefault="007D3BFE" w:rsidP="002D23AB">
      <w:pPr>
        <w:spacing w:after="0" w:line="240" w:lineRule="auto"/>
      </w:pPr>
    </w:p>
    <w:p w14:paraId="2B095868" w14:textId="21C2D2BA" w:rsidR="00E75E92" w:rsidRPr="002D23AB" w:rsidRDefault="00D80035" w:rsidP="00E75E92">
      <w:pPr>
        <w:spacing w:after="0"/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Školy a školská zařízení 2022/23</w:t>
      </w:r>
    </w:p>
    <w:p w14:paraId="7352F77D" w14:textId="77777777" w:rsidR="002D23AB" w:rsidRDefault="002D23AB" w:rsidP="002D23AB">
      <w:pPr>
        <w:spacing w:after="0"/>
        <w:jc w:val="center"/>
        <w:rPr>
          <w:b/>
          <w:color w:val="C00000"/>
          <w:sz w:val="40"/>
          <w:szCs w:val="40"/>
        </w:rPr>
      </w:pPr>
      <w:r w:rsidRPr="002D23AB">
        <w:rPr>
          <w:b/>
          <w:color w:val="C00000"/>
          <w:sz w:val="40"/>
          <w:szCs w:val="40"/>
        </w:rPr>
        <w:t>Analytická část</w:t>
      </w:r>
    </w:p>
    <w:p w14:paraId="07A98052" w14:textId="6F3E13AE" w:rsidR="002D23AB" w:rsidRDefault="002D23AB" w:rsidP="002D23AB">
      <w:pPr>
        <w:spacing w:after="0"/>
        <w:rPr>
          <w:b/>
          <w:color w:val="C00000"/>
          <w:sz w:val="40"/>
          <w:szCs w:val="40"/>
        </w:rPr>
      </w:pPr>
    </w:p>
    <w:p w14:paraId="4DA75895" w14:textId="77777777" w:rsidR="00FD77AD" w:rsidRPr="00FD77AD" w:rsidRDefault="00FD77AD" w:rsidP="00FD77AD">
      <w:pPr>
        <w:pStyle w:val="Nadpis1"/>
        <w:jc w:val="center"/>
        <w:rPr>
          <w:rFonts w:eastAsia="Times New Roman"/>
          <w:bCs w:val="0"/>
          <w:sz w:val="40"/>
          <w:szCs w:val="40"/>
        </w:rPr>
      </w:pPr>
      <w:bookmarkStart w:id="1" w:name="_Toc142467464"/>
      <w:bookmarkStart w:id="2" w:name="_Toc142547536"/>
      <w:r w:rsidRPr="00FD77AD">
        <w:rPr>
          <w:rFonts w:eastAsia="Times New Roman"/>
          <w:bCs w:val="0"/>
          <w:sz w:val="40"/>
          <w:szCs w:val="40"/>
        </w:rPr>
        <w:t>3. Střední školy</w:t>
      </w:r>
      <w:bookmarkEnd w:id="1"/>
      <w:bookmarkEnd w:id="2"/>
    </w:p>
    <w:p w14:paraId="3B85F804" w14:textId="08E26172" w:rsidR="005D3C3F" w:rsidRDefault="005D3C3F" w:rsidP="002D23AB">
      <w:pPr>
        <w:spacing w:after="0"/>
        <w:rPr>
          <w:szCs w:val="20"/>
        </w:rPr>
      </w:pPr>
    </w:p>
    <w:p w14:paraId="6FC10031" w14:textId="77777777" w:rsidR="00FD77AD" w:rsidRDefault="00FD77AD" w:rsidP="002D23AB">
      <w:pPr>
        <w:spacing w:after="0"/>
        <w:rPr>
          <w:szCs w:val="20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4"/>
        </w:rPr>
        <w:id w:val="-341212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38F708" w14:textId="5D5A4411" w:rsidR="00510068" w:rsidRDefault="00510068">
          <w:pPr>
            <w:pStyle w:val="Nadpisobsahu"/>
            <w:rPr>
              <w:rFonts w:ascii="Arial" w:hAnsi="Arial" w:cs="Arial"/>
              <w:b/>
              <w:color w:val="C00000"/>
            </w:rPr>
          </w:pPr>
          <w:r w:rsidRPr="00510068">
            <w:rPr>
              <w:rFonts w:ascii="Arial" w:hAnsi="Arial" w:cs="Arial"/>
              <w:b/>
              <w:color w:val="C00000"/>
            </w:rPr>
            <w:t>Obsah</w:t>
          </w:r>
          <w:r>
            <w:rPr>
              <w:rFonts w:ascii="Arial" w:hAnsi="Arial" w:cs="Arial"/>
              <w:b/>
              <w:color w:val="C00000"/>
            </w:rPr>
            <w:t>:</w:t>
          </w:r>
        </w:p>
        <w:p w14:paraId="43BF5EF8" w14:textId="77777777" w:rsidR="00510068" w:rsidRPr="00510068" w:rsidRDefault="00510068" w:rsidP="00510068"/>
        <w:p w14:paraId="729B07C9" w14:textId="661CD193" w:rsidR="007964E5" w:rsidRDefault="0051006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2547536" w:history="1">
            <w:r w:rsidR="007964E5" w:rsidRPr="00A74E85">
              <w:rPr>
                <w:rStyle w:val="Hypertextovodkaz"/>
                <w:noProof/>
              </w:rPr>
              <w:t>3. Střední školy</w:t>
            </w:r>
            <w:r w:rsidR="007964E5">
              <w:rPr>
                <w:noProof/>
                <w:webHidden/>
              </w:rPr>
              <w:tab/>
            </w:r>
            <w:r w:rsidR="007964E5">
              <w:rPr>
                <w:noProof/>
                <w:webHidden/>
              </w:rPr>
              <w:fldChar w:fldCharType="begin"/>
            </w:r>
            <w:r w:rsidR="007964E5">
              <w:rPr>
                <w:noProof/>
                <w:webHidden/>
              </w:rPr>
              <w:instrText xml:space="preserve"> PAGEREF _Toc142547536 \h </w:instrText>
            </w:r>
            <w:r w:rsidR="007964E5">
              <w:rPr>
                <w:noProof/>
                <w:webHidden/>
              </w:rPr>
            </w:r>
            <w:r w:rsidR="007964E5">
              <w:rPr>
                <w:noProof/>
                <w:webHidden/>
              </w:rPr>
              <w:fldChar w:fldCharType="separate"/>
            </w:r>
            <w:r w:rsidR="007964E5">
              <w:rPr>
                <w:noProof/>
                <w:webHidden/>
              </w:rPr>
              <w:t>1</w:t>
            </w:r>
            <w:r w:rsidR="007964E5">
              <w:rPr>
                <w:noProof/>
                <w:webHidden/>
              </w:rPr>
              <w:fldChar w:fldCharType="end"/>
            </w:r>
          </w:hyperlink>
        </w:p>
        <w:p w14:paraId="4086A62D" w14:textId="587B3551" w:rsidR="007964E5" w:rsidRDefault="00F215DE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547537" w:history="1">
            <w:r w:rsidR="007964E5" w:rsidRPr="00A74E85">
              <w:rPr>
                <w:rStyle w:val="Hypertextovodkaz"/>
                <w:noProof/>
              </w:rPr>
              <w:t>Shrnutí</w:t>
            </w:r>
            <w:r w:rsidR="007964E5">
              <w:rPr>
                <w:noProof/>
                <w:webHidden/>
              </w:rPr>
              <w:tab/>
            </w:r>
            <w:r w:rsidR="007964E5">
              <w:rPr>
                <w:noProof/>
                <w:webHidden/>
              </w:rPr>
              <w:fldChar w:fldCharType="begin"/>
            </w:r>
            <w:r w:rsidR="007964E5">
              <w:rPr>
                <w:noProof/>
                <w:webHidden/>
              </w:rPr>
              <w:instrText xml:space="preserve"> PAGEREF _Toc142547537 \h </w:instrText>
            </w:r>
            <w:r w:rsidR="007964E5">
              <w:rPr>
                <w:noProof/>
                <w:webHidden/>
              </w:rPr>
            </w:r>
            <w:r w:rsidR="007964E5">
              <w:rPr>
                <w:noProof/>
                <w:webHidden/>
              </w:rPr>
              <w:fldChar w:fldCharType="separate"/>
            </w:r>
            <w:r w:rsidR="007964E5">
              <w:rPr>
                <w:noProof/>
                <w:webHidden/>
              </w:rPr>
              <w:t>2</w:t>
            </w:r>
            <w:r w:rsidR="007964E5">
              <w:rPr>
                <w:noProof/>
                <w:webHidden/>
              </w:rPr>
              <w:fldChar w:fldCharType="end"/>
            </w:r>
          </w:hyperlink>
        </w:p>
        <w:p w14:paraId="08A1E571" w14:textId="7C01A519" w:rsidR="007964E5" w:rsidRDefault="00F215DE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547538" w:history="1">
            <w:r w:rsidR="007964E5" w:rsidRPr="00A74E85">
              <w:rPr>
                <w:rStyle w:val="Hypertextovodkaz"/>
                <w:noProof/>
              </w:rPr>
              <w:t>Úvod</w:t>
            </w:r>
            <w:r w:rsidR="007964E5">
              <w:rPr>
                <w:noProof/>
                <w:webHidden/>
              </w:rPr>
              <w:tab/>
            </w:r>
            <w:r w:rsidR="007964E5">
              <w:rPr>
                <w:noProof/>
                <w:webHidden/>
              </w:rPr>
              <w:fldChar w:fldCharType="begin"/>
            </w:r>
            <w:r w:rsidR="007964E5">
              <w:rPr>
                <w:noProof/>
                <w:webHidden/>
              </w:rPr>
              <w:instrText xml:space="preserve"> PAGEREF _Toc142547538 \h </w:instrText>
            </w:r>
            <w:r w:rsidR="007964E5">
              <w:rPr>
                <w:noProof/>
                <w:webHidden/>
              </w:rPr>
            </w:r>
            <w:r w:rsidR="007964E5">
              <w:rPr>
                <w:noProof/>
                <w:webHidden/>
              </w:rPr>
              <w:fldChar w:fldCharType="separate"/>
            </w:r>
            <w:r w:rsidR="007964E5">
              <w:rPr>
                <w:noProof/>
                <w:webHidden/>
              </w:rPr>
              <w:t>4</w:t>
            </w:r>
            <w:r w:rsidR="007964E5">
              <w:rPr>
                <w:noProof/>
                <w:webHidden/>
              </w:rPr>
              <w:fldChar w:fldCharType="end"/>
            </w:r>
          </w:hyperlink>
        </w:p>
        <w:p w14:paraId="45EBD267" w14:textId="4A4E1E97" w:rsidR="007964E5" w:rsidRDefault="00F215DE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547539" w:history="1">
            <w:r w:rsidR="007964E5" w:rsidRPr="00A74E85">
              <w:rPr>
                <w:rStyle w:val="Hypertextovodkaz"/>
                <w:noProof/>
              </w:rPr>
              <w:t>3.1 Školy, žáci a učitelé celkem</w:t>
            </w:r>
            <w:r w:rsidR="007964E5">
              <w:rPr>
                <w:noProof/>
                <w:webHidden/>
              </w:rPr>
              <w:tab/>
            </w:r>
            <w:r w:rsidR="007964E5">
              <w:rPr>
                <w:noProof/>
                <w:webHidden/>
              </w:rPr>
              <w:fldChar w:fldCharType="begin"/>
            </w:r>
            <w:r w:rsidR="007964E5">
              <w:rPr>
                <w:noProof/>
                <w:webHidden/>
              </w:rPr>
              <w:instrText xml:space="preserve"> PAGEREF _Toc142547539 \h </w:instrText>
            </w:r>
            <w:r w:rsidR="007964E5">
              <w:rPr>
                <w:noProof/>
                <w:webHidden/>
              </w:rPr>
            </w:r>
            <w:r w:rsidR="007964E5">
              <w:rPr>
                <w:noProof/>
                <w:webHidden/>
              </w:rPr>
              <w:fldChar w:fldCharType="separate"/>
            </w:r>
            <w:r w:rsidR="007964E5">
              <w:rPr>
                <w:noProof/>
                <w:webHidden/>
              </w:rPr>
              <w:t>4</w:t>
            </w:r>
            <w:r w:rsidR="007964E5">
              <w:rPr>
                <w:noProof/>
                <w:webHidden/>
              </w:rPr>
              <w:fldChar w:fldCharType="end"/>
            </w:r>
          </w:hyperlink>
        </w:p>
        <w:p w14:paraId="02F395A9" w14:textId="49CCF672" w:rsidR="007964E5" w:rsidRDefault="00F215DE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547540" w:history="1">
            <w:r w:rsidR="007964E5" w:rsidRPr="00A74E85">
              <w:rPr>
                <w:rStyle w:val="Hypertextovodkaz"/>
                <w:noProof/>
              </w:rPr>
              <w:t>3.2 Žáci středních škol dle druhů a oborů vzdělávání</w:t>
            </w:r>
            <w:r w:rsidR="007964E5">
              <w:rPr>
                <w:noProof/>
                <w:webHidden/>
              </w:rPr>
              <w:tab/>
            </w:r>
            <w:r w:rsidR="007964E5">
              <w:rPr>
                <w:noProof/>
                <w:webHidden/>
              </w:rPr>
              <w:fldChar w:fldCharType="begin"/>
            </w:r>
            <w:r w:rsidR="007964E5">
              <w:rPr>
                <w:noProof/>
                <w:webHidden/>
              </w:rPr>
              <w:instrText xml:space="preserve"> PAGEREF _Toc142547540 \h </w:instrText>
            </w:r>
            <w:r w:rsidR="007964E5">
              <w:rPr>
                <w:noProof/>
                <w:webHidden/>
              </w:rPr>
            </w:r>
            <w:r w:rsidR="007964E5">
              <w:rPr>
                <w:noProof/>
                <w:webHidden/>
              </w:rPr>
              <w:fldChar w:fldCharType="separate"/>
            </w:r>
            <w:r w:rsidR="007964E5">
              <w:rPr>
                <w:noProof/>
                <w:webHidden/>
              </w:rPr>
              <w:t>7</w:t>
            </w:r>
            <w:r w:rsidR="007964E5">
              <w:rPr>
                <w:noProof/>
                <w:webHidden/>
              </w:rPr>
              <w:fldChar w:fldCharType="end"/>
            </w:r>
          </w:hyperlink>
        </w:p>
        <w:p w14:paraId="55C11882" w14:textId="0B42D160" w:rsidR="007964E5" w:rsidRDefault="00F215DE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547541" w:history="1">
            <w:r w:rsidR="007964E5" w:rsidRPr="00A74E85">
              <w:rPr>
                <w:rStyle w:val="Hypertextovodkaz"/>
                <w:noProof/>
              </w:rPr>
              <w:t>3.3 Žáci středních škol dle zdravotního postižení a integrace</w:t>
            </w:r>
            <w:r w:rsidR="007964E5">
              <w:rPr>
                <w:noProof/>
                <w:webHidden/>
              </w:rPr>
              <w:tab/>
            </w:r>
            <w:r w:rsidR="007964E5">
              <w:rPr>
                <w:noProof/>
                <w:webHidden/>
              </w:rPr>
              <w:fldChar w:fldCharType="begin"/>
            </w:r>
            <w:r w:rsidR="007964E5">
              <w:rPr>
                <w:noProof/>
                <w:webHidden/>
              </w:rPr>
              <w:instrText xml:space="preserve"> PAGEREF _Toc142547541 \h </w:instrText>
            </w:r>
            <w:r w:rsidR="007964E5">
              <w:rPr>
                <w:noProof/>
                <w:webHidden/>
              </w:rPr>
            </w:r>
            <w:r w:rsidR="007964E5">
              <w:rPr>
                <w:noProof/>
                <w:webHidden/>
              </w:rPr>
              <w:fldChar w:fldCharType="separate"/>
            </w:r>
            <w:r w:rsidR="007964E5">
              <w:rPr>
                <w:noProof/>
                <w:webHidden/>
              </w:rPr>
              <w:t>16</w:t>
            </w:r>
            <w:r w:rsidR="007964E5">
              <w:rPr>
                <w:noProof/>
                <w:webHidden/>
              </w:rPr>
              <w:fldChar w:fldCharType="end"/>
            </w:r>
          </w:hyperlink>
        </w:p>
        <w:p w14:paraId="6BD62232" w14:textId="6C4EFB62" w:rsidR="007964E5" w:rsidRDefault="00F215DE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547542" w:history="1">
            <w:r w:rsidR="007964E5" w:rsidRPr="00A74E85">
              <w:rPr>
                <w:rStyle w:val="Hypertextovodkaz"/>
                <w:noProof/>
              </w:rPr>
              <w:t>3.4 Žáci středních škol dle státní příslušnosti</w:t>
            </w:r>
            <w:r w:rsidR="007964E5">
              <w:rPr>
                <w:noProof/>
                <w:webHidden/>
              </w:rPr>
              <w:tab/>
            </w:r>
            <w:r w:rsidR="007964E5">
              <w:rPr>
                <w:noProof/>
                <w:webHidden/>
              </w:rPr>
              <w:fldChar w:fldCharType="begin"/>
            </w:r>
            <w:r w:rsidR="007964E5">
              <w:rPr>
                <w:noProof/>
                <w:webHidden/>
              </w:rPr>
              <w:instrText xml:space="preserve"> PAGEREF _Toc142547542 \h </w:instrText>
            </w:r>
            <w:r w:rsidR="007964E5">
              <w:rPr>
                <w:noProof/>
                <w:webHidden/>
              </w:rPr>
            </w:r>
            <w:r w:rsidR="007964E5">
              <w:rPr>
                <w:noProof/>
                <w:webHidden/>
              </w:rPr>
              <w:fldChar w:fldCharType="separate"/>
            </w:r>
            <w:r w:rsidR="007964E5">
              <w:rPr>
                <w:noProof/>
                <w:webHidden/>
              </w:rPr>
              <w:t>19</w:t>
            </w:r>
            <w:r w:rsidR="007964E5">
              <w:rPr>
                <w:noProof/>
                <w:webHidden/>
              </w:rPr>
              <w:fldChar w:fldCharType="end"/>
            </w:r>
          </w:hyperlink>
        </w:p>
        <w:p w14:paraId="2D69BFCE" w14:textId="3E418513" w:rsidR="00510068" w:rsidRDefault="00510068">
          <w:r>
            <w:rPr>
              <w:b/>
              <w:bCs/>
            </w:rPr>
            <w:fldChar w:fldCharType="end"/>
          </w:r>
        </w:p>
      </w:sdtContent>
    </w:sdt>
    <w:bookmarkEnd w:id="0"/>
    <w:p w14:paraId="1763E138" w14:textId="296ADB2D" w:rsidR="00D4181F" w:rsidRPr="00D4181F" w:rsidRDefault="00FD77AD" w:rsidP="00FD77AD">
      <w:pPr>
        <w:spacing w:after="0" w:line="240" w:lineRule="auto"/>
        <w:rPr>
          <w:rFonts w:cs="Arial"/>
          <w:sz w:val="18"/>
        </w:rPr>
      </w:pPr>
      <w:r>
        <w:rPr>
          <w:rFonts w:cs="Arial"/>
          <w:sz w:val="18"/>
        </w:rPr>
        <w:br w:type="page"/>
      </w:r>
    </w:p>
    <w:p w14:paraId="4CEEBE4A" w14:textId="1AD593F7" w:rsidR="00D44E0F" w:rsidRPr="00CA3FF4" w:rsidRDefault="00D44E0F" w:rsidP="00CA3FF4">
      <w:pPr>
        <w:pStyle w:val="Nadpis2"/>
        <w:spacing w:after="120"/>
      </w:pPr>
      <w:bookmarkStart w:id="3" w:name="_Toc142547537"/>
      <w:r w:rsidRPr="00CA3FF4">
        <w:lastRenderedPageBreak/>
        <w:t>Shrnutí</w:t>
      </w:r>
      <w:bookmarkEnd w:id="3"/>
    </w:p>
    <w:p w14:paraId="1BAEE62A" w14:textId="1BA4810A" w:rsidR="00D44E0F" w:rsidRDefault="00D44E0F" w:rsidP="00D44E0F">
      <w:pPr>
        <w:spacing w:after="120"/>
        <w:jc w:val="both"/>
        <w:rPr>
          <w:rFonts w:cs="Arial"/>
          <w:szCs w:val="20"/>
        </w:rPr>
      </w:pPr>
      <w:r w:rsidRPr="00497724">
        <w:rPr>
          <w:rFonts w:cs="Arial"/>
          <w:b/>
          <w:szCs w:val="20"/>
        </w:rPr>
        <w:t>Počet žáků středních škol</w:t>
      </w:r>
      <w:r w:rsidRPr="00403EDA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od školního roku 2012/13 do školního roku 2018/19 neustále klesal, a sice ze </w:t>
      </w:r>
      <w:r w:rsidRPr="00CF0747">
        <w:rPr>
          <w:rFonts w:cs="Arial"/>
          <w:szCs w:val="20"/>
        </w:rPr>
        <w:t>470</w:t>
      </w:r>
      <w:r>
        <w:rPr>
          <w:rFonts w:cs="Arial"/>
          <w:szCs w:val="20"/>
        </w:rPr>
        <w:t> </w:t>
      </w:r>
      <w:r w:rsidRPr="00CF0747">
        <w:rPr>
          <w:rFonts w:cs="Arial"/>
          <w:szCs w:val="20"/>
        </w:rPr>
        <w:t>754</w:t>
      </w:r>
      <w:r>
        <w:rPr>
          <w:rFonts w:cs="Arial"/>
          <w:szCs w:val="20"/>
        </w:rPr>
        <w:t xml:space="preserve"> žáků až na 420 814 žáků. Poté začal stoupat a ve školním roce 2022/23 bylo v našich středních školách 463 200 žáků. Růst počtu žáků byl ovlivněn </w:t>
      </w:r>
      <w:r w:rsidR="00A2397C">
        <w:rPr>
          <w:rFonts w:cs="Arial"/>
          <w:szCs w:val="20"/>
        </w:rPr>
        <w:t xml:space="preserve">zejména </w:t>
      </w:r>
      <w:r>
        <w:rPr>
          <w:rFonts w:cs="Arial"/>
          <w:szCs w:val="20"/>
        </w:rPr>
        <w:t xml:space="preserve">tím, že se demografická vlna </w:t>
      </w:r>
      <w:r w:rsidR="001B5267">
        <w:rPr>
          <w:rFonts w:cs="Arial"/>
          <w:szCs w:val="20"/>
        </w:rPr>
        <w:t>v posledních letech přelévala</w:t>
      </w:r>
      <w:r>
        <w:rPr>
          <w:rFonts w:cs="Arial"/>
          <w:szCs w:val="20"/>
        </w:rPr>
        <w:t xml:space="preserve"> ze základních škol na střední. S ohledem na demografický vývoj by bylo možné </w:t>
      </w:r>
      <w:r w:rsidRPr="00403EDA">
        <w:rPr>
          <w:rFonts w:cs="Arial"/>
          <w:szCs w:val="20"/>
        </w:rPr>
        <w:t xml:space="preserve">očekávat, že i v dalších </w:t>
      </w:r>
      <w:r>
        <w:rPr>
          <w:rFonts w:cs="Arial"/>
          <w:szCs w:val="20"/>
        </w:rPr>
        <w:t>minimálně třech školních rocích</w:t>
      </w:r>
      <w:r w:rsidRPr="00403EDA">
        <w:rPr>
          <w:rFonts w:cs="Arial"/>
          <w:szCs w:val="20"/>
        </w:rPr>
        <w:t xml:space="preserve"> počet žáků středních škol poroste</w:t>
      </w:r>
      <w:r>
        <w:rPr>
          <w:rFonts w:cs="Arial"/>
          <w:szCs w:val="20"/>
        </w:rPr>
        <w:t>. Je však třeba upozornit, že kromě demografického vývoje</w:t>
      </w:r>
      <w:r w:rsidR="00C95AD8">
        <w:rPr>
          <w:rFonts w:cs="Arial"/>
          <w:szCs w:val="20"/>
        </w:rPr>
        <w:t xml:space="preserve"> ovlivňují</w:t>
      </w:r>
      <w:r>
        <w:rPr>
          <w:rFonts w:cs="Arial"/>
          <w:szCs w:val="20"/>
        </w:rPr>
        <w:t xml:space="preserve"> počet žáků na školách v České republice</w:t>
      </w:r>
      <w:r w:rsidR="00C95AD8">
        <w:rPr>
          <w:rFonts w:cs="Arial"/>
          <w:szCs w:val="20"/>
        </w:rPr>
        <w:t xml:space="preserve"> i další faktory, </w:t>
      </w:r>
      <w:r w:rsidR="00A2397C">
        <w:rPr>
          <w:rFonts w:cs="Arial"/>
          <w:szCs w:val="20"/>
        </w:rPr>
        <w:t>obzvláště</w:t>
      </w:r>
      <w:r w:rsidR="00C95AD8">
        <w:rPr>
          <w:rFonts w:cs="Arial"/>
          <w:szCs w:val="20"/>
        </w:rPr>
        <w:t xml:space="preserve"> míra migrace. V</w:t>
      </w:r>
      <w:r>
        <w:rPr>
          <w:rFonts w:cs="Arial"/>
          <w:szCs w:val="20"/>
        </w:rPr>
        <w:t xml:space="preserve"> posledním školním roce přibyly </w:t>
      </w:r>
      <w:r w:rsidR="00F76B17">
        <w:rPr>
          <w:rFonts w:cs="Arial"/>
          <w:szCs w:val="20"/>
        </w:rPr>
        <w:t xml:space="preserve">na našich školách v prvé řadě </w:t>
      </w:r>
      <w:r>
        <w:rPr>
          <w:rFonts w:cs="Arial"/>
          <w:szCs w:val="20"/>
        </w:rPr>
        <w:t>děti ukrajinských uprchlíků, což se pro</w:t>
      </w:r>
      <w:r w:rsidR="00102F77">
        <w:rPr>
          <w:rFonts w:cs="Arial"/>
          <w:szCs w:val="20"/>
        </w:rPr>
        <w:t>mítlo ve větší míře do</w:t>
      </w:r>
      <w:r>
        <w:rPr>
          <w:rFonts w:cs="Arial"/>
          <w:szCs w:val="20"/>
        </w:rPr>
        <w:t> počtu žáků základních škol než středních. Zatímco na základních školách bylo v uplynulém školním roce 5,3krát více ukrajinských žáků než ve školním roce 2021/22 a v mateřských školách 3,5krát více, ve středních školách stoupl počet ukrajinských žáků 2,3krát. Budoucí míra migrace a její vliv na počet dětí/žáků ve školách se přitom přirozeně odhaduje hůře než populační vývoj.</w:t>
      </w:r>
    </w:p>
    <w:p w14:paraId="39345659" w14:textId="203EED92" w:rsidR="00D44E0F" w:rsidRDefault="00D44E0F" w:rsidP="00D44E0F">
      <w:pPr>
        <w:spacing w:after="120"/>
        <w:jc w:val="both"/>
        <w:rPr>
          <w:rFonts w:cs="Arial"/>
          <w:szCs w:val="20"/>
        </w:rPr>
      </w:pPr>
      <w:r w:rsidRPr="00336618">
        <w:rPr>
          <w:rFonts w:cs="Arial"/>
          <w:b/>
          <w:szCs w:val="20"/>
        </w:rPr>
        <w:t>Na jeden plný úvazek učitele</w:t>
      </w:r>
      <w:r w:rsidR="00EE0D4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připadalo v průměru 10,9</w:t>
      </w:r>
      <w:r w:rsidRPr="00403EDA">
        <w:rPr>
          <w:rFonts w:cs="Arial"/>
          <w:szCs w:val="20"/>
        </w:rPr>
        <w:t xml:space="preserve"> žáka a v jed</w:t>
      </w:r>
      <w:r w:rsidR="00102F77">
        <w:rPr>
          <w:rFonts w:cs="Arial"/>
          <w:szCs w:val="20"/>
        </w:rPr>
        <w:t>né třídě bylo v průměru</w:t>
      </w:r>
      <w:r w:rsidRPr="00403EDA">
        <w:rPr>
          <w:rFonts w:cs="Arial"/>
          <w:szCs w:val="20"/>
        </w:rPr>
        <w:t xml:space="preserve"> 22</w:t>
      </w:r>
      <w:r w:rsidR="00102F77">
        <w:rPr>
          <w:rFonts w:cs="Arial"/>
          <w:szCs w:val="20"/>
        </w:rPr>
        <w:t>,7 žáka</w:t>
      </w:r>
      <w:r w:rsidRPr="00403EDA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Pro srovnání lze uvést, že</w:t>
      </w:r>
      <w:r w:rsidRPr="00403EDA">
        <w:rPr>
          <w:rFonts w:cs="Arial"/>
          <w:szCs w:val="20"/>
        </w:rPr>
        <w:t xml:space="preserve"> počet žáků </w:t>
      </w:r>
      <w:r>
        <w:rPr>
          <w:rFonts w:cs="Arial"/>
          <w:szCs w:val="20"/>
        </w:rPr>
        <w:t xml:space="preserve">na jednu třídu byl v základních školách o něco nižší (19,7 žáka), naopak počet žáků na jednoho učitele o něco vyšší (13,7 žáka).  </w:t>
      </w:r>
    </w:p>
    <w:p w14:paraId="27E16D6C" w14:textId="57CCB50D" w:rsidR="00D44E0F" w:rsidRPr="00EE0D40" w:rsidRDefault="00D44E0F" w:rsidP="00D44E0F">
      <w:pPr>
        <w:spacing w:after="120"/>
        <w:jc w:val="both"/>
      </w:pPr>
      <w:r w:rsidRPr="008716FA">
        <w:rPr>
          <w:bCs/>
          <w:szCs w:val="20"/>
        </w:rPr>
        <w:t>Ve škol</w:t>
      </w:r>
      <w:r>
        <w:rPr>
          <w:bCs/>
          <w:szCs w:val="20"/>
        </w:rPr>
        <w:t>ním roce 2022/23</w:t>
      </w:r>
      <w:r w:rsidRPr="00B31202">
        <w:rPr>
          <w:bCs/>
          <w:szCs w:val="20"/>
        </w:rPr>
        <w:t xml:space="preserve"> se </w:t>
      </w:r>
      <w:r w:rsidRPr="005D6C5A">
        <w:rPr>
          <w:b/>
          <w:bCs/>
          <w:szCs w:val="20"/>
        </w:rPr>
        <w:t>nejvyšší podíl žáků vzdělával</w:t>
      </w:r>
      <w:r w:rsidRPr="00B31202">
        <w:rPr>
          <w:bCs/>
          <w:szCs w:val="20"/>
        </w:rPr>
        <w:t xml:space="preserve"> </w:t>
      </w:r>
      <w:r w:rsidRPr="005D6C5A">
        <w:rPr>
          <w:b/>
          <w:bCs/>
          <w:szCs w:val="20"/>
        </w:rPr>
        <w:t>v oborech</w:t>
      </w:r>
      <w:r w:rsidRPr="0090753F">
        <w:rPr>
          <w:bCs/>
          <w:szCs w:val="20"/>
        </w:rPr>
        <w:t xml:space="preserve"> odborného vzdělávání s maturitní zkouškou (46,4 %), dále pak v gymnáziích (29,3 %) a pětina žáků se také účastnila odborného vzdělávání s výučním</w:t>
      </w:r>
      <w:r>
        <w:rPr>
          <w:bCs/>
          <w:szCs w:val="20"/>
        </w:rPr>
        <w:t xml:space="preserve"> listem (20,5</w:t>
      </w:r>
      <w:r w:rsidRPr="00B31202">
        <w:rPr>
          <w:bCs/>
          <w:szCs w:val="20"/>
        </w:rPr>
        <w:t> %). Nástavbo</w:t>
      </w:r>
      <w:r>
        <w:rPr>
          <w:bCs/>
          <w:szCs w:val="20"/>
        </w:rPr>
        <w:t>vé studium se týkalo již jen 3,1</w:t>
      </w:r>
      <w:r w:rsidRPr="00B31202">
        <w:rPr>
          <w:bCs/>
          <w:szCs w:val="20"/>
        </w:rPr>
        <w:t> % žáků a střední vzdělávání bez výučního listu a bez ma</w:t>
      </w:r>
      <w:r>
        <w:rPr>
          <w:bCs/>
          <w:szCs w:val="20"/>
        </w:rPr>
        <w:t>turity 0,6 % žáků.</w:t>
      </w:r>
      <w:r w:rsidR="00EE0D40" w:rsidRPr="00EE0D40">
        <w:t xml:space="preserve"> </w:t>
      </w:r>
      <w:r w:rsidR="00EE0D40">
        <w:t>Přitom počet žáků gymnázií bývá v čase poměrně stabilní, zatímco počet žáků ve středních školách s výučním listem a v odborně zaměřených školách s maturitní zkouškou v době zvyšování počtu středoškoláků stoupá a naopak.</w:t>
      </w:r>
    </w:p>
    <w:p w14:paraId="543E6683" w14:textId="34A36A7B" w:rsidR="00D44E0F" w:rsidRDefault="00D44E0F" w:rsidP="00D44E0F">
      <w:pPr>
        <w:spacing w:after="120"/>
        <w:jc w:val="both"/>
      </w:pPr>
      <w:r w:rsidRPr="005D6C5A">
        <w:t>Mezi žáky gymnázií</w:t>
      </w:r>
      <w:r>
        <w:t xml:space="preserve"> tvořily ve školním roce 2022/23 </w:t>
      </w:r>
      <w:r w:rsidRPr="005D6C5A">
        <w:rPr>
          <w:b/>
        </w:rPr>
        <w:t>dívky</w:t>
      </w:r>
      <w:r>
        <w:t xml:space="preserve"> bezmála tři pětiny (56,6</w:t>
      </w:r>
      <w:r w:rsidRPr="004A5668">
        <w:t> %)</w:t>
      </w:r>
      <w:r>
        <w:t xml:space="preserve">. </w:t>
      </w:r>
      <w:r>
        <w:rPr>
          <w:rFonts w:cs="Arial"/>
          <w:szCs w:val="20"/>
        </w:rPr>
        <w:t>Přitom m</w:t>
      </w:r>
      <w:r w:rsidRPr="00BA3BF9">
        <w:rPr>
          <w:rFonts w:cs="Arial"/>
          <w:szCs w:val="20"/>
        </w:rPr>
        <w:t>ezi žáky v nižších ročnících víceletých gymnázií</w:t>
      </w:r>
      <w:r>
        <w:rPr>
          <w:rFonts w:cs="Arial"/>
          <w:szCs w:val="20"/>
        </w:rPr>
        <w:t xml:space="preserve"> spadajících do povinné školní docházky bylo ve školním roce 2022/23 53,1 % dívek, zatímco ve vyšším stupni gymnázia již dívky tvořily tři pětiny z celku (59,1 %). Po ukončení povinné školní docházky na základní škole tak do gymnázií odcházejí ve větší míře dívky než chlapci. </w:t>
      </w:r>
      <w:r w:rsidR="00157E69">
        <w:t>Mírně n</w:t>
      </w:r>
      <w:r>
        <w:t xml:space="preserve">adpoloviční podíl dívek byl i </w:t>
      </w:r>
      <w:r w:rsidRPr="004A5668">
        <w:t>mezi žáky odborného vzd</w:t>
      </w:r>
      <w:r>
        <w:t>ělávání s maturitní zkouškou (51,7 </w:t>
      </w:r>
      <w:r w:rsidRPr="004A5668">
        <w:t>%). Naproti tomu mezi žáky odborného vzdělávání s výučním listem byla dívek jen</w:t>
      </w:r>
      <w:r>
        <w:t xml:space="preserve"> cca třetina (35,0</w:t>
      </w:r>
      <w:r w:rsidRPr="004A5668">
        <w:t> %) a mezi žák</w:t>
      </w:r>
      <w:r>
        <w:t>y nástavbového studia tvořily dívky 43,9</w:t>
      </w:r>
      <w:r w:rsidRPr="004A5668">
        <w:t> %. Z uvedených podílů je zároveň zřejmé, že pakliže se dívky rozhodnou vzdělávat v některém oboru s výučním listem, tak si poté častěji než chlapci doplňují vzdělání do maturitní zkoušky v rámci nástavbového studia.</w:t>
      </w:r>
      <w:r>
        <w:t xml:space="preserve"> </w:t>
      </w:r>
    </w:p>
    <w:p w14:paraId="78EFA06E" w14:textId="3A137AE9" w:rsidR="00D44E0F" w:rsidRDefault="00D44E0F" w:rsidP="00D44E0F">
      <w:pPr>
        <w:spacing w:after="120"/>
        <w:jc w:val="both"/>
      </w:pPr>
      <w:r w:rsidRPr="005D6C5A">
        <w:rPr>
          <w:b/>
        </w:rPr>
        <w:t xml:space="preserve">V regionálním </w:t>
      </w:r>
      <w:r>
        <w:rPr>
          <w:b/>
        </w:rPr>
        <w:t>s</w:t>
      </w:r>
      <w:r w:rsidRPr="005D6C5A">
        <w:rPr>
          <w:b/>
        </w:rPr>
        <w:t>rovnání</w:t>
      </w:r>
      <w:r>
        <w:t xml:space="preserve"> zaznamenal n</w:t>
      </w:r>
      <w:r w:rsidRPr="002A411C">
        <w:t>ejvyšší podíl žáků</w:t>
      </w:r>
      <w:r w:rsidRPr="004A5668">
        <w:t xml:space="preserve"> ve středním vzdělávání bez </w:t>
      </w:r>
      <w:r w:rsidRPr="00562680">
        <w:rPr>
          <w:b/>
        </w:rPr>
        <w:t>maturitní zkoušky</w:t>
      </w:r>
      <w:r w:rsidR="00102F77">
        <w:t xml:space="preserve"> (tj. </w:t>
      </w:r>
      <w:r w:rsidR="000B785C">
        <w:t>max. s výučním listem)</w:t>
      </w:r>
      <w:r>
        <w:t xml:space="preserve"> kraj Ústecký (26,5 %) a Karlovarský (26,1</w:t>
      </w:r>
      <w:r w:rsidRPr="004A5668">
        <w:t> %). Naopak v Praz</w:t>
      </w:r>
      <w:r>
        <w:t>e byl tento podíl nejnižší (13,1</w:t>
      </w:r>
      <w:r w:rsidRPr="004A5668">
        <w:t> %). V Praze byl mezi středoškoláky naopak ze všech krajů ne</w:t>
      </w:r>
      <w:r>
        <w:t xml:space="preserve">jvyšší podíl žáků </w:t>
      </w:r>
      <w:r w:rsidRPr="00562680">
        <w:rPr>
          <w:b/>
        </w:rPr>
        <w:t>gymnázií</w:t>
      </w:r>
      <w:r>
        <w:t xml:space="preserve"> (37,0</w:t>
      </w:r>
      <w:r w:rsidRPr="004A5668">
        <w:t> %) a nadprůměrný</w:t>
      </w:r>
      <w:r>
        <w:t xml:space="preserve"> byl i v Jihomoravském kraji (32,6 %) a kraji Středočeském (29,6</w:t>
      </w:r>
      <w:r w:rsidRPr="004A5668">
        <w:t xml:space="preserve"> %). Nejnižší podíl žáků gymnázií zaznamenal </w:t>
      </w:r>
      <w:r>
        <w:t>kraj Ústecký (24,1</w:t>
      </w:r>
      <w:r w:rsidRPr="004A5668">
        <w:t> %) a Lib</w:t>
      </w:r>
      <w:r>
        <w:t>erecký (23,8 %). Doplňme, že srov</w:t>
      </w:r>
      <w:r w:rsidR="00562680">
        <w:t>nání je činěno dle sídla školy,</w:t>
      </w:r>
      <w:r w:rsidR="00C25935">
        <w:t xml:space="preserve"> přičemž n</w:t>
      </w:r>
      <w:r>
        <w:t>apř. v Praze se vzdělává též spousta žáků s trvalým pobytem ve Středočeském kraji.</w:t>
      </w:r>
    </w:p>
    <w:p w14:paraId="1BEA8AEF" w14:textId="7E2D0D36" w:rsidR="00D44E0F" w:rsidRDefault="00D44E0F" w:rsidP="00D44E0F">
      <w:pPr>
        <w:spacing w:after="120"/>
        <w:jc w:val="both"/>
      </w:pPr>
      <w:r>
        <w:t xml:space="preserve">Pokud jde o </w:t>
      </w:r>
      <w:r w:rsidRPr="00876AC7">
        <w:rPr>
          <w:b/>
        </w:rPr>
        <w:t>střední školy s výučním listem</w:t>
      </w:r>
      <w:r>
        <w:t xml:space="preserve">, </w:t>
      </w:r>
      <w:r w:rsidR="00B84C86">
        <w:t>ze všech skupin oborů</w:t>
      </w:r>
      <w:r w:rsidR="00B84C86" w:rsidRPr="00B84C86">
        <w:t xml:space="preserve"> s více než 1 000 žáků</w:t>
      </w:r>
      <w:r w:rsidR="00B84C86">
        <w:t xml:space="preserve"> vedly </w:t>
      </w:r>
      <w:r>
        <w:t>v</w:t>
      </w:r>
      <w:r w:rsidRPr="00EF2ED7">
        <w:t xml:space="preserve"> počtu žáků ve školních rocích 2017/18 i 2022/23 </w:t>
      </w:r>
      <w:r w:rsidRPr="00876AC7">
        <w:rPr>
          <w:b/>
        </w:rPr>
        <w:t>skupiny oborů</w:t>
      </w:r>
      <w:r w:rsidRPr="00EF2ED7">
        <w:t xml:space="preserve"> z oblasti </w:t>
      </w:r>
      <w:r w:rsidRPr="00876AC7">
        <w:rPr>
          <w:b/>
        </w:rPr>
        <w:t>strojírenství a strojírenské výroby</w:t>
      </w:r>
      <w:r w:rsidRPr="00EF2ED7">
        <w:t xml:space="preserve"> (s</w:t>
      </w:r>
      <w:r w:rsidR="00EE0D40">
        <w:t>e</w:t>
      </w:r>
      <w:r w:rsidRPr="00EF2ED7">
        <w:t xml:space="preserve"> 17 832 žáky ve školním roce 2022/23) a dále </w:t>
      </w:r>
      <w:r w:rsidRPr="00876AC7">
        <w:rPr>
          <w:b/>
        </w:rPr>
        <w:t>gastronomie, hotelnictví a turismus</w:t>
      </w:r>
      <w:r w:rsidR="00EE0D40">
        <w:t xml:space="preserve"> (s</w:t>
      </w:r>
      <w:r w:rsidRPr="00EF2ED7">
        <w:t xml:space="preserve"> 13 573 žáky ve školním roce 2022/23). Obě tyto skupiny oborů přitom zaznamenaly za posledních pět let </w:t>
      </w:r>
      <w:r w:rsidRPr="00876AC7">
        <w:rPr>
          <w:b/>
        </w:rPr>
        <w:t>úbytek počtu žáků</w:t>
      </w:r>
      <w:r w:rsidR="00312D27">
        <w:t xml:space="preserve"> (o 12,2 </w:t>
      </w:r>
      <w:r>
        <w:t>%, resp. o 9,5</w:t>
      </w:r>
      <w:r w:rsidR="00502CB8">
        <w:t> %</w:t>
      </w:r>
      <w:r>
        <w:t>)</w:t>
      </w:r>
      <w:r w:rsidR="00A71967">
        <w:t xml:space="preserve">, </w:t>
      </w:r>
      <w:r w:rsidR="00A71967">
        <w:rPr>
          <w:rFonts w:cs="Arial"/>
          <w:szCs w:val="20"/>
        </w:rPr>
        <w:t>přestože mezi posledními dvěma školními roky se již počet žáků strojírenských oborů nepatrně zvýšil (o 0,7 %)</w:t>
      </w:r>
      <w:r w:rsidRPr="00EF2ED7">
        <w:t xml:space="preserve">. V ostatních skupinách oborů </w:t>
      </w:r>
      <w:r w:rsidR="00562680" w:rsidRPr="00562680">
        <w:t>s více než 1 000 žáků ve školním roce 2022/23</w:t>
      </w:r>
      <w:r w:rsidR="00562680">
        <w:t xml:space="preserve"> </w:t>
      </w:r>
      <w:r w:rsidRPr="00EF2ED7">
        <w:t xml:space="preserve">se naopak počet žáků </w:t>
      </w:r>
      <w:r w:rsidR="00D71BA5">
        <w:t xml:space="preserve">za posledních pět let </w:t>
      </w:r>
      <w:r w:rsidRPr="00EF2ED7">
        <w:t xml:space="preserve">zvýšil. </w:t>
      </w:r>
      <w:r w:rsidRPr="00876AC7">
        <w:rPr>
          <w:b/>
        </w:rPr>
        <w:t>Pokud sledujeme nárůst v procentech, pak ne</w:t>
      </w:r>
      <w:r w:rsidR="00312D27">
        <w:rPr>
          <w:b/>
        </w:rPr>
        <w:t xml:space="preserve">jvýrazněji vzrostl počet žáků </w:t>
      </w:r>
      <w:r w:rsidR="00312D27" w:rsidRPr="00312D27">
        <w:t>v</w:t>
      </w:r>
      <w:r w:rsidR="00312D27">
        <w:t> </w:t>
      </w:r>
      <w:r w:rsidRPr="00312D27">
        <w:t>oborech</w:t>
      </w:r>
      <w:r w:rsidRPr="00876AC7">
        <w:rPr>
          <w:b/>
        </w:rPr>
        <w:t xml:space="preserve"> zdravotnických</w:t>
      </w:r>
      <w:r w:rsidRPr="00876AC7">
        <w:t xml:space="preserve"> (o 43,1 %), zpracování dř</w:t>
      </w:r>
      <w:r w:rsidR="000B785C">
        <w:t>eva a výrobě hudebních nástrojů</w:t>
      </w:r>
      <w:r w:rsidRPr="00876AC7">
        <w:t xml:space="preserve"> (o</w:t>
      </w:r>
      <w:r w:rsidR="00F215DE">
        <w:t> </w:t>
      </w:r>
      <w:r w:rsidR="000B785C">
        <w:t xml:space="preserve">38,3 %) a </w:t>
      </w:r>
      <w:r w:rsidRPr="00876AC7">
        <w:t>v oborech z oblasti elektrotechniky</w:t>
      </w:r>
      <w:r w:rsidRPr="00EF2ED7">
        <w:t>, telekomunikační a výpočetní techniky (o 37,8 %), následuje stavebnictví, geodézie a kartografie (o 29,1 %). Počet žáků ve skupinách oborů elektrotechnika, telekomunikační a výpočetní technika se přitom v absolutním vyjádření zvýšil o 3 253 žáků, což je výrazně nejvíce. Následuje skupina oborů stavebnictví, geodézie a kartografie, ve které se počet žáků zvýšil o 1</w:t>
      </w:r>
      <w:r>
        <w:t> </w:t>
      </w:r>
      <w:r w:rsidRPr="00EF2ED7">
        <w:t>906.</w:t>
      </w:r>
    </w:p>
    <w:p w14:paraId="0FE0A6C1" w14:textId="69E22806" w:rsidR="00D44E0F" w:rsidRDefault="00D44E0F" w:rsidP="00D44E0F">
      <w:pPr>
        <w:spacing w:after="120"/>
        <w:jc w:val="both"/>
      </w:pPr>
      <w:r>
        <w:lastRenderedPageBreak/>
        <w:t xml:space="preserve">Ze skupin oborů </w:t>
      </w:r>
      <w:r w:rsidRPr="00876AC7">
        <w:rPr>
          <w:b/>
        </w:rPr>
        <w:t>středního odborného vzdělávání s maturitní zkouškou</w:t>
      </w:r>
      <w:r>
        <w:t xml:space="preserve"> </w:t>
      </w:r>
      <w:r w:rsidR="00B84C86">
        <w:t xml:space="preserve">s více </w:t>
      </w:r>
      <w:r w:rsidR="00312D27">
        <w:t xml:space="preserve">než 5 000 </w:t>
      </w:r>
      <w:r w:rsidR="00B84C86">
        <w:t xml:space="preserve">žáky </w:t>
      </w:r>
      <w:r w:rsidRPr="00EF2ED7">
        <w:t xml:space="preserve">se mezi pět nejnavštěvovanějších </w:t>
      </w:r>
      <w:r w:rsidRPr="00876AC7">
        <w:rPr>
          <w:b/>
        </w:rPr>
        <w:t>skupin oborů</w:t>
      </w:r>
      <w:r w:rsidRPr="00EF2ED7">
        <w:t xml:space="preserve"> řadila </w:t>
      </w:r>
      <w:r w:rsidR="00EE0D40">
        <w:t xml:space="preserve">v uplynulém školním roce </w:t>
      </w:r>
      <w:r w:rsidRPr="00EF2ED7">
        <w:t xml:space="preserve">ekonomika a administrativa (32 421 žáků), s velkým propadem pak informatické obory (17 841 žáků), obecně odborná příprava (17 778 žáků), zdravotnictví (16 730 žáků) a elektrotechnika, telekomunikační a výpočetní technika (15 898 žáků). </w:t>
      </w:r>
      <w:r>
        <w:t>O</w:t>
      </w:r>
      <w:r w:rsidRPr="00EF2ED7">
        <w:t xml:space="preserve">proti školnímu roku 2017/18 </w:t>
      </w:r>
      <w:r>
        <w:t xml:space="preserve">se </w:t>
      </w:r>
      <w:r w:rsidRPr="00EF2ED7">
        <w:t xml:space="preserve">přitom </w:t>
      </w:r>
      <w:r w:rsidRPr="00876AC7">
        <w:rPr>
          <w:b/>
        </w:rPr>
        <w:t>v absolutním vyjádření nejvíc</w:t>
      </w:r>
      <w:r w:rsidR="00EE0D40">
        <w:rPr>
          <w:b/>
        </w:rPr>
        <w:t>e zvýšil počet žáků v oborech z </w:t>
      </w:r>
      <w:r w:rsidRPr="00876AC7">
        <w:rPr>
          <w:b/>
        </w:rPr>
        <w:t>oblasti ekonomiky a administrativy</w:t>
      </w:r>
      <w:r w:rsidR="00B84C86">
        <w:t xml:space="preserve"> (o </w:t>
      </w:r>
      <w:r w:rsidR="00C25935">
        <w:t>4 </w:t>
      </w:r>
      <w:r w:rsidR="00415DC8">
        <w:t>854</w:t>
      </w:r>
      <w:r>
        <w:t>), které zároveň v </w:t>
      </w:r>
      <w:r w:rsidRPr="00EF2ED7">
        <w:t xml:space="preserve">uplynulém školním roce studoval </w:t>
      </w:r>
      <w:r w:rsidRPr="00876AC7">
        <w:rPr>
          <w:b/>
        </w:rPr>
        <w:t>nejvyšší počet žáků</w:t>
      </w:r>
      <w:r w:rsidRPr="00EF2ED7">
        <w:t xml:space="preserve">. V relativním vyjádření se nejvíce navýšil počet žáků speciálních </w:t>
      </w:r>
      <w:r w:rsidR="00EE0D40">
        <w:t>a interdisciplinárních oborů (o </w:t>
      </w:r>
      <w:r w:rsidRPr="00EF2ED7">
        <w:t>35,8 %), ve kterých se naopak vzdělával nejmenší počet žáků</w:t>
      </w:r>
      <w:r w:rsidR="00415DC8">
        <w:t xml:space="preserve"> (z těch s více než 5 tisíci žáky)</w:t>
      </w:r>
      <w:r w:rsidR="000B785C">
        <w:t xml:space="preserve">. </w:t>
      </w:r>
      <w:r w:rsidRPr="00876AC7">
        <w:rPr>
          <w:b/>
        </w:rPr>
        <w:t>Druhou příčku, a to ať už dle absolutního či relativního přírůstku počtu žáků, obsadily zdravotnické obory</w:t>
      </w:r>
      <w:r w:rsidRPr="00EF2ED7">
        <w:t xml:space="preserve"> (počet ž</w:t>
      </w:r>
      <w:r w:rsidR="00EE0D40">
        <w:t>áků se zvýšil o 4 289, neboli o </w:t>
      </w:r>
      <w:r w:rsidR="00B84C86">
        <w:t>34,5 </w:t>
      </w:r>
      <w:r w:rsidRPr="00EF2ED7">
        <w:t>%). Více než pětinový př</w:t>
      </w:r>
      <w:r>
        <w:t>írůstek pak zaznamenaly obory z </w:t>
      </w:r>
      <w:r w:rsidRPr="00EF2ED7">
        <w:t>oblasti stavebnictví, geodézie a kartografie (o 29,4</w:t>
      </w:r>
      <w:r>
        <w:t xml:space="preserve"> %), informatické obory (o 26,9 </w:t>
      </w:r>
      <w:r w:rsidRPr="00EF2ED7">
        <w:t xml:space="preserve">%), obory z oblasti elektrotechniky, telekomunikační a výpočetní techniky (23 %) a z oblasti umění (20,8 %). </w:t>
      </w:r>
      <w:r w:rsidRPr="00C25935">
        <w:t xml:space="preserve">Naopak </w:t>
      </w:r>
      <w:r w:rsidRPr="00C25935">
        <w:rPr>
          <w:b/>
        </w:rPr>
        <w:t>jedinou skupinou oborů</w:t>
      </w:r>
      <w:r w:rsidR="00C25935" w:rsidRPr="00C25935">
        <w:rPr>
          <w:b/>
        </w:rPr>
        <w:t xml:space="preserve"> </w:t>
      </w:r>
      <w:r w:rsidR="00C25935" w:rsidRPr="00C25935">
        <w:t>s více než 5 000 žáky</w:t>
      </w:r>
      <w:r w:rsidRPr="00C25935">
        <w:t>,</w:t>
      </w:r>
      <w:r w:rsidRPr="00C25935">
        <w:rPr>
          <w:b/>
        </w:rPr>
        <w:t xml:space="preserve"> kde došlo k poklesu počtu žáků, je strojírenství </w:t>
      </w:r>
      <w:r w:rsidR="00312D27">
        <w:rPr>
          <w:b/>
        </w:rPr>
        <w:t>a strojírenská výroba</w:t>
      </w:r>
      <w:r w:rsidRPr="00C25935">
        <w:t>, a sice o 3 085 žáků, neboli o 17,9 %.</w:t>
      </w:r>
      <w:r w:rsidRPr="00EF2ED7">
        <w:t xml:space="preserve"> Počet žáků těchto oborů klesá od školníh</w:t>
      </w:r>
      <w:r w:rsidR="00312D27">
        <w:t>o roku 2017/18 soustavně, a to</w:t>
      </w:r>
      <w:r w:rsidRPr="00EF2ED7">
        <w:t xml:space="preserve"> v průměru o 3,8 % ročně. Naopak počet žáků zdravotnických oborů stoupá již od školního roku 2015/16, a sice v průměru o 5,2 % ročně.</w:t>
      </w:r>
    </w:p>
    <w:p w14:paraId="3869E8DF" w14:textId="74ED6680" w:rsidR="00D44E0F" w:rsidRDefault="00D44E0F" w:rsidP="00D44E0F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Není bez zajímavosti, že v obou druzích </w:t>
      </w:r>
      <w:r w:rsidR="00312D27">
        <w:rPr>
          <w:rFonts w:cs="Arial"/>
          <w:szCs w:val="20"/>
        </w:rPr>
        <w:t xml:space="preserve">odborného </w:t>
      </w:r>
      <w:r>
        <w:rPr>
          <w:rFonts w:cs="Arial"/>
          <w:szCs w:val="20"/>
        </w:rPr>
        <w:t xml:space="preserve">vzdělávání </w:t>
      </w:r>
      <w:r w:rsidR="00312D27">
        <w:rPr>
          <w:rFonts w:cs="Arial"/>
          <w:szCs w:val="20"/>
        </w:rPr>
        <w:t xml:space="preserve">(tj. s výučním listem i s maturitní zkouškou) </w:t>
      </w:r>
      <w:r>
        <w:rPr>
          <w:rFonts w:cs="Arial"/>
          <w:szCs w:val="20"/>
        </w:rPr>
        <w:t>se v posledních době výrazně zvyšoval počet žáků ve skupině oborů zdravotnických. Stejně tomu bylo i u vyšších odborných škol (je jednou z pěti skupin oborů, kde došlo ke zvýšení počtu žáků, podrobněji viz dále v této publikaci), ale též vysokých škol.</w:t>
      </w:r>
      <w:r w:rsidR="00502CB8">
        <w:rPr>
          <w:rFonts w:cs="Arial"/>
          <w:szCs w:val="20"/>
        </w:rPr>
        <w:t xml:space="preserve"> </w:t>
      </w:r>
      <w:r w:rsidR="00102F77">
        <w:rPr>
          <w:rFonts w:cs="Arial"/>
          <w:szCs w:val="20"/>
        </w:rPr>
        <w:t xml:space="preserve">Lze si také všimnout, že v obou druzích vzdělávání zaznamenala </w:t>
      </w:r>
      <w:r w:rsidR="00C25935">
        <w:rPr>
          <w:rFonts w:cs="Arial"/>
          <w:szCs w:val="20"/>
        </w:rPr>
        <w:t>relativně výrazné</w:t>
      </w:r>
      <w:r w:rsidR="00102F77">
        <w:rPr>
          <w:rFonts w:cs="Arial"/>
          <w:szCs w:val="20"/>
        </w:rPr>
        <w:t xml:space="preserve"> snížení počtu žáků v č</w:t>
      </w:r>
      <w:bookmarkStart w:id="4" w:name="_GoBack"/>
      <w:bookmarkEnd w:id="4"/>
      <w:r w:rsidR="00102F77">
        <w:rPr>
          <w:rFonts w:cs="Arial"/>
          <w:szCs w:val="20"/>
        </w:rPr>
        <w:t>ase skupin</w:t>
      </w:r>
      <w:r w:rsidR="00C25935">
        <w:rPr>
          <w:rFonts w:cs="Arial"/>
          <w:szCs w:val="20"/>
        </w:rPr>
        <w:t>a</w:t>
      </w:r>
      <w:r w:rsidR="00102F77">
        <w:rPr>
          <w:rFonts w:cs="Arial"/>
          <w:szCs w:val="20"/>
        </w:rPr>
        <w:t xml:space="preserve"> oborů strojírenství a strojírenské výroby. </w:t>
      </w:r>
    </w:p>
    <w:p w14:paraId="521773AD" w14:textId="516DE102" w:rsidR="00D44E0F" w:rsidRDefault="00D44E0F" w:rsidP="00D44E0F">
      <w:pPr>
        <w:spacing w:after="120"/>
        <w:jc w:val="both"/>
      </w:pPr>
      <w:r w:rsidRPr="00876AC7">
        <w:rPr>
          <w:b/>
        </w:rPr>
        <w:t>Podíl žáků se zdravotním postižením</w:t>
      </w:r>
      <w:r>
        <w:t xml:space="preserve"> byl ve školním roce 2022/23</w:t>
      </w:r>
      <w:r w:rsidRPr="004A5668">
        <w:t xml:space="preserve"> </w:t>
      </w:r>
      <w:r w:rsidR="0044021E">
        <w:t>ve středních</w:t>
      </w:r>
      <w:r w:rsidRPr="004A5668">
        <w:t xml:space="preserve"> školách </w:t>
      </w:r>
      <w:r>
        <w:t xml:space="preserve">oproti školám </w:t>
      </w:r>
      <w:r w:rsidR="0044021E">
        <w:t>základním</w:t>
      </w:r>
      <w:r>
        <w:t xml:space="preserve"> </w:t>
      </w:r>
      <w:r w:rsidR="0044021E">
        <w:t>o poznání nižší</w:t>
      </w:r>
      <w:r>
        <w:t xml:space="preserve"> (</w:t>
      </w:r>
      <w:r w:rsidR="0044021E">
        <w:t>5,8 % oproti 11,7 %</w:t>
      </w:r>
      <w:r w:rsidRPr="004A5668">
        <w:t xml:space="preserve">). </w:t>
      </w:r>
      <w:r>
        <w:t>Za pozitivní lze označit, že m</w:t>
      </w:r>
      <w:r w:rsidRPr="0069462E">
        <w:t xml:space="preserve">ezi školními roky 2012/13 a 2020/21 se výrazně zvýšil podíl žáků se zdravotním postižením integrovaných </w:t>
      </w:r>
      <w:r w:rsidR="0010092F">
        <w:t>do běžných tříd, a sice ze 40,7 </w:t>
      </w:r>
      <w:r w:rsidRPr="0069462E">
        <w:t>% na 68,7 %. Ve školním roce 2021/22 došlo k mírnému poklesu na 67 %, ve školním roce 2022/23 však dosáhl bez tří desetin procentního bodu 70 %, což je za uplynulých 10 let nejvyšší podíl. Obdobný vývoj zaznamenaly i základní škol</w:t>
      </w:r>
      <w:r w:rsidR="000B785C">
        <w:t>y, v mateřských školách byl podíl</w:t>
      </w:r>
      <w:r w:rsidRPr="0069462E">
        <w:t xml:space="preserve"> integrovaných dětí s postižením trvale rostoucí.</w:t>
      </w:r>
      <w:r>
        <w:t xml:space="preserve"> Ve všech úrovních vzdělávání přitom platí, že potvrzenou diagnózu mívají častěji chlapci než dívky.</w:t>
      </w:r>
    </w:p>
    <w:p w14:paraId="68BD8452" w14:textId="73040B43" w:rsidR="00D44E0F" w:rsidRDefault="00D44E0F" w:rsidP="00D44E0F">
      <w:pPr>
        <w:spacing w:after="120"/>
        <w:jc w:val="both"/>
      </w:pPr>
      <w:r w:rsidRPr="004A5668">
        <w:rPr>
          <w:rFonts w:cs="Arial"/>
          <w:szCs w:val="20"/>
        </w:rPr>
        <w:t>Do středních ško</w:t>
      </w:r>
      <w:r>
        <w:rPr>
          <w:rFonts w:cs="Arial"/>
          <w:szCs w:val="20"/>
        </w:rPr>
        <w:t>l docházelo ve školním roce 2022/23</w:t>
      </w:r>
      <w:r w:rsidRPr="004A5668">
        <w:rPr>
          <w:rFonts w:cs="Arial"/>
          <w:szCs w:val="20"/>
        </w:rPr>
        <w:t xml:space="preserve"> celkem </w:t>
      </w:r>
      <w:r w:rsidRPr="002A074E">
        <w:rPr>
          <w:rFonts w:cs="Arial"/>
          <w:szCs w:val="20"/>
        </w:rPr>
        <w:t>14</w:t>
      </w:r>
      <w:r>
        <w:rPr>
          <w:rFonts w:cs="Arial"/>
          <w:szCs w:val="20"/>
        </w:rPr>
        <w:t> </w:t>
      </w:r>
      <w:r w:rsidRPr="002A074E">
        <w:rPr>
          <w:rFonts w:cs="Arial"/>
          <w:szCs w:val="20"/>
        </w:rPr>
        <w:t>128</w:t>
      </w:r>
      <w:r>
        <w:rPr>
          <w:rFonts w:cs="Arial"/>
          <w:szCs w:val="20"/>
        </w:rPr>
        <w:t xml:space="preserve"> </w:t>
      </w:r>
      <w:r w:rsidRPr="004A5668">
        <w:rPr>
          <w:rFonts w:cs="Arial"/>
          <w:szCs w:val="20"/>
        </w:rPr>
        <w:t xml:space="preserve">žáků </w:t>
      </w:r>
      <w:r w:rsidRPr="00876AC7">
        <w:rPr>
          <w:rFonts w:cs="Arial"/>
          <w:b/>
          <w:szCs w:val="20"/>
        </w:rPr>
        <w:t>s jiným než českým státním občanstvím</w:t>
      </w:r>
      <w:r>
        <w:rPr>
          <w:rFonts w:cs="Arial"/>
          <w:szCs w:val="20"/>
        </w:rPr>
        <w:t>, což je 3,1</w:t>
      </w:r>
      <w:r w:rsidRPr="004A5668">
        <w:rPr>
          <w:rFonts w:cs="Arial"/>
          <w:szCs w:val="20"/>
        </w:rPr>
        <w:t> % ze všech žáků středních škol</w:t>
      </w:r>
      <w:r>
        <w:rPr>
          <w:rFonts w:cs="Arial"/>
          <w:szCs w:val="20"/>
        </w:rPr>
        <w:t xml:space="preserve"> a zároveň nejvyšší podíl za uplynulých deset let  - v předešlých letech se tento podíl postupně </w:t>
      </w:r>
      <w:proofErr w:type="gramStart"/>
      <w:r>
        <w:rPr>
          <w:rFonts w:cs="Arial"/>
          <w:szCs w:val="20"/>
        </w:rPr>
        <w:t>zvyšoval z 1,9</w:t>
      </w:r>
      <w:proofErr w:type="gramEnd"/>
      <w:r>
        <w:rPr>
          <w:rFonts w:cs="Arial"/>
          <w:szCs w:val="20"/>
        </w:rPr>
        <w:t xml:space="preserve"> % </w:t>
      </w:r>
      <w:r w:rsidR="00E06A97">
        <w:rPr>
          <w:rFonts w:cs="Arial"/>
          <w:szCs w:val="20"/>
        </w:rPr>
        <w:t>ve školním roce 2012/13 n</w:t>
      </w:r>
      <w:r>
        <w:rPr>
          <w:rFonts w:cs="Arial"/>
          <w:szCs w:val="20"/>
        </w:rPr>
        <w:t>a 2,3 %</w:t>
      </w:r>
      <w:r w:rsidR="00E06A97">
        <w:rPr>
          <w:rFonts w:cs="Arial"/>
          <w:szCs w:val="20"/>
        </w:rPr>
        <w:t xml:space="preserve"> ve školním roce 2021/22</w:t>
      </w:r>
      <w:r w:rsidRPr="004A5668">
        <w:rPr>
          <w:rFonts w:cs="Arial"/>
          <w:szCs w:val="20"/>
        </w:rPr>
        <w:t xml:space="preserve">. </w:t>
      </w:r>
      <w:r w:rsidR="00EE0D40" w:rsidRPr="00F215DE">
        <w:rPr>
          <w:rFonts w:cs="Arial"/>
          <w:szCs w:val="20"/>
        </w:rPr>
        <w:t>P</w:t>
      </w:r>
      <w:r w:rsidRPr="004A5668">
        <w:rPr>
          <w:rFonts w:cs="Arial"/>
          <w:szCs w:val="20"/>
        </w:rPr>
        <w:t xml:space="preserve">odíl cizinců </w:t>
      </w:r>
      <w:r>
        <w:rPr>
          <w:rFonts w:cs="Arial"/>
          <w:szCs w:val="20"/>
        </w:rPr>
        <w:t xml:space="preserve">mezi žáky </w:t>
      </w:r>
      <w:r w:rsidR="00EE0D40">
        <w:rPr>
          <w:rFonts w:cs="Arial"/>
          <w:szCs w:val="20"/>
        </w:rPr>
        <w:t xml:space="preserve">byl </w:t>
      </w:r>
      <w:r>
        <w:rPr>
          <w:rFonts w:cs="Arial"/>
          <w:szCs w:val="20"/>
        </w:rPr>
        <w:t>tradičně nejvyšší v</w:t>
      </w:r>
      <w:r w:rsidR="00EE1A4D">
        <w:rPr>
          <w:rFonts w:cs="Arial"/>
          <w:szCs w:val="20"/>
        </w:rPr>
        <w:t xml:space="preserve">e </w:t>
      </w:r>
      <w:r w:rsidR="003911F6">
        <w:rPr>
          <w:rFonts w:cs="Arial"/>
          <w:szCs w:val="20"/>
        </w:rPr>
        <w:t xml:space="preserve">středních </w:t>
      </w:r>
      <w:r w:rsidR="00EE1A4D">
        <w:rPr>
          <w:rFonts w:cs="Arial"/>
          <w:szCs w:val="20"/>
        </w:rPr>
        <w:t>školách</w:t>
      </w:r>
      <w:r>
        <w:rPr>
          <w:rFonts w:cs="Arial"/>
          <w:szCs w:val="20"/>
        </w:rPr>
        <w:t> Praze (6,3</w:t>
      </w:r>
      <w:r w:rsidRPr="004A5668">
        <w:rPr>
          <w:rFonts w:cs="Arial"/>
          <w:szCs w:val="20"/>
        </w:rPr>
        <w:t xml:space="preserve"> %), </w:t>
      </w:r>
      <w:r>
        <w:rPr>
          <w:rFonts w:cs="Arial"/>
          <w:szCs w:val="20"/>
        </w:rPr>
        <w:t>dále v kraji Karlovarském (5,2 %) a Plzeňském (4,3</w:t>
      </w:r>
      <w:r w:rsidRPr="004A5668">
        <w:rPr>
          <w:rFonts w:cs="Arial"/>
          <w:szCs w:val="20"/>
        </w:rPr>
        <w:t xml:space="preserve"> %). </w:t>
      </w:r>
      <w:r w:rsidR="00EE0D40">
        <w:rPr>
          <w:rFonts w:cs="Arial"/>
          <w:szCs w:val="20"/>
        </w:rPr>
        <w:t>Nejnižších hodnot</w:t>
      </w:r>
      <w:r w:rsidRPr="004A5668">
        <w:rPr>
          <w:rFonts w:cs="Arial"/>
          <w:szCs w:val="20"/>
        </w:rPr>
        <w:t xml:space="preserve"> </w:t>
      </w:r>
      <w:r w:rsidR="00EE0D40">
        <w:rPr>
          <w:rFonts w:cs="Arial"/>
          <w:szCs w:val="20"/>
        </w:rPr>
        <w:t xml:space="preserve">dosahoval </w:t>
      </w:r>
      <w:r w:rsidRPr="004A5668">
        <w:rPr>
          <w:rFonts w:cs="Arial"/>
          <w:szCs w:val="20"/>
        </w:rPr>
        <w:t xml:space="preserve">v kraji </w:t>
      </w:r>
      <w:r>
        <w:rPr>
          <w:rFonts w:cs="Arial"/>
          <w:szCs w:val="20"/>
        </w:rPr>
        <w:t xml:space="preserve">Olomouckém, </w:t>
      </w:r>
      <w:r w:rsidRPr="004A5668">
        <w:rPr>
          <w:rFonts w:cs="Arial"/>
          <w:szCs w:val="20"/>
        </w:rPr>
        <w:t>Moravskoslezském</w:t>
      </w:r>
      <w:r>
        <w:rPr>
          <w:rFonts w:cs="Arial"/>
          <w:szCs w:val="20"/>
        </w:rPr>
        <w:t>, Zlínském</w:t>
      </w:r>
      <w:r w:rsidRPr="004A5668">
        <w:rPr>
          <w:rFonts w:cs="Arial"/>
          <w:szCs w:val="20"/>
        </w:rPr>
        <w:t xml:space="preserve"> a na Vysočině </w:t>
      </w:r>
      <w:r>
        <w:rPr>
          <w:rFonts w:cs="Arial"/>
          <w:szCs w:val="20"/>
        </w:rPr>
        <w:t>(1,4 %, resp. 1,6 %).</w:t>
      </w:r>
    </w:p>
    <w:p w14:paraId="498A1AC6" w14:textId="6EFE700C" w:rsidR="00D44E0F" w:rsidRDefault="00D44E0F" w:rsidP="00D44E0F">
      <w:pPr>
        <w:spacing w:after="120"/>
        <w:jc w:val="both"/>
        <w:rPr>
          <w:rFonts w:cs="Arial"/>
          <w:szCs w:val="20"/>
        </w:rPr>
      </w:pPr>
      <w:r w:rsidRPr="00876AC7">
        <w:rPr>
          <w:rFonts w:cs="Arial"/>
          <w:b/>
          <w:szCs w:val="20"/>
        </w:rPr>
        <w:t>Země původu cizinců</w:t>
      </w:r>
      <w:r>
        <w:rPr>
          <w:rFonts w:cs="Arial"/>
          <w:szCs w:val="20"/>
        </w:rPr>
        <w:t xml:space="preserve"> vzdělávajících se </w:t>
      </w:r>
      <w:r w:rsidR="000B785C">
        <w:rPr>
          <w:rFonts w:cs="Arial"/>
          <w:szCs w:val="20"/>
        </w:rPr>
        <w:t>ve středních</w:t>
      </w:r>
      <w:r>
        <w:rPr>
          <w:rFonts w:cs="Arial"/>
          <w:szCs w:val="20"/>
        </w:rPr>
        <w:t xml:space="preserve"> školách v ČR ve školním roce 2022/23 lze rozdělit na státy EU (21,1 % cizinců), ostatní evropské státy (58,9 % cizinců) a ostatní státy světa, příp. nezjištěná občanství (20,0 %). Každé z této skupiny přitom dominuje jeden stát. </w:t>
      </w:r>
      <w:r w:rsidRPr="006F049A">
        <w:rPr>
          <w:rFonts w:cs="Arial"/>
          <w:b/>
          <w:szCs w:val="20"/>
        </w:rPr>
        <w:t>Ze států EU</w:t>
      </w:r>
      <w:r>
        <w:rPr>
          <w:rFonts w:cs="Arial"/>
          <w:szCs w:val="20"/>
        </w:rPr>
        <w:t xml:space="preserve"> je to Slovensko, 69,3 % žáků cizinců původem z EU tvořili právě Slováci. </w:t>
      </w:r>
      <w:r w:rsidRPr="006F049A">
        <w:rPr>
          <w:rFonts w:cs="Arial"/>
          <w:b/>
          <w:szCs w:val="20"/>
        </w:rPr>
        <w:t>Ze států Evropy, které nejsou v EU</w:t>
      </w:r>
      <w:r w:rsidR="00E06A97">
        <w:rPr>
          <w:rFonts w:cs="Arial"/>
          <w:szCs w:val="20"/>
        </w:rPr>
        <w:t xml:space="preserve">, silně převažuje Ukrajina – </w:t>
      </w:r>
      <w:r>
        <w:rPr>
          <w:rFonts w:cs="Arial"/>
          <w:szCs w:val="20"/>
        </w:rPr>
        <w:t xml:space="preserve">84,9 % žáků cizinců původem z Evropy mimo EU tvořili Ukrajinci. </w:t>
      </w:r>
      <w:r>
        <w:rPr>
          <w:rFonts w:cs="Arial"/>
          <w:b/>
          <w:szCs w:val="20"/>
        </w:rPr>
        <w:t>Ze států</w:t>
      </w:r>
      <w:r w:rsidRPr="006F049A">
        <w:rPr>
          <w:rFonts w:cs="Arial"/>
          <w:b/>
          <w:szCs w:val="20"/>
        </w:rPr>
        <w:t xml:space="preserve"> mimo Evropu</w:t>
      </w:r>
      <w:r>
        <w:rPr>
          <w:rFonts w:cs="Arial"/>
          <w:szCs w:val="20"/>
        </w:rPr>
        <w:t xml:space="preserve"> je zase nejčetněji za</w:t>
      </w:r>
      <w:r w:rsidR="00312D27">
        <w:rPr>
          <w:rFonts w:cs="Arial"/>
          <w:szCs w:val="20"/>
        </w:rPr>
        <w:t>stoupený Vietnam. Dvě třetiny žáků cizinců</w:t>
      </w:r>
      <w:r>
        <w:rPr>
          <w:rFonts w:cs="Arial"/>
          <w:szCs w:val="20"/>
        </w:rPr>
        <w:t xml:space="preserve"> z mimoevropských zemí tvořili Vietnamci (66,8 %).</w:t>
      </w:r>
    </w:p>
    <w:p w14:paraId="11AB5C82" w14:textId="2AEC1722" w:rsidR="00D44E0F" w:rsidRDefault="00D44E0F" w:rsidP="00A71967">
      <w:pPr>
        <w:spacing w:after="120"/>
        <w:jc w:val="both"/>
        <w:rPr>
          <w:rFonts w:cs="Arial"/>
          <w:szCs w:val="20"/>
        </w:rPr>
      </w:pPr>
      <w:r w:rsidRPr="00876AC7">
        <w:rPr>
          <w:rFonts w:cs="Arial"/>
          <w:b/>
          <w:szCs w:val="20"/>
        </w:rPr>
        <w:t>Celkem</w:t>
      </w:r>
      <w:r>
        <w:rPr>
          <w:rFonts w:cs="Arial"/>
          <w:szCs w:val="20"/>
        </w:rPr>
        <w:t xml:space="preserve"> </w:t>
      </w:r>
      <w:r w:rsidRPr="00876AC7">
        <w:rPr>
          <w:rFonts w:cs="Arial"/>
          <w:b/>
          <w:szCs w:val="20"/>
        </w:rPr>
        <w:t>83,9 % ze žáků středních škol cizí státní příslušnosti</w:t>
      </w:r>
      <w:r>
        <w:rPr>
          <w:rFonts w:cs="Arial"/>
          <w:szCs w:val="20"/>
        </w:rPr>
        <w:t xml:space="preserve"> mělo občanství Ukrajinské (50 %), Slovenské (14,6 %), Vietnamské (13,4 %) či Ruské (5,9 %). Ze všech krajů se </w:t>
      </w:r>
      <w:r w:rsidRPr="006E6D7E">
        <w:rPr>
          <w:rFonts w:cs="Arial"/>
          <w:b/>
          <w:szCs w:val="20"/>
        </w:rPr>
        <w:t>nejvyšší počet</w:t>
      </w:r>
      <w:r>
        <w:rPr>
          <w:rFonts w:cs="Arial"/>
          <w:szCs w:val="20"/>
        </w:rPr>
        <w:t xml:space="preserve"> Slováků, Vietnamců, Ukrajinců i Rusů vzdělával na středních školách </w:t>
      </w:r>
      <w:r w:rsidRPr="006E6D7E">
        <w:rPr>
          <w:rFonts w:cs="Arial"/>
          <w:b/>
          <w:szCs w:val="20"/>
        </w:rPr>
        <w:t>v</w:t>
      </w:r>
      <w:r>
        <w:rPr>
          <w:rFonts w:cs="Arial"/>
          <w:b/>
          <w:szCs w:val="20"/>
        </w:rPr>
        <w:t> </w:t>
      </w:r>
      <w:r w:rsidRPr="006E6D7E">
        <w:rPr>
          <w:rFonts w:cs="Arial"/>
          <w:b/>
          <w:szCs w:val="20"/>
        </w:rPr>
        <w:t>Praze</w:t>
      </w:r>
      <w:r w:rsidR="00312D27">
        <w:rPr>
          <w:rFonts w:cs="Arial"/>
          <w:szCs w:val="20"/>
        </w:rPr>
        <w:t>. Ze</w:t>
      </w:r>
      <w:r>
        <w:rPr>
          <w:rFonts w:cs="Arial"/>
          <w:szCs w:val="20"/>
        </w:rPr>
        <w:t xml:space="preserve"> středoškoláků slovenské státní příslušnosti </w:t>
      </w:r>
      <w:r w:rsidR="00312D27">
        <w:rPr>
          <w:rFonts w:cs="Arial"/>
          <w:szCs w:val="20"/>
        </w:rPr>
        <w:t xml:space="preserve">vzdělávajících se </w:t>
      </w:r>
      <w:r>
        <w:rPr>
          <w:rFonts w:cs="Arial"/>
          <w:szCs w:val="20"/>
        </w:rPr>
        <w:t>v České republice se jich na středních školách v Praze vzdělávalo 29,1</w:t>
      </w:r>
      <w:r w:rsidR="00EE0D40">
        <w:rPr>
          <w:rFonts w:cs="Arial"/>
          <w:szCs w:val="20"/>
        </w:rPr>
        <w:t> </w:t>
      </w:r>
      <w:r>
        <w:rPr>
          <w:rFonts w:cs="Arial"/>
          <w:szCs w:val="20"/>
        </w:rPr>
        <w:t>%, z</w:t>
      </w:r>
      <w:r w:rsidR="00312D27">
        <w:rPr>
          <w:rFonts w:cs="Arial"/>
          <w:szCs w:val="20"/>
        </w:rPr>
        <w:t>e</w:t>
      </w:r>
      <w:r>
        <w:rPr>
          <w:rFonts w:cs="Arial"/>
          <w:szCs w:val="20"/>
        </w:rPr>
        <w:t xml:space="preserve"> žáků ukrajinské státní příslušnosti 28,4 % a ze žáků vietnamské státní příslušnosti 28,8 %. Ze žáků ruské státní příslušnosti se jich pak v Praze vzdělávaly </w:t>
      </w:r>
      <w:r w:rsidR="00312D27">
        <w:rPr>
          <w:rFonts w:cs="Arial"/>
          <w:szCs w:val="20"/>
        </w:rPr>
        <w:t xml:space="preserve">téměř </w:t>
      </w:r>
      <w:r>
        <w:rPr>
          <w:rFonts w:cs="Arial"/>
          <w:szCs w:val="20"/>
        </w:rPr>
        <w:t>dvě třetiny (66,0 %).</w:t>
      </w:r>
    </w:p>
    <w:p w14:paraId="3E403F54" w14:textId="77777777" w:rsidR="00FD77AD" w:rsidRPr="00A71967" w:rsidRDefault="00FD77AD" w:rsidP="00A71967">
      <w:pPr>
        <w:spacing w:after="120"/>
        <w:jc w:val="both"/>
        <w:rPr>
          <w:rFonts w:cs="Arial"/>
          <w:szCs w:val="20"/>
        </w:rPr>
      </w:pPr>
    </w:p>
    <w:p w14:paraId="1CAD04F2" w14:textId="6612B74E" w:rsidR="00D44E0F" w:rsidRPr="00CA3FF4" w:rsidRDefault="00D44E0F" w:rsidP="00CA3FF4">
      <w:pPr>
        <w:pStyle w:val="Nadpis2"/>
        <w:spacing w:after="120"/>
      </w:pPr>
      <w:bookmarkStart w:id="5" w:name="_Toc142547538"/>
      <w:r w:rsidRPr="00CA3FF4">
        <w:lastRenderedPageBreak/>
        <w:t>Úvod</w:t>
      </w:r>
      <w:bookmarkEnd w:id="5"/>
    </w:p>
    <w:p w14:paraId="31129FC4" w14:textId="60D8CB42" w:rsidR="00FA7769" w:rsidRPr="00403EDA" w:rsidRDefault="00FA7769" w:rsidP="00FA7769">
      <w:pPr>
        <w:spacing w:after="120"/>
        <w:jc w:val="both"/>
        <w:rPr>
          <w:rFonts w:cs="Arial"/>
          <w:szCs w:val="20"/>
        </w:rPr>
      </w:pPr>
      <w:r w:rsidRPr="00403EDA">
        <w:rPr>
          <w:rFonts w:cs="Arial"/>
          <w:szCs w:val="20"/>
        </w:rPr>
        <w:t>Střední vzdělávání rozvíjí v návaznosti na základní vzdělávání vědomosti, dovednosti a kompetence žáka a připravuje ho na další studium na vysokých a vyšších odborných školách, nebo na kvalifikovaný výkon povolání a pracovních činností. Střední vzdělávání má všeobecný nebo odborný charakter a je ukončeno maturitní zkouškou, výučním listem, nebo závěrečnou zkouškou. Uskutečňuje se v gymnáziu, ve středních odborných školách, středních odborných učilištích a v konzervatořích (více viz</w:t>
      </w:r>
      <w:r w:rsidR="00325C6E">
        <w:rPr>
          <w:rFonts w:cs="Arial"/>
          <w:szCs w:val="20"/>
        </w:rPr>
        <w:t xml:space="preserve"> </w:t>
      </w:r>
      <w:hyperlink r:id="rId8" w:history="1">
        <w:r w:rsidR="00325C6E" w:rsidRPr="00325C6E">
          <w:rPr>
            <w:rStyle w:val="Hypertextovodkaz"/>
            <w:rFonts w:cs="Arial"/>
            <w:szCs w:val="20"/>
          </w:rPr>
          <w:t>zde</w:t>
        </w:r>
      </w:hyperlink>
      <w:r w:rsidRPr="00403EDA">
        <w:rPr>
          <w:rFonts w:cs="Arial"/>
          <w:szCs w:val="20"/>
        </w:rPr>
        <w:t xml:space="preserve">).  </w:t>
      </w:r>
    </w:p>
    <w:p w14:paraId="265E74DA" w14:textId="63421BBE" w:rsidR="00FA7769" w:rsidRDefault="00FA7769" w:rsidP="00D4181F">
      <w:pPr>
        <w:spacing w:after="0"/>
        <w:jc w:val="both"/>
        <w:rPr>
          <w:rFonts w:cs="Arial"/>
          <w:szCs w:val="20"/>
        </w:rPr>
      </w:pPr>
      <w:r w:rsidRPr="00403EDA">
        <w:rPr>
          <w:rFonts w:cs="Arial"/>
          <w:szCs w:val="20"/>
        </w:rPr>
        <w:t>V této kapitole se budeme věnovat středním školám, do kterých nezahrnujeme konzervatoře. V těch lze získat středoškolské vzdělání s maturitou, ovšem završením celkové doby vzdělávání a složením absolutoria získává žák vyšší odborné vzdělání s titulem diplomovaný specialista (</w:t>
      </w:r>
      <w:proofErr w:type="spellStart"/>
      <w:r w:rsidRPr="00403EDA">
        <w:rPr>
          <w:rFonts w:cs="Arial"/>
          <w:szCs w:val="20"/>
        </w:rPr>
        <w:t>DiS</w:t>
      </w:r>
      <w:proofErr w:type="spellEnd"/>
      <w:r w:rsidRPr="00403EDA">
        <w:rPr>
          <w:rFonts w:cs="Arial"/>
          <w:szCs w:val="20"/>
        </w:rPr>
        <w:t>.). Konzervatořím proto budem</w:t>
      </w:r>
      <w:r w:rsidR="00733ACD">
        <w:rPr>
          <w:rFonts w:cs="Arial"/>
          <w:szCs w:val="20"/>
        </w:rPr>
        <w:t>e věnovat samostatnou kapitolu 4</w:t>
      </w:r>
      <w:r w:rsidRPr="00403EDA">
        <w:rPr>
          <w:rFonts w:cs="Arial"/>
          <w:szCs w:val="20"/>
        </w:rPr>
        <w:t>. Na rozdíl od toho jsou do středních škol za</w:t>
      </w:r>
      <w:r w:rsidR="000600CC">
        <w:rPr>
          <w:rFonts w:cs="Arial"/>
          <w:szCs w:val="20"/>
        </w:rPr>
        <w:t>hrnuta všechna gymnázia, tedy i </w:t>
      </w:r>
      <w:r w:rsidRPr="00403EDA">
        <w:rPr>
          <w:rFonts w:cs="Arial"/>
          <w:szCs w:val="20"/>
        </w:rPr>
        <w:t xml:space="preserve">s šestiletým a osmiletým </w:t>
      </w:r>
      <w:r w:rsidR="00C67100">
        <w:rPr>
          <w:rFonts w:cs="Arial"/>
          <w:szCs w:val="20"/>
        </w:rPr>
        <w:t>oborem</w:t>
      </w:r>
      <w:r w:rsidRPr="00403EDA">
        <w:rPr>
          <w:rFonts w:cs="Arial"/>
          <w:szCs w:val="20"/>
        </w:rPr>
        <w:t xml:space="preserve"> vzdělávání. Zde je třeba vzít na vědomí, že nižší ročníky víceletých</w:t>
      </w:r>
      <w:r w:rsidR="001430AD">
        <w:rPr>
          <w:rFonts w:cs="Arial"/>
          <w:szCs w:val="20"/>
        </w:rPr>
        <w:t xml:space="preserve"> gymnázií (</w:t>
      </w:r>
      <w:proofErr w:type="gramStart"/>
      <w:r w:rsidR="001430AD">
        <w:rPr>
          <w:rFonts w:cs="Arial"/>
          <w:szCs w:val="20"/>
        </w:rPr>
        <w:t xml:space="preserve">konkrétně </w:t>
      </w:r>
      <w:r w:rsidRPr="00403EDA">
        <w:rPr>
          <w:rFonts w:cs="Arial"/>
          <w:szCs w:val="20"/>
        </w:rPr>
        <w:t>1.-4. ročník</w:t>
      </w:r>
      <w:proofErr w:type="gramEnd"/>
      <w:r w:rsidRPr="00403EDA">
        <w:rPr>
          <w:rFonts w:cs="Arial"/>
          <w:szCs w:val="20"/>
        </w:rPr>
        <w:t xml:space="preserve"> osmiletého gymnázia a 1.-2. ročník šestiletého gymnázia) spadají ještě do povinné školní docházky</w:t>
      </w:r>
      <w:r w:rsidRPr="00403EDA">
        <w:rPr>
          <w:rStyle w:val="Znakapoznpodarou"/>
          <w:rFonts w:cs="Arial"/>
          <w:szCs w:val="20"/>
        </w:rPr>
        <w:footnoteReference w:id="1"/>
      </w:r>
      <w:r w:rsidR="00D4181F">
        <w:rPr>
          <w:rFonts w:cs="Arial"/>
          <w:szCs w:val="20"/>
        </w:rPr>
        <w:t>.</w:t>
      </w:r>
    </w:p>
    <w:p w14:paraId="7A2F2D06" w14:textId="77777777" w:rsidR="00EE0D40" w:rsidRDefault="00EE0D40" w:rsidP="00D4181F">
      <w:pPr>
        <w:spacing w:after="0"/>
        <w:jc w:val="both"/>
        <w:rPr>
          <w:rFonts w:cs="Arial"/>
          <w:szCs w:val="20"/>
        </w:rPr>
      </w:pPr>
    </w:p>
    <w:p w14:paraId="510689CB" w14:textId="00BAA0A0" w:rsidR="007431D5" w:rsidRPr="00D4181F" w:rsidRDefault="007431D5" w:rsidP="00D4181F">
      <w:pPr>
        <w:spacing w:after="0"/>
        <w:jc w:val="both"/>
        <w:rPr>
          <w:rFonts w:cs="Arial"/>
          <w:szCs w:val="20"/>
        </w:rPr>
      </w:pPr>
    </w:p>
    <w:p w14:paraId="10B5A5E4" w14:textId="77777777" w:rsidR="00FA7769" w:rsidRPr="005E552D" w:rsidRDefault="00FA7769" w:rsidP="00386026">
      <w:pPr>
        <w:pStyle w:val="Nadpis2"/>
      </w:pPr>
      <w:bookmarkStart w:id="6" w:name="_Toc142547539"/>
      <w:r>
        <w:t>3</w:t>
      </w:r>
      <w:r w:rsidRPr="005E552D">
        <w:t>.1 Školy, žáci a učitelé celkem</w:t>
      </w:r>
      <w:bookmarkEnd w:id="6"/>
    </w:p>
    <w:p w14:paraId="23A9D560" w14:textId="375ADFF6" w:rsidR="00FA7769" w:rsidRPr="00403EDA" w:rsidRDefault="003B09D0" w:rsidP="00161404">
      <w:pPr>
        <w:spacing w:before="120"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Ve školním roce 2022/23</w:t>
      </w:r>
      <w:r w:rsidR="00FA7769" w:rsidRPr="00403EDA">
        <w:rPr>
          <w:rFonts w:cs="Arial"/>
          <w:szCs w:val="20"/>
        </w:rPr>
        <w:t xml:space="preserve"> zajišťovalo středoškolské vzdělávání celkem </w:t>
      </w:r>
      <w:r>
        <w:rPr>
          <w:rFonts w:cs="Arial"/>
          <w:b/>
          <w:szCs w:val="20"/>
        </w:rPr>
        <w:t>1 294</w:t>
      </w:r>
      <w:r w:rsidR="00FA7769" w:rsidRPr="00403EDA">
        <w:rPr>
          <w:rFonts w:cs="Arial"/>
          <w:b/>
          <w:szCs w:val="20"/>
        </w:rPr>
        <w:t xml:space="preserve"> škol</w:t>
      </w:r>
      <w:r w:rsidR="00A50F93">
        <w:rPr>
          <w:rFonts w:cs="Arial"/>
          <w:szCs w:val="20"/>
        </w:rPr>
        <w:t>.</w:t>
      </w:r>
      <w:r w:rsidR="00FB509F">
        <w:rPr>
          <w:rStyle w:val="Znakapoznpodarou"/>
          <w:rFonts w:cs="Arial"/>
          <w:szCs w:val="20"/>
        </w:rPr>
        <w:footnoteReference w:id="2"/>
      </w:r>
      <w:r>
        <w:rPr>
          <w:rFonts w:cs="Arial"/>
          <w:szCs w:val="20"/>
        </w:rPr>
        <w:t xml:space="preserve"> Z těchto škol jich bylo 953</w:t>
      </w:r>
      <w:r w:rsidR="00FA7769" w:rsidRPr="00403EDA">
        <w:rPr>
          <w:rFonts w:cs="Arial"/>
          <w:szCs w:val="20"/>
        </w:rPr>
        <w:t xml:space="preserve"> zřízeno veřejným zřizovatelem, dalších </w:t>
      </w:r>
      <w:r>
        <w:rPr>
          <w:rFonts w:cs="Arial"/>
          <w:szCs w:val="20"/>
        </w:rPr>
        <w:t>296 soukromým a zbylých 45</w:t>
      </w:r>
      <w:r w:rsidR="00FA7769" w:rsidRPr="00403EDA">
        <w:rPr>
          <w:rFonts w:cs="Arial"/>
          <w:szCs w:val="20"/>
        </w:rPr>
        <w:t xml:space="preserve"> škol církevním zřizovatelem. Téměř všechny nabízely denní formu vzdělávání</w:t>
      </w:r>
      <w:r>
        <w:rPr>
          <w:rFonts w:cs="Arial"/>
          <w:szCs w:val="20"/>
        </w:rPr>
        <w:t xml:space="preserve"> (99,2</w:t>
      </w:r>
      <w:r w:rsidR="00FA7769" w:rsidRPr="00403EDA">
        <w:rPr>
          <w:rFonts w:cs="Arial"/>
          <w:szCs w:val="20"/>
        </w:rPr>
        <w:t xml:space="preserve"> %) a </w:t>
      </w:r>
      <w:r>
        <w:rPr>
          <w:rFonts w:cs="Arial"/>
          <w:szCs w:val="20"/>
        </w:rPr>
        <w:t>16,1 % (také) jinou formu vzdělávání. Ze soukromých škol nabízelo 30,7</w:t>
      </w:r>
      <w:r w:rsidR="00C83C52">
        <w:rPr>
          <w:rFonts w:cs="Arial"/>
          <w:szCs w:val="20"/>
        </w:rPr>
        <w:t> </w:t>
      </w:r>
      <w:r w:rsidR="00FA7769" w:rsidRPr="00403EDA">
        <w:rPr>
          <w:rFonts w:cs="Arial"/>
          <w:szCs w:val="20"/>
        </w:rPr>
        <w:t>% vzdělávání (i) v jiné formě než denní. Mezi církevními</w:t>
      </w:r>
      <w:r>
        <w:rPr>
          <w:rFonts w:cs="Arial"/>
          <w:szCs w:val="20"/>
        </w:rPr>
        <w:t xml:space="preserve"> školami bylo takových škol 15,6 % a mezi veřejnými 11,5</w:t>
      </w:r>
      <w:r w:rsidR="00FA7769" w:rsidRPr="00403EDA">
        <w:rPr>
          <w:rFonts w:cs="Arial"/>
          <w:szCs w:val="20"/>
        </w:rPr>
        <w:t xml:space="preserve"> %. </w:t>
      </w:r>
    </w:p>
    <w:p w14:paraId="456B8A88" w14:textId="3F10FCBB" w:rsidR="00FA7769" w:rsidRPr="00403EDA" w:rsidRDefault="00FA7769" w:rsidP="00FA7769">
      <w:pPr>
        <w:spacing w:after="120"/>
        <w:jc w:val="both"/>
        <w:rPr>
          <w:rFonts w:cs="Arial"/>
          <w:szCs w:val="20"/>
        </w:rPr>
      </w:pPr>
      <w:r w:rsidRPr="00403EDA">
        <w:rPr>
          <w:rFonts w:cs="Arial"/>
          <w:szCs w:val="20"/>
        </w:rPr>
        <w:t xml:space="preserve">Školy může navštěvovat různý počet žáků a jedno ředitelství může spravovat i více než jedno pracoviště, </w:t>
      </w:r>
      <w:r w:rsidR="00CE3254">
        <w:rPr>
          <w:rFonts w:cs="Arial"/>
          <w:szCs w:val="20"/>
        </w:rPr>
        <w:t>více úrovní vzdělávání, resp. více</w:t>
      </w:r>
      <w:r w:rsidRPr="00403EDA">
        <w:rPr>
          <w:rFonts w:cs="Arial"/>
          <w:szCs w:val="20"/>
        </w:rPr>
        <w:t xml:space="preserve"> druh</w:t>
      </w:r>
      <w:r w:rsidR="00CE3254">
        <w:rPr>
          <w:rFonts w:cs="Arial"/>
          <w:szCs w:val="20"/>
        </w:rPr>
        <w:t>ů</w:t>
      </w:r>
      <w:r w:rsidRPr="00403EDA">
        <w:rPr>
          <w:rFonts w:cs="Arial"/>
          <w:szCs w:val="20"/>
        </w:rPr>
        <w:t xml:space="preserve"> vzdělávání apod. Zajímavějším ukazatelem než počet škol proto většinou bývá </w:t>
      </w:r>
      <w:r w:rsidRPr="00403EDA">
        <w:rPr>
          <w:rFonts w:cs="Arial"/>
          <w:b/>
          <w:szCs w:val="20"/>
        </w:rPr>
        <w:t>počet žáků</w:t>
      </w:r>
      <w:r w:rsidR="00C83C52">
        <w:rPr>
          <w:rFonts w:cs="Arial"/>
          <w:szCs w:val="20"/>
        </w:rPr>
        <w:t>. Těch bylo ve školním roc</w:t>
      </w:r>
      <w:r w:rsidR="006E3F15">
        <w:rPr>
          <w:rFonts w:cs="Arial"/>
          <w:szCs w:val="20"/>
        </w:rPr>
        <w:t>e 2022/23</w:t>
      </w:r>
      <w:r w:rsidRPr="00403EDA">
        <w:rPr>
          <w:rFonts w:cs="Arial"/>
          <w:szCs w:val="20"/>
        </w:rPr>
        <w:t xml:space="preserve"> celkem </w:t>
      </w:r>
      <w:r w:rsidR="006E3F15" w:rsidRPr="006E3F15">
        <w:rPr>
          <w:rFonts w:cs="Arial"/>
          <w:szCs w:val="20"/>
        </w:rPr>
        <w:t>463</w:t>
      </w:r>
      <w:r w:rsidR="006E3F15">
        <w:rPr>
          <w:rFonts w:cs="Arial"/>
          <w:szCs w:val="20"/>
        </w:rPr>
        <w:t> </w:t>
      </w:r>
      <w:r w:rsidR="006E3F15" w:rsidRPr="006E3F15">
        <w:rPr>
          <w:rFonts w:cs="Arial"/>
          <w:szCs w:val="20"/>
        </w:rPr>
        <w:t>200</w:t>
      </w:r>
      <w:r w:rsidRPr="00403EDA">
        <w:rPr>
          <w:rFonts w:cs="Arial"/>
          <w:szCs w:val="20"/>
        </w:rPr>
        <w:t>, podíl chl</w:t>
      </w:r>
      <w:r w:rsidR="00C83C52">
        <w:rPr>
          <w:rFonts w:cs="Arial"/>
          <w:szCs w:val="20"/>
        </w:rPr>
        <w:t xml:space="preserve">apců a dívek byl </w:t>
      </w:r>
      <w:r w:rsidR="00241924">
        <w:rPr>
          <w:rFonts w:cs="Arial"/>
          <w:szCs w:val="20"/>
        </w:rPr>
        <w:t xml:space="preserve">takřka </w:t>
      </w:r>
      <w:r w:rsidR="00C83C52">
        <w:rPr>
          <w:rFonts w:cs="Arial"/>
          <w:szCs w:val="20"/>
        </w:rPr>
        <w:t>vyrovnaný (49,</w:t>
      </w:r>
      <w:r w:rsidR="00B35EBA">
        <w:rPr>
          <w:rFonts w:cs="Arial"/>
          <w:szCs w:val="20"/>
        </w:rPr>
        <w:t>5 % dívek a 50,5</w:t>
      </w:r>
      <w:r w:rsidRPr="00403EDA">
        <w:rPr>
          <w:rFonts w:cs="Arial"/>
          <w:szCs w:val="20"/>
        </w:rPr>
        <w:t xml:space="preserve"> % chlapců). </w:t>
      </w:r>
    </w:p>
    <w:p w14:paraId="49AE6842" w14:textId="4D9F4E09" w:rsidR="00FA7769" w:rsidRPr="00403EDA" w:rsidRDefault="00FA7769" w:rsidP="00FA7769">
      <w:pPr>
        <w:spacing w:after="120"/>
        <w:jc w:val="both"/>
        <w:rPr>
          <w:rFonts w:cs="Arial"/>
          <w:szCs w:val="20"/>
        </w:rPr>
      </w:pPr>
      <w:r w:rsidRPr="00403EDA">
        <w:rPr>
          <w:rFonts w:cs="Arial"/>
          <w:szCs w:val="20"/>
        </w:rPr>
        <w:t>Naprostá většina žáků středních škol se vzdělával</w:t>
      </w:r>
      <w:r w:rsidR="006E3F15">
        <w:rPr>
          <w:rFonts w:cs="Arial"/>
          <w:szCs w:val="20"/>
        </w:rPr>
        <w:t xml:space="preserve">a v denní formě </w:t>
      </w:r>
      <w:r w:rsidR="006E3F15" w:rsidRPr="000C5FB8">
        <w:rPr>
          <w:rFonts w:cs="Arial"/>
          <w:szCs w:val="20"/>
        </w:rPr>
        <w:t>vzdělávání (96,7</w:t>
      </w:r>
      <w:r w:rsidRPr="000C5FB8">
        <w:rPr>
          <w:rFonts w:cs="Arial"/>
          <w:szCs w:val="20"/>
        </w:rPr>
        <w:t xml:space="preserve"> %). Zároveň </w:t>
      </w:r>
      <w:r w:rsidR="000C5FB8" w:rsidRPr="000C5FB8">
        <w:rPr>
          <w:rFonts w:cs="Arial"/>
          <w:szCs w:val="20"/>
        </w:rPr>
        <w:t>82,4</w:t>
      </w:r>
      <w:r w:rsidR="00C01061" w:rsidRPr="000C5FB8">
        <w:rPr>
          <w:rFonts w:cs="Arial"/>
          <w:szCs w:val="20"/>
        </w:rPr>
        <w:t> %</w:t>
      </w:r>
      <w:r w:rsidRPr="000C5FB8">
        <w:rPr>
          <w:rFonts w:cs="Arial"/>
          <w:szCs w:val="20"/>
        </w:rPr>
        <w:t xml:space="preserve"> </w:t>
      </w:r>
      <w:r w:rsidR="00C01061" w:rsidRPr="000C5FB8">
        <w:rPr>
          <w:rFonts w:cs="Arial"/>
          <w:szCs w:val="20"/>
        </w:rPr>
        <w:t>žáků středních škol navštěvovalo</w:t>
      </w:r>
      <w:r w:rsidRPr="000C5FB8">
        <w:rPr>
          <w:rFonts w:cs="Arial"/>
          <w:szCs w:val="20"/>
        </w:rPr>
        <w:t xml:space="preserve"> š</w:t>
      </w:r>
      <w:r w:rsidR="000B741A" w:rsidRPr="000C5FB8">
        <w:rPr>
          <w:rFonts w:cs="Arial"/>
          <w:szCs w:val="20"/>
        </w:rPr>
        <w:t>koly veřej</w:t>
      </w:r>
      <w:r w:rsidR="00C01061" w:rsidRPr="000C5FB8">
        <w:rPr>
          <w:rFonts w:cs="Arial"/>
          <w:szCs w:val="20"/>
        </w:rPr>
        <w:t>ného zřizovatele</w:t>
      </w:r>
      <w:r w:rsidR="000C5FB8" w:rsidRPr="000C5FB8">
        <w:rPr>
          <w:rFonts w:cs="Arial"/>
          <w:szCs w:val="20"/>
        </w:rPr>
        <w:t>, 15,2</w:t>
      </w:r>
      <w:r w:rsidRPr="000C5FB8">
        <w:rPr>
          <w:rFonts w:cs="Arial"/>
          <w:szCs w:val="20"/>
        </w:rPr>
        <w:t> % žáků soukromé školy a 2,4 % církevní</w:t>
      </w:r>
      <w:r w:rsidRPr="000C5FB8">
        <w:rPr>
          <w:rStyle w:val="Znakapoznpodarou"/>
          <w:rFonts w:cs="Arial"/>
          <w:szCs w:val="20"/>
        </w:rPr>
        <w:footnoteReference w:id="3"/>
      </w:r>
      <w:r w:rsidRPr="000C5FB8">
        <w:rPr>
          <w:rFonts w:cs="Arial"/>
          <w:szCs w:val="20"/>
        </w:rPr>
        <w:t>. Zde je typické, že zatímco ve veřejných školách se vzdělávalo jinou než</w:t>
      </w:r>
      <w:r w:rsidR="003849B1" w:rsidRPr="000C5FB8">
        <w:rPr>
          <w:rFonts w:cs="Arial"/>
          <w:szCs w:val="20"/>
        </w:rPr>
        <w:t xml:space="preserve"> denní formou vzdělávání jen 1</w:t>
      </w:r>
      <w:r w:rsidR="000C5FB8" w:rsidRPr="000C5FB8">
        <w:rPr>
          <w:rFonts w:cs="Arial"/>
          <w:szCs w:val="20"/>
        </w:rPr>
        <w:t>,5</w:t>
      </w:r>
      <w:r w:rsidRPr="000C5FB8">
        <w:rPr>
          <w:rFonts w:cs="Arial"/>
          <w:szCs w:val="20"/>
        </w:rPr>
        <w:t> % žáků, v soukromých šk</w:t>
      </w:r>
      <w:r w:rsidR="000C5FB8" w:rsidRPr="000C5FB8">
        <w:rPr>
          <w:rFonts w:cs="Arial"/>
          <w:szCs w:val="20"/>
        </w:rPr>
        <w:t>olách to bylo 13,3</w:t>
      </w:r>
      <w:r w:rsidR="00A22821" w:rsidRPr="000C5FB8">
        <w:rPr>
          <w:rFonts w:cs="Arial"/>
          <w:szCs w:val="20"/>
        </w:rPr>
        <w:t xml:space="preserve"> % a v církevních 3,2</w:t>
      </w:r>
      <w:r w:rsidR="00C01061" w:rsidRPr="000C5FB8">
        <w:rPr>
          <w:rFonts w:cs="Arial"/>
          <w:szCs w:val="20"/>
        </w:rPr>
        <w:t xml:space="preserve"> </w:t>
      </w:r>
      <w:r w:rsidRPr="000C5FB8">
        <w:rPr>
          <w:rFonts w:cs="Arial"/>
          <w:szCs w:val="20"/>
        </w:rPr>
        <w:t>%.</w:t>
      </w:r>
      <w:r w:rsidRPr="00403EDA">
        <w:rPr>
          <w:rFonts w:cs="Arial"/>
          <w:szCs w:val="20"/>
        </w:rPr>
        <w:t xml:space="preserve"> </w:t>
      </w:r>
    </w:p>
    <w:p w14:paraId="4E4A923E" w14:textId="4193EEA9" w:rsidR="003179AB" w:rsidRDefault="00FA7769" w:rsidP="00FA7769">
      <w:pPr>
        <w:spacing w:after="120"/>
        <w:jc w:val="both"/>
        <w:rPr>
          <w:rFonts w:cs="Arial"/>
          <w:szCs w:val="20"/>
        </w:rPr>
      </w:pPr>
      <w:r w:rsidRPr="000C5FB8">
        <w:rPr>
          <w:rFonts w:cs="Arial"/>
          <w:szCs w:val="20"/>
        </w:rPr>
        <w:t>Pokud se jedná</w:t>
      </w:r>
      <w:r w:rsidRPr="00C01061">
        <w:rPr>
          <w:rFonts w:cs="Arial"/>
          <w:szCs w:val="20"/>
        </w:rPr>
        <w:t xml:space="preserve"> o </w:t>
      </w:r>
      <w:r w:rsidRPr="00C01061">
        <w:rPr>
          <w:rFonts w:cs="Arial"/>
          <w:b/>
          <w:szCs w:val="20"/>
        </w:rPr>
        <w:t>učitele</w:t>
      </w:r>
      <w:r w:rsidRPr="00AE13E3">
        <w:rPr>
          <w:rFonts w:cs="Arial"/>
          <w:szCs w:val="20"/>
        </w:rPr>
        <w:t xml:space="preserve"> středních škol, pro účely této publikace u</w:t>
      </w:r>
      <w:r w:rsidR="0032270C" w:rsidRPr="00AE13E3">
        <w:rPr>
          <w:rFonts w:cs="Arial"/>
          <w:szCs w:val="20"/>
        </w:rPr>
        <w:t xml:space="preserve">vádíme jejich přepočtené počty neboli </w:t>
      </w:r>
      <w:r w:rsidRPr="00AE13E3">
        <w:rPr>
          <w:rFonts w:cs="Arial"/>
          <w:szCs w:val="20"/>
        </w:rPr>
        <w:t>počet plných úvazků učitelů. Těch bylo ve školn</w:t>
      </w:r>
      <w:r w:rsidR="0032270C" w:rsidRPr="00AE13E3">
        <w:rPr>
          <w:rFonts w:cs="Arial"/>
          <w:szCs w:val="20"/>
        </w:rPr>
        <w:t>ím roce</w:t>
      </w:r>
      <w:r w:rsidR="000C5FB8">
        <w:rPr>
          <w:rFonts w:cs="Arial"/>
          <w:szCs w:val="20"/>
        </w:rPr>
        <w:t xml:space="preserve"> 2022/23</w:t>
      </w:r>
      <w:r w:rsidRPr="00403EDA">
        <w:rPr>
          <w:rFonts w:cs="Arial"/>
          <w:szCs w:val="20"/>
        </w:rPr>
        <w:t xml:space="preserve"> celkem </w:t>
      </w:r>
      <w:r w:rsidR="000C5FB8" w:rsidRPr="000C5FB8">
        <w:rPr>
          <w:rFonts w:cs="Arial"/>
          <w:szCs w:val="20"/>
        </w:rPr>
        <w:t>42</w:t>
      </w:r>
      <w:r w:rsidR="000C5FB8">
        <w:rPr>
          <w:rFonts w:cs="Arial"/>
          <w:szCs w:val="20"/>
        </w:rPr>
        <w:t> </w:t>
      </w:r>
      <w:r w:rsidR="000C5FB8" w:rsidRPr="000C5FB8">
        <w:rPr>
          <w:rFonts w:cs="Arial"/>
          <w:szCs w:val="20"/>
        </w:rPr>
        <w:t>488,4</w:t>
      </w:r>
      <w:r w:rsidR="000C5FB8">
        <w:rPr>
          <w:rFonts w:cs="Arial"/>
          <w:szCs w:val="20"/>
        </w:rPr>
        <w:t>. Z</w:t>
      </w:r>
      <w:r w:rsidR="00C01061">
        <w:rPr>
          <w:rFonts w:cs="Arial"/>
          <w:szCs w:val="20"/>
        </w:rPr>
        <w:t> </w:t>
      </w:r>
      <w:r w:rsidR="00AE13E3">
        <w:rPr>
          <w:rFonts w:cs="Arial"/>
          <w:szCs w:val="20"/>
        </w:rPr>
        <w:t>toho</w:t>
      </w:r>
      <w:r w:rsidR="000C5FB8">
        <w:rPr>
          <w:rFonts w:cs="Arial"/>
          <w:szCs w:val="20"/>
        </w:rPr>
        <w:t xml:space="preserve"> 9,1</w:t>
      </w:r>
      <w:r w:rsidR="00C01061">
        <w:rPr>
          <w:rFonts w:cs="Arial"/>
          <w:szCs w:val="20"/>
        </w:rPr>
        <w:t xml:space="preserve"> % </w:t>
      </w:r>
      <w:r w:rsidR="000C5FB8">
        <w:rPr>
          <w:rFonts w:cs="Arial"/>
          <w:szCs w:val="20"/>
        </w:rPr>
        <w:t>bylo odučených</w:t>
      </w:r>
      <w:r w:rsidR="00C01061">
        <w:rPr>
          <w:rFonts w:cs="Arial"/>
          <w:szCs w:val="20"/>
        </w:rPr>
        <w:t xml:space="preserve"> na nižším stupni víceletýc</w:t>
      </w:r>
      <w:r w:rsidR="004C0AD8">
        <w:rPr>
          <w:rFonts w:cs="Arial"/>
          <w:szCs w:val="20"/>
        </w:rPr>
        <w:t>h gymnázií spadajících</w:t>
      </w:r>
      <w:r w:rsidR="00C01061">
        <w:rPr>
          <w:rFonts w:cs="Arial"/>
          <w:szCs w:val="20"/>
        </w:rPr>
        <w:t xml:space="preserve"> do povinné školní docházky. </w:t>
      </w:r>
      <w:r w:rsidR="003179AB">
        <w:rPr>
          <w:rFonts w:cs="Arial"/>
          <w:szCs w:val="20"/>
        </w:rPr>
        <w:t>Poznamenejme, že celkový počet uči</w:t>
      </w:r>
      <w:r w:rsidR="000B785C">
        <w:rPr>
          <w:rFonts w:cs="Arial"/>
          <w:szCs w:val="20"/>
        </w:rPr>
        <w:t>telů jakožto fyzických osob byl</w:t>
      </w:r>
      <w:r w:rsidR="003179AB">
        <w:rPr>
          <w:rFonts w:cs="Arial"/>
          <w:szCs w:val="20"/>
        </w:rPr>
        <w:t xml:space="preserve"> </w:t>
      </w:r>
      <w:r w:rsidR="000C5FB8" w:rsidRPr="000C5FB8">
        <w:rPr>
          <w:rFonts w:cs="Arial"/>
          <w:szCs w:val="20"/>
        </w:rPr>
        <w:t>50</w:t>
      </w:r>
      <w:r w:rsidR="000C5FB8">
        <w:rPr>
          <w:rFonts w:cs="Arial"/>
          <w:szCs w:val="20"/>
        </w:rPr>
        <w:t> </w:t>
      </w:r>
      <w:r w:rsidR="000C5FB8" w:rsidRPr="000C5FB8">
        <w:rPr>
          <w:rFonts w:cs="Arial"/>
          <w:szCs w:val="20"/>
        </w:rPr>
        <w:t>528</w:t>
      </w:r>
      <w:r w:rsidR="003179AB">
        <w:rPr>
          <w:rFonts w:cs="Arial"/>
          <w:szCs w:val="20"/>
        </w:rPr>
        <w:t>, což svědčí o tom, že řada učitelů měla zkrácený úvazek (např. na některé specifické předměty či praktickou výuku).</w:t>
      </w:r>
    </w:p>
    <w:p w14:paraId="69973B6D" w14:textId="59C04726" w:rsidR="00C01061" w:rsidRDefault="00C01061" w:rsidP="00FA7769">
      <w:pPr>
        <w:spacing w:after="120"/>
        <w:jc w:val="both"/>
        <w:rPr>
          <w:rFonts w:cs="Arial"/>
          <w:szCs w:val="20"/>
        </w:rPr>
      </w:pPr>
      <w:r w:rsidRPr="00114C62">
        <w:rPr>
          <w:rFonts w:cs="Arial"/>
          <w:szCs w:val="20"/>
        </w:rPr>
        <w:t>Z</w:t>
      </w:r>
      <w:r>
        <w:rPr>
          <w:rFonts w:cs="Arial"/>
          <w:szCs w:val="20"/>
        </w:rPr>
        <w:t xml:space="preserve"> celkového počtu úvazků učitelů pak tři pětiny </w:t>
      </w:r>
      <w:r w:rsidR="00FA7769" w:rsidRPr="00403EDA">
        <w:rPr>
          <w:rFonts w:cs="Arial"/>
          <w:szCs w:val="20"/>
        </w:rPr>
        <w:t xml:space="preserve">tvořily úvazky žen </w:t>
      </w:r>
      <w:r>
        <w:rPr>
          <w:rFonts w:cs="Arial"/>
          <w:szCs w:val="20"/>
        </w:rPr>
        <w:t>–</w:t>
      </w:r>
      <w:r w:rsidR="00FA7769" w:rsidRPr="00403EDA">
        <w:rPr>
          <w:rFonts w:cs="Arial"/>
          <w:szCs w:val="20"/>
        </w:rPr>
        <w:t xml:space="preserve"> </w:t>
      </w:r>
      <w:r w:rsidR="00FA7769" w:rsidRPr="00C01061">
        <w:rPr>
          <w:rFonts w:cs="Arial"/>
          <w:szCs w:val="20"/>
        </w:rPr>
        <w:t>učitelek</w:t>
      </w:r>
      <w:r w:rsidR="00114C62">
        <w:rPr>
          <w:rFonts w:cs="Arial"/>
          <w:szCs w:val="20"/>
        </w:rPr>
        <w:t xml:space="preserve"> (59,9</w:t>
      </w:r>
      <w:r w:rsidRPr="00C01061">
        <w:rPr>
          <w:rFonts w:cs="Arial"/>
          <w:szCs w:val="20"/>
        </w:rPr>
        <w:t> %)</w:t>
      </w:r>
      <w:r w:rsidR="00FA7769" w:rsidRPr="00C01061">
        <w:rPr>
          <w:rFonts w:cs="Arial"/>
          <w:szCs w:val="20"/>
        </w:rPr>
        <w:t>. Jedná se již o nižší podíl, než jaký byl mezi úvaz</w:t>
      </w:r>
      <w:r w:rsidR="00AE13E3" w:rsidRPr="00C01061">
        <w:rPr>
          <w:rFonts w:cs="Arial"/>
          <w:szCs w:val="20"/>
        </w:rPr>
        <w:t>ky učitelů škol mateřs</w:t>
      </w:r>
      <w:r w:rsidR="00114C62">
        <w:rPr>
          <w:rFonts w:cs="Arial"/>
          <w:szCs w:val="20"/>
        </w:rPr>
        <w:t>kých (99,3 %) a základních (83,7</w:t>
      </w:r>
      <w:r w:rsidR="00FA7769" w:rsidRPr="00C01061">
        <w:rPr>
          <w:rFonts w:cs="Arial"/>
          <w:szCs w:val="20"/>
        </w:rPr>
        <w:t> %).</w:t>
      </w:r>
      <w:r w:rsidR="00FA7769" w:rsidRPr="00403EDA">
        <w:rPr>
          <w:rFonts w:cs="Arial"/>
          <w:szCs w:val="20"/>
        </w:rPr>
        <w:t xml:space="preserve"> </w:t>
      </w:r>
    </w:p>
    <w:p w14:paraId="42E2988C" w14:textId="3C5E4245" w:rsidR="00FA7769" w:rsidRPr="00403EDA" w:rsidRDefault="00FA7769" w:rsidP="00FA7769">
      <w:pPr>
        <w:spacing w:after="120"/>
        <w:jc w:val="both"/>
        <w:rPr>
          <w:rFonts w:cs="Arial"/>
          <w:szCs w:val="20"/>
        </w:rPr>
      </w:pPr>
      <w:r w:rsidRPr="00336618">
        <w:rPr>
          <w:rFonts w:cs="Arial"/>
          <w:b/>
          <w:szCs w:val="20"/>
        </w:rPr>
        <w:t>Na jeden plný úvazek učitele</w:t>
      </w:r>
      <w:r w:rsidR="009D5451" w:rsidRPr="00336618">
        <w:rPr>
          <w:rFonts w:cs="Arial"/>
          <w:szCs w:val="20"/>
        </w:rPr>
        <w:t xml:space="preserve"> přitom</w:t>
      </w:r>
      <w:r w:rsidR="009D5451">
        <w:rPr>
          <w:rFonts w:cs="Arial"/>
          <w:szCs w:val="20"/>
        </w:rPr>
        <w:t xml:space="preserve"> připadalo v průměru 10,9</w:t>
      </w:r>
      <w:r w:rsidRPr="00403EDA">
        <w:rPr>
          <w:rFonts w:cs="Arial"/>
          <w:szCs w:val="20"/>
        </w:rPr>
        <w:t xml:space="preserve"> žáka a v jed</w:t>
      </w:r>
      <w:r w:rsidR="00843694">
        <w:rPr>
          <w:rFonts w:cs="Arial"/>
          <w:szCs w:val="20"/>
        </w:rPr>
        <w:t>né třídě bylo průměrně</w:t>
      </w:r>
      <w:r w:rsidRPr="00403EDA">
        <w:rPr>
          <w:rFonts w:cs="Arial"/>
          <w:szCs w:val="20"/>
        </w:rPr>
        <w:t xml:space="preserve"> 22</w:t>
      </w:r>
      <w:r w:rsidR="009D5451">
        <w:rPr>
          <w:rFonts w:cs="Arial"/>
          <w:szCs w:val="20"/>
        </w:rPr>
        <w:t>,7 žáků</w:t>
      </w:r>
      <w:r w:rsidRPr="00403EDA">
        <w:rPr>
          <w:rFonts w:cs="Arial"/>
          <w:szCs w:val="20"/>
        </w:rPr>
        <w:t xml:space="preserve">. Srovnáme-li tyto počty se situací v základních školách, pak počet žáků </w:t>
      </w:r>
      <w:r w:rsidR="00AE13E3">
        <w:rPr>
          <w:rFonts w:cs="Arial"/>
          <w:szCs w:val="20"/>
        </w:rPr>
        <w:t xml:space="preserve">na </w:t>
      </w:r>
      <w:r w:rsidR="00733ACD">
        <w:rPr>
          <w:rFonts w:cs="Arial"/>
          <w:szCs w:val="20"/>
        </w:rPr>
        <w:t xml:space="preserve">jednu </w:t>
      </w:r>
      <w:r w:rsidR="00AE13E3">
        <w:rPr>
          <w:rFonts w:cs="Arial"/>
          <w:szCs w:val="20"/>
        </w:rPr>
        <w:t xml:space="preserve">třídu </w:t>
      </w:r>
      <w:r w:rsidR="00733ACD">
        <w:rPr>
          <w:rFonts w:cs="Arial"/>
          <w:szCs w:val="20"/>
        </w:rPr>
        <w:t xml:space="preserve">byl v základních školách </w:t>
      </w:r>
      <w:r w:rsidR="00C01061">
        <w:rPr>
          <w:rFonts w:cs="Arial"/>
          <w:szCs w:val="20"/>
        </w:rPr>
        <w:t>o něco nižší (</w:t>
      </w:r>
      <w:r w:rsidR="00336618">
        <w:rPr>
          <w:rFonts w:cs="Arial"/>
          <w:szCs w:val="20"/>
        </w:rPr>
        <w:t>19,7</w:t>
      </w:r>
      <w:r w:rsidR="00733ACD">
        <w:rPr>
          <w:rFonts w:cs="Arial"/>
          <w:szCs w:val="20"/>
        </w:rPr>
        <w:t xml:space="preserve"> žáka), naopak počet žáků na jednoho učitele o něco vyšší (</w:t>
      </w:r>
      <w:r w:rsidR="00336618">
        <w:rPr>
          <w:rFonts w:cs="Arial"/>
          <w:szCs w:val="20"/>
        </w:rPr>
        <w:t>13,7</w:t>
      </w:r>
      <w:r w:rsidR="00C01061">
        <w:rPr>
          <w:rFonts w:cs="Arial"/>
          <w:szCs w:val="20"/>
        </w:rPr>
        <w:t xml:space="preserve"> žáka</w:t>
      </w:r>
      <w:r w:rsidR="00733ACD">
        <w:rPr>
          <w:rFonts w:cs="Arial"/>
          <w:szCs w:val="20"/>
        </w:rPr>
        <w:t>)</w:t>
      </w:r>
      <w:r w:rsidR="00AE13E3">
        <w:rPr>
          <w:rFonts w:cs="Arial"/>
          <w:szCs w:val="20"/>
        </w:rPr>
        <w:t xml:space="preserve">.  </w:t>
      </w:r>
    </w:p>
    <w:p w14:paraId="4540E2CD" w14:textId="554DB109" w:rsidR="00DE5304" w:rsidRPr="00403EDA" w:rsidRDefault="00FA7769" w:rsidP="00FA7769">
      <w:pPr>
        <w:spacing w:after="120"/>
        <w:jc w:val="both"/>
        <w:rPr>
          <w:rFonts w:cs="Arial"/>
          <w:szCs w:val="20"/>
        </w:rPr>
      </w:pPr>
      <w:r w:rsidRPr="00336618">
        <w:rPr>
          <w:rFonts w:cs="Arial"/>
          <w:szCs w:val="20"/>
        </w:rPr>
        <w:lastRenderedPageBreak/>
        <w:t xml:space="preserve">Ve </w:t>
      </w:r>
      <w:r w:rsidR="00CE3254" w:rsidRPr="00336618">
        <w:rPr>
          <w:rFonts w:cs="Arial"/>
          <w:szCs w:val="20"/>
        </w:rPr>
        <w:t xml:space="preserve">středních </w:t>
      </w:r>
      <w:r w:rsidRPr="00336618">
        <w:rPr>
          <w:rFonts w:cs="Arial"/>
          <w:szCs w:val="20"/>
        </w:rPr>
        <w:t>školách</w:t>
      </w:r>
      <w:r w:rsidRPr="007825CF">
        <w:rPr>
          <w:rFonts w:cs="Arial"/>
          <w:szCs w:val="20"/>
        </w:rPr>
        <w:t xml:space="preserve"> s veřejným zřizovatelem připadalo</w:t>
      </w:r>
      <w:r w:rsidRPr="00403EDA">
        <w:rPr>
          <w:rFonts w:cs="Arial"/>
          <w:szCs w:val="20"/>
        </w:rPr>
        <w:t xml:space="preserve"> na je</w:t>
      </w:r>
      <w:r w:rsidR="00336618">
        <w:rPr>
          <w:rFonts w:cs="Arial"/>
          <w:szCs w:val="20"/>
        </w:rPr>
        <w:t>dnu třídu o něco více žáků (23,5</w:t>
      </w:r>
      <w:r w:rsidRPr="00403EDA">
        <w:rPr>
          <w:rFonts w:cs="Arial"/>
          <w:szCs w:val="20"/>
        </w:rPr>
        <w:t>), než jak tomu bylo ve školách</w:t>
      </w:r>
      <w:r w:rsidR="00336618">
        <w:rPr>
          <w:rFonts w:cs="Arial"/>
          <w:szCs w:val="20"/>
        </w:rPr>
        <w:t xml:space="preserve"> se soukromým zřizovatelem (19,1</w:t>
      </w:r>
      <w:r w:rsidRPr="00403EDA">
        <w:rPr>
          <w:rFonts w:cs="Arial"/>
          <w:szCs w:val="20"/>
        </w:rPr>
        <w:t xml:space="preserve">). Ve </w:t>
      </w:r>
      <w:r w:rsidR="00DA46A4">
        <w:rPr>
          <w:rFonts w:cs="Arial"/>
          <w:szCs w:val="20"/>
        </w:rPr>
        <w:t xml:space="preserve">středních </w:t>
      </w:r>
      <w:r w:rsidRPr="00403EDA">
        <w:rPr>
          <w:rFonts w:cs="Arial"/>
          <w:szCs w:val="20"/>
        </w:rPr>
        <w:t xml:space="preserve">školách s církevním zřizovatelem však byl počet žáků </w:t>
      </w:r>
      <w:r w:rsidR="007825CF">
        <w:rPr>
          <w:rFonts w:cs="Arial"/>
          <w:szCs w:val="20"/>
        </w:rPr>
        <w:t>na jednu třídu ještě vyšší (24,4</w:t>
      </w:r>
      <w:r w:rsidRPr="00403EDA">
        <w:rPr>
          <w:rFonts w:cs="Arial"/>
          <w:szCs w:val="20"/>
        </w:rPr>
        <w:t xml:space="preserve">). Počet žáků na jednoho učitele byl ve </w:t>
      </w:r>
      <w:r w:rsidR="00DA46A4">
        <w:rPr>
          <w:rFonts w:cs="Arial"/>
          <w:szCs w:val="20"/>
        </w:rPr>
        <w:t xml:space="preserve">středních </w:t>
      </w:r>
      <w:r w:rsidRPr="00403EDA">
        <w:rPr>
          <w:rFonts w:cs="Arial"/>
          <w:szCs w:val="20"/>
        </w:rPr>
        <w:t xml:space="preserve">školách veřejného zřizovatele </w:t>
      </w:r>
      <w:r w:rsidR="00336618">
        <w:rPr>
          <w:rFonts w:cs="Arial"/>
          <w:szCs w:val="20"/>
        </w:rPr>
        <w:t>10,6</w:t>
      </w:r>
      <w:r w:rsidR="00B93526">
        <w:rPr>
          <w:rFonts w:cs="Arial"/>
          <w:szCs w:val="20"/>
        </w:rPr>
        <w:t xml:space="preserve"> žáka oproti </w:t>
      </w:r>
      <w:proofErr w:type="gramStart"/>
      <w:r w:rsidR="00B93526">
        <w:rPr>
          <w:rFonts w:cs="Arial"/>
          <w:szCs w:val="20"/>
        </w:rPr>
        <w:t>12</w:t>
      </w:r>
      <w:r w:rsidR="00C03ADC">
        <w:rPr>
          <w:rFonts w:cs="Arial"/>
          <w:szCs w:val="20"/>
        </w:rPr>
        <w:t>,</w:t>
      </w:r>
      <w:r w:rsidR="00336618">
        <w:rPr>
          <w:rFonts w:cs="Arial"/>
          <w:szCs w:val="20"/>
        </w:rPr>
        <w:t>8</w:t>
      </w:r>
      <w:proofErr w:type="gramEnd"/>
      <w:r w:rsidR="008237DA">
        <w:rPr>
          <w:rFonts w:cs="Arial"/>
          <w:szCs w:val="20"/>
        </w:rPr>
        <w:t xml:space="preserve"> žáka ve školách se soukromým zřizovatelem a </w:t>
      </w:r>
      <w:r w:rsidR="00336618">
        <w:rPr>
          <w:rFonts w:cs="Arial"/>
          <w:szCs w:val="20"/>
        </w:rPr>
        <w:t>12,0 žákům</w:t>
      </w:r>
      <w:r w:rsidR="008237DA">
        <w:rPr>
          <w:rFonts w:cs="Arial"/>
          <w:szCs w:val="20"/>
        </w:rPr>
        <w:t xml:space="preserve"> ve školách církevních. </w:t>
      </w:r>
      <w:r w:rsidRPr="00403EDA">
        <w:rPr>
          <w:rFonts w:cs="Arial"/>
          <w:szCs w:val="20"/>
        </w:rPr>
        <w:t>Vybraná výše uvedená zjištění uvádí tabulka 3.1.</w:t>
      </w:r>
    </w:p>
    <w:p w14:paraId="5BC65915" w14:textId="31CDEF35" w:rsidR="00DE5304" w:rsidRDefault="00FA7769" w:rsidP="007431D5">
      <w:pPr>
        <w:keepNext/>
        <w:spacing w:after="120" w:line="240" w:lineRule="auto"/>
        <w:rPr>
          <w:b/>
        </w:rPr>
      </w:pPr>
      <w:r>
        <w:rPr>
          <w:b/>
        </w:rPr>
        <w:t>Tab. 3</w:t>
      </w:r>
      <w:r w:rsidRPr="00497513">
        <w:rPr>
          <w:b/>
        </w:rPr>
        <w:t>.1</w:t>
      </w:r>
      <w:r w:rsidRPr="005F2BF4">
        <w:t xml:space="preserve"> </w:t>
      </w:r>
      <w:r>
        <w:rPr>
          <w:b/>
        </w:rPr>
        <w:t>Střední</w:t>
      </w:r>
      <w:r w:rsidR="00733ACD">
        <w:rPr>
          <w:b/>
        </w:rPr>
        <w:t xml:space="preserve"> školy</w:t>
      </w:r>
      <w:r w:rsidRPr="005F2BF4">
        <w:rPr>
          <w:b/>
        </w:rPr>
        <w:t xml:space="preserve"> - poč</w:t>
      </w:r>
      <w:r>
        <w:rPr>
          <w:b/>
        </w:rPr>
        <w:t>et škol, žáků</w:t>
      </w:r>
      <w:r w:rsidRPr="005F2BF4">
        <w:rPr>
          <w:b/>
        </w:rPr>
        <w:t xml:space="preserve"> a učitelů celk</w:t>
      </w:r>
      <w:r w:rsidR="00336618">
        <w:rPr>
          <w:b/>
        </w:rPr>
        <w:t>em a dle zřizovatele školy (2022/23</w:t>
      </w:r>
      <w:r w:rsidRPr="005F2BF4">
        <w:rPr>
          <w:b/>
        </w:rPr>
        <w:t>)</w:t>
      </w:r>
    </w:p>
    <w:tbl>
      <w:tblPr>
        <w:tblW w:w="9639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4"/>
        <w:gridCol w:w="974"/>
        <w:gridCol w:w="974"/>
        <w:gridCol w:w="974"/>
        <w:gridCol w:w="974"/>
        <w:gridCol w:w="974"/>
        <w:gridCol w:w="1417"/>
        <w:gridCol w:w="1418"/>
      </w:tblGrid>
      <w:tr w:rsidR="007825CF" w:rsidRPr="007825CF" w14:paraId="4B3550D3" w14:textId="77777777" w:rsidTr="00717F46">
        <w:trPr>
          <w:trHeight w:val="284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44807091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zřizovatel</w:t>
            </w:r>
          </w:p>
        </w:tc>
        <w:tc>
          <w:tcPr>
            <w:tcW w:w="19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14:paraId="0E6B359C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školy</w:t>
            </w:r>
          </w:p>
        </w:tc>
        <w:tc>
          <w:tcPr>
            <w:tcW w:w="19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14:paraId="41F4475C" w14:textId="7627B311" w:rsidR="007825CF" w:rsidRPr="007825CF" w:rsidRDefault="00733ACD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ž</w:t>
            </w:r>
            <w:r w:rsidR="007825CF" w:rsidRPr="007825C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áci</w:t>
            </w:r>
          </w:p>
        </w:tc>
        <w:tc>
          <w:tcPr>
            <w:tcW w:w="19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14:paraId="53627C46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učitelé</w:t>
            </w:r>
            <w:r w:rsidRPr="007825CF">
              <w:rPr>
                <w:rFonts w:cs="Arial"/>
                <w:b/>
                <w:bCs/>
                <w:color w:val="FFFFFF"/>
                <w:sz w:val="16"/>
                <w:szCs w:val="16"/>
                <w:vertAlign w:val="superscript"/>
              </w:rPr>
              <w:t>*)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044659D5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žáků na 1 třídu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19F0F009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žáků na 1 učitele</w:t>
            </w:r>
          </w:p>
        </w:tc>
      </w:tr>
      <w:tr w:rsidR="007825CF" w:rsidRPr="007825CF" w14:paraId="624E8FB1" w14:textId="77777777" w:rsidTr="00717F46">
        <w:trPr>
          <w:trHeight w:val="284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A9A66" w14:textId="77777777" w:rsidR="007825CF" w:rsidRPr="007825CF" w:rsidRDefault="007825CF" w:rsidP="007431D5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2FB21C8A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5EFD99AC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41FD3686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2A2180C2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6255504A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7DF62176" w14:textId="77777777" w:rsidR="007825CF" w:rsidRPr="007825CF" w:rsidRDefault="007825CF" w:rsidP="007431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6EB25D" w14:textId="77777777" w:rsidR="007825CF" w:rsidRPr="007825CF" w:rsidRDefault="007825CF" w:rsidP="007431D5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D756C" w14:textId="77777777" w:rsidR="007825CF" w:rsidRPr="007825CF" w:rsidRDefault="007825CF" w:rsidP="007431D5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F10927" w:rsidRPr="007825CF" w14:paraId="44254864" w14:textId="77777777" w:rsidTr="00A911FA">
        <w:trPr>
          <w:trHeight w:val="284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B62DF" w14:textId="77777777" w:rsidR="00F10927" w:rsidRPr="007825CF" w:rsidRDefault="00F10927" w:rsidP="00F10927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color w:val="000000"/>
                <w:sz w:val="16"/>
                <w:szCs w:val="16"/>
              </w:rPr>
              <w:t>veřejný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0298" w14:textId="440C2CCF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953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9452E" w14:textId="6E75D93D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73,6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C5E3" w14:textId="16478232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381</w:t>
            </w:r>
            <w:r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860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75693" w14:textId="1258CD58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82,4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3FB1" w14:textId="4A8BA3FB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36</w:t>
            </w:r>
            <w:r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084,3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512BD" w14:textId="2DBA4932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84,9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A14B" w14:textId="66C49FA3" w:rsidR="00F10927" w:rsidRPr="007825CF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4A2C5" w14:textId="4854CC5B" w:rsidR="00F10927" w:rsidRPr="00A911FA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11FA">
              <w:rPr>
                <w:sz w:val="16"/>
                <w:szCs w:val="16"/>
              </w:rPr>
              <w:t>10,6</w:t>
            </w:r>
          </w:p>
        </w:tc>
      </w:tr>
      <w:tr w:rsidR="00F10927" w:rsidRPr="007825CF" w14:paraId="3345F798" w14:textId="77777777" w:rsidTr="00A911FA">
        <w:trPr>
          <w:trHeight w:val="284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70296" w14:textId="77777777" w:rsidR="00F10927" w:rsidRPr="007825CF" w:rsidRDefault="00F10927" w:rsidP="00F10927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color w:val="000000"/>
                <w:sz w:val="16"/>
                <w:szCs w:val="16"/>
              </w:rPr>
              <w:t>soukromý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21A9" w14:textId="3A3CEAA7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296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74330" w14:textId="59C959A4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22,9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4668" w14:textId="03D6820A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70</w:t>
            </w:r>
            <w:r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232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EBF93" w14:textId="37ECE032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15,2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424A" w14:textId="647238EB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478,4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4138E" w14:textId="5B72CF00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12,9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2665" w14:textId="3C8EAE18" w:rsidR="00F10927" w:rsidRPr="007825CF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0DB9D" w14:textId="7A556D82" w:rsidR="00F10927" w:rsidRPr="00A911FA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11FA">
              <w:rPr>
                <w:sz w:val="16"/>
                <w:szCs w:val="16"/>
              </w:rPr>
              <w:t>12,8</w:t>
            </w:r>
          </w:p>
        </w:tc>
      </w:tr>
      <w:tr w:rsidR="00F10927" w:rsidRPr="007825CF" w14:paraId="07A423C9" w14:textId="77777777" w:rsidTr="00A911FA">
        <w:trPr>
          <w:trHeight w:val="284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848BB" w14:textId="77777777" w:rsidR="00F10927" w:rsidRPr="007825CF" w:rsidRDefault="00F10927" w:rsidP="00F10927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color w:val="000000"/>
                <w:sz w:val="16"/>
                <w:szCs w:val="16"/>
              </w:rPr>
              <w:t>církevní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DE7C" w14:textId="5D514293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45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2FDD" w14:textId="15EE0F2C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3,5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6EBA8" w14:textId="3BB832CC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108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529E" w14:textId="619A877F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2,4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45ED" w14:textId="54989C59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925,7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0565D" w14:textId="5B697EB8" w:rsidR="00F10927" w:rsidRPr="000B785C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0B785C">
              <w:rPr>
                <w:i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E947" w14:textId="77777777" w:rsidR="00F10927" w:rsidRPr="007825CF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B2B2C" w14:textId="3AD704C7" w:rsidR="00F10927" w:rsidRPr="00A911FA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911FA">
              <w:rPr>
                <w:sz w:val="16"/>
                <w:szCs w:val="16"/>
              </w:rPr>
              <w:t>12,0</w:t>
            </w:r>
          </w:p>
        </w:tc>
      </w:tr>
      <w:tr w:rsidR="00F10927" w:rsidRPr="007825CF" w14:paraId="518BD114" w14:textId="77777777" w:rsidTr="00F10927">
        <w:trPr>
          <w:trHeight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D7F9B" w14:textId="77777777" w:rsidR="00F10927" w:rsidRPr="007825CF" w:rsidRDefault="00F10927" w:rsidP="00F10927">
            <w:pPr>
              <w:keepNext/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825CF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52FE2" w14:textId="1C8C33A0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1</w:t>
            </w:r>
            <w:r w:rsidR="00A911FA"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294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AAB06" w14:textId="7C356638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10927">
              <w:rPr>
                <w:rFonts w:cs="Arial"/>
                <w:i/>
                <w:iCs/>
                <w:color w:val="000000"/>
                <w:sz w:val="16"/>
                <w:szCs w:val="16"/>
              </w:rPr>
              <w:t>100</w:t>
            </w:r>
            <w:r w:rsidR="000B785C">
              <w:rPr>
                <w:rFonts w:cs="Arial"/>
                <w:i/>
                <w:i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FC851" w14:textId="6B1B2402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463</w:t>
            </w:r>
            <w:r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49BAC" w14:textId="36363A16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10927">
              <w:rPr>
                <w:rFonts w:cs="Arial"/>
                <w:i/>
                <w:iCs/>
                <w:color w:val="000000"/>
                <w:sz w:val="16"/>
                <w:szCs w:val="16"/>
              </w:rPr>
              <w:t>100</w:t>
            </w:r>
            <w:r w:rsidR="000B785C">
              <w:rPr>
                <w:rFonts w:cs="Arial"/>
                <w:i/>
                <w:i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503EE" w14:textId="599E7B1A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0927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 </w:t>
            </w:r>
            <w:r w:rsidRPr="00F10927">
              <w:rPr>
                <w:sz w:val="16"/>
                <w:szCs w:val="16"/>
              </w:rPr>
              <w:t>488,4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49168" w14:textId="40413CC3" w:rsidR="00F10927" w:rsidRPr="00F10927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10927">
              <w:rPr>
                <w:rFonts w:cs="Arial"/>
                <w:i/>
                <w:iCs/>
                <w:color w:val="000000"/>
                <w:sz w:val="16"/>
                <w:szCs w:val="16"/>
              </w:rPr>
              <w:t>100</w:t>
            </w:r>
            <w:r w:rsidR="000B785C">
              <w:rPr>
                <w:rFonts w:cs="Arial"/>
                <w:i/>
                <w:i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B3BB8" w14:textId="3E283A56" w:rsidR="00F10927" w:rsidRPr="007825CF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EBBE9" w14:textId="641808C2" w:rsidR="00F10927" w:rsidRPr="007825CF" w:rsidRDefault="00F10927" w:rsidP="00F10927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10,9</w:t>
            </w:r>
          </w:p>
        </w:tc>
      </w:tr>
    </w:tbl>
    <w:p w14:paraId="7B0D3E38" w14:textId="2F0BB5F4" w:rsidR="00FA7769" w:rsidRDefault="00FA7769" w:rsidP="00A61F79">
      <w:pPr>
        <w:spacing w:before="120" w:after="0" w:line="240" w:lineRule="auto"/>
        <w:jc w:val="both"/>
        <w:rPr>
          <w:sz w:val="18"/>
          <w:szCs w:val="18"/>
        </w:rPr>
      </w:pPr>
      <w:r w:rsidRPr="00257E22">
        <w:rPr>
          <w:sz w:val="18"/>
          <w:vertAlign w:val="superscript"/>
        </w:rPr>
        <w:t>*)</w:t>
      </w:r>
      <w:r w:rsidRPr="00257E22">
        <w:t xml:space="preserve"> </w:t>
      </w:r>
      <w:r w:rsidRPr="00257E22">
        <w:rPr>
          <w:sz w:val="18"/>
          <w:szCs w:val="18"/>
        </w:rPr>
        <w:t>Učitelé jsou přepočteni na plně zaměstnané, neboli na počet plných úvazků</w:t>
      </w:r>
      <w:r>
        <w:rPr>
          <w:sz w:val="18"/>
          <w:szCs w:val="18"/>
        </w:rPr>
        <w:t>.</w:t>
      </w:r>
    </w:p>
    <w:p w14:paraId="4618E514" w14:textId="77777777" w:rsidR="00FA7769" w:rsidRPr="00B410D9" w:rsidRDefault="00FA7769" w:rsidP="00EB5489">
      <w:pPr>
        <w:spacing w:line="276" w:lineRule="auto"/>
        <w:jc w:val="right"/>
        <w:rPr>
          <w:rFonts w:cs="Arial"/>
          <w:sz w:val="18"/>
          <w:szCs w:val="22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4418F81F" w14:textId="5F70C037" w:rsidR="00FA7769" w:rsidRPr="00403EDA" w:rsidRDefault="00FA7769" w:rsidP="00FA7769">
      <w:pPr>
        <w:spacing w:after="120"/>
        <w:jc w:val="both"/>
        <w:rPr>
          <w:rFonts w:cs="Arial"/>
          <w:szCs w:val="20"/>
        </w:rPr>
      </w:pPr>
      <w:r w:rsidRPr="008B3029">
        <w:rPr>
          <w:rFonts w:cs="Arial"/>
          <w:szCs w:val="20"/>
        </w:rPr>
        <w:t>Podívejme se nyní</w:t>
      </w:r>
      <w:r w:rsidRPr="00403EDA">
        <w:rPr>
          <w:rFonts w:cs="Arial"/>
          <w:szCs w:val="20"/>
        </w:rPr>
        <w:t xml:space="preserve"> na </w:t>
      </w:r>
      <w:r w:rsidRPr="00403EDA">
        <w:rPr>
          <w:rFonts w:cs="Arial"/>
          <w:b/>
          <w:szCs w:val="20"/>
        </w:rPr>
        <w:t>vývoj počtu žáků středních škol v čase</w:t>
      </w:r>
      <w:r w:rsidRPr="00403EDA">
        <w:rPr>
          <w:rFonts w:cs="Arial"/>
          <w:szCs w:val="20"/>
        </w:rPr>
        <w:t xml:space="preserve"> a připomeňme, že počet žáků v základních školách měl </w:t>
      </w:r>
      <w:r w:rsidR="00CF0747">
        <w:rPr>
          <w:rFonts w:cs="Arial"/>
          <w:szCs w:val="20"/>
        </w:rPr>
        <w:t>v posledních deseti letech</w:t>
      </w:r>
      <w:r w:rsidRPr="00403EDA">
        <w:rPr>
          <w:rFonts w:cs="Arial"/>
          <w:szCs w:val="20"/>
        </w:rPr>
        <w:t xml:space="preserve"> vzestupnou tendenci. Zde lze poznamenat, že počet žáků středních škol naopak </w:t>
      </w:r>
      <w:r w:rsidR="00CF0747">
        <w:rPr>
          <w:rFonts w:cs="Arial"/>
          <w:szCs w:val="20"/>
        </w:rPr>
        <w:t>od školního roku 2012/13</w:t>
      </w:r>
      <w:r w:rsidR="00802E27">
        <w:rPr>
          <w:rFonts w:cs="Arial"/>
          <w:szCs w:val="20"/>
        </w:rPr>
        <w:t xml:space="preserve"> do školního roku 2018/19</w:t>
      </w:r>
      <w:r w:rsidR="00215001">
        <w:rPr>
          <w:rFonts w:cs="Arial"/>
          <w:szCs w:val="20"/>
        </w:rPr>
        <w:t xml:space="preserve"> neustále klesal</w:t>
      </w:r>
      <w:r w:rsidR="00802E27">
        <w:rPr>
          <w:rFonts w:cs="Arial"/>
          <w:szCs w:val="20"/>
        </w:rPr>
        <w:t>, a sice z</w:t>
      </w:r>
      <w:r w:rsidR="00941056">
        <w:rPr>
          <w:rFonts w:cs="Arial"/>
          <w:szCs w:val="20"/>
        </w:rPr>
        <w:t>e</w:t>
      </w:r>
      <w:r w:rsidR="00CF0747">
        <w:rPr>
          <w:rFonts w:cs="Arial"/>
          <w:szCs w:val="20"/>
        </w:rPr>
        <w:t> </w:t>
      </w:r>
      <w:r w:rsidR="00CF0747" w:rsidRPr="00CF0747">
        <w:rPr>
          <w:rFonts w:cs="Arial"/>
          <w:szCs w:val="20"/>
        </w:rPr>
        <w:t>470</w:t>
      </w:r>
      <w:r w:rsidR="00CF0747">
        <w:rPr>
          <w:rFonts w:cs="Arial"/>
          <w:szCs w:val="20"/>
        </w:rPr>
        <w:t> </w:t>
      </w:r>
      <w:r w:rsidR="00CF0747" w:rsidRPr="00CF0747">
        <w:rPr>
          <w:rFonts w:cs="Arial"/>
          <w:szCs w:val="20"/>
        </w:rPr>
        <w:t>754</w:t>
      </w:r>
      <w:r w:rsidR="00CF0747">
        <w:rPr>
          <w:rFonts w:cs="Arial"/>
          <w:szCs w:val="20"/>
        </w:rPr>
        <w:t xml:space="preserve"> </w:t>
      </w:r>
      <w:r w:rsidR="00802E27">
        <w:rPr>
          <w:rFonts w:cs="Arial"/>
          <w:szCs w:val="20"/>
        </w:rPr>
        <w:t>žáků</w:t>
      </w:r>
      <w:r w:rsidR="0056714A">
        <w:rPr>
          <w:rFonts w:cs="Arial"/>
          <w:szCs w:val="20"/>
        </w:rPr>
        <w:t xml:space="preserve"> až na 420 814 žáků. Poté začal počet žáků středních škol stoupat a </w:t>
      </w:r>
      <w:r w:rsidR="00215001">
        <w:rPr>
          <w:rFonts w:cs="Arial"/>
          <w:szCs w:val="20"/>
        </w:rPr>
        <w:t> </w:t>
      </w:r>
      <w:r w:rsidR="0056714A">
        <w:rPr>
          <w:rFonts w:cs="Arial"/>
          <w:szCs w:val="20"/>
        </w:rPr>
        <w:t xml:space="preserve">ve školním roce 2022/23 bylo v našich středních školách 463 200 žáků </w:t>
      </w:r>
      <w:r w:rsidRPr="00403EDA">
        <w:rPr>
          <w:rFonts w:cs="Arial"/>
          <w:szCs w:val="20"/>
        </w:rPr>
        <w:t>– viz graf 3.1.</w:t>
      </w:r>
      <w:r w:rsidR="00694677">
        <w:rPr>
          <w:rFonts w:cs="Arial"/>
          <w:szCs w:val="20"/>
        </w:rPr>
        <w:t xml:space="preserve"> </w:t>
      </w:r>
      <w:r w:rsidR="005D12D8">
        <w:rPr>
          <w:rFonts w:cs="Arial"/>
          <w:szCs w:val="20"/>
        </w:rPr>
        <w:t>Růst počtu žáků byl ovlivněn tím, že</w:t>
      </w:r>
      <w:r w:rsidR="0056714A">
        <w:rPr>
          <w:rFonts w:cs="Arial"/>
          <w:szCs w:val="20"/>
        </w:rPr>
        <w:t xml:space="preserve"> se demografická vlna</w:t>
      </w:r>
      <w:r w:rsidR="00694677">
        <w:rPr>
          <w:rFonts w:cs="Arial"/>
          <w:szCs w:val="20"/>
        </w:rPr>
        <w:t xml:space="preserve"> </w:t>
      </w:r>
      <w:r w:rsidR="001B5267">
        <w:rPr>
          <w:rFonts w:cs="Arial"/>
          <w:szCs w:val="20"/>
        </w:rPr>
        <w:t>přelévala</w:t>
      </w:r>
      <w:r w:rsidR="00694677">
        <w:rPr>
          <w:rFonts w:cs="Arial"/>
          <w:szCs w:val="20"/>
        </w:rPr>
        <w:t xml:space="preserve"> ze základních škol na střední</w:t>
      </w:r>
      <w:r w:rsidR="005D12D8">
        <w:rPr>
          <w:rFonts w:cs="Arial"/>
          <w:szCs w:val="20"/>
        </w:rPr>
        <w:t xml:space="preserve">. V posledním školním roce také na </w:t>
      </w:r>
      <w:r w:rsidR="0056714A">
        <w:rPr>
          <w:rFonts w:cs="Arial"/>
          <w:szCs w:val="20"/>
        </w:rPr>
        <w:t>školách</w:t>
      </w:r>
      <w:r w:rsidR="005D12D8">
        <w:rPr>
          <w:rFonts w:cs="Arial"/>
          <w:szCs w:val="20"/>
        </w:rPr>
        <w:t xml:space="preserve"> v České republice</w:t>
      </w:r>
      <w:r w:rsidR="0056714A">
        <w:rPr>
          <w:rFonts w:cs="Arial"/>
          <w:szCs w:val="20"/>
        </w:rPr>
        <w:t xml:space="preserve"> přibyly děti ukrajinských uprchlíků</w:t>
      </w:r>
      <w:r w:rsidR="004E169F">
        <w:rPr>
          <w:rFonts w:cs="Arial"/>
          <w:szCs w:val="20"/>
        </w:rPr>
        <w:t>, což</w:t>
      </w:r>
      <w:r w:rsidR="0056714A">
        <w:rPr>
          <w:rFonts w:cs="Arial"/>
          <w:szCs w:val="20"/>
        </w:rPr>
        <w:t xml:space="preserve"> se však projevilo ve větší míře v počtu žáků základních škol než středních. Zatímco na základních školách bylo v uplynulém školním roce 5,3krát více ukrajinských žáků než ve školním roce 2021/22 a v mateřských školách 3,5krát více, ve středních školách st</w:t>
      </w:r>
      <w:r w:rsidR="006E686C">
        <w:rPr>
          <w:rFonts w:cs="Arial"/>
          <w:szCs w:val="20"/>
        </w:rPr>
        <w:t>oupl počet ukrajinských žáků 2,3</w:t>
      </w:r>
      <w:r w:rsidR="0056714A">
        <w:rPr>
          <w:rFonts w:cs="Arial"/>
          <w:szCs w:val="20"/>
        </w:rPr>
        <w:t xml:space="preserve">krát. </w:t>
      </w:r>
    </w:p>
    <w:p w14:paraId="0CF39E86" w14:textId="6F240A59" w:rsidR="00FA7769" w:rsidRDefault="00FA7769" w:rsidP="00FA7769">
      <w:pPr>
        <w:keepNext/>
        <w:spacing w:after="120" w:line="240" w:lineRule="auto"/>
        <w:rPr>
          <w:b/>
        </w:rPr>
      </w:pPr>
      <w:r>
        <w:rPr>
          <w:b/>
        </w:rPr>
        <w:t>Graf 3.1 Střední školy</w:t>
      </w:r>
      <w:r w:rsidRPr="00C3589B">
        <w:t xml:space="preserve"> </w:t>
      </w:r>
      <w:r>
        <w:rPr>
          <w:b/>
        </w:rPr>
        <w:t>– vývoj počtu žáků,</w:t>
      </w:r>
      <w:r w:rsidRPr="005C3E71">
        <w:rPr>
          <w:b/>
        </w:rPr>
        <w:t xml:space="preserve"> podílu žáků v jiné než denní formě a </w:t>
      </w:r>
      <w:r>
        <w:rPr>
          <w:b/>
        </w:rPr>
        <w:t xml:space="preserve">podílu žáků </w:t>
      </w:r>
      <w:r w:rsidRPr="005C3E71">
        <w:rPr>
          <w:b/>
        </w:rPr>
        <w:t>ve školách s </w:t>
      </w:r>
      <w:r w:rsidR="00215001">
        <w:rPr>
          <w:b/>
        </w:rPr>
        <w:t>jiným než veřejným zřizovatelem</w:t>
      </w:r>
    </w:p>
    <w:p w14:paraId="79152550" w14:textId="787519AF" w:rsidR="00FA7769" w:rsidRPr="00394935" w:rsidRDefault="00153654" w:rsidP="00394935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26250A7C" wp14:editId="50F5C411">
            <wp:extent cx="6115050" cy="3019425"/>
            <wp:effectExtent l="0" t="0" r="0" b="9525"/>
            <wp:docPr id="27" name="Graf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B455577" w14:textId="69E54A69" w:rsidR="00FA7769" w:rsidRDefault="00FA7769" w:rsidP="00EB5489">
      <w:pPr>
        <w:spacing w:line="276" w:lineRule="auto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2DD83E72" w14:textId="42BAB6ED" w:rsidR="006D7525" w:rsidRDefault="006D7525" w:rsidP="006D7525">
      <w:pPr>
        <w:spacing w:after="120"/>
        <w:jc w:val="both"/>
        <w:rPr>
          <w:rFonts w:cs="Arial"/>
          <w:szCs w:val="20"/>
        </w:rPr>
      </w:pPr>
      <w:r w:rsidRPr="00403EDA">
        <w:rPr>
          <w:rFonts w:cs="Arial"/>
          <w:szCs w:val="20"/>
        </w:rPr>
        <w:t>Vzhledem k demografickému vývoji lze očekávat, že i v dalších letech počet žáků středních škol poroste</w:t>
      </w:r>
      <w:r w:rsidR="00864CB6">
        <w:rPr>
          <w:rFonts w:cs="Arial"/>
          <w:szCs w:val="20"/>
        </w:rPr>
        <w:t xml:space="preserve"> – viz graf </w:t>
      </w:r>
      <w:r>
        <w:rPr>
          <w:rFonts w:cs="Arial"/>
          <w:szCs w:val="20"/>
        </w:rPr>
        <w:t xml:space="preserve">3.2, kde </w:t>
      </w:r>
      <w:r w:rsidR="00180B35">
        <w:rPr>
          <w:rFonts w:cs="Arial"/>
          <w:szCs w:val="20"/>
        </w:rPr>
        <w:t>oranžový</w:t>
      </w:r>
      <w:r>
        <w:rPr>
          <w:rFonts w:cs="Arial"/>
          <w:szCs w:val="20"/>
        </w:rPr>
        <w:t xml:space="preserve"> sloupec značí počet obyvatel ČR ve věku obvyklém p</w:t>
      </w:r>
      <w:r w:rsidR="00A22821">
        <w:rPr>
          <w:rFonts w:cs="Arial"/>
          <w:szCs w:val="20"/>
        </w:rPr>
        <w:t xml:space="preserve">ro denní studium střední školy </w:t>
      </w:r>
      <w:r>
        <w:rPr>
          <w:rFonts w:cs="Arial"/>
          <w:szCs w:val="20"/>
        </w:rPr>
        <w:t>a následující tři modré sloupce počet obyvatel ČR o rok až t</w:t>
      </w:r>
      <w:r w:rsidR="00A22821">
        <w:rPr>
          <w:rFonts w:cs="Arial"/>
          <w:szCs w:val="20"/>
        </w:rPr>
        <w:t xml:space="preserve">ři mladších, kteří budou </w:t>
      </w:r>
      <w:r>
        <w:rPr>
          <w:rFonts w:cs="Arial"/>
          <w:szCs w:val="20"/>
        </w:rPr>
        <w:t>střední</w:t>
      </w:r>
      <w:r w:rsidR="00A22821">
        <w:rPr>
          <w:rFonts w:cs="Arial"/>
          <w:szCs w:val="20"/>
        </w:rPr>
        <w:t xml:space="preserve"> školy pravděpodobně </w:t>
      </w:r>
      <w:r w:rsidR="00A22821">
        <w:rPr>
          <w:rFonts w:cs="Arial"/>
          <w:szCs w:val="20"/>
        </w:rPr>
        <w:lastRenderedPageBreak/>
        <w:t>navštěv</w:t>
      </w:r>
      <w:r>
        <w:rPr>
          <w:rFonts w:cs="Arial"/>
          <w:szCs w:val="20"/>
        </w:rPr>
        <w:t>ovat v nejbližších letech.</w:t>
      </w:r>
      <w:r w:rsidR="00D561C3">
        <w:rPr>
          <w:rStyle w:val="Znakapoznpodarou"/>
          <w:rFonts w:cs="Arial"/>
          <w:szCs w:val="20"/>
        </w:rPr>
        <w:footnoteReference w:id="4"/>
      </w:r>
      <w:r w:rsidR="00134C78">
        <w:rPr>
          <w:rFonts w:cs="Arial"/>
          <w:szCs w:val="20"/>
        </w:rPr>
        <w:t xml:space="preserve"> Mo</w:t>
      </w:r>
      <w:r w:rsidR="00CB1D1E">
        <w:rPr>
          <w:rFonts w:cs="Arial"/>
          <w:szCs w:val="20"/>
        </w:rPr>
        <w:t>dré sloupce s údaji k 1. 7. 2022</w:t>
      </w:r>
      <w:r w:rsidR="00134C78">
        <w:rPr>
          <w:rFonts w:cs="Arial"/>
          <w:szCs w:val="20"/>
        </w:rPr>
        <w:t xml:space="preserve"> tedy poukazují na </w:t>
      </w:r>
      <w:r w:rsidR="00193677">
        <w:rPr>
          <w:rFonts w:cs="Arial"/>
          <w:szCs w:val="20"/>
        </w:rPr>
        <w:t xml:space="preserve">očekávaný </w:t>
      </w:r>
      <w:r w:rsidR="00134C78">
        <w:rPr>
          <w:rFonts w:cs="Arial"/>
          <w:szCs w:val="20"/>
        </w:rPr>
        <w:t>postupný růst žáků ve věku obvyklém pro studium střed</w:t>
      </w:r>
      <w:r w:rsidR="00CB1D1E">
        <w:rPr>
          <w:rFonts w:cs="Arial"/>
          <w:szCs w:val="20"/>
        </w:rPr>
        <w:t>ní školy ve školních rocích 2023/24 až 2025/26</w:t>
      </w:r>
      <w:r w:rsidR="00134C78">
        <w:rPr>
          <w:rFonts w:cs="Arial"/>
          <w:szCs w:val="20"/>
        </w:rPr>
        <w:t>.</w:t>
      </w:r>
      <w:r w:rsidR="00001C7F">
        <w:rPr>
          <w:rFonts w:cs="Arial"/>
          <w:szCs w:val="20"/>
        </w:rPr>
        <w:t xml:space="preserve"> Záleží však i na jiných faktorech, např. na míře migrace (aktuálně zejména mezi naší zemí a Ukrajinou). </w:t>
      </w:r>
    </w:p>
    <w:p w14:paraId="7815E37A" w14:textId="5AF579A5" w:rsidR="00DE6E08" w:rsidRDefault="00DE6E08" w:rsidP="00DE6E08">
      <w:pPr>
        <w:keepNext/>
        <w:spacing w:after="120"/>
        <w:jc w:val="both"/>
        <w:rPr>
          <w:b/>
          <w:bCs/>
        </w:rPr>
      </w:pPr>
      <w:r>
        <w:rPr>
          <w:b/>
          <w:bCs/>
        </w:rPr>
        <w:t xml:space="preserve">Graf 3.2 </w:t>
      </w:r>
      <w:r w:rsidRPr="00435E99">
        <w:rPr>
          <w:b/>
          <w:bCs/>
        </w:rPr>
        <w:t>P</w:t>
      </w:r>
      <w:r>
        <w:rPr>
          <w:b/>
          <w:bCs/>
        </w:rPr>
        <w:t>opulační vývoj - p</w:t>
      </w:r>
      <w:r w:rsidRPr="00435E99">
        <w:rPr>
          <w:b/>
          <w:bCs/>
        </w:rPr>
        <w:t xml:space="preserve">očet obyvatel ČR </w:t>
      </w:r>
      <w:r>
        <w:rPr>
          <w:b/>
          <w:bCs/>
        </w:rPr>
        <w:t>uvedeného věku k 1. červenci vybraných roků</w:t>
      </w:r>
    </w:p>
    <w:p w14:paraId="056579B1" w14:textId="182A9F24" w:rsidR="006D7525" w:rsidRPr="00CB1D1E" w:rsidRDefault="00CB1D1E" w:rsidP="0063694F">
      <w:pPr>
        <w:keepNext/>
        <w:spacing w:after="12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6FF36CD" wp14:editId="5FC3F3C1">
            <wp:extent cx="6120130" cy="1924050"/>
            <wp:effectExtent l="0" t="0" r="13970" b="0"/>
            <wp:docPr id="78" name="Graf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533FA16" w14:textId="6420AF35" w:rsidR="006B3132" w:rsidRDefault="006B3132" w:rsidP="006B3132">
      <w:pPr>
        <w:spacing w:after="120"/>
        <w:jc w:val="right"/>
        <w:rPr>
          <w:rFonts w:cs="Arial"/>
          <w:szCs w:val="20"/>
        </w:rPr>
      </w:pPr>
      <w:r w:rsidRPr="00F94849">
        <w:rPr>
          <w:rFonts w:cs="Arial"/>
          <w:sz w:val="18"/>
        </w:rPr>
        <w:t>Zdroj: ČSÚ</w:t>
      </w:r>
    </w:p>
    <w:p w14:paraId="6DEC832E" w14:textId="5A037BA0" w:rsidR="00FA7769" w:rsidRPr="00403EDA" w:rsidRDefault="00FA7769" w:rsidP="00FA7769">
      <w:pPr>
        <w:spacing w:after="120"/>
        <w:jc w:val="both"/>
        <w:rPr>
          <w:rFonts w:cs="Arial"/>
          <w:szCs w:val="20"/>
        </w:rPr>
      </w:pPr>
      <w:r w:rsidRPr="00A06ACB">
        <w:rPr>
          <w:rFonts w:cs="Arial"/>
          <w:szCs w:val="20"/>
        </w:rPr>
        <w:t xml:space="preserve">Graf 3.1 </w:t>
      </w:r>
      <w:r w:rsidR="00981B06">
        <w:rPr>
          <w:rFonts w:cs="Arial"/>
          <w:szCs w:val="20"/>
        </w:rPr>
        <w:t xml:space="preserve">výše </w:t>
      </w:r>
      <w:r w:rsidRPr="00A06ACB">
        <w:rPr>
          <w:rFonts w:cs="Arial"/>
          <w:szCs w:val="20"/>
        </w:rPr>
        <w:t xml:space="preserve">také </w:t>
      </w:r>
      <w:r w:rsidR="00A06ACB" w:rsidRPr="00A06ACB">
        <w:rPr>
          <w:rFonts w:cs="Arial"/>
          <w:szCs w:val="20"/>
        </w:rPr>
        <w:t xml:space="preserve">dokládá, že se za posledních </w:t>
      </w:r>
      <w:r w:rsidR="00802E27">
        <w:rPr>
          <w:rFonts w:cs="Arial"/>
          <w:szCs w:val="20"/>
        </w:rPr>
        <w:t>devět</w:t>
      </w:r>
      <w:r w:rsidRPr="00A06ACB">
        <w:rPr>
          <w:rFonts w:cs="Arial"/>
          <w:szCs w:val="20"/>
        </w:rPr>
        <w:t xml:space="preserve"> let</w:t>
      </w:r>
      <w:r w:rsidRPr="00403EDA">
        <w:rPr>
          <w:rFonts w:cs="Arial"/>
          <w:szCs w:val="20"/>
        </w:rPr>
        <w:t xml:space="preserve"> mírně zvýšil podíl žáků v soukromých a církevních š</w:t>
      </w:r>
      <w:r w:rsidR="00CB1D1E">
        <w:rPr>
          <w:rFonts w:cs="Arial"/>
          <w:szCs w:val="20"/>
        </w:rPr>
        <w:t xml:space="preserve">kolách, a sice </w:t>
      </w:r>
      <w:proofErr w:type="gramStart"/>
      <w:r w:rsidR="00CB1D1E">
        <w:rPr>
          <w:rFonts w:cs="Arial"/>
          <w:szCs w:val="20"/>
        </w:rPr>
        <w:t>ze</w:t>
      </w:r>
      <w:proofErr w:type="gramEnd"/>
      <w:r w:rsidR="00CB1D1E">
        <w:rPr>
          <w:rFonts w:cs="Arial"/>
          <w:szCs w:val="20"/>
        </w:rPr>
        <w:t xml:space="preserve"> 14,4 % na 17,6</w:t>
      </w:r>
      <w:r w:rsidRPr="00403EDA">
        <w:rPr>
          <w:rFonts w:cs="Arial"/>
          <w:szCs w:val="20"/>
        </w:rPr>
        <w:t xml:space="preserve"> %. </w:t>
      </w:r>
      <w:r w:rsidR="00CB1D1E">
        <w:rPr>
          <w:rFonts w:cs="Arial"/>
          <w:szCs w:val="20"/>
        </w:rPr>
        <w:t>Podíl</w:t>
      </w:r>
      <w:r w:rsidRPr="00403EDA">
        <w:rPr>
          <w:rFonts w:cs="Arial"/>
          <w:szCs w:val="20"/>
        </w:rPr>
        <w:t xml:space="preserve"> žáků v jiné než denní formě </w:t>
      </w:r>
      <w:r w:rsidR="00CB1D1E">
        <w:rPr>
          <w:rFonts w:cs="Arial"/>
          <w:szCs w:val="20"/>
        </w:rPr>
        <w:t xml:space="preserve">vzdělávání </w:t>
      </w:r>
      <w:r w:rsidR="00802E27">
        <w:rPr>
          <w:rFonts w:cs="Arial"/>
          <w:szCs w:val="20"/>
        </w:rPr>
        <w:t xml:space="preserve">se </w:t>
      </w:r>
      <w:r w:rsidR="00CB1D1E">
        <w:rPr>
          <w:rFonts w:cs="Arial"/>
          <w:szCs w:val="20"/>
        </w:rPr>
        <w:t>naopak snížil z 5</w:t>
      </w:r>
      <w:r w:rsidR="00802E27">
        <w:rPr>
          <w:rFonts w:cs="Arial"/>
          <w:szCs w:val="20"/>
        </w:rPr>
        <w:t>,7</w:t>
      </w:r>
      <w:r w:rsidRPr="00403EDA">
        <w:rPr>
          <w:rFonts w:cs="Arial"/>
          <w:szCs w:val="20"/>
        </w:rPr>
        <w:t> </w:t>
      </w:r>
      <w:r w:rsidR="00CB1D1E">
        <w:rPr>
          <w:rFonts w:cs="Arial"/>
          <w:szCs w:val="20"/>
        </w:rPr>
        <w:t>% ve školním roce 2012/13</w:t>
      </w:r>
      <w:r w:rsidR="00134C78">
        <w:rPr>
          <w:rFonts w:cs="Arial"/>
          <w:szCs w:val="20"/>
        </w:rPr>
        <w:t xml:space="preserve"> </w:t>
      </w:r>
      <w:r w:rsidR="009C5728">
        <w:rPr>
          <w:rFonts w:cs="Arial"/>
          <w:szCs w:val="20"/>
        </w:rPr>
        <w:t>na 3,3 % ve školním roce 2022/23</w:t>
      </w:r>
      <w:r w:rsidR="00802E27">
        <w:rPr>
          <w:rFonts w:cs="Arial"/>
          <w:szCs w:val="20"/>
        </w:rPr>
        <w:t xml:space="preserve">. </w:t>
      </w:r>
    </w:p>
    <w:p w14:paraId="25716A75" w14:textId="25185C90" w:rsidR="00FA7769" w:rsidRPr="00403EDA" w:rsidRDefault="009E7EBC" w:rsidP="00FA7769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Graf 3.3</w:t>
      </w:r>
      <w:r w:rsidR="00FA7769" w:rsidRPr="00403EDA">
        <w:rPr>
          <w:rFonts w:cs="Arial"/>
          <w:szCs w:val="20"/>
        </w:rPr>
        <w:t xml:space="preserve"> pro doplnění uvádí, jaký počet žá</w:t>
      </w:r>
      <w:r w:rsidR="001130E6">
        <w:rPr>
          <w:rFonts w:cs="Arial"/>
          <w:szCs w:val="20"/>
        </w:rPr>
        <w:t>ků docházel v</w:t>
      </w:r>
      <w:r w:rsidR="008E4FDC">
        <w:rPr>
          <w:rFonts w:cs="Arial"/>
          <w:szCs w:val="20"/>
        </w:rPr>
        <w:t>e školním roce 2022/23</w:t>
      </w:r>
      <w:r w:rsidR="00FA7769" w:rsidRPr="00403EDA">
        <w:rPr>
          <w:rFonts w:cs="Arial"/>
          <w:szCs w:val="20"/>
        </w:rPr>
        <w:t xml:space="preserve"> do středních škol v jednotlivých krajích. Nejvyšší počet žáků se vzdělával ve</w:t>
      </w:r>
      <w:r w:rsidR="002D19C0">
        <w:rPr>
          <w:rFonts w:cs="Arial"/>
          <w:szCs w:val="20"/>
        </w:rPr>
        <w:t xml:space="preserve"> středních školách v Praze (</w:t>
      </w:r>
      <w:r w:rsidR="00561F02">
        <w:rPr>
          <w:rFonts w:cs="Arial"/>
          <w:szCs w:val="20"/>
        </w:rPr>
        <w:t>16</w:t>
      </w:r>
      <w:r w:rsidR="008E4FDC">
        <w:rPr>
          <w:rFonts w:cs="Arial"/>
          <w:szCs w:val="20"/>
        </w:rPr>
        <w:t> % z celku),</w:t>
      </w:r>
      <w:r w:rsidR="00FA7769" w:rsidRPr="00403EDA">
        <w:rPr>
          <w:rFonts w:cs="Arial"/>
          <w:szCs w:val="20"/>
        </w:rPr>
        <w:t> více než desetina ze všech žáků také navštěvovala střední škol</w:t>
      </w:r>
      <w:r w:rsidR="008E4FDC">
        <w:rPr>
          <w:rFonts w:cs="Arial"/>
          <w:szCs w:val="20"/>
        </w:rPr>
        <w:t>y v kraji Moravskoslezském (10,9</w:t>
      </w:r>
      <w:r w:rsidR="00FA7769" w:rsidRPr="00403EDA">
        <w:rPr>
          <w:rFonts w:cs="Arial"/>
          <w:szCs w:val="20"/>
        </w:rPr>
        <w:t> %) a Jihomoravském (10,8 %)</w:t>
      </w:r>
      <w:r w:rsidR="008E4FDC">
        <w:rPr>
          <w:rFonts w:cs="Arial"/>
          <w:szCs w:val="20"/>
        </w:rPr>
        <w:t>, následuje kraj Středočeský (9,7 %)</w:t>
      </w:r>
      <w:r w:rsidR="00FA7769" w:rsidRPr="00403EDA">
        <w:rPr>
          <w:rFonts w:cs="Arial"/>
          <w:szCs w:val="20"/>
        </w:rPr>
        <w:t xml:space="preserve">. Naopak méně než 5 % ze všech žáků </w:t>
      </w:r>
      <w:r w:rsidR="002070EA">
        <w:rPr>
          <w:rFonts w:cs="Arial"/>
          <w:szCs w:val="20"/>
        </w:rPr>
        <w:t>docházelo do středních škol</w:t>
      </w:r>
      <w:r w:rsidR="00561F02">
        <w:rPr>
          <w:rFonts w:cs="Arial"/>
          <w:szCs w:val="20"/>
        </w:rPr>
        <w:t xml:space="preserve"> v Karlovarském kraji (2,4 %) a v kraji Libereckém (3,7</w:t>
      </w:r>
      <w:r w:rsidR="00FA7769" w:rsidRPr="00403EDA">
        <w:rPr>
          <w:rFonts w:cs="Arial"/>
          <w:szCs w:val="20"/>
        </w:rPr>
        <w:t> %).</w:t>
      </w:r>
      <w:r w:rsidR="008E4FDC">
        <w:rPr>
          <w:rFonts w:cs="Arial"/>
          <w:szCs w:val="20"/>
        </w:rPr>
        <w:t xml:space="preserve"> V ostatních krajích se vzdělávalo mezi 5 % a 7,5 %</w:t>
      </w:r>
      <w:r w:rsidR="002070EA">
        <w:rPr>
          <w:rFonts w:cs="Arial"/>
          <w:szCs w:val="20"/>
        </w:rPr>
        <w:t xml:space="preserve"> z celkového počtu žáků středních škol</w:t>
      </w:r>
      <w:r w:rsidR="008E4FDC">
        <w:rPr>
          <w:rFonts w:cs="Arial"/>
          <w:szCs w:val="20"/>
        </w:rPr>
        <w:t xml:space="preserve"> v </w:t>
      </w:r>
      <w:r w:rsidR="002070EA">
        <w:rPr>
          <w:rFonts w:cs="Arial"/>
          <w:szCs w:val="20"/>
        </w:rPr>
        <w:t>Č</w:t>
      </w:r>
      <w:r w:rsidR="008E4FDC">
        <w:rPr>
          <w:rFonts w:cs="Arial"/>
          <w:szCs w:val="20"/>
        </w:rPr>
        <w:t>eské republice.</w:t>
      </w:r>
    </w:p>
    <w:p w14:paraId="0B0DCFF7" w14:textId="20A6AB8F" w:rsidR="00FA7769" w:rsidRDefault="00FA7769" w:rsidP="00FA7769">
      <w:pPr>
        <w:keepNext/>
        <w:spacing w:after="120" w:line="240" w:lineRule="auto"/>
        <w:jc w:val="both"/>
        <w:rPr>
          <w:b/>
        </w:rPr>
      </w:pPr>
      <w:r>
        <w:rPr>
          <w:b/>
        </w:rPr>
        <w:t>Graf 3</w:t>
      </w:r>
      <w:r w:rsidR="009E7EBC">
        <w:rPr>
          <w:b/>
        </w:rPr>
        <w:t>.3</w:t>
      </w:r>
      <w:r w:rsidRPr="00633A2F">
        <w:rPr>
          <w:b/>
        </w:rPr>
        <w:t xml:space="preserve"> Střední školy – počet </w:t>
      </w:r>
      <w:r w:rsidR="008D130E">
        <w:rPr>
          <w:b/>
        </w:rPr>
        <w:t xml:space="preserve">a podíl </w:t>
      </w:r>
      <w:r w:rsidRPr="00633A2F">
        <w:rPr>
          <w:b/>
        </w:rPr>
        <w:t>ž</w:t>
      </w:r>
      <w:r w:rsidR="00506B7E">
        <w:rPr>
          <w:b/>
        </w:rPr>
        <w:t xml:space="preserve">áků </w:t>
      </w:r>
      <w:r w:rsidR="00610DCE">
        <w:rPr>
          <w:b/>
        </w:rPr>
        <w:t>dle sídla školy</w:t>
      </w:r>
      <w:r w:rsidR="008E4FDC">
        <w:rPr>
          <w:b/>
        </w:rPr>
        <w:t xml:space="preserve"> (2022/23</w:t>
      </w:r>
      <w:r w:rsidRPr="00633A2F">
        <w:rPr>
          <w:b/>
        </w:rPr>
        <w:t>)</w:t>
      </w:r>
    </w:p>
    <w:p w14:paraId="2BEFF8D2" w14:textId="12D7774D" w:rsidR="00FA7769" w:rsidRPr="001130E6" w:rsidRDefault="008E4FDC" w:rsidP="001130E6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77CB06BE" wp14:editId="6451F157">
            <wp:extent cx="6038850" cy="2428875"/>
            <wp:effectExtent l="0" t="0" r="0" b="9525"/>
            <wp:docPr id="88" name="Graf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0294BB5" w14:textId="77777777" w:rsidR="00FA7769" w:rsidRDefault="00FA7769" w:rsidP="00CF27F9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023EA1A2" w14:textId="64822DC7" w:rsidR="0039216A" w:rsidRPr="00A90149" w:rsidRDefault="0039216A" w:rsidP="00A90149">
      <w:pPr>
        <w:spacing w:after="120"/>
        <w:jc w:val="both"/>
        <w:rPr>
          <w:rFonts w:cs="Arial"/>
          <w:szCs w:val="20"/>
        </w:rPr>
      </w:pPr>
      <w:r w:rsidRPr="00A90149">
        <w:rPr>
          <w:rFonts w:cs="Arial"/>
          <w:szCs w:val="20"/>
        </w:rPr>
        <w:t xml:space="preserve">Jelikož střední školy navštěvují také žáci v povinné školní docházce, týká se i jich možnost plnit si ji formou individuální výuky či v zahraničí či v zahraniční škole. Jedná se však spíše o okrajovou záležitost. </w:t>
      </w:r>
      <w:r w:rsidR="00A90149" w:rsidRPr="00A90149">
        <w:rPr>
          <w:rFonts w:cs="Arial"/>
          <w:b/>
          <w:szCs w:val="20"/>
        </w:rPr>
        <w:t>V zahraničí či v zahraniční škole</w:t>
      </w:r>
      <w:r w:rsidR="002070EA">
        <w:rPr>
          <w:rFonts w:cs="Arial"/>
          <w:szCs w:val="20"/>
        </w:rPr>
        <w:t xml:space="preserve"> si ve školním roce 2022/23</w:t>
      </w:r>
      <w:r w:rsidR="00A90149" w:rsidRPr="00A90149">
        <w:rPr>
          <w:rFonts w:cs="Arial"/>
          <w:szCs w:val="20"/>
        </w:rPr>
        <w:t xml:space="preserve"> pl</w:t>
      </w:r>
      <w:r w:rsidR="002070EA">
        <w:rPr>
          <w:rFonts w:cs="Arial"/>
          <w:szCs w:val="20"/>
        </w:rPr>
        <w:t>nilo povinnou školní docházku 66</w:t>
      </w:r>
      <w:r w:rsidR="00A90149" w:rsidRPr="00A90149">
        <w:rPr>
          <w:rFonts w:cs="Arial"/>
          <w:szCs w:val="20"/>
        </w:rPr>
        <w:t xml:space="preserve"> žáků nižších ročníků </w:t>
      </w:r>
      <w:r w:rsidR="00A90149" w:rsidRPr="00A90149">
        <w:rPr>
          <w:rFonts w:cs="Arial"/>
          <w:szCs w:val="20"/>
        </w:rPr>
        <w:lastRenderedPageBreak/>
        <w:t xml:space="preserve">gymnázií, což je 0,16 %. Z toho 38 jich bylo z pražských gymnázií. </w:t>
      </w:r>
      <w:r w:rsidR="00A90149" w:rsidRPr="00A90149">
        <w:rPr>
          <w:rFonts w:cs="Arial"/>
          <w:b/>
          <w:szCs w:val="20"/>
        </w:rPr>
        <w:t>Individuální vzdělávání</w:t>
      </w:r>
      <w:r w:rsidR="00A90149" w:rsidRPr="00A90149">
        <w:rPr>
          <w:rFonts w:cs="Arial"/>
          <w:szCs w:val="20"/>
        </w:rPr>
        <w:t xml:space="preserve"> pak vy</w:t>
      </w:r>
      <w:r w:rsidR="002070EA">
        <w:rPr>
          <w:rFonts w:cs="Arial"/>
          <w:szCs w:val="20"/>
        </w:rPr>
        <w:t>užili jen dva žáci, jeden z pražského gymnázia</w:t>
      </w:r>
      <w:r w:rsidR="00A90149" w:rsidRPr="00A90149">
        <w:rPr>
          <w:rFonts w:cs="Arial"/>
          <w:szCs w:val="20"/>
        </w:rPr>
        <w:t xml:space="preserve"> a jeden z gymnázia v Jihomoravském kraji.</w:t>
      </w:r>
    </w:p>
    <w:p w14:paraId="41E17389" w14:textId="6C2E54FB" w:rsidR="0039216A" w:rsidRPr="00B410D9" w:rsidRDefault="0039216A" w:rsidP="007431D5">
      <w:pPr>
        <w:spacing w:after="120" w:line="276" w:lineRule="auto"/>
        <w:rPr>
          <w:rFonts w:cs="Arial"/>
          <w:sz w:val="18"/>
        </w:rPr>
      </w:pPr>
    </w:p>
    <w:p w14:paraId="29A64E2D" w14:textId="7E2F85BD" w:rsidR="00FA7769" w:rsidRPr="005E552D" w:rsidRDefault="00FA7769" w:rsidP="00386026">
      <w:pPr>
        <w:pStyle w:val="Nadpis2"/>
      </w:pPr>
      <w:bookmarkStart w:id="7" w:name="_Toc142547540"/>
      <w:r>
        <w:t xml:space="preserve">3.2 </w:t>
      </w:r>
      <w:r w:rsidR="00D7485A">
        <w:t>Žáci s</w:t>
      </w:r>
      <w:r w:rsidRPr="005E552D">
        <w:t>třední</w:t>
      </w:r>
      <w:r w:rsidR="00D7485A">
        <w:t>ch škol</w:t>
      </w:r>
      <w:r w:rsidRPr="005E552D">
        <w:t xml:space="preserve"> dle druhů a oborů vzdělávání</w:t>
      </w:r>
      <w:bookmarkEnd w:id="7"/>
    </w:p>
    <w:p w14:paraId="6C11E3EB" w14:textId="77777777" w:rsidR="00FA7769" w:rsidRPr="00B31202" w:rsidRDefault="00FA7769" w:rsidP="00161404">
      <w:pPr>
        <w:spacing w:before="120" w:after="120"/>
        <w:jc w:val="both"/>
        <w:rPr>
          <w:rFonts w:cs="Arial"/>
          <w:bCs/>
          <w:szCs w:val="20"/>
        </w:rPr>
      </w:pPr>
      <w:r w:rsidRPr="00B31202">
        <w:rPr>
          <w:rFonts w:cs="Arial"/>
          <w:bCs/>
          <w:szCs w:val="20"/>
        </w:rPr>
        <w:t xml:space="preserve">Střední vzdělání se dělí na několik druhů. </w:t>
      </w:r>
      <w:r w:rsidRPr="00B31202">
        <w:rPr>
          <w:rFonts w:cs="Arial"/>
          <w:b/>
          <w:bCs/>
          <w:szCs w:val="20"/>
        </w:rPr>
        <w:t>Střední vzdělávání</w:t>
      </w:r>
      <w:r w:rsidRPr="00B31202">
        <w:rPr>
          <w:rFonts w:cs="Arial"/>
          <w:bCs/>
          <w:szCs w:val="20"/>
        </w:rPr>
        <w:t xml:space="preserve"> označuje (v denní formě) dvouleté vzdělávací programy ukončené závěrečnou zkouškou (bez získání výučního listu či maturitního vysvědčení). </w:t>
      </w:r>
      <w:r w:rsidRPr="00B31202">
        <w:rPr>
          <w:rFonts w:cs="Arial"/>
          <w:b/>
          <w:bCs/>
          <w:szCs w:val="20"/>
        </w:rPr>
        <w:t>Střední vzdělávání s výučním listem</w:t>
      </w:r>
      <w:r w:rsidRPr="00B31202">
        <w:rPr>
          <w:rFonts w:cs="Arial"/>
          <w:bCs/>
          <w:szCs w:val="20"/>
        </w:rPr>
        <w:t xml:space="preserve"> zahrnuje (v denní formě) dvouleté nebo tříleté vzdělávací programy, jejichž úspěšným ukončením absolvent získává výuční list. </w:t>
      </w:r>
      <w:r w:rsidRPr="00B31202">
        <w:rPr>
          <w:rFonts w:cs="Arial"/>
          <w:b/>
          <w:bCs/>
          <w:szCs w:val="20"/>
        </w:rPr>
        <w:t>Středním vzděláváním s maturitní zkouškou</w:t>
      </w:r>
      <w:r w:rsidRPr="00B31202">
        <w:rPr>
          <w:rFonts w:cs="Arial"/>
          <w:bCs/>
          <w:szCs w:val="20"/>
        </w:rPr>
        <w:t xml:space="preserve"> jsou označovány maturitní obory, ve kterých absolvent získává maturitní vysvědčení. Toto vzdělávání je realizováno ve dvou variantách. </w:t>
      </w:r>
      <w:r w:rsidRPr="00B31202">
        <w:rPr>
          <w:rFonts w:cs="Arial"/>
          <w:b/>
          <w:bCs/>
          <w:i/>
          <w:szCs w:val="20"/>
        </w:rPr>
        <w:t>Všeobecné</w:t>
      </w:r>
      <w:r w:rsidRPr="00B31202">
        <w:rPr>
          <w:rFonts w:cs="Arial"/>
          <w:bCs/>
          <w:szCs w:val="20"/>
        </w:rPr>
        <w:t xml:space="preserve"> vzdělávání s maturitní zkouškou má neprofesní charakter vzdělávání a je určeno pro přípravu na další studium. Jedná se zpravidla o obory gymnázií. V současné době mají obory gymnázií dvojí podobu, a sice čtyřletou, do které odcházejí absolventi základních škol po úspěšném dokončení 9. ročníku, a víceletou (osmiletou a šestiletou) pro žáky z nižších ročníků základních škol (z 5., resp. 7. ročníku). Oproti tomu </w:t>
      </w:r>
      <w:r w:rsidRPr="00B31202">
        <w:rPr>
          <w:rFonts w:cs="Arial"/>
          <w:b/>
          <w:bCs/>
          <w:i/>
          <w:szCs w:val="20"/>
        </w:rPr>
        <w:t>odborné</w:t>
      </w:r>
      <w:r w:rsidRPr="00B31202">
        <w:rPr>
          <w:rFonts w:cs="Arial"/>
          <w:bCs/>
          <w:szCs w:val="20"/>
        </w:rPr>
        <w:t xml:space="preserve"> vzdělávání s maturitní zkouškou má profesní charakter vzdělávání, je v délce čtyř let a ukončené maturitní zkouškou. Do středního vzdělávání dále zahrnujeme </w:t>
      </w:r>
      <w:r w:rsidRPr="00B31202">
        <w:rPr>
          <w:rFonts w:cs="Arial"/>
          <w:b/>
          <w:bCs/>
          <w:szCs w:val="20"/>
        </w:rPr>
        <w:t>nástavbové studium</w:t>
      </w:r>
      <w:r w:rsidRPr="00B31202">
        <w:rPr>
          <w:rFonts w:cs="Arial"/>
          <w:bCs/>
          <w:szCs w:val="20"/>
        </w:rPr>
        <w:t>, které trvá v denní formě dva roky a je zakončené maturitní zkouškou. Je určeno pro uchazeče, kteří získali střední vzdělání s výučním listem v délce tří let denní formy vzdělávání v oboru příbuzném tomu, v jakém chtějí složit maturitní zkoušku</w:t>
      </w:r>
      <w:r w:rsidRPr="00B31202">
        <w:rPr>
          <w:bCs/>
          <w:szCs w:val="20"/>
        </w:rPr>
        <w:t>.</w:t>
      </w:r>
    </w:p>
    <w:p w14:paraId="0561AAD5" w14:textId="77777777" w:rsidR="00FA7769" w:rsidRPr="00B31202" w:rsidRDefault="00FA7769" w:rsidP="00FA7769">
      <w:pPr>
        <w:pStyle w:val="Zkladntextodsazen"/>
        <w:widowControl/>
        <w:tabs>
          <w:tab w:val="left" w:pos="540"/>
        </w:tabs>
        <w:spacing w:before="0" w:after="120" w:line="288" w:lineRule="auto"/>
        <w:ind w:firstLine="0"/>
        <w:rPr>
          <w:bCs/>
          <w:szCs w:val="20"/>
        </w:rPr>
      </w:pPr>
      <w:r w:rsidRPr="00B31202">
        <w:rPr>
          <w:bCs/>
          <w:szCs w:val="20"/>
        </w:rPr>
        <w:t xml:space="preserve">Kromě výše uvedeného spadá do středního vzdělávání též </w:t>
      </w:r>
      <w:r w:rsidRPr="00B31202">
        <w:rPr>
          <w:b/>
          <w:bCs/>
          <w:szCs w:val="20"/>
        </w:rPr>
        <w:t>zkrácené studium pro získání středního vzdělání s výučním listem</w:t>
      </w:r>
      <w:r w:rsidRPr="00B31202">
        <w:rPr>
          <w:bCs/>
          <w:szCs w:val="20"/>
        </w:rPr>
        <w:t xml:space="preserve">. Toto studium, které v denní formě trvá jeden až dva roky, je určeno pro uchazeče, kteří získali střední vzdělání s maturitní zkouškou nebo střední vzdělání s výučním listem v jiném oboru vzdělání. Obdobně je pak žákům k dispozici </w:t>
      </w:r>
      <w:r w:rsidRPr="00B31202">
        <w:rPr>
          <w:b/>
          <w:bCs/>
          <w:szCs w:val="20"/>
        </w:rPr>
        <w:t>zkrácené studium pro získání středního vzdělání s maturitní zkouškou</w:t>
      </w:r>
      <w:r w:rsidRPr="00B31202">
        <w:rPr>
          <w:bCs/>
          <w:szCs w:val="20"/>
        </w:rPr>
        <w:t>, které v denní formě trvá taktéž jeden až dva roky a je určené uchazečům, kteří získali střední vzdělání s maturitní zkouškou v jiném oboru. Pokud není uvedené jinak, započítáváme v této analýze i v tabulkách žáky zkráceného studia do celkového počtu žáků určitého druhu vzdělávání.</w:t>
      </w:r>
    </w:p>
    <w:p w14:paraId="34E8A4EA" w14:textId="20707FCF" w:rsidR="0075333A" w:rsidRDefault="00FA7769" w:rsidP="00FA7769">
      <w:pPr>
        <w:spacing w:after="120"/>
        <w:jc w:val="both"/>
        <w:rPr>
          <w:rFonts w:cs="Arial"/>
          <w:bCs/>
          <w:szCs w:val="20"/>
        </w:rPr>
      </w:pPr>
      <w:r w:rsidRPr="00B457F9">
        <w:rPr>
          <w:rFonts w:cs="Arial"/>
          <w:b/>
          <w:bCs/>
          <w:szCs w:val="20"/>
        </w:rPr>
        <w:t>Z celkového počtu</w:t>
      </w:r>
      <w:r w:rsidRPr="00B457F9">
        <w:rPr>
          <w:rFonts w:cs="Arial"/>
          <w:bCs/>
          <w:szCs w:val="20"/>
        </w:rPr>
        <w:t xml:space="preserve"> </w:t>
      </w:r>
      <w:r w:rsidR="00705CF6" w:rsidRPr="00B457F9">
        <w:rPr>
          <w:b/>
        </w:rPr>
        <w:t>1 294</w:t>
      </w:r>
      <w:r w:rsidRPr="00B31202">
        <w:rPr>
          <w:b/>
        </w:rPr>
        <w:t xml:space="preserve"> škol</w:t>
      </w:r>
      <w:r w:rsidRPr="00B31202">
        <w:rPr>
          <w:rFonts w:cs="Arial"/>
          <w:bCs/>
          <w:szCs w:val="20"/>
        </w:rPr>
        <w:t xml:space="preserve"> jich </w:t>
      </w:r>
      <w:r w:rsidR="00705CF6">
        <w:rPr>
          <w:rFonts w:cs="Arial"/>
          <w:bCs/>
          <w:szCs w:val="20"/>
        </w:rPr>
        <w:t>ve školním roce 2022/23</w:t>
      </w:r>
      <w:r w:rsidR="00E35689">
        <w:rPr>
          <w:rFonts w:cs="Arial"/>
          <w:bCs/>
          <w:szCs w:val="20"/>
        </w:rPr>
        <w:t xml:space="preserve"> </w:t>
      </w:r>
      <w:r w:rsidRPr="006C40B8">
        <w:rPr>
          <w:rFonts w:cs="Arial"/>
          <w:bCs/>
          <w:szCs w:val="20"/>
        </w:rPr>
        <w:t>celkem</w:t>
      </w:r>
      <w:r w:rsidR="00E35689" w:rsidRPr="006C40B8">
        <w:rPr>
          <w:rFonts w:cs="Arial"/>
          <w:bCs/>
          <w:szCs w:val="20"/>
        </w:rPr>
        <w:t xml:space="preserve"> </w:t>
      </w:r>
      <w:r w:rsidR="006C40B8" w:rsidRPr="006C40B8">
        <w:rPr>
          <w:rFonts w:cs="Arial"/>
          <w:bCs/>
          <w:szCs w:val="20"/>
        </w:rPr>
        <w:t>99</w:t>
      </w:r>
      <w:r w:rsidR="00B457F9">
        <w:rPr>
          <w:rFonts w:cs="Arial"/>
          <w:bCs/>
          <w:szCs w:val="20"/>
        </w:rPr>
        <w:t>2</w:t>
      </w:r>
      <w:r w:rsidR="00E35689" w:rsidRPr="006C40B8">
        <w:rPr>
          <w:rFonts w:cs="Arial"/>
          <w:bCs/>
          <w:szCs w:val="20"/>
        </w:rPr>
        <w:t xml:space="preserve"> nabízelo</w:t>
      </w:r>
      <w:r w:rsidR="00E35689" w:rsidRPr="00B31202">
        <w:rPr>
          <w:rFonts w:cs="Arial"/>
          <w:bCs/>
          <w:szCs w:val="20"/>
        </w:rPr>
        <w:t xml:space="preserve"> žákům </w:t>
      </w:r>
      <w:r w:rsidR="00E35689" w:rsidRPr="0075333A">
        <w:rPr>
          <w:rFonts w:cs="Arial"/>
          <w:b/>
          <w:bCs/>
          <w:i/>
          <w:szCs w:val="20"/>
        </w:rPr>
        <w:t>odborné</w:t>
      </w:r>
      <w:r w:rsidR="00E35689" w:rsidRPr="0075333A">
        <w:rPr>
          <w:rFonts w:cs="Arial"/>
          <w:b/>
          <w:bCs/>
          <w:szCs w:val="20"/>
        </w:rPr>
        <w:t xml:space="preserve"> </w:t>
      </w:r>
      <w:r w:rsidR="00E35689" w:rsidRPr="00B31202">
        <w:rPr>
          <w:rFonts w:cs="Arial"/>
          <w:bCs/>
          <w:szCs w:val="20"/>
        </w:rPr>
        <w:t xml:space="preserve">vzdělávání </w:t>
      </w:r>
      <w:r w:rsidR="00B457F9">
        <w:rPr>
          <w:rFonts w:cs="Arial"/>
          <w:bCs/>
          <w:szCs w:val="20"/>
        </w:rPr>
        <w:t>(bez nástavbového studia): 145</w:t>
      </w:r>
      <w:r w:rsidR="00E35689">
        <w:rPr>
          <w:rFonts w:cs="Arial"/>
          <w:bCs/>
          <w:szCs w:val="20"/>
        </w:rPr>
        <w:t xml:space="preserve"> střední vzdělávání bez výučního listu a bez maturitní zkoušky, </w:t>
      </w:r>
      <w:r w:rsidR="00B457F9">
        <w:rPr>
          <w:rFonts w:cs="Arial"/>
          <w:bCs/>
          <w:szCs w:val="20"/>
        </w:rPr>
        <w:t>505</w:t>
      </w:r>
      <w:r w:rsidR="00E35689">
        <w:rPr>
          <w:rFonts w:cs="Arial"/>
          <w:bCs/>
          <w:szCs w:val="20"/>
        </w:rPr>
        <w:t xml:space="preserve"> střed</w:t>
      </w:r>
      <w:r w:rsidR="00B64FC3">
        <w:rPr>
          <w:rFonts w:cs="Arial"/>
          <w:bCs/>
          <w:szCs w:val="20"/>
        </w:rPr>
        <w:t xml:space="preserve">ní </w:t>
      </w:r>
      <w:r w:rsidR="007E60A6">
        <w:rPr>
          <w:rFonts w:cs="Arial"/>
          <w:bCs/>
          <w:szCs w:val="20"/>
        </w:rPr>
        <w:t xml:space="preserve">odborné </w:t>
      </w:r>
      <w:r w:rsidR="006C40B8">
        <w:rPr>
          <w:rFonts w:cs="Arial"/>
          <w:bCs/>
          <w:szCs w:val="20"/>
        </w:rPr>
        <w:t>vzdělávání s výučním listem</w:t>
      </w:r>
      <w:r w:rsidR="00E35689">
        <w:rPr>
          <w:rFonts w:cs="Arial"/>
          <w:bCs/>
          <w:szCs w:val="20"/>
        </w:rPr>
        <w:t>,</w:t>
      </w:r>
      <w:r w:rsidR="00B457F9">
        <w:rPr>
          <w:rFonts w:cs="Arial"/>
          <w:bCs/>
          <w:szCs w:val="20"/>
        </w:rPr>
        <w:t xml:space="preserve"> 781</w:t>
      </w:r>
      <w:r w:rsidR="00E35689">
        <w:rPr>
          <w:rFonts w:cs="Arial"/>
          <w:bCs/>
          <w:szCs w:val="20"/>
        </w:rPr>
        <w:t xml:space="preserve"> střední </w:t>
      </w:r>
      <w:r w:rsidR="007E60A6">
        <w:rPr>
          <w:rFonts w:cs="Arial"/>
          <w:bCs/>
          <w:szCs w:val="20"/>
        </w:rPr>
        <w:t xml:space="preserve">odborné </w:t>
      </w:r>
      <w:r w:rsidR="00E35689">
        <w:rPr>
          <w:rFonts w:cs="Arial"/>
          <w:bCs/>
          <w:szCs w:val="20"/>
        </w:rPr>
        <w:t>vzdělávání s maturitní zkouškou</w:t>
      </w:r>
      <w:r w:rsidR="006C40B8">
        <w:rPr>
          <w:rFonts w:cs="Arial"/>
          <w:bCs/>
          <w:szCs w:val="20"/>
        </w:rPr>
        <w:t xml:space="preserve">. </w:t>
      </w:r>
      <w:r w:rsidR="006C40B8" w:rsidRPr="00B457F9">
        <w:rPr>
          <w:rFonts w:cs="Arial"/>
          <w:bCs/>
          <w:szCs w:val="20"/>
        </w:rPr>
        <w:t xml:space="preserve">Celkem </w:t>
      </w:r>
      <w:r w:rsidR="00B457F9" w:rsidRPr="00B457F9">
        <w:rPr>
          <w:rFonts w:cs="Arial"/>
          <w:bCs/>
          <w:szCs w:val="20"/>
        </w:rPr>
        <w:t>259</w:t>
      </w:r>
      <w:r w:rsidR="00E35689" w:rsidRPr="00B457F9">
        <w:rPr>
          <w:rFonts w:cs="Arial"/>
          <w:bCs/>
          <w:szCs w:val="20"/>
        </w:rPr>
        <w:t xml:space="preserve"> škol</w:t>
      </w:r>
      <w:r w:rsidR="00E35689">
        <w:rPr>
          <w:rFonts w:cs="Arial"/>
          <w:bCs/>
          <w:szCs w:val="20"/>
        </w:rPr>
        <w:t xml:space="preserve"> nabízelo </w:t>
      </w:r>
      <w:r w:rsidR="00E35689" w:rsidRPr="0075333A">
        <w:rPr>
          <w:rFonts w:cs="Arial"/>
          <w:b/>
          <w:bCs/>
          <w:i/>
          <w:szCs w:val="20"/>
        </w:rPr>
        <w:t>nástavbové</w:t>
      </w:r>
      <w:r w:rsidR="00E35689">
        <w:rPr>
          <w:rFonts w:cs="Arial"/>
          <w:bCs/>
          <w:szCs w:val="20"/>
        </w:rPr>
        <w:t xml:space="preserve"> </w:t>
      </w:r>
      <w:r w:rsidR="00B457F9">
        <w:rPr>
          <w:rFonts w:cs="Arial"/>
          <w:bCs/>
          <w:szCs w:val="20"/>
        </w:rPr>
        <w:t>studium a 370</w:t>
      </w:r>
      <w:r w:rsidR="00E35689" w:rsidRPr="00E35689">
        <w:rPr>
          <w:rFonts w:cs="Arial"/>
          <w:bCs/>
          <w:szCs w:val="20"/>
        </w:rPr>
        <w:t xml:space="preserve"> </w:t>
      </w:r>
      <w:r w:rsidR="00E35689" w:rsidRPr="0075333A">
        <w:rPr>
          <w:rFonts w:cs="Arial"/>
          <w:b/>
          <w:bCs/>
          <w:i/>
          <w:szCs w:val="20"/>
        </w:rPr>
        <w:t>všeobecné</w:t>
      </w:r>
      <w:r w:rsidR="00E35689">
        <w:rPr>
          <w:rFonts w:cs="Arial"/>
          <w:bCs/>
          <w:szCs w:val="20"/>
        </w:rPr>
        <w:t xml:space="preserve"> vzdělávání na gymnáziích</w:t>
      </w:r>
      <w:r w:rsidR="00E35689" w:rsidRPr="00B31202">
        <w:rPr>
          <w:rFonts w:cs="Arial"/>
          <w:bCs/>
          <w:szCs w:val="20"/>
        </w:rPr>
        <w:t>.</w:t>
      </w:r>
      <w:r w:rsidR="0055553C">
        <w:rPr>
          <w:rFonts w:cs="Arial"/>
          <w:bCs/>
          <w:szCs w:val="20"/>
        </w:rPr>
        <w:t xml:space="preserve"> Řada škol tak nabízela více druhů vzdělávání.</w:t>
      </w:r>
    </w:p>
    <w:p w14:paraId="0EE3559E" w14:textId="50817D58" w:rsidR="00FA7769" w:rsidRPr="00B31202" w:rsidRDefault="00AD43A0" w:rsidP="00FA7769">
      <w:pPr>
        <w:spacing w:after="120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V jiném pohledu lze říci, že p</w:t>
      </w:r>
      <w:r w:rsidR="00E35689">
        <w:rPr>
          <w:rFonts w:cs="Arial"/>
          <w:bCs/>
          <w:szCs w:val="20"/>
        </w:rPr>
        <w:t xml:space="preserve">očet škol nabízejících střední </w:t>
      </w:r>
      <w:r w:rsidR="007E60A6">
        <w:rPr>
          <w:rFonts w:cs="Arial"/>
          <w:bCs/>
          <w:szCs w:val="20"/>
        </w:rPr>
        <w:t xml:space="preserve">odborné </w:t>
      </w:r>
      <w:r w:rsidR="00E35689">
        <w:rPr>
          <w:rFonts w:cs="Arial"/>
          <w:bCs/>
          <w:szCs w:val="20"/>
        </w:rPr>
        <w:t xml:space="preserve">vzdělávání </w:t>
      </w:r>
      <w:r w:rsidR="0075333A">
        <w:rPr>
          <w:rFonts w:cs="Arial"/>
          <w:bCs/>
          <w:szCs w:val="20"/>
        </w:rPr>
        <w:t xml:space="preserve">s výučním listem čítal </w:t>
      </w:r>
      <w:r>
        <w:rPr>
          <w:rFonts w:cs="Arial"/>
          <w:bCs/>
          <w:szCs w:val="20"/>
        </w:rPr>
        <w:t>dohromady</w:t>
      </w:r>
      <w:r w:rsidR="0075333A">
        <w:rPr>
          <w:rFonts w:cs="Arial"/>
          <w:bCs/>
          <w:szCs w:val="20"/>
        </w:rPr>
        <w:t xml:space="preserve"> </w:t>
      </w:r>
      <w:r w:rsidR="00B457F9">
        <w:rPr>
          <w:rFonts w:cs="Arial"/>
          <w:bCs/>
          <w:szCs w:val="20"/>
        </w:rPr>
        <w:t>505</w:t>
      </w:r>
      <w:r w:rsidR="0075333A">
        <w:rPr>
          <w:rFonts w:cs="Arial"/>
          <w:bCs/>
          <w:szCs w:val="20"/>
        </w:rPr>
        <w:t xml:space="preserve"> škol a počet škol se vzděláváním vedoucím k </w:t>
      </w:r>
      <w:r w:rsidR="00E35689" w:rsidRPr="0075333A">
        <w:rPr>
          <w:rFonts w:cs="Arial"/>
          <w:b/>
          <w:bCs/>
          <w:szCs w:val="20"/>
        </w:rPr>
        <w:t xml:space="preserve">maturitní </w:t>
      </w:r>
      <w:r w:rsidR="0075333A">
        <w:rPr>
          <w:rFonts w:cs="Arial"/>
          <w:b/>
          <w:bCs/>
          <w:szCs w:val="20"/>
        </w:rPr>
        <w:t>zkoušce</w:t>
      </w:r>
      <w:r w:rsidR="00E35689">
        <w:rPr>
          <w:rFonts w:cs="Arial"/>
          <w:bCs/>
          <w:szCs w:val="20"/>
        </w:rPr>
        <w:t xml:space="preserve"> </w:t>
      </w:r>
      <w:r w:rsidR="0075333A">
        <w:rPr>
          <w:rFonts w:cs="Arial"/>
          <w:bCs/>
          <w:szCs w:val="20"/>
        </w:rPr>
        <w:t>(</w:t>
      </w:r>
      <w:r w:rsidR="006C40B8">
        <w:rPr>
          <w:rFonts w:cs="Arial"/>
          <w:bCs/>
          <w:szCs w:val="20"/>
        </w:rPr>
        <w:t>bez nástavbového) zahrnoval 1</w:t>
      </w:r>
      <w:r w:rsidR="002602E7">
        <w:rPr>
          <w:rFonts w:cs="Arial"/>
          <w:bCs/>
          <w:szCs w:val="20"/>
        </w:rPr>
        <w:t> </w:t>
      </w:r>
      <w:r w:rsidR="00B457F9">
        <w:rPr>
          <w:rFonts w:cs="Arial"/>
          <w:bCs/>
          <w:szCs w:val="20"/>
        </w:rPr>
        <w:t>086</w:t>
      </w:r>
      <w:r w:rsidR="0075333A">
        <w:rPr>
          <w:rFonts w:cs="Arial"/>
          <w:bCs/>
          <w:szCs w:val="20"/>
        </w:rPr>
        <w:t xml:space="preserve"> škol. </w:t>
      </w:r>
    </w:p>
    <w:p w14:paraId="0B592073" w14:textId="167ADD8F" w:rsidR="00D04DCE" w:rsidRPr="00B31202" w:rsidRDefault="00FA7769" w:rsidP="00FA7769">
      <w:pPr>
        <w:pStyle w:val="Zkladntextodsazen"/>
        <w:widowControl/>
        <w:tabs>
          <w:tab w:val="left" w:pos="540"/>
        </w:tabs>
        <w:spacing w:before="0" w:after="120" w:line="288" w:lineRule="auto"/>
        <w:ind w:firstLine="0"/>
        <w:rPr>
          <w:bCs/>
          <w:szCs w:val="20"/>
        </w:rPr>
      </w:pPr>
      <w:r w:rsidRPr="008716FA">
        <w:rPr>
          <w:bCs/>
          <w:szCs w:val="20"/>
        </w:rPr>
        <w:t>Přejděme k </w:t>
      </w:r>
      <w:r w:rsidRPr="008716FA">
        <w:rPr>
          <w:b/>
          <w:bCs/>
          <w:szCs w:val="20"/>
        </w:rPr>
        <w:t>počtu žáků vzdělávajících se v jednotlivých druzích vzdělávání</w:t>
      </w:r>
      <w:r w:rsidRPr="008716FA">
        <w:rPr>
          <w:bCs/>
          <w:szCs w:val="20"/>
        </w:rPr>
        <w:t>.</w:t>
      </w:r>
      <w:r w:rsidR="004452E3" w:rsidRPr="008716FA">
        <w:rPr>
          <w:bCs/>
          <w:szCs w:val="20"/>
        </w:rPr>
        <w:t xml:space="preserve"> Ve škol</w:t>
      </w:r>
      <w:r w:rsidR="00934640">
        <w:rPr>
          <w:bCs/>
          <w:szCs w:val="20"/>
        </w:rPr>
        <w:t>ním roce 2022/23</w:t>
      </w:r>
      <w:r w:rsidRPr="00B31202">
        <w:rPr>
          <w:bCs/>
          <w:szCs w:val="20"/>
        </w:rPr>
        <w:t xml:space="preserve"> se nejvyšší podíl žáků vzdělával v </w:t>
      </w:r>
      <w:r w:rsidRPr="0090753F">
        <w:rPr>
          <w:bCs/>
          <w:szCs w:val="20"/>
        </w:rPr>
        <w:t>oborech odborného vzděl</w:t>
      </w:r>
      <w:r w:rsidR="00700BF3" w:rsidRPr="0090753F">
        <w:rPr>
          <w:bCs/>
          <w:szCs w:val="20"/>
        </w:rPr>
        <w:t>ávání s maturitní zkouškou</w:t>
      </w:r>
      <w:r w:rsidR="00D04DCE" w:rsidRPr="0090753F">
        <w:rPr>
          <w:bCs/>
          <w:szCs w:val="20"/>
        </w:rPr>
        <w:t xml:space="preserve"> (46,4 %), dále pak v gymnáziích (29,3</w:t>
      </w:r>
      <w:r w:rsidRPr="0090753F">
        <w:rPr>
          <w:bCs/>
          <w:szCs w:val="20"/>
        </w:rPr>
        <w:t> %) a pětina žáků se také účastnila odborného v</w:t>
      </w:r>
      <w:r w:rsidR="00D04DCE" w:rsidRPr="0090753F">
        <w:rPr>
          <w:bCs/>
          <w:szCs w:val="20"/>
        </w:rPr>
        <w:t>zdělávání s výučním</w:t>
      </w:r>
      <w:r w:rsidR="00D04DCE">
        <w:rPr>
          <w:bCs/>
          <w:szCs w:val="20"/>
        </w:rPr>
        <w:t xml:space="preserve"> listem (20,5</w:t>
      </w:r>
      <w:r w:rsidRPr="00B31202">
        <w:rPr>
          <w:bCs/>
          <w:szCs w:val="20"/>
        </w:rPr>
        <w:t> %). Nástavbo</w:t>
      </w:r>
      <w:r w:rsidR="00D04DCE">
        <w:rPr>
          <w:bCs/>
          <w:szCs w:val="20"/>
        </w:rPr>
        <w:t>vé studium se týkalo již jen 3,1</w:t>
      </w:r>
      <w:r w:rsidRPr="00B31202">
        <w:rPr>
          <w:bCs/>
          <w:szCs w:val="20"/>
        </w:rPr>
        <w:t> % žáků a střední vzdělávání bez výučního listu a bez ma</w:t>
      </w:r>
      <w:r w:rsidR="009E7EBC">
        <w:rPr>
          <w:bCs/>
          <w:szCs w:val="20"/>
        </w:rPr>
        <w:t>turity 0,6 % žáků – viz graf 3.4</w:t>
      </w:r>
      <w:r w:rsidRPr="00B31202">
        <w:rPr>
          <w:bCs/>
          <w:szCs w:val="20"/>
        </w:rPr>
        <w:t xml:space="preserve">. </w:t>
      </w:r>
      <w:r w:rsidR="001A06C3">
        <w:rPr>
          <w:rStyle w:val="Znakapoznpodarou"/>
          <w:bCs/>
          <w:szCs w:val="20"/>
        </w:rPr>
        <w:footnoteReference w:id="5"/>
      </w:r>
      <w:r w:rsidRPr="00B31202">
        <w:rPr>
          <w:bCs/>
          <w:szCs w:val="20"/>
        </w:rPr>
        <w:t xml:space="preserve"> </w:t>
      </w:r>
    </w:p>
    <w:p w14:paraId="52003C39" w14:textId="53821B92" w:rsidR="00FA7769" w:rsidRDefault="009E7EBC" w:rsidP="00FA7769">
      <w:pPr>
        <w:pStyle w:val="Zkladntextodsazen"/>
        <w:keepNext/>
        <w:widowControl/>
        <w:tabs>
          <w:tab w:val="left" w:pos="540"/>
        </w:tabs>
        <w:spacing w:before="0" w:after="120" w:line="288" w:lineRule="auto"/>
        <w:ind w:firstLine="0"/>
        <w:rPr>
          <w:b/>
          <w:bCs/>
          <w:szCs w:val="20"/>
        </w:rPr>
      </w:pPr>
      <w:r>
        <w:rPr>
          <w:b/>
          <w:bCs/>
          <w:szCs w:val="20"/>
        </w:rPr>
        <w:lastRenderedPageBreak/>
        <w:t>Graf 3.4</w:t>
      </w:r>
      <w:r w:rsidR="00FA7769" w:rsidRPr="00B31202">
        <w:rPr>
          <w:b/>
          <w:bCs/>
          <w:szCs w:val="20"/>
        </w:rPr>
        <w:t xml:space="preserve"> </w:t>
      </w:r>
      <w:r w:rsidR="00FA7769" w:rsidRPr="00B31202">
        <w:rPr>
          <w:b/>
        </w:rPr>
        <w:t>Střední školy</w:t>
      </w:r>
      <w:r w:rsidR="00FA7769" w:rsidRPr="00B31202">
        <w:t xml:space="preserve"> </w:t>
      </w:r>
      <w:r w:rsidR="00FA7769" w:rsidRPr="00B31202">
        <w:rPr>
          <w:b/>
          <w:bCs/>
          <w:szCs w:val="20"/>
        </w:rPr>
        <w:t>– podíly žáků v jednotlivý</w:t>
      </w:r>
      <w:r w:rsidR="00DB5CF0">
        <w:rPr>
          <w:b/>
          <w:bCs/>
          <w:szCs w:val="20"/>
        </w:rPr>
        <w:t>ch druzích vzdělávání (2022/23</w:t>
      </w:r>
      <w:r w:rsidR="00FA7769" w:rsidRPr="00B31202">
        <w:rPr>
          <w:b/>
          <w:bCs/>
          <w:szCs w:val="20"/>
        </w:rPr>
        <w:t>)</w:t>
      </w:r>
    </w:p>
    <w:p w14:paraId="2C60F582" w14:textId="1E049D6A" w:rsidR="00700BF3" w:rsidRDefault="00D04DCE" w:rsidP="00FA7769">
      <w:pPr>
        <w:pStyle w:val="Zkladntextodsazen"/>
        <w:keepNext/>
        <w:widowControl/>
        <w:tabs>
          <w:tab w:val="left" w:pos="540"/>
        </w:tabs>
        <w:spacing w:before="0" w:after="120" w:line="288" w:lineRule="auto"/>
        <w:ind w:firstLine="0"/>
        <w:rPr>
          <w:b/>
          <w:bCs/>
          <w:szCs w:val="20"/>
        </w:rPr>
      </w:pPr>
      <w:r>
        <w:rPr>
          <w:noProof/>
        </w:rPr>
        <w:drawing>
          <wp:inline distT="0" distB="0" distL="0" distR="0" wp14:anchorId="52753705" wp14:editId="2D6D3470">
            <wp:extent cx="6120130" cy="3781425"/>
            <wp:effectExtent l="0" t="0" r="13970" b="9525"/>
            <wp:docPr id="89" name="Graf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904D24" w14:textId="77777777" w:rsidR="00FA7769" w:rsidRDefault="00FA7769" w:rsidP="00CF27F9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24EC3FDD" w14:textId="0523C4DE" w:rsidR="00FA7769" w:rsidRPr="004A5668" w:rsidRDefault="00864CB6" w:rsidP="00FA7769">
      <w:pPr>
        <w:spacing w:after="120"/>
        <w:jc w:val="both"/>
      </w:pPr>
      <w:r>
        <w:t>V grafu</w:t>
      </w:r>
      <w:r w:rsidR="009E7EBC">
        <w:t xml:space="preserve"> 3.4</w:t>
      </w:r>
      <w:r w:rsidR="00FA7769" w:rsidRPr="004A5668">
        <w:t xml:space="preserve"> je také uveden podíl dívek mezi žáky jednotlivých druhů vzdělávání. Zde si lze všimnout, že mezi žáky gymná</w:t>
      </w:r>
      <w:r w:rsidR="00D04DCE">
        <w:t>zií tvořily ve školním roce 2022/23 dívky bezmála tři pětiny (56,6</w:t>
      </w:r>
      <w:r w:rsidR="00FA7769" w:rsidRPr="004A5668">
        <w:t xml:space="preserve"> %) a </w:t>
      </w:r>
      <w:r w:rsidR="00C719C3">
        <w:t>nadpoloviční byl jejich podíl i </w:t>
      </w:r>
      <w:r w:rsidR="00FA7769" w:rsidRPr="004A5668">
        <w:t>mezi žáky odborného vzd</w:t>
      </w:r>
      <w:r w:rsidR="00DA114F">
        <w:t>ělávání s maturitní zkouškou (5</w:t>
      </w:r>
      <w:r w:rsidR="00E54004">
        <w:t>1</w:t>
      </w:r>
      <w:r w:rsidR="00700BF3">
        <w:t>,7</w:t>
      </w:r>
      <w:r w:rsidR="00FA7769" w:rsidRPr="004A5668">
        <w:t xml:space="preserve"> %). Naproti tomu mezi žáky odborného vzdělávání s výučním listem byla dívek jen</w:t>
      </w:r>
      <w:r w:rsidR="00DA114F">
        <w:t xml:space="preserve"> cca</w:t>
      </w:r>
      <w:r w:rsidR="00D04DCE">
        <w:t xml:space="preserve"> třetina (35,0</w:t>
      </w:r>
      <w:r w:rsidR="00FA7769" w:rsidRPr="004A5668">
        <w:t> %) a mezi žák</w:t>
      </w:r>
      <w:r w:rsidR="00DA114F">
        <w:t xml:space="preserve">y </w:t>
      </w:r>
      <w:r w:rsidR="00700BF3">
        <w:t xml:space="preserve">nástavbového studia tvořily </w:t>
      </w:r>
      <w:r w:rsidR="00F62818">
        <w:t xml:space="preserve">dívky </w:t>
      </w:r>
      <w:r w:rsidR="00700BF3">
        <w:t>43,9</w:t>
      </w:r>
      <w:r w:rsidR="00FA7769" w:rsidRPr="004A5668">
        <w:t> %. Z uvedených podílů je zároveň zřejmé, že pakliže se dívky rozhodnou vzdělávat v některém oboru s výučním listem, tak si poté častěji než chlapci doplňují vzdělání do maturitní zkoušky v rámci nástavbového studia.</w:t>
      </w:r>
    </w:p>
    <w:p w14:paraId="165AB66A" w14:textId="47E9DE18" w:rsidR="00FA7769" w:rsidRPr="004A5668" w:rsidRDefault="00FA7769" w:rsidP="00FA7769">
      <w:pPr>
        <w:spacing w:after="120"/>
        <w:jc w:val="both"/>
      </w:pPr>
      <w:r w:rsidRPr="00EE5C81">
        <w:t xml:space="preserve">Pokud se jedná o </w:t>
      </w:r>
      <w:r w:rsidRPr="00EE5C81">
        <w:rPr>
          <w:b/>
        </w:rPr>
        <w:t>vývoj v čase</w:t>
      </w:r>
      <w:r w:rsidRPr="00EE5C81">
        <w:t>, spo</w:t>
      </w:r>
      <w:r w:rsidRPr="00811FCF">
        <w:t xml:space="preserve">lu s celkovým počtem žáků ve středních školách klesal </w:t>
      </w:r>
      <w:r w:rsidR="00EE5C81">
        <w:t xml:space="preserve">v období mezi školními roky 2012/13 a 2018/19 </w:t>
      </w:r>
      <w:r w:rsidRPr="00811FCF">
        <w:t>též počet žáků</w:t>
      </w:r>
      <w:r w:rsidR="00EE5C81">
        <w:t xml:space="preserve"> odborného vzdělávání</w:t>
      </w:r>
      <w:r w:rsidRPr="00811FCF">
        <w:t xml:space="preserve"> </w:t>
      </w:r>
      <w:r w:rsidR="00EE5C81">
        <w:t xml:space="preserve">s výučním listem </w:t>
      </w:r>
      <w:r w:rsidR="00C3647D">
        <w:t xml:space="preserve">(o 13,9 %) </w:t>
      </w:r>
      <w:r w:rsidR="00EE5C81">
        <w:t>a mezi školními roky 2012/13 až 2015/16 též počet žáků odborného vzdělávání s maturitní zkouškou</w:t>
      </w:r>
      <w:r w:rsidR="00C3647D">
        <w:t xml:space="preserve"> (o 10,9 %)</w:t>
      </w:r>
      <w:r w:rsidR="00EE5C81">
        <w:t>.</w:t>
      </w:r>
      <w:r w:rsidR="00C3647D">
        <w:t xml:space="preserve"> V následujících letech </w:t>
      </w:r>
      <w:r w:rsidR="00AE1478">
        <w:t>poslední dekády</w:t>
      </w:r>
      <w:r w:rsidR="00C3647D">
        <w:t xml:space="preserve"> naopak zaznamenaly </w:t>
      </w:r>
      <w:r w:rsidR="000F54F7">
        <w:t xml:space="preserve">tyto druhy vzdělávání </w:t>
      </w:r>
      <w:r w:rsidR="00C3647D">
        <w:t>růst</w:t>
      </w:r>
      <w:r w:rsidR="000F54F7">
        <w:t xml:space="preserve"> počtu žáků</w:t>
      </w:r>
      <w:r w:rsidR="00C3647D">
        <w:t>.</w:t>
      </w:r>
      <w:r w:rsidR="00EE5C81">
        <w:t xml:space="preserve"> </w:t>
      </w:r>
      <w:r w:rsidR="00C24392">
        <w:rPr>
          <w:rFonts w:cs="Arial"/>
          <w:sz w:val="18"/>
          <w:szCs w:val="18"/>
        </w:rPr>
        <w:t>Počet žáků </w:t>
      </w:r>
      <w:r w:rsidR="00C24392" w:rsidRPr="005D74F2">
        <w:rPr>
          <w:rFonts w:cs="Arial"/>
          <w:sz w:val="18"/>
          <w:szCs w:val="18"/>
        </w:rPr>
        <w:t xml:space="preserve">středního odborného vzdělávání s výučním listem </w:t>
      </w:r>
      <w:r w:rsidR="00C24392">
        <w:rPr>
          <w:rFonts w:cs="Arial"/>
          <w:sz w:val="18"/>
          <w:szCs w:val="18"/>
        </w:rPr>
        <w:t xml:space="preserve">se </w:t>
      </w:r>
      <w:r w:rsidR="00C24392" w:rsidRPr="005D74F2">
        <w:rPr>
          <w:rFonts w:cs="Arial"/>
          <w:sz w:val="18"/>
          <w:szCs w:val="18"/>
        </w:rPr>
        <w:t xml:space="preserve">mezi školními roky 2018/19 a 2022/23 </w:t>
      </w:r>
      <w:r w:rsidR="00C24392">
        <w:rPr>
          <w:rFonts w:cs="Arial"/>
          <w:sz w:val="18"/>
          <w:szCs w:val="18"/>
        </w:rPr>
        <w:t xml:space="preserve">zvýšil </w:t>
      </w:r>
      <w:r w:rsidR="00C24392" w:rsidRPr="005D74F2">
        <w:rPr>
          <w:rFonts w:cs="Arial"/>
          <w:sz w:val="18"/>
          <w:szCs w:val="18"/>
        </w:rPr>
        <w:t xml:space="preserve">o 9,8 % </w:t>
      </w:r>
      <w:r w:rsidR="00C24392">
        <w:rPr>
          <w:rFonts w:cs="Arial"/>
          <w:sz w:val="18"/>
          <w:szCs w:val="18"/>
        </w:rPr>
        <w:t>a počet žáků</w:t>
      </w:r>
      <w:r w:rsidR="00C24392" w:rsidRPr="005D74F2">
        <w:rPr>
          <w:rFonts w:cs="Arial"/>
          <w:sz w:val="18"/>
          <w:szCs w:val="18"/>
        </w:rPr>
        <w:t xml:space="preserve"> středního odborného vzdělávání s maturitní zkouškou</w:t>
      </w:r>
      <w:r w:rsidR="00C24392">
        <w:rPr>
          <w:rFonts w:cs="Arial"/>
          <w:sz w:val="18"/>
          <w:szCs w:val="18"/>
        </w:rPr>
        <w:t xml:space="preserve"> se</w:t>
      </w:r>
      <w:r w:rsidR="00C24392" w:rsidRPr="005D74F2">
        <w:rPr>
          <w:rFonts w:cs="Arial"/>
          <w:sz w:val="18"/>
          <w:szCs w:val="18"/>
        </w:rPr>
        <w:t xml:space="preserve"> mezi školními roky 2015/16 a 2022/23</w:t>
      </w:r>
      <w:r w:rsidR="00C24392">
        <w:rPr>
          <w:rFonts w:cs="Arial"/>
          <w:sz w:val="18"/>
          <w:szCs w:val="18"/>
        </w:rPr>
        <w:t xml:space="preserve"> zvýšil </w:t>
      </w:r>
      <w:r w:rsidR="00C24392" w:rsidRPr="005D74F2">
        <w:rPr>
          <w:rFonts w:cs="Arial"/>
          <w:sz w:val="18"/>
          <w:szCs w:val="18"/>
        </w:rPr>
        <w:t>o 16,5 %.</w:t>
      </w:r>
      <w:r w:rsidR="00C24392">
        <w:rPr>
          <w:rFonts w:cs="Arial"/>
          <w:sz w:val="18"/>
          <w:szCs w:val="18"/>
        </w:rPr>
        <w:t xml:space="preserve"> </w:t>
      </w:r>
      <w:r w:rsidR="00EE5C81">
        <w:t>Počet žáků nástavbového studia naopak klesal až do školního roku 2019/20</w:t>
      </w:r>
      <w:r w:rsidR="00C3647D">
        <w:t xml:space="preserve"> (celkem </w:t>
      </w:r>
      <w:r w:rsidR="00B24764">
        <w:t xml:space="preserve">se snížil </w:t>
      </w:r>
      <w:r w:rsidR="00C3647D">
        <w:t>o 55,2 %)</w:t>
      </w:r>
      <w:r w:rsidR="00EE5C81">
        <w:t>, poté osciloval mezi 13,5 a 15,0 tisíci žáky. Po</w:t>
      </w:r>
      <w:r w:rsidR="00C3647D">
        <w:t xml:space="preserve">čet žáků ve vzdělávání vedoucí </w:t>
      </w:r>
      <w:r w:rsidR="00EE5C81">
        <w:t>pouze k závěrečné zkoušce (tedy bez udělení výučního listu či maturitního vysvědčení) téměř setrvale stoupal a celkově se za 10 let zvýšil o 40,6</w:t>
      </w:r>
      <w:r w:rsidR="00B24764">
        <w:t> </w:t>
      </w:r>
      <w:r w:rsidR="00EE5C81">
        <w:t>%</w:t>
      </w:r>
      <w:r w:rsidR="00B24764">
        <w:t>, a sice</w:t>
      </w:r>
      <w:r w:rsidR="00EE5C81">
        <w:t xml:space="preserve"> z 1 965 žáků na 2 763 žáků. Nejstabilnější v čase byl počet žáků gymnázií, který se v prvních třech letech uplynulého desetiletí snížil o 2,6 % a v následujících </w:t>
      </w:r>
      <w:r w:rsidR="00EE5C81" w:rsidRPr="00C3647D">
        <w:t>sedmi letech naopak zvýšil o 6,5 %.</w:t>
      </w:r>
      <w:r w:rsidR="00C3647D" w:rsidRPr="00C3647D">
        <w:t xml:space="preserve"> </w:t>
      </w:r>
      <w:r w:rsidR="00C3647D">
        <w:t xml:space="preserve">Jak již však bylo v této publikaci uvedeno, </w:t>
      </w:r>
      <w:r w:rsidR="00C3647D" w:rsidRPr="00C3647D">
        <w:t>kapacity gymnázií jsou limitované vládní strategií a dlou</w:t>
      </w:r>
      <w:r w:rsidR="00C3647D">
        <w:t>hodobými záměry krajských úřadů</w:t>
      </w:r>
      <w:r w:rsidR="00C3647D" w:rsidRPr="00C3647D">
        <w:t xml:space="preserve">. </w:t>
      </w:r>
      <w:r w:rsidR="00C3647D">
        <w:t xml:space="preserve">Proto se z populačně silných ročníků dostává na gymnázia menší podíl dětí než z těch populačně slabších. </w:t>
      </w:r>
      <w:r w:rsidR="00B24764">
        <w:t xml:space="preserve">Více </w:t>
      </w:r>
      <w:r w:rsidR="009E7EBC">
        <w:t>viz graf 3.5</w:t>
      </w:r>
      <w:r w:rsidRPr="004A5668">
        <w:t>.</w:t>
      </w:r>
    </w:p>
    <w:p w14:paraId="3114ABAB" w14:textId="39C80AA3" w:rsidR="00FA7769" w:rsidRDefault="009E7EBC" w:rsidP="00FA7769">
      <w:pPr>
        <w:keepNext/>
        <w:keepLines/>
        <w:spacing w:after="120" w:line="240" w:lineRule="auto"/>
        <w:jc w:val="both"/>
        <w:rPr>
          <w:b/>
        </w:rPr>
      </w:pPr>
      <w:r>
        <w:rPr>
          <w:b/>
        </w:rPr>
        <w:lastRenderedPageBreak/>
        <w:t>Graf 3.5</w:t>
      </w:r>
      <w:r w:rsidR="00FA7769">
        <w:rPr>
          <w:b/>
        </w:rPr>
        <w:t xml:space="preserve"> Střední školy</w:t>
      </w:r>
      <w:r w:rsidR="00FA7769" w:rsidRPr="00C3589B">
        <w:t xml:space="preserve"> </w:t>
      </w:r>
      <w:r w:rsidR="00FA7769" w:rsidRPr="00617510">
        <w:rPr>
          <w:b/>
        </w:rPr>
        <w:t xml:space="preserve">– vývoj počtu žáků v různých druzích vzdělávání </w:t>
      </w:r>
      <w:r w:rsidR="00C3647D">
        <w:rPr>
          <w:b/>
        </w:rPr>
        <w:t>(2012/13 – 2022/23</w:t>
      </w:r>
      <w:r w:rsidR="00FA7769">
        <w:rPr>
          <w:b/>
        </w:rPr>
        <w:t>)</w:t>
      </w:r>
    </w:p>
    <w:p w14:paraId="010A8A94" w14:textId="2BC0B66F" w:rsidR="00FA7769" w:rsidRPr="00925F22" w:rsidRDefault="003559B3" w:rsidP="00FA7769">
      <w:pPr>
        <w:keepNext/>
        <w:keepLines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59932BFE" wp14:editId="78A2EC9D">
            <wp:extent cx="6120130" cy="3695700"/>
            <wp:effectExtent l="0" t="0" r="13970" b="0"/>
            <wp:docPr id="94" name="Graf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571B71C" w14:textId="4A59343B" w:rsidR="00682FEB" w:rsidRPr="00B24764" w:rsidRDefault="00FA7769" w:rsidP="00B24764">
      <w:pPr>
        <w:spacing w:after="120" w:line="276" w:lineRule="auto"/>
        <w:jc w:val="right"/>
        <w:rPr>
          <w:rFonts w:asciiTheme="minorHAnsi" w:hAnsiTheme="minorHAnsi"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44684CFA" w14:textId="111BF97A" w:rsidR="00FA7769" w:rsidRPr="004A5668" w:rsidRDefault="00FA7769" w:rsidP="00FA7769">
      <w:pPr>
        <w:spacing w:after="120"/>
        <w:jc w:val="both"/>
      </w:pPr>
      <w:r w:rsidRPr="00A10C0A">
        <w:t xml:space="preserve">V jiném pohledu lze konstatovat, že podíl žáků gymnázií ze všech žáků středních škol </w:t>
      </w:r>
      <w:r w:rsidR="006F4256" w:rsidRPr="00A10C0A">
        <w:t xml:space="preserve">v prvních </w:t>
      </w:r>
      <w:r w:rsidR="00A10C0A" w:rsidRPr="00A10C0A">
        <w:t>šesti letech posledního desetiletí</w:t>
      </w:r>
      <w:r w:rsidRPr="00A10C0A">
        <w:t xml:space="preserve"> </w:t>
      </w:r>
      <w:r w:rsidR="00A10C0A" w:rsidRPr="00A10C0A">
        <w:t xml:space="preserve">postupně </w:t>
      </w:r>
      <w:r w:rsidRPr="00A10C0A">
        <w:t>sto</w:t>
      </w:r>
      <w:r w:rsidR="00B92A24" w:rsidRPr="00A10C0A">
        <w:t>upal</w:t>
      </w:r>
      <w:r w:rsidR="00A10C0A">
        <w:t xml:space="preserve"> (z 27,8 % na 30,9 %)</w:t>
      </w:r>
      <w:r w:rsidR="006F4256">
        <w:t xml:space="preserve">, </w:t>
      </w:r>
      <w:r w:rsidR="00A10C0A">
        <w:t>v následujících čtyřech školních rocích</w:t>
      </w:r>
      <w:r w:rsidR="006F4256">
        <w:t xml:space="preserve"> </w:t>
      </w:r>
      <w:r w:rsidR="00A10C0A">
        <w:t xml:space="preserve">naopak </w:t>
      </w:r>
      <w:r w:rsidR="006F4256">
        <w:t>mírně poklesl</w:t>
      </w:r>
      <w:r w:rsidR="00A10C0A">
        <w:t xml:space="preserve"> (z 30,9 % na 29,3 %)</w:t>
      </w:r>
      <w:r w:rsidR="00B92A24">
        <w:t xml:space="preserve">. </w:t>
      </w:r>
      <w:r w:rsidRPr="004A5668">
        <w:t xml:space="preserve">Mezi chlapci - středoškoláky byl </w:t>
      </w:r>
      <w:r w:rsidR="006F4256">
        <w:t xml:space="preserve">přitom </w:t>
      </w:r>
      <w:r w:rsidRPr="004A5668">
        <w:t xml:space="preserve">podíl žáků gymnázií </w:t>
      </w:r>
      <w:r w:rsidR="00A10C0A">
        <w:t xml:space="preserve">ve všech sledovaných rocích </w:t>
      </w:r>
      <w:r w:rsidRPr="004A5668">
        <w:t>o</w:t>
      </w:r>
      <w:r w:rsidR="00A10C0A">
        <w:t> </w:t>
      </w:r>
      <w:r w:rsidR="006F4256">
        <w:t>cca</w:t>
      </w:r>
      <w:r w:rsidR="00D55479">
        <w:t> 10 procentních bodů</w:t>
      </w:r>
      <w:r w:rsidRPr="004A5668">
        <w:t xml:space="preserve"> nižší, než jak tomu bylo mezi dívkami. Všechny tři kategorie však vykazují stej</w:t>
      </w:r>
      <w:r w:rsidR="00B92A24">
        <w:t>ný rostoucí trend</w:t>
      </w:r>
      <w:r w:rsidR="006F4256">
        <w:t xml:space="preserve"> </w:t>
      </w:r>
      <w:r w:rsidR="003D6580">
        <w:t xml:space="preserve">v prvních </w:t>
      </w:r>
      <w:r w:rsidR="00A10C0A">
        <w:t>šest</w:t>
      </w:r>
      <w:r w:rsidR="003D6580">
        <w:t xml:space="preserve">i letech poslední dekády </w:t>
      </w:r>
      <w:r w:rsidR="006F4256">
        <w:t>s m</w:t>
      </w:r>
      <w:r w:rsidR="003D6580">
        <w:t xml:space="preserve">írným poklesem v posledních </w:t>
      </w:r>
      <w:r w:rsidR="00A10C0A">
        <w:t>čtyřech</w:t>
      </w:r>
      <w:r w:rsidR="006F4256">
        <w:t xml:space="preserve"> školních rocích</w:t>
      </w:r>
      <w:r w:rsidRPr="004A5668">
        <w:t>.</w:t>
      </w:r>
      <w:r w:rsidR="0076747E">
        <w:t xml:space="preserve"> Ve srovnání s grafem 3.1 výše lze konstatovat, že podíl žáků v gymnáziích rostl v době, kdy celkový počet žáků na středních školách klesal, a naopak klesal v době, kdy celkový počet žáků na středních školách rostl</w:t>
      </w:r>
      <w:r w:rsidR="00124443">
        <w:t xml:space="preserve"> – viz graf 3.6</w:t>
      </w:r>
      <w:r w:rsidR="0076747E">
        <w:t xml:space="preserve">.  </w:t>
      </w:r>
    </w:p>
    <w:p w14:paraId="705DDED5" w14:textId="147B77C4" w:rsidR="00FA7769" w:rsidRDefault="00124443" w:rsidP="00FA7769">
      <w:pPr>
        <w:keepNext/>
        <w:spacing w:after="120" w:line="240" w:lineRule="auto"/>
        <w:jc w:val="both"/>
        <w:rPr>
          <w:b/>
        </w:rPr>
      </w:pPr>
      <w:r>
        <w:rPr>
          <w:b/>
        </w:rPr>
        <w:t>Graf 3.6</w:t>
      </w:r>
      <w:r w:rsidR="00FA7769" w:rsidRPr="003D6580">
        <w:rPr>
          <w:b/>
        </w:rPr>
        <w:t xml:space="preserve"> Střední školy – podíl žáků</w:t>
      </w:r>
      <w:r w:rsidR="00FA7769" w:rsidRPr="00060888">
        <w:rPr>
          <w:b/>
        </w:rPr>
        <w:t xml:space="preserve"> gymnázií ze všech žáků středních škol</w:t>
      </w:r>
      <w:r w:rsidR="00FA7769">
        <w:rPr>
          <w:b/>
        </w:rPr>
        <w:t xml:space="preserve"> celkem a dle pohlaví</w:t>
      </w:r>
      <w:r w:rsidR="00D91139">
        <w:rPr>
          <w:b/>
        </w:rPr>
        <w:t xml:space="preserve"> (2012/13 – 2022/23</w:t>
      </w:r>
      <w:r w:rsidR="00FA7769" w:rsidRPr="00060888">
        <w:rPr>
          <w:b/>
        </w:rPr>
        <w:t>)</w:t>
      </w:r>
    </w:p>
    <w:p w14:paraId="21D1D76E" w14:textId="414CA232" w:rsidR="006F4256" w:rsidRDefault="00D91139" w:rsidP="00FA7769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65BD1424" wp14:editId="0EE550A5">
            <wp:extent cx="6076950" cy="2752725"/>
            <wp:effectExtent l="0" t="0" r="0" b="9525"/>
            <wp:docPr id="120" name="Graf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4B92195" w14:textId="13CFE1F5" w:rsidR="0076747E" w:rsidRPr="0076747E" w:rsidRDefault="006F4256" w:rsidP="0076747E">
      <w:pPr>
        <w:spacing w:line="276" w:lineRule="auto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6A64B496" w14:textId="7EDE8BB7" w:rsidR="00F43204" w:rsidRDefault="009D6447" w:rsidP="00FA7769">
      <w:pPr>
        <w:spacing w:after="120"/>
        <w:jc w:val="both"/>
      </w:pPr>
      <w:r w:rsidRPr="004A1095">
        <w:lastRenderedPageBreak/>
        <w:t>P</w:t>
      </w:r>
      <w:r w:rsidR="00FA7769" w:rsidRPr="004A1095">
        <w:t>odíl žáků v odborném vzdělávání s výučním l</w:t>
      </w:r>
      <w:r w:rsidR="00F43204">
        <w:t>istem se mezi školními roky 2012/13 a 2022/23</w:t>
      </w:r>
      <w:r w:rsidR="00FA7769" w:rsidRPr="004A5668">
        <w:t xml:space="preserve"> držel na cca pětinové úrovni </w:t>
      </w:r>
      <w:r w:rsidR="004A1095">
        <w:t>(tj. mezi 20,4 % a 21,8 %)</w:t>
      </w:r>
      <w:r w:rsidR="00F43204">
        <w:t>.</w:t>
      </w:r>
      <w:r w:rsidR="004A1095">
        <w:t xml:space="preserve"> </w:t>
      </w:r>
      <w:r w:rsidR="00F43204">
        <w:t>P</w:t>
      </w:r>
      <w:r w:rsidR="00FA7769" w:rsidRPr="004A5668">
        <w:t xml:space="preserve">odíl žáků odborného vzdělávání s maturitní zkouškou </w:t>
      </w:r>
      <w:r w:rsidR="00F43204">
        <w:t>v prvních dvou školních rocích v posledním desetiletí mírně klesal (celkově ze 44 % na 43,2 %), poté až do uplynulého školního roku naopak mírně stoupal (celkově ze 43,2 % na 46,4 %)</w:t>
      </w:r>
      <w:r w:rsidR="00FA7769" w:rsidRPr="004A5668">
        <w:t>. Podíl žáků nástavbového studia postupně klesal, a sice z</w:t>
      </w:r>
      <w:r w:rsidR="00F43204">
        <w:t> 6,4 % ve školním roce 2012/13</w:t>
      </w:r>
      <w:r>
        <w:t xml:space="preserve"> na 3,1 % ve školním roce 2020/21</w:t>
      </w:r>
      <w:r w:rsidR="004A1095">
        <w:t>, do školního roku 2021/22 se mírně zvýšil na 3,4 %</w:t>
      </w:r>
      <w:r w:rsidR="00F43204">
        <w:t xml:space="preserve"> a ve školním roce 2022/23 již opět činil 3,1 %</w:t>
      </w:r>
      <w:r w:rsidR="00FA7769" w:rsidRPr="004A5668">
        <w:t xml:space="preserve">. Nakonec podíl žáků ve vzdělávání zakončeném pouze vysvědčením bez získání výučního listu či maturitní zkoušky </w:t>
      </w:r>
      <w:r w:rsidR="00F43204">
        <w:t xml:space="preserve">v prvních šesti letech posledního desetiletí </w:t>
      </w:r>
      <w:r w:rsidR="00FA7769" w:rsidRPr="004A5668">
        <w:t>mírně stoupal</w:t>
      </w:r>
      <w:r w:rsidR="00F43204">
        <w:t xml:space="preserve"> (z 0,42 % na 0,65 %)</w:t>
      </w:r>
      <w:r>
        <w:t xml:space="preserve">, </w:t>
      </w:r>
      <w:r w:rsidR="00F43204">
        <w:t>v dalších čtyřech letech naopak postupně nepatrně klesal (z 0,65 % na 0,60 %)</w:t>
      </w:r>
      <w:r>
        <w:t xml:space="preserve">. </w:t>
      </w:r>
    </w:p>
    <w:p w14:paraId="63957431" w14:textId="26F65788" w:rsidR="00FA7769" w:rsidRDefault="00875AE0" w:rsidP="002709AC">
      <w:pPr>
        <w:keepNext/>
        <w:spacing w:after="120" w:line="240" w:lineRule="auto"/>
        <w:jc w:val="both"/>
        <w:rPr>
          <w:b/>
        </w:rPr>
      </w:pPr>
      <w:r>
        <w:rPr>
          <w:b/>
        </w:rPr>
        <w:t>Graf 3.7</w:t>
      </w:r>
      <w:r w:rsidR="00FA7769" w:rsidRPr="0003252D">
        <w:rPr>
          <w:b/>
        </w:rPr>
        <w:t xml:space="preserve"> Střední školy – podíl žáků středních škol v jedno</w:t>
      </w:r>
      <w:r>
        <w:rPr>
          <w:b/>
        </w:rPr>
        <w:t>tlivých druzích vzdělávání (2012/13 – 2022/23</w:t>
      </w:r>
      <w:r w:rsidR="00FA7769" w:rsidRPr="0003252D">
        <w:rPr>
          <w:b/>
        </w:rPr>
        <w:t>)</w:t>
      </w:r>
    </w:p>
    <w:p w14:paraId="77975CFB" w14:textId="342223F9" w:rsidR="00FA7769" w:rsidRDefault="00875AE0" w:rsidP="00550EA0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7E05A085" wp14:editId="5AD9734D">
            <wp:extent cx="6120130" cy="3914775"/>
            <wp:effectExtent l="0" t="0" r="13970" b="9525"/>
            <wp:docPr id="121" name="Graf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4D6F994" w14:textId="16020C4F" w:rsidR="00FA7769" w:rsidRDefault="00FA7769" w:rsidP="00566C30">
      <w:pPr>
        <w:spacing w:after="120" w:line="276" w:lineRule="auto"/>
        <w:jc w:val="right"/>
        <w:rPr>
          <w:rFonts w:cs="Arial"/>
          <w:sz w:val="18"/>
        </w:rPr>
      </w:pPr>
      <w:r w:rsidRPr="002A411C">
        <w:rPr>
          <w:rFonts w:cs="Arial"/>
          <w:sz w:val="18"/>
        </w:rPr>
        <w:t>Zdroj: ČSÚ</w:t>
      </w:r>
      <w:r w:rsidRPr="002A411C">
        <w:rPr>
          <w:rFonts w:cs="Arial"/>
          <w:noProof/>
        </w:rPr>
        <w:t xml:space="preserve"> </w:t>
      </w:r>
      <w:r w:rsidRPr="002A411C">
        <w:rPr>
          <w:rFonts w:cs="Arial"/>
          <w:sz w:val="18"/>
        </w:rPr>
        <w:t>podle údajů MŠMT</w:t>
      </w:r>
    </w:p>
    <w:p w14:paraId="1597C62F" w14:textId="77777777" w:rsidR="00D92ECC" w:rsidRDefault="00D92ECC" w:rsidP="00D92ECC">
      <w:pPr>
        <w:spacing w:after="120"/>
        <w:jc w:val="both"/>
      </w:pPr>
      <w:r w:rsidRPr="002A411C">
        <w:t>Srovnáme-li</w:t>
      </w:r>
      <w:r>
        <w:t xml:space="preserve"> situaci ve školním roce 2022/23</w:t>
      </w:r>
      <w:r w:rsidRPr="002A411C">
        <w:t xml:space="preserve"> v jednotlivých krajích, pak lze konstatovat, že nejvyšší podíl žáků</w:t>
      </w:r>
      <w:r w:rsidRPr="004A5668">
        <w:t xml:space="preserve"> ve středním vzdělávání bez maturitní zkouš</w:t>
      </w:r>
      <w:r>
        <w:t>ky (tj. max. s výučním listem) zaznamenal kraj Ústecký (26,5 %) a Karlovarský (26,1</w:t>
      </w:r>
      <w:r w:rsidRPr="004A5668">
        <w:t> %). Naopak v Praz</w:t>
      </w:r>
      <w:r>
        <w:t>e byl tento podíl nejnižší (13,1</w:t>
      </w:r>
      <w:r w:rsidRPr="004A5668">
        <w:t> %). V Praze byl mezi středoškoláky naopak ze všech krajů ne</w:t>
      </w:r>
      <w:r>
        <w:t>jvyšší podíl žáků gymnázií (37,0</w:t>
      </w:r>
      <w:r w:rsidRPr="004A5668">
        <w:t> %) a nadprůměrný</w:t>
      </w:r>
      <w:r>
        <w:t xml:space="preserve"> byl i v Jihomoravském kraji (32,6 %) a kraji Středočeském (29,6</w:t>
      </w:r>
      <w:r w:rsidRPr="004A5668">
        <w:t xml:space="preserve"> %). Nejnižší podíl žáků gymnázií zaznamenal </w:t>
      </w:r>
      <w:r>
        <w:t>kraj Ústecký (24,1</w:t>
      </w:r>
      <w:r w:rsidRPr="004A5668">
        <w:t> %) a Lib</w:t>
      </w:r>
      <w:r>
        <w:t>erecký (23,8 %). Doplňme, že srovnání je činěno dle sídla školy a nikoliv dle bydliště studentů. Např. v Praze se vzdělává též spousta žáků s trvalým pobytem ve Středočeském kraji.</w:t>
      </w:r>
    </w:p>
    <w:p w14:paraId="679EEB58" w14:textId="77777777" w:rsidR="00D92ECC" w:rsidRPr="002A411C" w:rsidRDefault="00D92ECC" w:rsidP="00566C30">
      <w:pPr>
        <w:spacing w:after="120" w:line="276" w:lineRule="auto"/>
        <w:jc w:val="right"/>
        <w:rPr>
          <w:rFonts w:asciiTheme="minorHAnsi" w:hAnsiTheme="minorHAnsi" w:cs="Arial"/>
          <w:sz w:val="18"/>
        </w:rPr>
      </w:pPr>
    </w:p>
    <w:p w14:paraId="706CBBAC" w14:textId="1E2086DC" w:rsidR="00FA7769" w:rsidRDefault="00875AE0" w:rsidP="00FA7769">
      <w:pPr>
        <w:keepNext/>
        <w:spacing w:after="120" w:line="240" w:lineRule="auto"/>
        <w:jc w:val="both"/>
        <w:rPr>
          <w:b/>
        </w:rPr>
      </w:pPr>
      <w:r w:rsidRPr="008029E7">
        <w:rPr>
          <w:b/>
        </w:rPr>
        <w:lastRenderedPageBreak/>
        <w:t>Graf 3.8</w:t>
      </w:r>
      <w:r w:rsidR="00FA7769" w:rsidRPr="008029E7">
        <w:rPr>
          <w:b/>
        </w:rPr>
        <w:t xml:space="preserve"> Střední školy</w:t>
      </w:r>
      <w:r w:rsidR="00FA7769" w:rsidRPr="008029E7">
        <w:t xml:space="preserve"> </w:t>
      </w:r>
      <w:r w:rsidR="00FA7769" w:rsidRPr="008029E7">
        <w:rPr>
          <w:b/>
        </w:rPr>
        <w:t>– podíl žáků různého druhu vzdělává</w:t>
      </w:r>
      <w:r w:rsidR="00857B9B" w:rsidRPr="008029E7">
        <w:rPr>
          <w:b/>
        </w:rPr>
        <w:t xml:space="preserve">ní </w:t>
      </w:r>
      <w:r w:rsidR="00EF467D" w:rsidRPr="008029E7">
        <w:rPr>
          <w:b/>
        </w:rPr>
        <w:t xml:space="preserve">v ČR </w:t>
      </w:r>
      <w:r w:rsidR="00857B9B" w:rsidRPr="008029E7">
        <w:rPr>
          <w:b/>
        </w:rPr>
        <w:t xml:space="preserve">celkem a dle </w:t>
      </w:r>
      <w:r w:rsidR="00EF467D" w:rsidRPr="008029E7">
        <w:rPr>
          <w:b/>
        </w:rPr>
        <w:t>kraje, ve kterém školy sídlí</w:t>
      </w:r>
      <w:r w:rsidR="008029E7" w:rsidRPr="008029E7">
        <w:rPr>
          <w:b/>
        </w:rPr>
        <w:t xml:space="preserve"> (2022/23</w:t>
      </w:r>
      <w:r w:rsidR="00FA7769" w:rsidRPr="008029E7">
        <w:rPr>
          <w:b/>
        </w:rPr>
        <w:t>)</w:t>
      </w:r>
    </w:p>
    <w:p w14:paraId="1668A7C1" w14:textId="7B2E7401" w:rsidR="00FA7769" w:rsidRPr="0029569A" w:rsidRDefault="00393B69" w:rsidP="00FA7769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1FA74313" wp14:editId="31CAE02B">
            <wp:extent cx="6076950" cy="3752850"/>
            <wp:effectExtent l="0" t="0" r="0" b="0"/>
            <wp:docPr id="122" name="Graf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F84ABD" w14:textId="77777777" w:rsidR="00FA7769" w:rsidRPr="00B410D9" w:rsidRDefault="00FA7769" w:rsidP="00566C30">
      <w:pPr>
        <w:spacing w:after="120" w:line="276" w:lineRule="auto"/>
        <w:jc w:val="right"/>
        <w:rPr>
          <w:rFonts w:asciiTheme="minorHAnsi" w:hAnsiTheme="minorHAnsi" w:cs="Arial"/>
          <w:sz w:val="18"/>
          <w:szCs w:val="22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20DD89F4" w14:textId="59D42463" w:rsidR="009E3798" w:rsidRDefault="00B22B13" w:rsidP="00FA7769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Jak bylo uvedeno v úvodu této kapitoly, gymnázia je možné studovat v rámci osmiletého, šestiletého či čtyřletého programu. </w:t>
      </w:r>
      <w:r w:rsidR="002425D9">
        <w:rPr>
          <w:rFonts w:cs="Arial"/>
          <w:szCs w:val="20"/>
        </w:rPr>
        <w:t>Pokud odhlédneme od žáků plnících si na gymnáziích povinnou</w:t>
      </w:r>
      <w:r w:rsidR="004674B4">
        <w:rPr>
          <w:rFonts w:cs="Arial"/>
          <w:szCs w:val="20"/>
        </w:rPr>
        <w:t xml:space="preserve"> školní docházku, pak </w:t>
      </w:r>
      <w:r w:rsidR="00DC2C40">
        <w:rPr>
          <w:rFonts w:cs="Arial"/>
          <w:szCs w:val="20"/>
        </w:rPr>
        <w:t xml:space="preserve">ze žáků </w:t>
      </w:r>
      <w:r w:rsidR="004674B4">
        <w:rPr>
          <w:rFonts w:cs="Arial"/>
          <w:szCs w:val="20"/>
        </w:rPr>
        <w:t>ve vyšším</w:t>
      </w:r>
      <w:r w:rsidR="002425D9">
        <w:rPr>
          <w:rFonts w:cs="Arial"/>
          <w:szCs w:val="20"/>
        </w:rPr>
        <w:t xml:space="preserve"> </w:t>
      </w:r>
      <w:r w:rsidR="004674B4">
        <w:rPr>
          <w:rFonts w:cs="Arial"/>
          <w:szCs w:val="20"/>
        </w:rPr>
        <w:t>stupni gymnázia</w:t>
      </w:r>
      <w:r w:rsidR="002425D9">
        <w:rPr>
          <w:rFonts w:cs="Arial"/>
          <w:szCs w:val="20"/>
        </w:rPr>
        <w:t xml:space="preserve"> (tj. </w:t>
      </w:r>
      <w:r w:rsidR="004674B4">
        <w:rPr>
          <w:rFonts w:cs="Arial"/>
          <w:szCs w:val="20"/>
        </w:rPr>
        <w:t xml:space="preserve">ve </w:t>
      </w:r>
      <w:r w:rsidR="002425D9">
        <w:rPr>
          <w:rFonts w:cs="Arial"/>
          <w:szCs w:val="20"/>
        </w:rPr>
        <w:t xml:space="preserve">čtyřech </w:t>
      </w:r>
      <w:r w:rsidR="004674B4">
        <w:rPr>
          <w:rFonts w:cs="Arial"/>
          <w:szCs w:val="20"/>
        </w:rPr>
        <w:t xml:space="preserve">ročnících </w:t>
      </w:r>
      <w:r w:rsidR="002425D9">
        <w:rPr>
          <w:rFonts w:cs="Arial"/>
          <w:szCs w:val="20"/>
        </w:rPr>
        <w:t>před složením maturitní zk</w:t>
      </w:r>
      <w:r w:rsidR="00F25ADA">
        <w:rPr>
          <w:rFonts w:cs="Arial"/>
          <w:szCs w:val="20"/>
        </w:rPr>
        <w:t>oušky) bylo ve školním roce 2022/23</w:t>
      </w:r>
      <w:r w:rsidR="00DC2C40">
        <w:rPr>
          <w:rFonts w:cs="Arial"/>
          <w:szCs w:val="20"/>
        </w:rPr>
        <w:t xml:space="preserve"> celkem 55</w:t>
      </w:r>
      <w:r w:rsidR="00F25ADA">
        <w:rPr>
          <w:rFonts w:cs="Arial"/>
          <w:szCs w:val="20"/>
        </w:rPr>
        <w:t>,6</w:t>
      </w:r>
      <w:r w:rsidR="002425D9">
        <w:rPr>
          <w:rFonts w:cs="Arial"/>
          <w:szCs w:val="20"/>
        </w:rPr>
        <w:t> % za</w:t>
      </w:r>
      <w:r w:rsidR="00F25ADA">
        <w:rPr>
          <w:rFonts w:cs="Arial"/>
          <w:szCs w:val="20"/>
        </w:rPr>
        <w:t>psáno ve čtyřletém gymnáziu, 9,3</w:t>
      </w:r>
      <w:r w:rsidR="002425D9">
        <w:rPr>
          <w:rFonts w:cs="Arial"/>
          <w:szCs w:val="20"/>
        </w:rPr>
        <w:t xml:space="preserve"> % v šestiletém </w:t>
      </w:r>
      <w:r w:rsidR="00F25ADA">
        <w:rPr>
          <w:rFonts w:cs="Arial"/>
          <w:szCs w:val="20"/>
        </w:rPr>
        <w:t>a 35,1</w:t>
      </w:r>
      <w:r w:rsidR="002425D9">
        <w:rPr>
          <w:rFonts w:cs="Arial"/>
          <w:szCs w:val="20"/>
        </w:rPr>
        <w:t> % v osm</w:t>
      </w:r>
      <w:r w:rsidR="00F25ADA">
        <w:rPr>
          <w:rFonts w:cs="Arial"/>
          <w:szCs w:val="20"/>
        </w:rPr>
        <w:t>iletém. Jak je dále z grafu 3.9</w:t>
      </w:r>
      <w:r w:rsidR="002425D9">
        <w:rPr>
          <w:rFonts w:cs="Arial"/>
          <w:szCs w:val="20"/>
        </w:rPr>
        <w:t xml:space="preserve"> zřejmé, podíl žáků, kteří navštěvují víceletá gymnázia, </w:t>
      </w:r>
      <w:r w:rsidR="004674B4">
        <w:rPr>
          <w:rFonts w:cs="Arial"/>
          <w:szCs w:val="20"/>
        </w:rPr>
        <w:t xml:space="preserve">ze všech žáků vyššího stupně gymnázia (tj. včetně čtyřletého), </w:t>
      </w:r>
      <w:r w:rsidR="002425D9">
        <w:rPr>
          <w:rFonts w:cs="Arial"/>
          <w:szCs w:val="20"/>
        </w:rPr>
        <w:t xml:space="preserve">se v čase příliš nemění. </w:t>
      </w:r>
    </w:p>
    <w:p w14:paraId="1B7BF458" w14:textId="1BCE0612" w:rsidR="00B22B13" w:rsidRDefault="00C518C2" w:rsidP="009411BF">
      <w:pPr>
        <w:keepNext/>
        <w:spacing w:after="120" w:line="240" w:lineRule="auto"/>
        <w:jc w:val="both"/>
        <w:rPr>
          <w:b/>
        </w:rPr>
      </w:pPr>
      <w:r>
        <w:rPr>
          <w:b/>
        </w:rPr>
        <w:t>Graf 3.9</w:t>
      </w:r>
      <w:r w:rsidR="009411BF">
        <w:rPr>
          <w:b/>
        </w:rPr>
        <w:t xml:space="preserve"> Gymnázia</w:t>
      </w:r>
      <w:r w:rsidR="009411BF" w:rsidRPr="00C3589B">
        <w:t xml:space="preserve"> </w:t>
      </w:r>
      <w:r w:rsidR="009411BF" w:rsidRPr="0029569A">
        <w:rPr>
          <w:b/>
        </w:rPr>
        <w:t>–</w:t>
      </w:r>
      <w:r w:rsidR="00F07BDE">
        <w:rPr>
          <w:b/>
        </w:rPr>
        <w:t xml:space="preserve"> rozložení </w:t>
      </w:r>
      <w:r w:rsidR="009411BF" w:rsidRPr="0029569A">
        <w:rPr>
          <w:b/>
        </w:rPr>
        <w:t xml:space="preserve">žáků </w:t>
      </w:r>
      <w:r w:rsidR="004674B4">
        <w:rPr>
          <w:b/>
        </w:rPr>
        <w:t>vyššího stupně gymnázia</w:t>
      </w:r>
      <w:r w:rsidR="00F07BDE">
        <w:rPr>
          <w:b/>
        </w:rPr>
        <w:t xml:space="preserve"> dle oboru </w:t>
      </w:r>
    </w:p>
    <w:p w14:paraId="3523C9CE" w14:textId="7509D712" w:rsidR="00F07BDE" w:rsidRPr="009411BF" w:rsidRDefault="00C518C2" w:rsidP="009411BF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12300C60" wp14:editId="32E83C14">
            <wp:extent cx="6086475" cy="2790825"/>
            <wp:effectExtent l="0" t="0" r="9525" b="9525"/>
            <wp:docPr id="123" name="Graf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2D64DC" w14:textId="781A984F" w:rsidR="009E3798" w:rsidRPr="00B22B13" w:rsidRDefault="00B22B13" w:rsidP="00566C30">
      <w:pPr>
        <w:spacing w:after="120" w:line="276" w:lineRule="auto"/>
        <w:jc w:val="right"/>
        <w:rPr>
          <w:rFonts w:asciiTheme="minorHAnsi" w:hAnsiTheme="minorHAnsi" w:cs="Arial"/>
          <w:sz w:val="18"/>
          <w:szCs w:val="22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80FA5B4" w14:textId="1D241A9B" w:rsidR="008D4C38" w:rsidRDefault="008D4C38" w:rsidP="00FA7769">
      <w:pPr>
        <w:spacing w:after="120"/>
        <w:jc w:val="both"/>
        <w:rPr>
          <w:rFonts w:cs="Arial"/>
          <w:szCs w:val="20"/>
        </w:rPr>
      </w:pPr>
      <w:r w:rsidRPr="00BA3BF9">
        <w:rPr>
          <w:rFonts w:cs="Arial"/>
          <w:szCs w:val="20"/>
        </w:rPr>
        <w:lastRenderedPageBreak/>
        <w:t>Mezi žáky v nižších ročnících víceletých gymnázií</w:t>
      </w:r>
      <w:r>
        <w:rPr>
          <w:rFonts w:cs="Arial"/>
          <w:szCs w:val="20"/>
        </w:rPr>
        <w:t xml:space="preserve"> spadajících do povinné školní do</w:t>
      </w:r>
      <w:r w:rsidR="00D564E0">
        <w:rPr>
          <w:rFonts w:cs="Arial"/>
          <w:szCs w:val="20"/>
        </w:rPr>
        <w:t>cházky bylo ve školním roce 2022/23 přitom 53,1</w:t>
      </w:r>
      <w:r>
        <w:rPr>
          <w:rFonts w:cs="Arial"/>
          <w:szCs w:val="20"/>
        </w:rPr>
        <w:t> % dívek</w:t>
      </w:r>
      <w:r w:rsidR="00CD43FB">
        <w:rPr>
          <w:rFonts w:cs="Arial"/>
          <w:szCs w:val="20"/>
        </w:rPr>
        <w:t>. G</w:t>
      </w:r>
      <w:r>
        <w:rPr>
          <w:rFonts w:cs="Arial"/>
          <w:szCs w:val="20"/>
        </w:rPr>
        <w:t xml:space="preserve">enderové složení bylo </w:t>
      </w:r>
      <w:r w:rsidR="00CD43FB">
        <w:rPr>
          <w:rFonts w:cs="Arial"/>
          <w:szCs w:val="20"/>
        </w:rPr>
        <w:t xml:space="preserve">tedy </w:t>
      </w:r>
      <w:r>
        <w:rPr>
          <w:rFonts w:cs="Arial"/>
          <w:szCs w:val="20"/>
        </w:rPr>
        <w:t xml:space="preserve">poměrně vyrovnané. Ve </w:t>
      </w:r>
      <w:r w:rsidR="004674B4">
        <w:rPr>
          <w:rFonts w:cs="Arial"/>
          <w:szCs w:val="20"/>
        </w:rPr>
        <w:t xml:space="preserve">vyšším stupni gymnázia </w:t>
      </w:r>
      <w:r>
        <w:rPr>
          <w:rFonts w:cs="Arial"/>
          <w:szCs w:val="20"/>
        </w:rPr>
        <w:t xml:space="preserve">však již dívky </w:t>
      </w:r>
      <w:r w:rsidR="00BC1F07">
        <w:rPr>
          <w:rFonts w:cs="Arial"/>
          <w:szCs w:val="20"/>
        </w:rPr>
        <w:t>tvořily tři pětiny z celku (59,1</w:t>
      </w:r>
      <w:r>
        <w:rPr>
          <w:rFonts w:cs="Arial"/>
          <w:szCs w:val="20"/>
        </w:rPr>
        <w:t> %).</w:t>
      </w:r>
      <w:r w:rsidR="004674B4">
        <w:rPr>
          <w:rFonts w:cs="Arial"/>
          <w:szCs w:val="20"/>
        </w:rPr>
        <w:t xml:space="preserve"> </w:t>
      </w:r>
      <w:r w:rsidR="009204F9">
        <w:rPr>
          <w:rFonts w:cs="Arial"/>
          <w:szCs w:val="20"/>
        </w:rPr>
        <w:t xml:space="preserve">Po ukončení povinné školní docházky </w:t>
      </w:r>
      <w:r w:rsidR="005E5D8D">
        <w:rPr>
          <w:rFonts w:cs="Arial"/>
          <w:szCs w:val="20"/>
        </w:rPr>
        <w:t xml:space="preserve">na základní škole </w:t>
      </w:r>
      <w:r w:rsidR="009204F9">
        <w:rPr>
          <w:rFonts w:cs="Arial"/>
          <w:szCs w:val="20"/>
        </w:rPr>
        <w:t>tak do</w:t>
      </w:r>
      <w:r w:rsidR="00F00C8B">
        <w:rPr>
          <w:rFonts w:cs="Arial"/>
          <w:szCs w:val="20"/>
        </w:rPr>
        <w:t xml:space="preserve"> gymnázií odcházejí ve vět</w:t>
      </w:r>
      <w:r w:rsidR="009204F9">
        <w:rPr>
          <w:rFonts w:cs="Arial"/>
          <w:szCs w:val="20"/>
        </w:rPr>
        <w:t xml:space="preserve">ší míře dívky než chlapci. </w:t>
      </w:r>
    </w:p>
    <w:p w14:paraId="67E183AA" w14:textId="77777777" w:rsidR="00E92235" w:rsidRDefault="00FA7769" w:rsidP="008D4C38">
      <w:pPr>
        <w:spacing w:after="120"/>
        <w:jc w:val="both"/>
        <w:rPr>
          <w:rFonts w:cs="Arial"/>
          <w:szCs w:val="20"/>
        </w:rPr>
      </w:pPr>
      <w:r w:rsidRPr="0094006F">
        <w:rPr>
          <w:rFonts w:cs="Arial"/>
          <w:szCs w:val="20"/>
        </w:rPr>
        <w:t xml:space="preserve">V rámci středního odborného vzdělávání s výučním listem, s maturitní zkouškou či nástavbového studia se mohou navíc žáci vzdělávat </w:t>
      </w:r>
      <w:r w:rsidRPr="0094006F">
        <w:rPr>
          <w:rFonts w:cs="Arial"/>
          <w:b/>
          <w:szCs w:val="20"/>
        </w:rPr>
        <w:t>v různých oborech</w:t>
      </w:r>
      <w:r w:rsidRPr="0094006F">
        <w:rPr>
          <w:rFonts w:cs="Arial"/>
          <w:szCs w:val="20"/>
        </w:rPr>
        <w:t>, které jsou</w:t>
      </w:r>
      <w:r w:rsidRPr="004B4219">
        <w:rPr>
          <w:rFonts w:cs="Arial"/>
          <w:szCs w:val="20"/>
        </w:rPr>
        <w:t xml:space="preserve"> pro účely statistik uspořádány do skupin dle Klasifikace kmenových oborů vzdělávání (KKOV)</w:t>
      </w:r>
      <w:r w:rsidRPr="004B4219">
        <w:rPr>
          <w:rStyle w:val="Znakapoznpodarou"/>
          <w:rFonts w:cs="Arial"/>
          <w:szCs w:val="20"/>
        </w:rPr>
        <w:footnoteReference w:id="6"/>
      </w:r>
      <w:r w:rsidRPr="004B4219">
        <w:rPr>
          <w:rFonts w:cs="Arial"/>
          <w:szCs w:val="20"/>
        </w:rPr>
        <w:t xml:space="preserve">. </w:t>
      </w:r>
      <w:r w:rsidR="00E92235">
        <w:rPr>
          <w:rFonts w:cs="Arial"/>
          <w:szCs w:val="20"/>
        </w:rPr>
        <w:t>Zde je dobré upozornit, že dne 30. června 2010 bylo</w:t>
      </w:r>
      <w:r w:rsidR="004B4219" w:rsidRPr="004B4219">
        <w:rPr>
          <w:rFonts w:cs="Arial"/>
          <w:szCs w:val="20"/>
        </w:rPr>
        <w:t xml:space="preserve"> ve Sbírce zákonů zveřejněno nařízení vlády č. 211/2010 Sb., o soustavě oborů vzdělání v základním, středním a vyšším odborném vzdělávání, které nahradilo původní nařízení vlády č. 689/2004 S</w:t>
      </w:r>
      <w:r w:rsidR="00A32242">
        <w:rPr>
          <w:rFonts w:cs="Arial"/>
          <w:szCs w:val="20"/>
        </w:rPr>
        <w:t>b., o soustavě oborů vzdělání v </w:t>
      </w:r>
      <w:r w:rsidR="004B4219" w:rsidRPr="004B4219">
        <w:rPr>
          <w:rFonts w:cs="Arial"/>
          <w:szCs w:val="20"/>
        </w:rPr>
        <w:t>základním, středním a vyšším odborném vzdělávání, ve znění pozdějších předpisů. Školský zákon zakotvil zásadní změnu v oblasti vzdělávacích programů, kdy byl postupně zredukován počet původních oborů vzdělání a pro nově koncipované, komplexnější obory vzdělání, byly Ministerstvem školství, mládeže a tělovýchovy postupně vydány rámcové vzdělávací programy, podle kterých si jednotlivé školy zpracovávají své školní vzdělávací programy.</w:t>
      </w:r>
      <w:r w:rsidR="004B4219" w:rsidRPr="004B4219">
        <w:rPr>
          <w:rStyle w:val="Znakapoznpodarou"/>
          <w:rFonts w:cs="Arial"/>
          <w:szCs w:val="20"/>
        </w:rPr>
        <w:footnoteReference w:id="7"/>
      </w:r>
      <w:r w:rsidR="00E92235" w:rsidRPr="00E92235">
        <w:rPr>
          <w:rFonts w:cs="Arial"/>
          <w:szCs w:val="20"/>
        </w:rPr>
        <w:t xml:space="preserve"> </w:t>
      </w:r>
    </w:p>
    <w:p w14:paraId="688ED6A5" w14:textId="4F1EB830" w:rsidR="00E24A9E" w:rsidRPr="004B4219" w:rsidRDefault="00E92235" w:rsidP="008D4C38">
      <w:pPr>
        <w:spacing w:after="120"/>
        <w:jc w:val="both"/>
        <w:rPr>
          <w:rFonts w:cs="Arial"/>
          <w:szCs w:val="20"/>
        </w:rPr>
      </w:pPr>
      <w:r w:rsidRPr="004B4219">
        <w:rPr>
          <w:rFonts w:cs="Arial"/>
          <w:szCs w:val="20"/>
        </w:rPr>
        <w:t>V tabulkové části této pub</w:t>
      </w:r>
      <w:r>
        <w:rPr>
          <w:rFonts w:cs="Arial"/>
          <w:szCs w:val="20"/>
        </w:rPr>
        <w:t>likace jsou k dispozici údaje o </w:t>
      </w:r>
      <w:r w:rsidRPr="004B4219">
        <w:rPr>
          <w:rFonts w:cs="Arial"/>
          <w:szCs w:val="20"/>
        </w:rPr>
        <w:t>počtech žáků jednotlivých skupin oborů vzdě</w:t>
      </w:r>
      <w:r>
        <w:rPr>
          <w:rFonts w:cs="Arial"/>
          <w:szCs w:val="20"/>
        </w:rPr>
        <w:t>lávání v desetileté časové řadě, tedy od školního roku 2012/13</w:t>
      </w:r>
      <w:r w:rsidRPr="004B4219">
        <w:rPr>
          <w:rFonts w:cs="Arial"/>
          <w:szCs w:val="20"/>
        </w:rPr>
        <w:t>. Pro nástin vývoje</w:t>
      </w:r>
      <w:r>
        <w:rPr>
          <w:rFonts w:cs="Arial"/>
          <w:szCs w:val="20"/>
        </w:rPr>
        <w:t xml:space="preserve"> počtu žáků v různých skupinách oborů</w:t>
      </w:r>
      <w:r w:rsidRPr="004B4219">
        <w:rPr>
          <w:rFonts w:cs="Arial"/>
          <w:szCs w:val="20"/>
        </w:rPr>
        <w:t xml:space="preserve"> jsme však zvolili porovnání se stavem před pěti let</w:t>
      </w:r>
      <w:r>
        <w:rPr>
          <w:rFonts w:cs="Arial"/>
          <w:szCs w:val="20"/>
        </w:rPr>
        <w:t>y, nikoliv před deseti</w:t>
      </w:r>
      <w:r w:rsidRPr="004B4219">
        <w:rPr>
          <w:rFonts w:cs="Arial"/>
          <w:szCs w:val="20"/>
        </w:rPr>
        <w:t>.</w:t>
      </w:r>
    </w:p>
    <w:p w14:paraId="2EB68DF9" w14:textId="4DE06A81" w:rsidR="00A32242" w:rsidRDefault="001122A8" w:rsidP="001764DA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Graf 3.10</w:t>
      </w:r>
      <w:r w:rsidR="00FA7769" w:rsidRPr="004B4219">
        <w:rPr>
          <w:rFonts w:cs="Arial"/>
          <w:szCs w:val="20"/>
        </w:rPr>
        <w:t xml:space="preserve"> uvádí počty žáků (v tisících), kteří se vzdělávali v různých oborech </w:t>
      </w:r>
      <w:r w:rsidR="00FA7769" w:rsidRPr="004B4219">
        <w:rPr>
          <w:rFonts w:cs="Arial"/>
          <w:b/>
          <w:szCs w:val="20"/>
        </w:rPr>
        <w:t>středního</w:t>
      </w:r>
      <w:r w:rsidR="00FA7769" w:rsidRPr="004B4219">
        <w:rPr>
          <w:rFonts w:cs="Arial"/>
          <w:szCs w:val="20"/>
        </w:rPr>
        <w:t xml:space="preserve"> </w:t>
      </w:r>
      <w:r w:rsidR="00FA7769" w:rsidRPr="004B4219">
        <w:rPr>
          <w:rFonts w:cs="Arial"/>
          <w:b/>
          <w:szCs w:val="20"/>
        </w:rPr>
        <w:t>odborného vzdělávání s výučním listem</w:t>
      </w:r>
      <w:r w:rsidR="00FA7769" w:rsidRPr="004B4219">
        <w:rPr>
          <w:rFonts w:cs="Arial"/>
          <w:szCs w:val="20"/>
        </w:rPr>
        <w:t>. Zahrnuje pouze skupiny oborů, ve</w:t>
      </w:r>
      <w:r w:rsidR="0094006F">
        <w:rPr>
          <w:rFonts w:cs="Arial"/>
          <w:szCs w:val="20"/>
        </w:rPr>
        <w:t xml:space="preserve"> kterých se ve školním roce 2022/23</w:t>
      </w:r>
      <w:r w:rsidR="00FA7769" w:rsidRPr="004B4219">
        <w:rPr>
          <w:rFonts w:cs="Arial"/>
          <w:szCs w:val="20"/>
        </w:rPr>
        <w:t xml:space="preserve"> vzdělávalo více než 1 000 žáků</w:t>
      </w:r>
      <w:r w:rsidR="00D8240D">
        <w:rPr>
          <w:rFonts w:cs="Arial"/>
          <w:szCs w:val="20"/>
        </w:rPr>
        <w:t xml:space="preserve">. </w:t>
      </w:r>
    </w:p>
    <w:p w14:paraId="027F4853" w14:textId="6413AB63" w:rsidR="00A32242" w:rsidRDefault="00A32242" w:rsidP="00A32242">
      <w:pPr>
        <w:keepNext/>
        <w:spacing w:after="120" w:line="240" w:lineRule="auto"/>
      </w:pPr>
      <w:r w:rsidRPr="00461962">
        <w:rPr>
          <w:b/>
        </w:rPr>
        <w:t>Graf 3.1</w:t>
      </w:r>
      <w:r w:rsidR="001122A8">
        <w:rPr>
          <w:b/>
        </w:rPr>
        <w:t>0</w:t>
      </w:r>
      <w:r w:rsidRPr="00461962">
        <w:rPr>
          <w:b/>
        </w:rPr>
        <w:t xml:space="preserve"> Střední odborné školy s výučním listem – žáci dle skupin oborů vzdělávání </w:t>
      </w:r>
      <w:r w:rsidRPr="00461962">
        <w:rPr>
          <w:b/>
        </w:rPr>
        <w:br/>
      </w:r>
      <w:r w:rsidRPr="00461962">
        <w:t>(pouze skupiny oborů s více než</w:t>
      </w:r>
      <w:r w:rsidR="00820979" w:rsidRPr="00461962">
        <w:t xml:space="preserve"> 1 000 žáků ve školním roce 2022/23</w:t>
      </w:r>
      <w:r w:rsidRPr="00461962">
        <w:t>)</w:t>
      </w:r>
    </w:p>
    <w:p w14:paraId="29717D41" w14:textId="04CCB719" w:rsidR="00A32242" w:rsidRPr="00461962" w:rsidRDefault="00820979" w:rsidP="00A32242">
      <w:pPr>
        <w:keepNext/>
        <w:spacing w:after="120" w:line="240" w:lineRule="auto"/>
      </w:pPr>
      <w:r>
        <w:rPr>
          <w:noProof/>
        </w:rPr>
        <w:drawing>
          <wp:inline distT="0" distB="0" distL="0" distR="0" wp14:anchorId="5AB3A361" wp14:editId="48F67F37">
            <wp:extent cx="6120130" cy="3705225"/>
            <wp:effectExtent l="0" t="0" r="13970" b="9525"/>
            <wp:docPr id="29" name="Graf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443BB78" w14:textId="79FA2063" w:rsidR="00A32242" w:rsidRPr="00D1194E" w:rsidRDefault="00A32242" w:rsidP="00D1194E">
      <w:pPr>
        <w:spacing w:after="120" w:line="276" w:lineRule="auto"/>
        <w:jc w:val="right"/>
        <w:rPr>
          <w:rFonts w:asciiTheme="minorHAnsi" w:hAnsiTheme="minorHAnsi" w:cs="Arial"/>
          <w:sz w:val="18"/>
          <w:szCs w:val="22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7A49814C" w14:textId="770E8D60" w:rsidR="00FA7769" w:rsidRPr="003F03F3" w:rsidRDefault="00461962" w:rsidP="003F03F3">
      <w:pPr>
        <w:spacing w:after="120"/>
        <w:jc w:val="both"/>
      </w:pPr>
      <w:r>
        <w:lastRenderedPageBreak/>
        <w:t>V</w:t>
      </w:r>
      <w:r w:rsidR="00FA7769" w:rsidRPr="004B4219">
        <w:t> počtu žá</w:t>
      </w:r>
      <w:r>
        <w:t>ků vedly ve školních rocích 2017/18</w:t>
      </w:r>
      <w:r w:rsidR="00D8240D">
        <w:t xml:space="preserve"> i </w:t>
      </w:r>
      <w:r>
        <w:t>2022/23</w:t>
      </w:r>
      <w:r w:rsidR="00FA7769" w:rsidRPr="004B4219">
        <w:t xml:space="preserve"> skupiny oborů z oblasti </w:t>
      </w:r>
      <w:r>
        <w:rPr>
          <w:b/>
        </w:rPr>
        <w:t>strojírenství a strojírenské výroby</w:t>
      </w:r>
      <w:r w:rsidR="00FA7769" w:rsidRPr="004B4219">
        <w:t xml:space="preserve"> (s 2</w:t>
      </w:r>
      <w:r w:rsidR="009260ED">
        <w:t>0 </w:t>
      </w:r>
      <w:r>
        <w:t>306</w:t>
      </w:r>
      <w:r w:rsidR="009260ED">
        <w:t xml:space="preserve"> žáky</w:t>
      </w:r>
      <w:r>
        <w:t xml:space="preserve"> ve školním roce 2017/18</w:t>
      </w:r>
      <w:r w:rsidR="00FA7769" w:rsidRPr="004B4219">
        <w:t xml:space="preserve"> a </w:t>
      </w:r>
      <w:r>
        <w:t>17 832 žáky ve školním roce 2022/23</w:t>
      </w:r>
      <w:r w:rsidR="00FA7769" w:rsidRPr="004B4219">
        <w:t>)</w:t>
      </w:r>
      <w:r>
        <w:t xml:space="preserve"> a dále</w:t>
      </w:r>
      <w:r w:rsidR="00FA7769" w:rsidRPr="004B4219">
        <w:t xml:space="preserve"> </w:t>
      </w:r>
      <w:r w:rsidR="00FA7769" w:rsidRPr="003F03F3">
        <w:rPr>
          <w:b/>
        </w:rPr>
        <w:t>gastronomi</w:t>
      </w:r>
      <w:r w:rsidR="009260ED" w:rsidRPr="003F03F3">
        <w:rPr>
          <w:b/>
        </w:rPr>
        <w:t>e, hotelnictví a turismus</w:t>
      </w:r>
      <w:r w:rsidR="009260ED">
        <w:t xml:space="preserve"> (se </w:t>
      </w:r>
      <w:r w:rsidR="00C24392">
        <w:t xml:space="preserve">14 997 </w:t>
      </w:r>
      <w:r>
        <w:t>žáky ve školním roce 2017/18</w:t>
      </w:r>
      <w:r w:rsidR="00FA7769" w:rsidRPr="004B4219">
        <w:t xml:space="preserve"> a </w:t>
      </w:r>
      <w:r>
        <w:t>13 573</w:t>
      </w:r>
      <w:r w:rsidR="00D1194E">
        <w:t xml:space="preserve"> žáky ve školním ro</w:t>
      </w:r>
      <w:r>
        <w:t>ce 2022/23</w:t>
      </w:r>
      <w:r w:rsidR="00FA7769" w:rsidRPr="004B4219">
        <w:t xml:space="preserve">). </w:t>
      </w:r>
      <w:r w:rsidR="001764DA">
        <w:t>Obě tyto sk</w:t>
      </w:r>
      <w:r w:rsidR="009260ED">
        <w:t>upiny oborů přitom zaznamenaly za posledníc</w:t>
      </w:r>
      <w:r w:rsidR="003C1047">
        <w:t xml:space="preserve">h pět let úbytek počtu </w:t>
      </w:r>
      <w:r>
        <w:t>žáků (o 12,2</w:t>
      </w:r>
      <w:r w:rsidR="009260ED">
        <w:t xml:space="preserve"> %, resp. </w:t>
      </w:r>
      <w:r w:rsidR="002F6C29">
        <w:t xml:space="preserve">o </w:t>
      </w:r>
      <w:r>
        <w:t>9,5</w:t>
      </w:r>
      <w:r w:rsidR="00E24A9E">
        <w:t>)</w:t>
      </w:r>
      <w:r w:rsidR="00230643">
        <w:rPr>
          <w:rStyle w:val="Znakapoznpodarou"/>
        </w:rPr>
        <w:footnoteReference w:id="8"/>
      </w:r>
      <w:r w:rsidR="009222CC">
        <w:t xml:space="preserve">, </w:t>
      </w:r>
      <w:r w:rsidR="009222CC">
        <w:rPr>
          <w:rFonts w:cs="Arial"/>
          <w:szCs w:val="20"/>
        </w:rPr>
        <w:t>přestože mezi posledními dvěma školními roky se již počet žáků strojírenských oborů nepatrně zvýšil (o 0,7 %)</w:t>
      </w:r>
      <w:r w:rsidR="00E24A9E">
        <w:t xml:space="preserve">. </w:t>
      </w:r>
      <w:r w:rsidR="00852B7E">
        <w:t xml:space="preserve">V ostatních skupinách oborů uvedených v grafu se naopak počet žáků zvýšil. </w:t>
      </w:r>
      <w:r w:rsidR="00E86775">
        <w:t xml:space="preserve">Pokud sledujeme nárůst v procentech, pak </w:t>
      </w:r>
      <w:r w:rsidR="003C1047">
        <w:t xml:space="preserve">nejvýrazněji </w:t>
      </w:r>
      <w:r w:rsidR="00E86775">
        <w:t xml:space="preserve">vzrostl počet žáků </w:t>
      </w:r>
      <w:r w:rsidR="00852B7E">
        <w:t xml:space="preserve">v </w:t>
      </w:r>
      <w:r w:rsidR="003C1047">
        <w:t xml:space="preserve">oborech </w:t>
      </w:r>
      <w:r w:rsidR="003D6C8E" w:rsidRPr="003D6C8E">
        <w:rPr>
          <w:b/>
        </w:rPr>
        <w:t>zdravotnických</w:t>
      </w:r>
      <w:r w:rsidR="003D6C8E">
        <w:t xml:space="preserve"> (o 43,1 %), </w:t>
      </w:r>
      <w:r w:rsidR="003D6C8E" w:rsidRPr="003F03F3">
        <w:rPr>
          <w:b/>
        </w:rPr>
        <w:t>zpracování dřeva a výrobě hudebních nástrojů</w:t>
      </w:r>
      <w:r w:rsidR="00C24392">
        <w:t xml:space="preserve"> (o 38,3 %) a </w:t>
      </w:r>
      <w:r w:rsidR="003D6C8E">
        <w:t xml:space="preserve">v oborech </w:t>
      </w:r>
      <w:r w:rsidR="003C1047">
        <w:t xml:space="preserve">z oblasti </w:t>
      </w:r>
      <w:r w:rsidR="003C1047" w:rsidRPr="003F03F3">
        <w:rPr>
          <w:b/>
        </w:rPr>
        <w:t>elektrotechniky, telekomuni</w:t>
      </w:r>
      <w:r w:rsidR="00852B7E" w:rsidRPr="003F03F3">
        <w:rPr>
          <w:b/>
        </w:rPr>
        <w:t>kační a výpočetní techniky</w:t>
      </w:r>
      <w:r w:rsidR="001122A8">
        <w:t xml:space="preserve"> (o 37,8</w:t>
      </w:r>
      <w:r w:rsidR="003C1047">
        <w:t> %)</w:t>
      </w:r>
      <w:r w:rsidR="001122A8">
        <w:t xml:space="preserve">, následuje </w:t>
      </w:r>
      <w:r w:rsidR="001122A8" w:rsidRPr="001122A8">
        <w:rPr>
          <w:b/>
        </w:rPr>
        <w:t>stavebnictví, geodézie a kartografie</w:t>
      </w:r>
      <w:r w:rsidR="001122A8">
        <w:t xml:space="preserve"> (o 29,1 %)</w:t>
      </w:r>
      <w:r w:rsidR="00852B7E">
        <w:t>.</w:t>
      </w:r>
      <w:r w:rsidR="003F03F3">
        <w:t xml:space="preserve"> V ostatních skupinách oborů se</w:t>
      </w:r>
      <w:r w:rsidR="001122A8">
        <w:t xml:space="preserve"> počet žáků navýšil již méně než o pětinu (o 11</w:t>
      </w:r>
      <w:r w:rsidR="0043524B">
        <w:t xml:space="preserve"> % až </w:t>
      </w:r>
      <w:r w:rsidR="001122A8">
        <w:t>17,2</w:t>
      </w:r>
      <w:r w:rsidR="003F03F3">
        <w:t> %</w:t>
      </w:r>
      <w:r w:rsidR="001122A8">
        <w:t>)</w:t>
      </w:r>
      <w:r w:rsidR="003F03F3">
        <w:t>.</w:t>
      </w:r>
      <w:r w:rsidR="003C1047">
        <w:t xml:space="preserve"> </w:t>
      </w:r>
      <w:r w:rsidR="0070548C" w:rsidRPr="0070548C">
        <w:t>Počet žáků ve skupinách</w:t>
      </w:r>
      <w:r w:rsidR="00DD2DEC" w:rsidRPr="0070548C">
        <w:t xml:space="preserve"> oborů</w:t>
      </w:r>
      <w:r w:rsidR="001764DA" w:rsidRPr="0070548C">
        <w:t xml:space="preserve"> elektrotechnika, telekomunikační</w:t>
      </w:r>
      <w:r w:rsidR="009E2B1F" w:rsidRPr="0070548C">
        <w:t xml:space="preserve"> </w:t>
      </w:r>
      <w:r w:rsidR="001764DA" w:rsidRPr="0070548C">
        <w:t xml:space="preserve">a výpočetní technika </w:t>
      </w:r>
      <w:r w:rsidR="00DD2DEC" w:rsidRPr="0070548C">
        <w:t>se přito</w:t>
      </w:r>
      <w:r w:rsidR="00CD43FB">
        <w:t xml:space="preserve">m v absolutním vyjádření </w:t>
      </w:r>
      <w:r w:rsidR="001122A8">
        <w:t>zvýšil o 3 253 žáků</w:t>
      </w:r>
      <w:r w:rsidR="00DD2DEC" w:rsidRPr="0070548C">
        <w:t xml:space="preserve">, což je ze skupin oborů uvedených v grafu </w:t>
      </w:r>
      <w:r w:rsidR="00E24A9E" w:rsidRPr="0070548C">
        <w:t xml:space="preserve">výrazně </w:t>
      </w:r>
      <w:r w:rsidR="00DD2DEC" w:rsidRPr="0070548C">
        <w:t>nejvíce.</w:t>
      </w:r>
      <w:r w:rsidR="00E24A9E" w:rsidRPr="0070548C">
        <w:t xml:space="preserve"> Násle</w:t>
      </w:r>
      <w:r w:rsidR="00E24A9E">
        <w:t xml:space="preserve">duje skupina oborů </w:t>
      </w:r>
      <w:r w:rsidR="001122A8" w:rsidRPr="001122A8">
        <w:t>stavebnictví, geodézie a kartografie</w:t>
      </w:r>
      <w:r w:rsidR="00E24A9E">
        <w:t xml:space="preserve">, ve které se počet žáků zvýšil o </w:t>
      </w:r>
      <w:r w:rsidR="001122A8">
        <w:t>1 906</w:t>
      </w:r>
      <w:r w:rsidR="00E24A9E">
        <w:t>.</w:t>
      </w:r>
      <w:r w:rsidR="006C46E7">
        <w:rPr>
          <w:rStyle w:val="Znakapoznpodarou"/>
        </w:rPr>
        <w:footnoteReference w:id="9"/>
      </w:r>
    </w:p>
    <w:p w14:paraId="3B31BB22" w14:textId="45BCB786" w:rsidR="006A6F1E" w:rsidRDefault="001122A8" w:rsidP="004C540F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Graf 3.11</w:t>
      </w:r>
      <w:r w:rsidR="00FA7769" w:rsidRPr="004A5668">
        <w:rPr>
          <w:rFonts w:cs="Arial"/>
          <w:szCs w:val="20"/>
        </w:rPr>
        <w:t xml:space="preserve"> dále zahrnuje obory </w:t>
      </w:r>
      <w:r w:rsidR="00FA7769" w:rsidRPr="004A5668">
        <w:rPr>
          <w:rFonts w:cs="Arial"/>
          <w:b/>
          <w:szCs w:val="20"/>
        </w:rPr>
        <w:t>středního odborného vzdělávání s maturitní zkouškou</w:t>
      </w:r>
      <w:r w:rsidR="00FA7769" w:rsidRPr="004A5668">
        <w:rPr>
          <w:rFonts w:cs="Arial"/>
          <w:szCs w:val="20"/>
        </w:rPr>
        <w:t xml:space="preserve"> a porovnává počet žáků těch</w:t>
      </w:r>
      <w:r w:rsidR="004C540F">
        <w:rPr>
          <w:rFonts w:cs="Arial"/>
          <w:szCs w:val="20"/>
        </w:rPr>
        <w:t>to oborů ve školních rocíc</w:t>
      </w:r>
      <w:r w:rsidR="003F03F3">
        <w:rPr>
          <w:rFonts w:cs="Arial"/>
          <w:szCs w:val="20"/>
        </w:rPr>
        <w:t xml:space="preserve">h </w:t>
      </w:r>
      <w:r w:rsidR="006C191F">
        <w:rPr>
          <w:rFonts w:cs="Arial"/>
          <w:szCs w:val="20"/>
        </w:rPr>
        <w:t>2017/18 a 2022/23</w:t>
      </w:r>
      <w:r w:rsidR="00FA7769" w:rsidRPr="004A5668">
        <w:rPr>
          <w:rFonts w:cs="Arial"/>
          <w:szCs w:val="20"/>
        </w:rPr>
        <w:t xml:space="preserve"> (uvedeno v tisících). Uvádí pouze skupiny oborů s více než pěti tisíci žáky </w:t>
      </w:r>
      <w:r w:rsidR="0048304D">
        <w:rPr>
          <w:rFonts w:cs="Arial"/>
          <w:szCs w:val="20"/>
        </w:rPr>
        <w:t>v</w:t>
      </w:r>
      <w:r w:rsidR="006C191F">
        <w:rPr>
          <w:rFonts w:cs="Arial"/>
          <w:szCs w:val="20"/>
        </w:rPr>
        <w:t>e školním roce 2022/23</w:t>
      </w:r>
      <w:r w:rsidR="00FA7769" w:rsidRPr="004A5668">
        <w:rPr>
          <w:rFonts w:cs="Arial"/>
          <w:szCs w:val="20"/>
        </w:rPr>
        <w:t>.</w:t>
      </w:r>
      <w:r w:rsidR="004C540F">
        <w:rPr>
          <w:rFonts w:cs="Arial"/>
          <w:szCs w:val="20"/>
        </w:rPr>
        <w:t xml:space="preserve"> </w:t>
      </w:r>
    </w:p>
    <w:p w14:paraId="6EB98247" w14:textId="1DCBE54E" w:rsidR="00E85F38" w:rsidRPr="004A5668" w:rsidRDefault="00E85F38" w:rsidP="00E85F38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Ve školním roce 2022/23</w:t>
      </w:r>
      <w:r w:rsidRPr="004A5668">
        <w:rPr>
          <w:rFonts w:cs="Arial"/>
          <w:szCs w:val="20"/>
        </w:rPr>
        <w:t xml:space="preserve"> se mezi pět nejnavštěvovanějších skupin oborů řadila ekonomika a administrativa (</w:t>
      </w:r>
      <w:r w:rsidRPr="00B678DE">
        <w:rPr>
          <w:rFonts w:cs="Arial"/>
          <w:szCs w:val="20"/>
        </w:rPr>
        <w:t>32</w:t>
      </w:r>
      <w:r>
        <w:rPr>
          <w:rFonts w:cs="Arial"/>
          <w:szCs w:val="20"/>
        </w:rPr>
        <w:t> </w:t>
      </w:r>
      <w:r w:rsidRPr="00B678DE">
        <w:rPr>
          <w:rFonts w:cs="Arial"/>
          <w:szCs w:val="20"/>
        </w:rPr>
        <w:t>421</w:t>
      </w:r>
      <w:r>
        <w:rPr>
          <w:rFonts w:cs="Arial"/>
          <w:szCs w:val="20"/>
        </w:rPr>
        <w:t xml:space="preserve"> </w:t>
      </w:r>
      <w:r w:rsidRPr="004A5668">
        <w:rPr>
          <w:rFonts w:cs="Arial"/>
          <w:szCs w:val="20"/>
        </w:rPr>
        <w:t xml:space="preserve">žáků), s velkým propadem pak </w:t>
      </w:r>
      <w:r>
        <w:rPr>
          <w:rFonts w:cs="Arial"/>
          <w:szCs w:val="20"/>
        </w:rPr>
        <w:t>informatické obory (</w:t>
      </w:r>
      <w:r w:rsidRPr="00B678DE">
        <w:rPr>
          <w:rFonts w:cs="Arial"/>
          <w:szCs w:val="20"/>
        </w:rPr>
        <w:t>17</w:t>
      </w:r>
      <w:r>
        <w:rPr>
          <w:rFonts w:cs="Arial"/>
          <w:szCs w:val="20"/>
        </w:rPr>
        <w:t> </w:t>
      </w:r>
      <w:r w:rsidRPr="00B678DE">
        <w:rPr>
          <w:rFonts w:cs="Arial"/>
          <w:szCs w:val="20"/>
        </w:rPr>
        <w:t>841</w:t>
      </w:r>
      <w:r w:rsidRPr="004A5668">
        <w:rPr>
          <w:rFonts w:cs="Arial"/>
          <w:szCs w:val="20"/>
        </w:rPr>
        <w:t xml:space="preserve"> žáků),</w:t>
      </w:r>
      <w:r>
        <w:rPr>
          <w:rFonts w:cs="Arial"/>
          <w:szCs w:val="20"/>
        </w:rPr>
        <w:t xml:space="preserve"> obecně odborná příprava (</w:t>
      </w:r>
      <w:r w:rsidRPr="00B678DE">
        <w:rPr>
          <w:rFonts w:cs="Arial"/>
          <w:szCs w:val="20"/>
        </w:rPr>
        <w:t>17</w:t>
      </w:r>
      <w:r>
        <w:rPr>
          <w:rFonts w:cs="Arial"/>
          <w:szCs w:val="20"/>
        </w:rPr>
        <w:t> </w:t>
      </w:r>
      <w:r w:rsidRPr="00B678DE">
        <w:rPr>
          <w:rFonts w:cs="Arial"/>
          <w:szCs w:val="20"/>
        </w:rPr>
        <w:t>778</w:t>
      </w:r>
      <w:r>
        <w:rPr>
          <w:rFonts w:cs="Arial"/>
          <w:szCs w:val="20"/>
        </w:rPr>
        <w:t xml:space="preserve"> žáků),</w:t>
      </w:r>
      <w:r w:rsidRPr="004A5668">
        <w:rPr>
          <w:rFonts w:cs="Arial"/>
          <w:szCs w:val="20"/>
        </w:rPr>
        <w:t xml:space="preserve"> zdravotnictví (</w:t>
      </w:r>
      <w:r w:rsidRPr="00B678DE">
        <w:rPr>
          <w:rFonts w:cs="Arial"/>
          <w:szCs w:val="20"/>
        </w:rPr>
        <w:t>16</w:t>
      </w:r>
      <w:r>
        <w:rPr>
          <w:rFonts w:cs="Arial"/>
          <w:szCs w:val="20"/>
        </w:rPr>
        <w:t> </w:t>
      </w:r>
      <w:r w:rsidRPr="00B678DE">
        <w:rPr>
          <w:rFonts w:cs="Arial"/>
          <w:szCs w:val="20"/>
        </w:rPr>
        <w:t>730</w:t>
      </w:r>
      <w:r>
        <w:rPr>
          <w:rFonts w:cs="Arial"/>
          <w:szCs w:val="20"/>
        </w:rPr>
        <w:t xml:space="preserve"> </w:t>
      </w:r>
      <w:r w:rsidRPr="004A5668">
        <w:rPr>
          <w:rFonts w:cs="Arial"/>
          <w:szCs w:val="20"/>
        </w:rPr>
        <w:t>žáků)</w:t>
      </w:r>
      <w:r w:rsidR="005C5707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elektrotechnika, telekomunikační a výpočetní technika (15 898 žáků)</w:t>
      </w:r>
      <w:r w:rsidR="005C5707">
        <w:rPr>
          <w:rFonts w:cs="Arial"/>
          <w:szCs w:val="20"/>
        </w:rPr>
        <w:t xml:space="preserve"> a pedagogika, učitelství a sociální práce (15 001)</w:t>
      </w:r>
      <w:r w:rsidRPr="004A566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Ostatní obory čítaly </w:t>
      </w:r>
      <w:r w:rsidR="005C5707">
        <w:rPr>
          <w:rFonts w:cs="Arial"/>
          <w:szCs w:val="20"/>
        </w:rPr>
        <w:t>14,2</w:t>
      </w:r>
      <w:r>
        <w:rPr>
          <w:rFonts w:cs="Arial"/>
          <w:szCs w:val="20"/>
        </w:rPr>
        <w:t xml:space="preserve"> tisíc</w:t>
      </w:r>
      <w:r w:rsidR="005C5707">
        <w:rPr>
          <w:rFonts w:cs="Arial"/>
          <w:szCs w:val="20"/>
        </w:rPr>
        <w:t>e</w:t>
      </w:r>
      <w:r>
        <w:rPr>
          <w:rFonts w:cs="Arial"/>
          <w:szCs w:val="20"/>
        </w:rPr>
        <w:t xml:space="preserve"> žáků a méně. </w:t>
      </w:r>
    </w:p>
    <w:p w14:paraId="5DC7DB72" w14:textId="7F5BA619" w:rsidR="00E85F38" w:rsidRDefault="00E85F38" w:rsidP="00E85F38">
      <w:pPr>
        <w:spacing w:after="120"/>
        <w:jc w:val="both"/>
        <w:rPr>
          <w:rFonts w:cs="Arial"/>
          <w:szCs w:val="20"/>
        </w:rPr>
      </w:pPr>
      <w:r w:rsidRPr="00415DC8">
        <w:rPr>
          <w:rFonts w:cs="Arial"/>
          <w:szCs w:val="20"/>
        </w:rPr>
        <w:t>Ze skupin oborů uvedených v grafu se oproti školnímu roku 2017/18 přitom</w:t>
      </w:r>
      <w:r>
        <w:rPr>
          <w:rFonts w:cs="Arial"/>
          <w:szCs w:val="20"/>
        </w:rPr>
        <w:t xml:space="preserve"> v absolutním vyjádření nejvíce zvýšil počet žáků v oborech z oblasti eko</w:t>
      </w:r>
      <w:r w:rsidR="00415DC8">
        <w:rPr>
          <w:rFonts w:cs="Arial"/>
          <w:szCs w:val="20"/>
        </w:rPr>
        <w:t>nomiky a administrativy (o 4 854</w:t>
      </w:r>
      <w:r>
        <w:rPr>
          <w:rFonts w:cs="Arial"/>
          <w:szCs w:val="20"/>
        </w:rPr>
        <w:t xml:space="preserve">), které zároveň v uplynulém školním roce studoval nejvyšší počet žáků. V relativním vyjádření se nejvíce navýšil počet žáků speciálních a interdisciplinárních oborů (o 35,8 %), ve kterých se naopak </w:t>
      </w:r>
      <w:r w:rsidR="00C24392">
        <w:rPr>
          <w:rFonts w:cs="Arial"/>
          <w:szCs w:val="20"/>
        </w:rPr>
        <w:t xml:space="preserve">vzdělával nejmenší počet žáků. </w:t>
      </w:r>
      <w:r>
        <w:rPr>
          <w:rFonts w:cs="Arial"/>
          <w:szCs w:val="20"/>
        </w:rPr>
        <w:t xml:space="preserve">Druhou příčku, a to ať už dle absolutního či relativního přírůstku počtu žáků, obsadily </w:t>
      </w:r>
      <w:r w:rsidRPr="00415DC8">
        <w:rPr>
          <w:rFonts w:cs="Arial"/>
          <w:b/>
          <w:szCs w:val="20"/>
        </w:rPr>
        <w:t>zdravotnické obory</w:t>
      </w:r>
      <w:r>
        <w:rPr>
          <w:rFonts w:cs="Arial"/>
          <w:szCs w:val="20"/>
        </w:rPr>
        <w:t xml:space="preserve"> (počet žáků se zvýšil o 4 289, neboli o 34,5 %). Více než pětinový přírůstek pak zaznamenaly obory z oblasti </w:t>
      </w:r>
      <w:r w:rsidRPr="00910196">
        <w:rPr>
          <w:rFonts w:cs="Arial"/>
          <w:szCs w:val="20"/>
        </w:rPr>
        <w:t>stavebnictví, geodézie a kartografie</w:t>
      </w:r>
      <w:r>
        <w:rPr>
          <w:rFonts w:cs="Arial"/>
          <w:szCs w:val="20"/>
        </w:rPr>
        <w:t xml:space="preserve"> (o 29,4 %), informatické obory (o 26,9 %), obory z oblasti elektrotechniky, telekomunikační a výpočetní techniky (23 %) a z oblasti umění (20,8 %).</w:t>
      </w:r>
    </w:p>
    <w:p w14:paraId="573A95C8" w14:textId="77777777" w:rsidR="00E85F38" w:rsidRDefault="00E85F38" w:rsidP="00E85F38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Naopak jedinou skupinou oborů, kde došlo k poklesu počtu žáků, je strojírenství a strojírenská výroby, a sice o 3 085 žáků, neboli o 17,9 %. Počet žáků těchto oborů klesá od školního roku 2017/18 soustavně, a sice v průměru o 3,8 % ročně. Naopak počet žáků zdravotnických oborů soustavně stoupá již od školního roku 2015/16, a sice v průměru o 5,2 % ročně.</w:t>
      </w:r>
    </w:p>
    <w:p w14:paraId="73D96AF1" w14:textId="77777777" w:rsidR="00E85F38" w:rsidRDefault="00E85F38" w:rsidP="004C540F">
      <w:pPr>
        <w:spacing w:after="120"/>
        <w:jc w:val="both"/>
        <w:rPr>
          <w:rFonts w:cs="Arial"/>
          <w:szCs w:val="20"/>
        </w:rPr>
      </w:pPr>
    </w:p>
    <w:p w14:paraId="3F1E6AAC" w14:textId="39AE9356" w:rsidR="003F03F3" w:rsidRDefault="001122A8" w:rsidP="003F03F3">
      <w:pPr>
        <w:keepNext/>
        <w:spacing w:after="120" w:line="240" w:lineRule="auto"/>
      </w:pPr>
      <w:r>
        <w:rPr>
          <w:b/>
        </w:rPr>
        <w:lastRenderedPageBreak/>
        <w:t>Graf 3.11</w:t>
      </w:r>
      <w:r w:rsidR="003F03F3">
        <w:rPr>
          <w:b/>
        </w:rPr>
        <w:t xml:space="preserve"> Střední odborné</w:t>
      </w:r>
      <w:r w:rsidR="003F03F3" w:rsidRPr="00906913">
        <w:rPr>
          <w:b/>
        </w:rPr>
        <w:t xml:space="preserve"> školy s maturitní zkouškou – žáci dle </w:t>
      </w:r>
      <w:r w:rsidR="003F03F3">
        <w:rPr>
          <w:b/>
        </w:rPr>
        <w:t xml:space="preserve">skupin </w:t>
      </w:r>
      <w:r w:rsidR="003F03F3" w:rsidRPr="00906913">
        <w:rPr>
          <w:b/>
        </w:rPr>
        <w:t xml:space="preserve">oborů vzdělávání </w:t>
      </w:r>
      <w:r w:rsidR="003F03F3">
        <w:rPr>
          <w:b/>
        </w:rPr>
        <w:br/>
      </w:r>
      <w:r w:rsidR="003F03F3" w:rsidRPr="0043524B">
        <w:t xml:space="preserve">(pouze skupiny oborů s více než 5 000 žáky </w:t>
      </w:r>
      <w:r w:rsidR="00862E24" w:rsidRPr="0043524B">
        <w:t>ve š</w:t>
      </w:r>
      <w:r w:rsidR="006C191F">
        <w:t>kolním roce 2022/23</w:t>
      </w:r>
      <w:r w:rsidR="003F03F3" w:rsidRPr="0043524B">
        <w:t>)</w:t>
      </w:r>
    </w:p>
    <w:p w14:paraId="0CEF20D4" w14:textId="1487A17A" w:rsidR="003F03F3" w:rsidRPr="00906913" w:rsidRDefault="006C191F" w:rsidP="00862E24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0B00CEA4" wp14:editId="28A895BA">
            <wp:extent cx="6067425" cy="3800475"/>
            <wp:effectExtent l="0" t="0" r="9525" b="9525"/>
            <wp:docPr id="33" name="Graf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880FA83" w14:textId="7AE2148B" w:rsidR="003F03F3" w:rsidRPr="007F7756" w:rsidRDefault="003F03F3" w:rsidP="007F7756">
      <w:pPr>
        <w:spacing w:after="120" w:line="276" w:lineRule="auto"/>
        <w:jc w:val="right"/>
        <w:rPr>
          <w:rFonts w:asciiTheme="minorHAnsi" w:hAnsiTheme="minorHAnsi" w:cs="Arial"/>
          <w:sz w:val="18"/>
          <w:szCs w:val="22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>
        <w:rPr>
          <w:rFonts w:cs="Arial"/>
          <w:sz w:val="18"/>
        </w:rPr>
        <w:t>podle údaj</w:t>
      </w:r>
      <w:r w:rsidR="007F7756">
        <w:rPr>
          <w:rFonts w:cs="Arial"/>
          <w:sz w:val="18"/>
        </w:rPr>
        <w:t>ů MŠMT</w:t>
      </w:r>
    </w:p>
    <w:p w14:paraId="678270F8" w14:textId="3FF5DA3E" w:rsidR="006526C8" w:rsidRDefault="002B1785" w:rsidP="002B1785">
      <w:pPr>
        <w:spacing w:after="120"/>
        <w:jc w:val="both"/>
        <w:rPr>
          <w:rFonts w:cs="Arial"/>
          <w:szCs w:val="20"/>
        </w:rPr>
      </w:pPr>
      <w:r w:rsidRPr="0083518B">
        <w:rPr>
          <w:rFonts w:cs="Arial"/>
          <w:b/>
          <w:szCs w:val="20"/>
        </w:rPr>
        <w:t>Srovnáme-li</w:t>
      </w:r>
      <w:r w:rsidRPr="0083518B">
        <w:rPr>
          <w:rFonts w:cs="Arial"/>
          <w:szCs w:val="20"/>
        </w:rPr>
        <w:t xml:space="preserve"> nejnavštěvovanější obory vzdělávání s výučním listem a maturitní zkouškou,</w:t>
      </w:r>
      <w:r w:rsidRPr="00CD1661">
        <w:rPr>
          <w:rFonts w:cs="Arial"/>
          <w:szCs w:val="20"/>
        </w:rPr>
        <w:t xml:space="preserve"> lze</w:t>
      </w:r>
      <w:r w:rsidRPr="00EF4C14">
        <w:rPr>
          <w:rFonts w:cs="Arial"/>
          <w:szCs w:val="20"/>
        </w:rPr>
        <w:t xml:space="preserve"> si všimnout, </w:t>
      </w:r>
      <w:r w:rsidR="00ED14E5">
        <w:rPr>
          <w:rFonts w:cs="Arial"/>
          <w:szCs w:val="20"/>
        </w:rPr>
        <w:t>že u obou se ve školním roce 2022/23 mezi pět nejčastěji navštěvovaných skupin oborů řadila elektrotechnika, telekomunikační a výpočetní technika (třetí, resp. pátá v žebříčku dle počtu žáků). Jinak se tyto dvě skupiny žáků v preferencích odlišují. Zatímco žáci v učebních oborech dávají přednost strojírenství (nejčastěji navštěvované obory),</w:t>
      </w:r>
      <w:r w:rsidR="0083518B">
        <w:rPr>
          <w:rFonts w:cs="Arial"/>
          <w:szCs w:val="20"/>
        </w:rPr>
        <w:t xml:space="preserve"> gastrono</w:t>
      </w:r>
      <w:r w:rsidR="00ED14E5">
        <w:rPr>
          <w:rFonts w:cs="Arial"/>
          <w:szCs w:val="20"/>
        </w:rPr>
        <w:t>mii a hotelnictví (druhé nejčastěji navštěvované), zemědělství a lesnictví (čtvrté) a stavebnictví, geodézii a kartografii (páté), u žáků středního odborného vzdělávání s maturitou se gastronomie a hotelnictví řadí</w:t>
      </w:r>
      <w:r w:rsidR="00C24392">
        <w:rPr>
          <w:rFonts w:cs="Arial"/>
          <w:szCs w:val="20"/>
        </w:rPr>
        <w:t xml:space="preserve"> na sedmé místo, strojírenství </w:t>
      </w:r>
      <w:r w:rsidR="00ED14E5">
        <w:rPr>
          <w:rFonts w:cs="Arial"/>
          <w:szCs w:val="20"/>
        </w:rPr>
        <w:t xml:space="preserve">na osmé místo a ještě dále v žebříčku si stojí </w:t>
      </w:r>
      <w:r w:rsidR="0083518B" w:rsidRPr="0083518B">
        <w:rPr>
          <w:rFonts w:cs="Arial"/>
          <w:szCs w:val="20"/>
        </w:rPr>
        <w:t>stavebnictví, geodézii a kartografii</w:t>
      </w:r>
      <w:r w:rsidR="0083518B">
        <w:rPr>
          <w:rFonts w:cs="Arial"/>
          <w:szCs w:val="20"/>
        </w:rPr>
        <w:t xml:space="preserve"> (11. místo) a zemědělství a lesnictví (12. místo). Mezi pěti nejčastěji studovanými je však mj. zdravotnictví, které zaujalo u žáků učebních oborů až desáté místo.</w:t>
      </w:r>
    </w:p>
    <w:p w14:paraId="2C282020" w14:textId="65F6950E" w:rsidR="004E0A54" w:rsidRDefault="002B1785" w:rsidP="00FA7769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Není bez zajímavosti, že v obou druzích vzdělávání se v posledních době výrazně zvyšoval počet žáků v</w:t>
      </w:r>
      <w:r w:rsidR="0083518B">
        <w:rPr>
          <w:rFonts w:cs="Arial"/>
          <w:szCs w:val="20"/>
        </w:rPr>
        <w:t>e skupině oborů zdravotnických</w:t>
      </w:r>
      <w:r>
        <w:rPr>
          <w:rFonts w:cs="Arial"/>
          <w:szCs w:val="20"/>
        </w:rPr>
        <w:t>. Stejně tomu bylo i u vyšších odborných škol (</w:t>
      </w:r>
      <w:r w:rsidR="0083518B">
        <w:rPr>
          <w:rFonts w:cs="Arial"/>
          <w:szCs w:val="20"/>
        </w:rPr>
        <w:t xml:space="preserve">je jednou z pěti skupin oborů, kde došlo ke zvýšení počtu žáků, </w:t>
      </w:r>
      <w:r w:rsidR="005372CF">
        <w:rPr>
          <w:rFonts w:cs="Arial"/>
          <w:szCs w:val="20"/>
        </w:rPr>
        <w:t xml:space="preserve">podrobněji </w:t>
      </w:r>
      <w:r>
        <w:rPr>
          <w:rFonts w:cs="Arial"/>
          <w:szCs w:val="20"/>
        </w:rPr>
        <w:t xml:space="preserve">viz dále v této publikaci), ale též vysokých škol (viz publikace </w:t>
      </w:r>
      <w:hyperlink r:id="rId20" w:history="1">
        <w:r w:rsidRPr="004E0A54">
          <w:rPr>
            <w:rStyle w:val="Hypertextovodkaz"/>
            <w:rFonts w:cs="Arial"/>
            <w:szCs w:val="20"/>
          </w:rPr>
          <w:t>Studenti a absolventi vysokých škol v ČR</w:t>
        </w:r>
      </w:hyperlink>
      <w:r>
        <w:rPr>
          <w:rFonts w:cs="Arial"/>
          <w:szCs w:val="20"/>
        </w:rPr>
        <w:t xml:space="preserve">). </w:t>
      </w:r>
    </w:p>
    <w:p w14:paraId="3CB3E203" w14:textId="17F1224C" w:rsidR="00FA7769" w:rsidRPr="00EF4C14" w:rsidRDefault="00391461" w:rsidP="00FA7769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Graf 3.12</w:t>
      </w:r>
      <w:r w:rsidR="00FA7769" w:rsidRPr="00EF4C14">
        <w:rPr>
          <w:rFonts w:cs="Arial"/>
          <w:szCs w:val="20"/>
        </w:rPr>
        <w:t xml:space="preserve"> nakonec ukazuje počty žáků nástavbového studia dle jednotlivých skupin oborů</w:t>
      </w:r>
      <w:r w:rsidR="0003718B">
        <w:rPr>
          <w:rFonts w:cs="Arial"/>
          <w:szCs w:val="20"/>
        </w:rPr>
        <w:t xml:space="preserve"> vzdělávání</w:t>
      </w:r>
      <w:r w:rsidR="00FA7769" w:rsidRPr="00EF4C14">
        <w:rPr>
          <w:rFonts w:cs="Arial"/>
          <w:szCs w:val="20"/>
        </w:rPr>
        <w:t>. Znázorňuje přitom pouze obory, v</w:t>
      </w:r>
      <w:r w:rsidR="00033FA8">
        <w:rPr>
          <w:rFonts w:cs="Arial"/>
          <w:szCs w:val="20"/>
        </w:rPr>
        <w:t>e</w:t>
      </w:r>
      <w:r w:rsidR="009C76C6">
        <w:rPr>
          <w:rFonts w:cs="Arial"/>
          <w:szCs w:val="20"/>
        </w:rPr>
        <w:t xml:space="preserve"> kterých se ve školním roce 2022/23</w:t>
      </w:r>
      <w:r w:rsidR="00FA7769" w:rsidRPr="00EF4C14">
        <w:rPr>
          <w:rFonts w:cs="Arial"/>
          <w:szCs w:val="20"/>
        </w:rPr>
        <w:t xml:space="preserve"> vzdělávalo více než 100 žáků.</w:t>
      </w:r>
    </w:p>
    <w:p w14:paraId="5BF261FB" w14:textId="2B5668D0" w:rsidR="00FA7769" w:rsidRPr="00C24392" w:rsidRDefault="003920E0" w:rsidP="00FA7769">
      <w:pPr>
        <w:keepNext/>
        <w:spacing w:after="120" w:line="240" w:lineRule="auto"/>
      </w:pPr>
      <w:r>
        <w:rPr>
          <w:b/>
        </w:rPr>
        <w:lastRenderedPageBreak/>
        <w:t>Graf</w:t>
      </w:r>
      <w:r w:rsidR="00391461">
        <w:rPr>
          <w:b/>
        </w:rPr>
        <w:t xml:space="preserve"> 3.12</w:t>
      </w:r>
      <w:r w:rsidR="00FA7769" w:rsidRPr="00F603F0">
        <w:rPr>
          <w:b/>
        </w:rPr>
        <w:t xml:space="preserve"> </w:t>
      </w:r>
      <w:r w:rsidR="00FA7769">
        <w:rPr>
          <w:b/>
        </w:rPr>
        <w:t>N</w:t>
      </w:r>
      <w:r w:rsidR="00FA7769" w:rsidRPr="00F603F0">
        <w:rPr>
          <w:b/>
        </w:rPr>
        <w:t xml:space="preserve">ástavbové studium – žáci dle skupin oborů vzdělávání </w:t>
      </w:r>
      <w:r w:rsidR="00FA7769">
        <w:rPr>
          <w:b/>
        </w:rPr>
        <w:br/>
      </w:r>
      <w:r w:rsidR="00033FA8" w:rsidRPr="00C24392">
        <w:t>(</w:t>
      </w:r>
      <w:r w:rsidR="00FA7769" w:rsidRPr="00C24392">
        <w:t>pouze skupiny oborů s více n</w:t>
      </w:r>
      <w:r w:rsidR="00686FBD" w:rsidRPr="00C24392">
        <w:t>ež 100 žáků ve školním roce 2022/23</w:t>
      </w:r>
      <w:r w:rsidR="00FA7769" w:rsidRPr="00C24392">
        <w:t>)</w:t>
      </w:r>
    </w:p>
    <w:p w14:paraId="0AF5DEBC" w14:textId="317D5AAA" w:rsidR="00033FA8" w:rsidRDefault="00537DAF" w:rsidP="00FA7769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162B86DB" wp14:editId="02B16CBD">
            <wp:extent cx="6115050" cy="4772025"/>
            <wp:effectExtent l="0" t="0" r="0" b="9525"/>
            <wp:docPr id="35" name="Graf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08FC6F6" w14:textId="1F92E298" w:rsidR="00FA7769" w:rsidRPr="00B410D9" w:rsidRDefault="00FA7769" w:rsidP="00CF27F9">
      <w:pPr>
        <w:spacing w:after="120" w:line="276" w:lineRule="auto"/>
        <w:jc w:val="right"/>
        <w:rPr>
          <w:rFonts w:asciiTheme="minorHAnsi" w:hAnsiTheme="minorHAnsi" w:cs="Arial"/>
          <w:sz w:val="18"/>
          <w:szCs w:val="22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5DAA6523" w14:textId="63B0D668" w:rsidR="00C018F3" w:rsidRDefault="00FA7769" w:rsidP="00FA7769">
      <w:pPr>
        <w:spacing w:after="120"/>
        <w:jc w:val="both"/>
        <w:rPr>
          <w:rFonts w:cs="Arial"/>
          <w:szCs w:val="20"/>
        </w:rPr>
      </w:pPr>
      <w:r w:rsidRPr="004A5668">
        <w:rPr>
          <w:rFonts w:cs="Arial"/>
          <w:szCs w:val="20"/>
        </w:rPr>
        <w:t xml:space="preserve">Jak je patrné, v obou sledovaných školních rocích se s velkým předstihem nejvíce žáků vzdělávalo ve skupinách oborů </w:t>
      </w:r>
      <w:r w:rsidRPr="00C018F3">
        <w:rPr>
          <w:rFonts w:cs="Arial"/>
          <w:b/>
          <w:szCs w:val="20"/>
        </w:rPr>
        <w:t>podnikání v oborech, odvětví</w:t>
      </w:r>
      <w:r w:rsidRPr="004A5668">
        <w:rPr>
          <w:rStyle w:val="Znakapoznpodarou"/>
          <w:rFonts w:cs="Arial"/>
          <w:szCs w:val="20"/>
        </w:rPr>
        <w:footnoteReference w:id="10"/>
      </w:r>
      <w:r w:rsidR="00270AF2">
        <w:rPr>
          <w:rFonts w:cs="Arial"/>
          <w:szCs w:val="20"/>
        </w:rPr>
        <w:t xml:space="preserve"> (</w:t>
      </w:r>
      <w:r w:rsidR="002115A9" w:rsidRPr="002115A9">
        <w:rPr>
          <w:rFonts w:cs="Arial"/>
          <w:szCs w:val="20"/>
        </w:rPr>
        <w:t>11</w:t>
      </w:r>
      <w:r w:rsidR="002115A9">
        <w:rPr>
          <w:rFonts w:cs="Arial"/>
          <w:szCs w:val="20"/>
        </w:rPr>
        <w:t> </w:t>
      </w:r>
      <w:r w:rsidR="002115A9" w:rsidRPr="002115A9">
        <w:rPr>
          <w:rFonts w:cs="Arial"/>
          <w:szCs w:val="20"/>
        </w:rPr>
        <w:t>749</w:t>
      </w:r>
      <w:r w:rsidR="002115A9">
        <w:rPr>
          <w:rFonts w:cs="Arial"/>
          <w:szCs w:val="20"/>
        </w:rPr>
        <w:t xml:space="preserve"> ve školním roce 2017/18</w:t>
      </w:r>
      <w:r w:rsidR="00F50488">
        <w:rPr>
          <w:rFonts w:cs="Arial"/>
          <w:szCs w:val="20"/>
        </w:rPr>
        <w:t xml:space="preserve"> a </w:t>
      </w:r>
      <w:r w:rsidR="002115A9" w:rsidRPr="002115A9">
        <w:rPr>
          <w:rFonts w:cs="Arial"/>
          <w:szCs w:val="20"/>
        </w:rPr>
        <w:t>10</w:t>
      </w:r>
      <w:r w:rsidR="002115A9">
        <w:rPr>
          <w:rFonts w:cs="Arial"/>
          <w:szCs w:val="20"/>
        </w:rPr>
        <w:t> </w:t>
      </w:r>
      <w:r w:rsidR="002115A9" w:rsidRPr="002115A9">
        <w:rPr>
          <w:rFonts w:cs="Arial"/>
          <w:szCs w:val="20"/>
        </w:rPr>
        <w:t>232</w:t>
      </w:r>
      <w:r w:rsidR="002115A9">
        <w:rPr>
          <w:rFonts w:cs="Arial"/>
          <w:szCs w:val="20"/>
        </w:rPr>
        <w:t xml:space="preserve"> ve školním roce 2022/23</w:t>
      </w:r>
      <w:r w:rsidRPr="004A5668">
        <w:rPr>
          <w:rFonts w:cs="Arial"/>
          <w:szCs w:val="20"/>
        </w:rPr>
        <w:t xml:space="preserve">). Již podstatně méně žáků se ve sledovaných rocích vzdělávalo v oborech </w:t>
      </w:r>
      <w:r w:rsidRPr="00C018F3">
        <w:rPr>
          <w:rFonts w:cs="Arial"/>
          <w:b/>
          <w:szCs w:val="20"/>
        </w:rPr>
        <w:t>strojí</w:t>
      </w:r>
      <w:r w:rsidR="00737BFE" w:rsidRPr="00C018F3">
        <w:rPr>
          <w:rFonts w:cs="Arial"/>
          <w:b/>
          <w:szCs w:val="20"/>
        </w:rPr>
        <w:t>renství a</w:t>
      </w:r>
      <w:r w:rsidR="00270AF2" w:rsidRPr="00C018F3">
        <w:rPr>
          <w:rFonts w:cs="Arial"/>
          <w:b/>
          <w:szCs w:val="20"/>
        </w:rPr>
        <w:t> strojírenská výroba</w:t>
      </w:r>
      <w:r w:rsidR="00270AF2">
        <w:rPr>
          <w:rFonts w:cs="Arial"/>
          <w:szCs w:val="20"/>
        </w:rPr>
        <w:t xml:space="preserve"> (</w:t>
      </w:r>
      <w:r w:rsidR="002115A9" w:rsidRPr="002115A9">
        <w:rPr>
          <w:rFonts w:cs="Arial"/>
          <w:szCs w:val="20"/>
        </w:rPr>
        <w:t>1</w:t>
      </w:r>
      <w:r w:rsidR="002115A9">
        <w:rPr>
          <w:rFonts w:cs="Arial"/>
          <w:szCs w:val="20"/>
        </w:rPr>
        <w:t> </w:t>
      </w:r>
      <w:r w:rsidR="002115A9" w:rsidRPr="002115A9">
        <w:rPr>
          <w:rFonts w:cs="Arial"/>
          <w:szCs w:val="20"/>
        </w:rPr>
        <w:t>421</w:t>
      </w:r>
      <w:r w:rsidR="002115A9">
        <w:rPr>
          <w:rFonts w:cs="Arial"/>
          <w:szCs w:val="20"/>
        </w:rPr>
        <w:t xml:space="preserve"> žáků ve školním roce 2017/18</w:t>
      </w:r>
      <w:r w:rsidRPr="004A5668">
        <w:rPr>
          <w:rFonts w:cs="Arial"/>
          <w:szCs w:val="20"/>
        </w:rPr>
        <w:t xml:space="preserve"> a </w:t>
      </w:r>
      <w:r w:rsidR="002115A9" w:rsidRPr="002115A9">
        <w:rPr>
          <w:rFonts w:cs="Arial"/>
          <w:szCs w:val="20"/>
        </w:rPr>
        <w:t>1</w:t>
      </w:r>
      <w:r w:rsidR="002115A9">
        <w:rPr>
          <w:rFonts w:cs="Arial"/>
          <w:szCs w:val="20"/>
        </w:rPr>
        <w:t> </w:t>
      </w:r>
      <w:r w:rsidR="002115A9" w:rsidRPr="002115A9">
        <w:rPr>
          <w:rFonts w:cs="Arial"/>
          <w:szCs w:val="20"/>
        </w:rPr>
        <w:t>056</w:t>
      </w:r>
      <w:r w:rsidR="002115A9">
        <w:rPr>
          <w:rFonts w:cs="Arial"/>
          <w:szCs w:val="20"/>
        </w:rPr>
        <w:t xml:space="preserve"> ve školním roce 2022/23</w:t>
      </w:r>
      <w:r w:rsidRPr="004A5668">
        <w:rPr>
          <w:rFonts w:cs="Arial"/>
          <w:szCs w:val="20"/>
        </w:rPr>
        <w:t xml:space="preserve">), </w:t>
      </w:r>
      <w:r w:rsidRPr="00C018F3">
        <w:rPr>
          <w:rFonts w:cs="Arial"/>
          <w:b/>
          <w:szCs w:val="20"/>
        </w:rPr>
        <w:t>elektrotechnika, telekom</w:t>
      </w:r>
      <w:r w:rsidR="00737BFE" w:rsidRPr="00C018F3">
        <w:rPr>
          <w:rFonts w:cs="Arial"/>
          <w:b/>
          <w:szCs w:val="20"/>
        </w:rPr>
        <w:t>unikační a výpočetní technika</w:t>
      </w:r>
      <w:r w:rsidR="00737BFE">
        <w:rPr>
          <w:rFonts w:cs="Arial"/>
          <w:szCs w:val="20"/>
        </w:rPr>
        <w:t xml:space="preserve"> (</w:t>
      </w:r>
      <w:r w:rsidR="002115A9">
        <w:rPr>
          <w:rFonts w:cs="Arial"/>
          <w:szCs w:val="20"/>
        </w:rPr>
        <w:t>712 žáků ve školním roce 2017/18 a 718 ve školním roce 2022/23</w:t>
      </w:r>
      <w:r w:rsidR="00CD374B">
        <w:rPr>
          <w:rFonts w:cs="Arial"/>
          <w:szCs w:val="20"/>
        </w:rPr>
        <w:t>),</w:t>
      </w:r>
      <w:r w:rsidRPr="004A5668">
        <w:rPr>
          <w:rFonts w:cs="Arial"/>
          <w:szCs w:val="20"/>
        </w:rPr>
        <w:t xml:space="preserve"> </w:t>
      </w:r>
      <w:r w:rsidRPr="00C018F3">
        <w:rPr>
          <w:rFonts w:cs="Arial"/>
          <w:b/>
          <w:szCs w:val="20"/>
        </w:rPr>
        <w:t>gastro</w:t>
      </w:r>
      <w:r w:rsidR="00737BFE" w:rsidRPr="00C018F3">
        <w:rPr>
          <w:rFonts w:cs="Arial"/>
          <w:b/>
          <w:szCs w:val="20"/>
        </w:rPr>
        <w:t>nomie, hotelnictví a turismus</w:t>
      </w:r>
      <w:r w:rsidR="00737BFE">
        <w:rPr>
          <w:rFonts w:cs="Arial"/>
          <w:szCs w:val="20"/>
        </w:rPr>
        <w:t xml:space="preserve"> (</w:t>
      </w:r>
      <w:r w:rsidR="002115A9">
        <w:rPr>
          <w:rFonts w:cs="Arial"/>
          <w:szCs w:val="20"/>
        </w:rPr>
        <w:t>628 žáků ve školním roce 2017</w:t>
      </w:r>
      <w:r w:rsidR="00270AF2">
        <w:rPr>
          <w:rFonts w:cs="Arial"/>
          <w:szCs w:val="20"/>
        </w:rPr>
        <w:t>/1</w:t>
      </w:r>
      <w:r w:rsidR="002115A9">
        <w:rPr>
          <w:rFonts w:cs="Arial"/>
          <w:szCs w:val="20"/>
        </w:rPr>
        <w:t>8</w:t>
      </w:r>
      <w:r w:rsidRPr="004A5668">
        <w:rPr>
          <w:rFonts w:cs="Arial"/>
          <w:szCs w:val="20"/>
        </w:rPr>
        <w:t xml:space="preserve"> a </w:t>
      </w:r>
      <w:r w:rsidR="002115A9">
        <w:rPr>
          <w:rFonts w:cs="Arial"/>
          <w:szCs w:val="20"/>
        </w:rPr>
        <w:t>438 ve školním roce 2022/23</w:t>
      </w:r>
      <w:r w:rsidRPr="004A5668">
        <w:rPr>
          <w:rFonts w:cs="Arial"/>
          <w:szCs w:val="20"/>
        </w:rPr>
        <w:t>)</w:t>
      </w:r>
      <w:r w:rsidR="002115A9">
        <w:rPr>
          <w:rFonts w:cs="Arial"/>
          <w:szCs w:val="20"/>
        </w:rPr>
        <w:t xml:space="preserve"> a</w:t>
      </w:r>
      <w:r w:rsidR="00CD374B">
        <w:rPr>
          <w:rFonts w:cs="Arial"/>
          <w:szCs w:val="20"/>
        </w:rPr>
        <w:t xml:space="preserve"> </w:t>
      </w:r>
      <w:r w:rsidR="00CD374B" w:rsidRPr="00C018F3">
        <w:rPr>
          <w:rFonts w:cs="Arial"/>
          <w:b/>
          <w:szCs w:val="20"/>
        </w:rPr>
        <w:t>právo, práv</w:t>
      </w:r>
      <w:r w:rsidR="00270AF2" w:rsidRPr="00C018F3">
        <w:rPr>
          <w:rFonts w:cs="Arial"/>
          <w:b/>
          <w:szCs w:val="20"/>
        </w:rPr>
        <w:t>ní a veřejnosprávní činnost</w:t>
      </w:r>
      <w:r w:rsidR="002115A9">
        <w:rPr>
          <w:rFonts w:cs="Arial"/>
          <w:szCs w:val="20"/>
        </w:rPr>
        <w:t xml:space="preserve"> (408 žáků ve školním roce 2017/18</w:t>
      </w:r>
      <w:r w:rsidR="00CD374B" w:rsidRPr="004A5668">
        <w:rPr>
          <w:rFonts w:cs="Arial"/>
          <w:szCs w:val="20"/>
        </w:rPr>
        <w:t xml:space="preserve"> a </w:t>
      </w:r>
      <w:r w:rsidR="002115A9">
        <w:rPr>
          <w:rFonts w:cs="Arial"/>
          <w:szCs w:val="20"/>
        </w:rPr>
        <w:t>332 ve školním roce 2022/23</w:t>
      </w:r>
      <w:r w:rsidR="00CD374B" w:rsidRPr="004A5668">
        <w:rPr>
          <w:rFonts w:cs="Arial"/>
          <w:szCs w:val="20"/>
        </w:rPr>
        <w:t>)</w:t>
      </w:r>
      <w:r w:rsidR="002115A9">
        <w:rPr>
          <w:rFonts w:cs="Arial"/>
          <w:szCs w:val="20"/>
        </w:rPr>
        <w:t xml:space="preserve">. </w:t>
      </w:r>
      <w:r w:rsidRPr="004A5668">
        <w:rPr>
          <w:rFonts w:cs="Arial"/>
          <w:szCs w:val="20"/>
        </w:rPr>
        <w:t xml:space="preserve">Ostatní skupiny oborů již </w:t>
      </w:r>
      <w:r w:rsidR="002115A9">
        <w:rPr>
          <w:rFonts w:cs="Arial"/>
          <w:szCs w:val="20"/>
        </w:rPr>
        <w:t>ve školním roce 2022/23</w:t>
      </w:r>
      <w:r w:rsidRPr="004A5668">
        <w:rPr>
          <w:rFonts w:cs="Arial"/>
          <w:szCs w:val="20"/>
        </w:rPr>
        <w:t xml:space="preserve"> </w:t>
      </w:r>
      <w:r w:rsidR="00CD374B">
        <w:rPr>
          <w:rFonts w:cs="Arial"/>
          <w:szCs w:val="20"/>
        </w:rPr>
        <w:t>zaznamenaly</w:t>
      </w:r>
      <w:r w:rsidR="00270AF2">
        <w:rPr>
          <w:rFonts w:cs="Arial"/>
          <w:szCs w:val="20"/>
        </w:rPr>
        <w:t xml:space="preserve"> již méně než</w:t>
      </w:r>
      <w:r w:rsidR="002115A9">
        <w:rPr>
          <w:rFonts w:cs="Arial"/>
          <w:szCs w:val="20"/>
        </w:rPr>
        <w:t xml:space="preserve"> 240</w:t>
      </w:r>
      <w:r w:rsidR="00CD374B">
        <w:rPr>
          <w:rFonts w:cs="Arial"/>
          <w:szCs w:val="20"/>
        </w:rPr>
        <w:t xml:space="preserve"> </w:t>
      </w:r>
      <w:r w:rsidRPr="004A5668">
        <w:rPr>
          <w:rFonts w:cs="Arial"/>
          <w:szCs w:val="20"/>
        </w:rPr>
        <w:t>žáků.</w:t>
      </w:r>
      <w:r w:rsidR="00C018F3">
        <w:rPr>
          <w:rFonts w:cs="Arial"/>
          <w:szCs w:val="20"/>
        </w:rPr>
        <w:t xml:space="preserve"> </w:t>
      </w:r>
    </w:p>
    <w:p w14:paraId="142C69FF" w14:textId="78A5C732" w:rsidR="00E82AA4" w:rsidRDefault="00E82AA4" w:rsidP="00EF1975">
      <w:pPr>
        <w:pStyle w:val="Textpoznpodarou"/>
        <w:spacing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Podíváme-li se na vývoj za pět let, pak jsou obory, u kterých došlo k poměrně výraznému </w:t>
      </w:r>
      <w:r w:rsidRPr="003B3D82">
        <w:rPr>
          <w:rFonts w:ascii="Arial" w:hAnsi="Arial" w:cs="Arial"/>
          <w:b/>
        </w:rPr>
        <w:t xml:space="preserve">navýšení </w:t>
      </w:r>
      <w:r>
        <w:rPr>
          <w:rFonts w:ascii="Arial" w:hAnsi="Arial" w:cs="Arial"/>
        </w:rPr>
        <w:t xml:space="preserve">počtu žáků nástavbového studia. Mezi ně patří </w:t>
      </w:r>
      <w:r w:rsidRPr="003B3D82">
        <w:rPr>
          <w:rFonts w:ascii="Arial" w:hAnsi="Arial" w:cs="Arial"/>
          <w:b/>
          <w:i/>
        </w:rPr>
        <w:t>pedagogika, učitelství a sociální péče</w:t>
      </w:r>
      <w:r>
        <w:rPr>
          <w:rFonts w:ascii="Arial" w:hAnsi="Arial" w:cs="Arial"/>
        </w:rPr>
        <w:t xml:space="preserve"> (počet žáků se zvýšil 11,3krát), </w:t>
      </w:r>
      <w:r w:rsidRPr="003B3D82">
        <w:rPr>
          <w:rFonts w:ascii="Arial" w:hAnsi="Arial" w:cs="Arial"/>
          <w:b/>
          <w:i/>
        </w:rPr>
        <w:t>potravinářství a potravinářská chemie</w:t>
      </w:r>
      <w:r>
        <w:rPr>
          <w:rFonts w:ascii="Arial" w:hAnsi="Arial" w:cs="Arial"/>
        </w:rPr>
        <w:t xml:space="preserve"> (navýšení o 82,8 %), </w:t>
      </w:r>
      <w:r w:rsidRPr="003B3D82">
        <w:rPr>
          <w:rFonts w:ascii="Arial" w:hAnsi="Arial" w:cs="Arial"/>
          <w:b/>
          <w:i/>
        </w:rPr>
        <w:t>speciální a interdisciplinární obory</w:t>
      </w:r>
      <w:r>
        <w:rPr>
          <w:rFonts w:ascii="Arial" w:hAnsi="Arial" w:cs="Arial"/>
        </w:rPr>
        <w:t xml:space="preserve"> (o 61,1 %), </w:t>
      </w:r>
      <w:r w:rsidRPr="003B3D82">
        <w:rPr>
          <w:rFonts w:ascii="Arial" w:hAnsi="Arial" w:cs="Arial"/>
          <w:b/>
          <w:i/>
        </w:rPr>
        <w:t>obchod</w:t>
      </w:r>
      <w:r>
        <w:rPr>
          <w:rFonts w:ascii="Arial" w:hAnsi="Arial" w:cs="Arial"/>
        </w:rPr>
        <w:t xml:space="preserve"> (o 40,7 %) či </w:t>
      </w:r>
      <w:r w:rsidRPr="003B3D82">
        <w:rPr>
          <w:rFonts w:ascii="Arial" w:hAnsi="Arial" w:cs="Arial"/>
          <w:b/>
          <w:i/>
        </w:rPr>
        <w:t>zemědělství a lesnictví</w:t>
      </w:r>
      <w:r>
        <w:rPr>
          <w:rFonts w:ascii="Arial" w:hAnsi="Arial" w:cs="Arial"/>
        </w:rPr>
        <w:t xml:space="preserve"> (o 32,5 %). Naopak o více než pětinu </w:t>
      </w:r>
      <w:r w:rsidRPr="003B3D82">
        <w:rPr>
          <w:rFonts w:ascii="Arial" w:hAnsi="Arial" w:cs="Arial"/>
          <w:b/>
        </w:rPr>
        <w:t>poklesl</w:t>
      </w:r>
      <w:r>
        <w:rPr>
          <w:rFonts w:ascii="Arial" w:hAnsi="Arial" w:cs="Arial"/>
        </w:rPr>
        <w:t xml:space="preserve"> počet žáků v oborech spadajících pod </w:t>
      </w:r>
      <w:r w:rsidRPr="003B3D82">
        <w:rPr>
          <w:rFonts w:ascii="Arial" w:hAnsi="Arial" w:cs="Arial"/>
          <w:b/>
          <w:i/>
        </w:rPr>
        <w:t>strojírenství a strojírenskou výrobu</w:t>
      </w:r>
      <w:r>
        <w:rPr>
          <w:rFonts w:ascii="Arial" w:hAnsi="Arial" w:cs="Arial"/>
        </w:rPr>
        <w:t xml:space="preserve"> (pokles o 25,7 %), </w:t>
      </w:r>
      <w:r w:rsidR="006965F2" w:rsidRPr="003B3D82">
        <w:rPr>
          <w:rFonts w:ascii="Arial" w:hAnsi="Arial" w:cs="Arial"/>
          <w:b/>
          <w:i/>
        </w:rPr>
        <w:t>gastronomie, hotelnictví a turismus</w:t>
      </w:r>
      <w:r w:rsidR="006965F2">
        <w:rPr>
          <w:rFonts w:ascii="Arial" w:hAnsi="Arial" w:cs="Arial"/>
        </w:rPr>
        <w:t xml:space="preserve"> (o 30,3 %) a </w:t>
      </w:r>
      <w:r w:rsidR="006965F2" w:rsidRPr="003B3D82">
        <w:rPr>
          <w:rFonts w:ascii="Arial" w:hAnsi="Arial" w:cs="Arial"/>
          <w:b/>
          <w:i/>
        </w:rPr>
        <w:t>stavebnictví, geodézie a kartografie</w:t>
      </w:r>
      <w:r w:rsidR="006965F2">
        <w:rPr>
          <w:rFonts w:ascii="Arial" w:hAnsi="Arial" w:cs="Arial"/>
        </w:rPr>
        <w:t xml:space="preserve"> (o 48,1 %).</w:t>
      </w:r>
    </w:p>
    <w:p w14:paraId="23192154" w14:textId="71423A47" w:rsidR="00D65631" w:rsidRDefault="00D65631" w:rsidP="00EF1975">
      <w:pPr>
        <w:pStyle w:val="Textpoznpodarou"/>
        <w:spacing w:line="288" w:lineRule="auto"/>
        <w:jc w:val="both"/>
        <w:rPr>
          <w:rFonts w:ascii="Arial" w:hAnsi="Arial" w:cs="Arial"/>
        </w:rPr>
      </w:pPr>
    </w:p>
    <w:p w14:paraId="27EF7286" w14:textId="77777777" w:rsidR="00FA7769" w:rsidRDefault="00FA7769" w:rsidP="00FA7769">
      <w:pPr>
        <w:spacing w:after="120" w:line="240" w:lineRule="auto"/>
        <w:rPr>
          <w:b/>
          <w:sz w:val="24"/>
        </w:rPr>
      </w:pPr>
    </w:p>
    <w:p w14:paraId="59792C03" w14:textId="71E4A929" w:rsidR="007431D5" w:rsidRDefault="00FA7769" w:rsidP="00E85F38">
      <w:pPr>
        <w:pStyle w:val="Nadpis2"/>
      </w:pPr>
      <w:bookmarkStart w:id="8" w:name="_Toc142547541"/>
      <w:r w:rsidRPr="00A001DC">
        <w:lastRenderedPageBreak/>
        <w:t>3.3 Žáci středních škol dle zdravotního postižení a integrace</w:t>
      </w:r>
      <w:bookmarkEnd w:id="8"/>
      <w:r w:rsidRPr="005E552D">
        <w:t xml:space="preserve"> </w:t>
      </w:r>
    </w:p>
    <w:p w14:paraId="6C3A714B" w14:textId="77777777" w:rsidR="007431D5" w:rsidRPr="007431D5" w:rsidRDefault="007431D5" w:rsidP="00E85F38">
      <w:pPr>
        <w:keepNext/>
        <w:spacing w:after="120" w:line="240" w:lineRule="auto"/>
      </w:pPr>
    </w:p>
    <w:p w14:paraId="1364D198" w14:textId="66CBB2F0" w:rsidR="00FA7769" w:rsidRDefault="009C43F4" w:rsidP="00FA7769">
      <w:pPr>
        <w:spacing w:after="120"/>
        <w:jc w:val="both"/>
      </w:pPr>
      <w:r>
        <w:t>V oblasti vzdělávání se používá pojem „žáci</w:t>
      </w:r>
      <w:r w:rsidR="00FA7769" w:rsidRPr="004A5668">
        <w:t xml:space="preserve"> se speciálními vzdělávacími potřebami</w:t>
      </w:r>
      <w:r>
        <w:t>“.</w:t>
      </w:r>
      <w:r w:rsidR="00FA7769" w:rsidRPr="004A5668">
        <w:t xml:space="preserve"> </w:t>
      </w:r>
      <w:r>
        <w:t>Tam se</w:t>
      </w:r>
      <w:r w:rsidR="00FA7769" w:rsidRPr="004A5668">
        <w:t xml:space="preserve"> vedle žáků se zdravotním postižením řadí též žáci se zdravotním znevýhodněním (tj. zdravotním oslabením, dlouhodobým onemocněním a lehčími zdravotními poruchami vedoucími k poruchám učení a chování) a se sociálním znevýho</w:t>
      </w:r>
      <w:r w:rsidR="007D0F30">
        <w:t>dněním (</w:t>
      </w:r>
      <w:r w:rsidR="00091BCC">
        <w:t xml:space="preserve">často jimi bývají žáci </w:t>
      </w:r>
      <w:r w:rsidR="007D0F30">
        <w:t>z rodinného prostředí s </w:t>
      </w:r>
      <w:r w:rsidR="00FA7769" w:rsidRPr="004A5668">
        <w:t>nízkým sociálně kulturním postavením, ohrožení sociálně patologickými jevy, s nařízenou ústavní výchovou ne</w:t>
      </w:r>
      <w:r w:rsidR="00091BCC">
        <w:t>bo uloženou ochrannou výchovou či</w:t>
      </w:r>
      <w:r w:rsidR="00FA7769" w:rsidRPr="004A5668">
        <w:t xml:space="preserve"> žáci v  postavení azylantů a účastníků řízení o udělení azylu) - viz § 16 školského zákona (zákon č. 561/2004 Sb.). Vzhledem k dostupnosti dat v časové řadě se však </w:t>
      </w:r>
      <w:r>
        <w:t xml:space="preserve">v této analýze </w:t>
      </w:r>
      <w:r w:rsidR="00FA7769" w:rsidRPr="004A5668">
        <w:t>omezíme na kategorii žáků se zdravotním postižením.</w:t>
      </w:r>
    </w:p>
    <w:p w14:paraId="09243BB1" w14:textId="29186A9F" w:rsidR="009C43F4" w:rsidRDefault="009C43F4" w:rsidP="009C43F4">
      <w:pPr>
        <w:spacing w:before="120" w:after="120"/>
        <w:jc w:val="both"/>
      </w:pPr>
      <w:r w:rsidRPr="004A5668">
        <w:t xml:space="preserve">Žáci se zdravotním postižením jsou žáci s postižením mentálním, sluchovým, se závažnými </w:t>
      </w:r>
      <w:r>
        <w:t>vadami řeči, s </w:t>
      </w:r>
      <w:r w:rsidRPr="004A5668">
        <w:t>postižením tělesným, se závažnými vývojovými poruchami učení a chování a s poruchami autistického spektra, příp. žáci s více vadami</w:t>
      </w:r>
      <w:r w:rsidRPr="004A5668">
        <w:rPr>
          <w:rStyle w:val="Znakapoznpodarou"/>
        </w:rPr>
        <w:footnoteReference w:id="11"/>
      </w:r>
      <w:r w:rsidRPr="004A5668">
        <w:t xml:space="preserve">. Ti mohou být individuálně integrováni do běžných tříd, zařazeni do speciálních tříd na běžných školách, nebo navštěvovat školy zaměřené primárně na výuku žáků se speciálními vzdělávacími potřebami (tj. školy </w:t>
      </w:r>
      <w:r>
        <w:t xml:space="preserve">pouze se speciálními třídami). </w:t>
      </w:r>
    </w:p>
    <w:p w14:paraId="28BF2197" w14:textId="11254ABF" w:rsidR="00692076" w:rsidRPr="004A5668" w:rsidRDefault="00692076" w:rsidP="00692076">
      <w:pPr>
        <w:spacing w:after="120"/>
        <w:jc w:val="both"/>
      </w:pPr>
      <w:r>
        <w:t xml:space="preserve">Než přejdeme k prezentaci statistik, je dobré uvést, že </w:t>
      </w:r>
      <w:r w:rsidR="00EA15B8">
        <w:t>sledování vývoje počtu žáků s (daným) postižením má svá úskalí. V</w:t>
      </w:r>
      <w:r>
        <w:t>e sledovaném období mohlo kromě změn ve sledování statistik dojít ke změně diagnostiky onemocnění a zejména pak k rozšíření diagnostických kritérií, díky kterým lze přesněji a lépe postižené kategorizovat a poskytnout jim potřebno</w:t>
      </w:r>
      <w:r w:rsidR="005E248C">
        <w:t>u podporu.</w:t>
      </w:r>
      <w:r w:rsidR="00EA15B8">
        <w:t xml:space="preserve"> </w:t>
      </w:r>
      <w:r w:rsidR="005E248C">
        <w:t>Kromě toho se zvyšuje</w:t>
      </w:r>
      <w:r>
        <w:t> informovanost odborníků i laiků co se poruch autistického spektra a vývojových poruch týče</w:t>
      </w:r>
      <w:r w:rsidR="00EA15B8">
        <w:t xml:space="preserve"> a zvyšuje se tedy šance, že se žákovi určí diagnóza a nabídne podpora</w:t>
      </w:r>
      <w:r>
        <w:t xml:space="preserve">. </w:t>
      </w:r>
      <w:r w:rsidR="0061355B">
        <w:t xml:space="preserve">Dle aktuálně nabízené podpory se také více či méně rodin rozhodne nechat dítě vyšetřit a určit diagnózu. </w:t>
      </w:r>
      <w:r w:rsidR="004F1EBD">
        <w:t>To</w:t>
      </w:r>
      <w:r w:rsidR="00A001DC">
        <w:t xml:space="preserve"> vše může vykazování žáků s postižením ovlivnit.</w:t>
      </w:r>
    </w:p>
    <w:p w14:paraId="4B95F37F" w14:textId="085F5F95" w:rsidR="005B5339" w:rsidRDefault="002D29A6" w:rsidP="00FA7769">
      <w:pPr>
        <w:spacing w:after="120"/>
        <w:jc w:val="both"/>
      </w:pPr>
      <w:r w:rsidRPr="002230DF">
        <w:t>Mezi š</w:t>
      </w:r>
      <w:r w:rsidR="0083420B" w:rsidRPr="002230DF">
        <w:t>kolními roky</w:t>
      </w:r>
      <w:r w:rsidR="002B778B" w:rsidRPr="002230DF">
        <w:t xml:space="preserve"> 2012</w:t>
      </w:r>
      <w:r w:rsidR="002B778B">
        <w:t>/13 a 2022/23</w:t>
      </w:r>
      <w:r w:rsidR="00FA7769" w:rsidRPr="00612F79">
        <w:t xml:space="preserve"> přibylo ve středních školách žáků </w:t>
      </w:r>
      <w:r w:rsidR="00FF0857">
        <w:t>s diagnostikovaným</w:t>
      </w:r>
      <w:r w:rsidR="00FA7769" w:rsidRPr="00AB1A99">
        <w:t xml:space="preserve"> zdravotním postižením o </w:t>
      </w:r>
      <w:r w:rsidR="002B778B">
        <w:t xml:space="preserve"> 40,4</w:t>
      </w:r>
      <w:r w:rsidR="00AB1A99">
        <w:t> %</w:t>
      </w:r>
      <w:r w:rsidR="002B778B">
        <w:t xml:space="preserve"> (žáků středních škol bylo naopak ve školním roce 2012/13 o 1,6</w:t>
      </w:r>
      <w:r w:rsidR="005F4803">
        <w:t> </w:t>
      </w:r>
      <w:r w:rsidR="002B778B">
        <w:t>% méně než ve školním roce 2022/23)</w:t>
      </w:r>
      <w:r w:rsidR="00FA7769" w:rsidRPr="00AB1A99">
        <w:t>.</w:t>
      </w:r>
      <w:r w:rsidR="00C22DC5">
        <w:rPr>
          <w:rStyle w:val="Znakapoznpodarou"/>
        </w:rPr>
        <w:footnoteReference w:id="12"/>
      </w:r>
      <w:r w:rsidR="00FA7769" w:rsidRPr="004A5668">
        <w:t xml:space="preserve"> </w:t>
      </w:r>
      <w:r w:rsidR="002B778B">
        <w:t>Oproti předchozímu školnímu roku</w:t>
      </w:r>
      <w:r w:rsidR="0083420B">
        <w:t xml:space="preserve"> žáků s postižením </w:t>
      </w:r>
      <w:r w:rsidR="002B778B">
        <w:t>přitom přibylo o 10</w:t>
      </w:r>
      <w:r w:rsidR="002A4A08">
        <w:t xml:space="preserve">,9 % a nárůst </w:t>
      </w:r>
      <w:r w:rsidR="00C67F74">
        <w:t xml:space="preserve">všech </w:t>
      </w:r>
      <w:r w:rsidR="002A4A08">
        <w:t xml:space="preserve">žáků </w:t>
      </w:r>
      <w:r w:rsidR="00C67F74">
        <w:t xml:space="preserve">středních škol </w:t>
      </w:r>
      <w:r w:rsidR="002A4A08">
        <w:t>byl o</w:t>
      </w:r>
      <w:r w:rsidR="002B778B">
        <w:t xml:space="preserve"> 3,8 %. Ještě větší nárůst </w:t>
      </w:r>
      <w:r w:rsidR="00C67F74">
        <w:t xml:space="preserve">počtu žáků s postižením </w:t>
      </w:r>
      <w:r w:rsidR="002B778B">
        <w:t xml:space="preserve">byl v posledních 10 letech zaznamenán mezi školními roky 2018/19 a 2019/20, a sice o 13,5 %, jen k o něco menšímu nárůstu došlo mezi školními roky 2016/17 a 2017/18, a sice o 9,7 %. </w:t>
      </w:r>
      <w:r w:rsidR="002230DF">
        <w:t>V ostatních letech posledního desetiletí docházelo ke změně počtu žáků s postižením od -3,7 % do + 3,7 %.</w:t>
      </w:r>
    </w:p>
    <w:p w14:paraId="1DC96B7B" w14:textId="2469BF6F" w:rsidR="00FA7769" w:rsidRDefault="00840090" w:rsidP="00FA7769">
      <w:pPr>
        <w:spacing w:after="120"/>
        <w:jc w:val="both"/>
      </w:pPr>
      <w:r>
        <w:t>Celkově</w:t>
      </w:r>
      <w:r w:rsidR="005B5339">
        <w:t xml:space="preserve"> se</w:t>
      </w:r>
      <w:r>
        <w:t xml:space="preserve"> </w:t>
      </w:r>
      <w:r w:rsidR="00FA7769" w:rsidRPr="004A5668">
        <w:t>za sledov</w:t>
      </w:r>
      <w:r w:rsidR="007A3120">
        <w:t>ané období zvýšil podíl</w:t>
      </w:r>
      <w:r w:rsidR="00FA7769" w:rsidRPr="004A5668">
        <w:t xml:space="preserve"> žáků s diagnostikovaným postižením</w:t>
      </w:r>
      <w:r w:rsidR="007A3120">
        <w:t xml:space="preserve"> ze všech žáků středních škol</w:t>
      </w:r>
      <w:r w:rsidR="00FA7769" w:rsidRPr="004A5668">
        <w:t xml:space="preserve"> </w:t>
      </w:r>
      <w:r w:rsidR="005B5339">
        <w:t>z</w:t>
      </w:r>
      <w:r w:rsidR="00505884">
        <w:t>e 4,1</w:t>
      </w:r>
      <w:r w:rsidR="005B5339">
        <w:t xml:space="preserve"> % </w:t>
      </w:r>
      <w:r w:rsidR="00505884">
        <w:t>ve školním roce 2012/13</w:t>
      </w:r>
      <w:r w:rsidR="00351746">
        <w:t xml:space="preserve"> </w:t>
      </w:r>
      <w:r w:rsidR="00505884">
        <w:t>na 5,8</w:t>
      </w:r>
      <w:r>
        <w:t xml:space="preserve"> % </w:t>
      </w:r>
      <w:r w:rsidR="00505884">
        <w:t>ve školním roce 2022/23</w:t>
      </w:r>
      <w:r w:rsidR="00351746">
        <w:t xml:space="preserve"> </w:t>
      </w:r>
      <w:r w:rsidR="00124443">
        <w:t>– viz graf 3.13</w:t>
      </w:r>
      <w:r w:rsidR="00FA7769" w:rsidRPr="004A5668">
        <w:t xml:space="preserve">. </w:t>
      </w:r>
      <w:r w:rsidR="00612F79">
        <w:t xml:space="preserve">Tento podíl </w:t>
      </w:r>
      <w:r w:rsidR="00C67F74">
        <w:t>od školního roku 2012/13</w:t>
      </w:r>
      <w:r w:rsidR="005B5339">
        <w:t xml:space="preserve"> do školního roku 2017/18 soustavně stoupal, poté začal kolísat. Nejvyšší byl tento podíl ve školním roce 2019/20, a sice 5,9 %, </w:t>
      </w:r>
      <w:r w:rsidR="00505884">
        <w:t>za další dva školní roky pak poklesl na 5,4 % a ve školním roce 2022/23 se zvýšil na 5,8 %.</w:t>
      </w:r>
    </w:p>
    <w:p w14:paraId="07E1BB6D" w14:textId="15F2828F" w:rsidR="00C67F74" w:rsidRPr="004A5668" w:rsidRDefault="00C67F74" w:rsidP="00FA7769">
      <w:pPr>
        <w:spacing w:after="120"/>
        <w:jc w:val="both"/>
      </w:pPr>
      <w:r w:rsidRPr="004A5668">
        <w:t>Při porovnání se situací v základních školách lze konstatovat, že podíl žáků se zdravotním pos</w:t>
      </w:r>
      <w:r>
        <w:t>tižením byl ve školním roce 2022/23</w:t>
      </w:r>
      <w:r w:rsidRPr="004A5668">
        <w:t xml:space="preserve"> v základních školách </w:t>
      </w:r>
      <w:r>
        <w:t>výrazně vyšší (11,7 % oproti 5,8</w:t>
      </w:r>
      <w:r w:rsidRPr="004A5668">
        <w:t xml:space="preserve"> %). </w:t>
      </w:r>
      <w:r>
        <w:t>To může být ovlivněné skutečností</w:t>
      </w:r>
      <w:r w:rsidRPr="004A5668">
        <w:t>, že základní vzdělávání je na rozdíl od středního povinné</w:t>
      </w:r>
      <w:r>
        <w:t xml:space="preserve"> pro všechny děti bez rozdílu</w:t>
      </w:r>
      <w:r w:rsidRPr="004A5668">
        <w:t>.</w:t>
      </w:r>
      <w:r>
        <w:t xml:space="preserve"> Svou úlohu však mohou sehrát i případné rozdíly v nárocích na různé formy podpory na jednotlivých úrovních vzdělávání, příp. jejich kompetence a subjektivně vnímaná potřeba je využívat. </w:t>
      </w:r>
    </w:p>
    <w:p w14:paraId="532D12CE" w14:textId="5B585D86" w:rsidR="00FA7769" w:rsidRDefault="004259A4" w:rsidP="00FA7769">
      <w:pPr>
        <w:keepNext/>
        <w:spacing w:after="120" w:line="240" w:lineRule="auto"/>
        <w:rPr>
          <w:b/>
          <w:noProof/>
        </w:rPr>
      </w:pPr>
      <w:r>
        <w:rPr>
          <w:b/>
          <w:noProof/>
        </w:rPr>
        <w:lastRenderedPageBreak/>
        <w:t>Graf 3</w:t>
      </w:r>
      <w:r w:rsidR="00124443">
        <w:rPr>
          <w:b/>
          <w:noProof/>
        </w:rPr>
        <w:t>.13</w:t>
      </w:r>
      <w:r w:rsidR="00FA7769" w:rsidRPr="001A4C13">
        <w:rPr>
          <w:b/>
          <w:noProof/>
        </w:rPr>
        <w:t xml:space="preserve"> </w:t>
      </w:r>
      <w:r w:rsidR="00FA7769">
        <w:rPr>
          <w:b/>
        </w:rPr>
        <w:t>Střední školy</w:t>
      </w:r>
      <w:r w:rsidR="00FA7769" w:rsidRPr="00C3589B">
        <w:t xml:space="preserve"> </w:t>
      </w:r>
      <w:r w:rsidR="002D29A6">
        <w:rPr>
          <w:b/>
          <w:noProof/>
        </w:rPr>
        <w:t>–</w:t>
      </w:r>
      <w:r w:rsidR="00FA7769" w:rsidRPr="001A4C13">
        <w:rPr>
          <w:b/>
          <w:noProof/>
        </w:rPr>
        <w:t xml:space="preserve"> </w:t>
      </w:r>
      <w:r w:rsidR="002D29A6">
        <w:rPr>
          <w:b/>
          <w:noProof/>
        </w:rPr>
        <w:t xml:space="preserve">počet a </w:t>
      </w:r>
      <w:r w:rsidR="00FA7769" w:rsidRPr="001A4C13">
        <w:rPr>
          <w:b/>
          <w:noProof/>
        </w:rPr>
        <w:t>podíl žáků se zdravotním postižením</w:t>
      </w:r>
      <w:r w:rsidR="004D2A8C">
        <w:rPr>
          <w:b/>
          <w:noProof/>
        </w:rPr>
        <w:t>, integrace do běžných tříd</w:t>
      </w:r>
    </w:p>
    <w:p w14:paraId="0337451D" w14:textId="0D3EB84E" w:rsidR="00FA7769" w:rsidRDefault="00877281" w:rsidP="00FA7769">
      <w:pPr>
        <w:keepNext/>
        <w:spacing w:after="120" w:line="240" w:lineRule="auto"/>
        <w:rPr>
          <w:b/>
          <w:noProof/>
        </w:rPr>
      </w:pPr>
      <w:r>
        <w:rPr>
          <w:noProof/>
        </w:rPr>
        <w:drawing>
          <wp:inline distT="0" distB="0" distL="0" distR="0" wp14:anchorId="402D7CAD" wp14:editId="5B1CC22C">
            <wp:extent cx="6120130" cy="3714750"/>
            <wp:effectExtent l="0" t="0" r="13970" b="0"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632447" w14:textId="77777777" w:rsidR="00FA7769" w:rsidRPr="00B410D9" w:rsidRDefault="00FA7769" w:rsidP="004A2C68">
      <w:pPr>
        <w:spacing w:after="120" w:line="276" w:lineRule="auto"/>
        <w:jc w:val="right"/>
        <w:rPr>
          <w:rFonts w:asciiTheme="minorHAnsi" w:hAnsiTheme="minorHAnsi"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6207F8A1" w14:textId="15DB4D7F" w:rsidR="009137FD" w:rsidRDefault="001548D3" w:rsidP="00BF7F41">
      <w:pPr>
        <w:spacing w:after="120"/>
        <w:jc w:val="both"/>
      </w:pPr>
      <w:r>
        <w:t>Mezi školními roky 2012/13</w:t>
      </w:r>
      <w:r w:rsidR="00351746">
        <w:t xml:space="preserve"> a 2020/21</w:t>
      </w:r>
      <w:r w:rsidR="00FA7769" w:rsidRPr="004A5668">
        <w:t xml:space="preserve"> se </w:t>
      </w:r>
      <w:r w:rsidR="00A70867">
        <w:t>výrazně zvýšil</w:t>
      </w:r>
      <w:r w:rsidR="00FA7769" w:rsidRPr="004A5668">
        <w:t xml:space="preserve"> podíl žáků se zdravotním postižením </w:t>
      </w:r>
      <w:r w:rsidR="00FA7769" w:rsidRPr="00A70867">
        <w:rPr>
          <w:b/>
        </w:rPr>
        <w:t>integrovaných do běžných tříd</w:t>
      </w:r>
      <w:r w:rsidR="00A70867" w:rsidRPr="00A70867">
        <w:t>,</w:t>
      </w:r>
      <w:r w:rsidR="00A70867">
        <w:rPr>
          <w:b/>
        </w:rPr>
        <w:t xml:space="preserve"> </w:t>
      </w:r>
      <w:r>
        <w:t>a sice ze 40,7</w:t>
      </w:r>
      <w:r w:rsidR="00A70867" w:rsidRPr="00A70867">
        <w:t> % na 68,7 %.</w:t>
      </w:r>
      <w:r w:rsidR="00FA7769" w:rsidRPr="004A5668">
        <w:t xml:space="preserve"> </w:t>
      </w:r>
      <w:r>
        <w:t>Ve školním roce 2021/22</w:t>
      </w:r>
      <w:r w:rsidR="00A70867">
        <w:t xml:space="preserve"> došlo k mírnému poklesu na 67 %</w:t>
      </w:r>
      <w:r>
        <w:t>, ve školním roce 2022/23 však dosáhl bez tří desetin procentního bodu 70 %, což je za uplynulých 10 let nejvyšší podíl</w:t>
      </w:r>
      <w:r w:rsidRPr="00BA002F">
        <w:t>.</w:t>
      </w:r>
      <w:r w:rsidR="00A70867" w:rsidRPr="00BA002F">
        <w:t xml:space="preserve"> Obdobný vývoj zaznamenaly i základní školy, </w:t>
      </w:r>
      <w:r w:rsidR="00BA002F" w:rsidRPr="00BA002F">
        <w:t xml:space="preserve">v mateřských školách byl </w:t>
      </w:r>
      <w:r w:rsidR="00C24392">
        <w:t>podíl</w:t>
      </w:r>
      <w:r w:rsidR="00BA002F" w:rsidRPr="00BA002F">
        <w:t xml:space="preserve"> integrovaných dětí s postižením </w:t>
      </w:r>
      <w:r w:rsidR="00C24392">
        <w:t xml:space="preserve">v čase </w:t>
      </w:r>
      <w:r w:rsidR="00BA002F" w:rsidRPr="00BA002F">
        <w:t xml:space="preserve">trvale rostoucí (tj. bez přerušení). </w:t>
      </w:r>
    </w:p>
    <w:p w14:paraId="3E18F320" w14:textId="5A0EA711" w:rsidR="009137FD" w:rsidRDefault="00FA4FC9" w:rsidP="00BF7F41">
      <w:pPr>
        <w:spacing w:after="120"/>
        <w:jc w:val="both"/>
      </w:pPr>
      <w:r w:rsidRPr="00680269">
        <w:t>Zároveň lze říci,</w:t>
      </w:r>
      <w:r w:rsidRPr="00CB0820">
        <w:t xml:space="preserve"> že</w:t>
      </w:r>
      <w:r>
        <w:t xml:space="preserve"> </w:t>
      </w:r>
      <w:r w:rsidRPr="00605DA7">
        <w:rPr>
          <w:b/>
        </w:rPr>
        <w:t>v soukromých</w:t>
      </w:r>
      <w:r>
        <w:t xml:space="preserve"> středních </w:t>
      </w:r>
      <w:r w:rsidR="00680269">
        <w:t>školách byl ve školním roce 2022/23</w:t>
      </w:r>
      <w:r>
        <w:t xml:space="preserve"> </w:t>
      </w:r>
      <w:r w:rsidR="0047521B">
        <w:t>podíl žáků s </w:t>
      </w:r>
      <w:r w:rsidR="00FC43AD">
        <w:t xml:space="preserve">postižením </w:t>
      </w:r>
      <w:r w:rsidR="0047521B">
        <w:t>nižší</w:t>
      </w:r>
      <w:r w:rsidR="00830020">
        <w:t xml:space="preserve"> (5,3</w:t>
      </w:r>
      <w:r w:rsidR="0047521B">
        <w:t xml:space="preserve"> </w:t>
      </w:r>
      <w:r w:rsidR="009137FD">
        <w:t xml:space="preserve">%) než ve školách </w:t>
      </w:r>
      <w:r w:rsidR="009137FD" w:rsidRPr="00605DA7">
        <w:rPr>
          <w:b/>
        </w:rPr>
        <w:t>veřejných</w:t>
      </w:r>
      <w:r w:rsidR="007550FA">
        <w:t xml:space="preserve"> (</w:t>
      </w:r>
      <w:r w:rsidR="00830020">
        <w:t>5,9 %) a zejména</w:t>
      </w:r>
      <w:r w:rsidR="00680269">
        <w:t xml:space="preserve"> </w:t>
      </w:r>
      <w:r w:rsidRPr="00605DA7">
        <w:rPr>
          <w:b/>
        </w:rPr>
        <w:t>církevních</w:t>
      </w:r>
      <w:r>
        <w:t xml:space="preserve"> (</w:t>
      </w:r>
      <w:r w:rsidR="00830020">
        <w:t>6,3</w:t>
      </w:r>
      <w:r>
        <w:t xml:space="preserve"> %). </w:t>
      </w:r>
      <w:r w:rsidR="005956BF">
        <w:t>V souhrnu byl tak podíl žáků s</w:t>
      </w:r>
      <w:r w:rsidR="0092171C">
        <w:t xml:space="preserve"> diagnostikovaným </w:t>
      </w:r>
      <w:r w:rsidR="005956BF">
        <w:t xml:space="preserve">postižením </w:t>
      </w:r>
      <w:r w:rsidR="0092171C">
        <w:t xml:space="preserve">mírně </w:t>
      </w:r>
      <w:r w:rsidR="005956BF">
        <w:t>vyšší ve šk</w:t>
      </w:r>
      <w:r w:rsidR="00830020">
        <w:t>olách veřejného zřizovatele (5,9</w:t>
      </w:r>
      <w:r w:rsidR="005956BF">
        <w:t> %) než zřizovatele neveřejnéh</w:t>
      </w:r>
      <w:r w:rsidR="00830020">
        <w:t>o (5,4</w:t>
      </w:r>
      <w:r w:rsidR="007550FA">
        <w:t> %</w:t>
      </w:r>
      <w:r w:rsidR="005956BF">
        <w:t xml:space="preserve">). </w:t>
      </w:r>
    </w:p>
    <w:p w14:paraId="7C20C1D7" w14:textId="5699EBCE" w:rsidR="005956BF" w:rsidRDefault="002C18C3" w:rsidP="00BF7F41">
      <w:pPr>
        <w:spacing w:after="120"/>
        <w:jc w:val="both"/>
      </w:pPr>
      <w:r>
        <w:t>Připomeňme, že v</w:t>
      </w:r>
      <w:r w:rsidR="008B2F9E">
        <w:t xml:space="preserve"> mateřských </w:t>
      </w:r>
      <w:r w:rsidR="008B2F9E" w:rsidRPr="00496EF6">
        <w:t xml:space="preserve">a </w:t>
      </w:r>
      <w:r w:rsidR="005956BF" w:rsidRPr="00496EF6">
        <w:t>základních školách tomu přitom bylo naopak – podíl žáků s postižením ve školách neveřejného zřizovatele byl vyšší než ve</w:t>
      </w:r>
      <w:r w:rsidR="00605DA7" w:rsidRPr="00496EF6">
        <w:t xml:space="preserve"> školách zřizovatele veřejného</w:t>
      </w:r>
      <w:r w:rsidR="005956BF" w:rsidRPr="00496EF6">
        <w:t>.</w:t>
      </w:r>
      <w:r w:rsidR="005956BF">
        <w:t xml:space="preserve"> </w:t>
      </w:r>
      <w:r w:rsidR="00830020">
        <w:t>Též u</w:t>
      </w:r>
      <w:r w:rsidR="00FC43AD">
        <w:t> </w:t>
      </w:r>
      <w:r w:rsidR="008B2F9E">
        <w:t xml:space="preserve">mateřských a </w:t>
      </w:r>
      <w:r w:rsidR="00830020">
        <w:t>základních škol byl dále</w:t>
      </w:r>
      <w:r w:rsidR="00E54455">
        <w:t xml:space="preserve"> podíl žáků s postižením </w:t>
      </w:r>
      <w:r w:rsidR="004F11A0">
        <w:t>vyšší u </w:t>
      </w:r>
      <w:r w:rsidR="00E54455">
        <w:t>církevního zřizovatele (</w:t>
      </w:r>
      <w:r w:rsidR="00496EF6">
        <w:t>8,0</w:t>
      </w:r>
      <w:r w:rsidR="008B2F9E">
        <w:t xml:space="preserve"> %, resp. </w:t>
      </w:r>
      <w:r w:rsidR="00496EF6">
        <w:t>20,0</w:t>
      </w:r>
      <w:r w:rsidR="00E54455">
        <w:t xml:space="preserve"> %) než zřizovatele soukromého </w:t>
      </w:r>
      <w:r w:rsidR="008B2F9E">
        <w:t>(3,</w:t>
      </w:r>
      <w:r w:rsidR="00496EF6">
        <w:t>7</w:t>
      </w:r>
      <w:r w:rsidR="0047521B">
        <w:t xml:space="preserve"> </w:t>
      </w:r>
      <w:r w:rsidR="008B2F9E">
        <w:t xml:space="preserve">%, </w:t>
      </w:r>
      <w:r w:rsidR="00605DA7">
        <w:t>13</w:t>
      </w:r>
      <w:r w:rsidR="00496EF6">
        <w:t>,6</w:t>
      </w:r>
      <w:r w:rsidR="00E54455">
        <w:t> %).</w:t>
      </w:r>
      <w:r w:rsidR="004F11A0">
        <w:t xml:space="preserve"> </w:t>
      </w:r>
    </w:p>
    <w:p w14:paraId="301146C1" w14:textId="66327E9E" w:rsidR="00605DA7" w:rsidRDefault="00605DA7" w:rsidP="00BF7F41">
      <w:pPr>
        <w:spacing w:after="120"/>
        <w:jc w:val="both"/>
      </w:pPr>
      <w:r>
        <w:t xml:space="preserve">Podíl žáků integrovaných do běžných tříd byl u veřejného zřizovatele </w:t>
      </w:r>
      <w:r w:rsidR="00830020">
        <w:t>69,7 %, u soukromého 69,0 </w:t>
      </w:r>
      <w:r w:rsidR="00651766">
        <w:t>% a u </w:t>
      </w:r>
      <w:r w:rsidR="00830020">
        <w:t>církevního 73,1</w:t>
      </w:r>
      <w:r>
        <w:t> %.</w:t>
      </w:r>
    </w:p>
    <w:p w14:paraId="52B98D08" w14:textId="31394E0E" w:rsidR="00FA7769" w:rsidRDefault="00FA7769" w:rsidP="00FA7769">
      <w:pPr>
        <w:spacing w:after="120"/>
        <w:jc w:val="both"/>
      </w:pPr>
      <w:r w:rsidRPr="00FD1C01">
        <w:t>Tabulka 3.</w:t>
      </w:r>
      <w:r w:rsidR="006E0507" w:rsidRPr="00FD1C01">
        <w:t>2</w:t>
      </w:r>
      <w:r w:rsidRPr="00FD1C01">
        <w:t xml:space="preserve"> uvádí kromě</w:t>
      </w:r>
      <w:r w:rsidRPr="004A5668">
        <w:t xml:space="preserve"> celkového počtu žáků s</w:t>
      </w:r>
      <w:r w:rsidR="00927F1E">
        <w:t xml:space="preserve"> diagnostikovaným </w:t>
      </w:r>
      <w:r w:rsidRPr="004A5668">
        <w:t>postižením ve školníc</w:t>
      </w:r>
      <w:r w:rsidR="00835473">
        <w:t>h rocích 2012/13, 2017/18 a 2022/23</w:t>
      </w:r>
      <w:r w:rsidRPr="004A5668">
        <w:t xml:space="preserve"> i podíl žáků s různými druhy postižení z tohoto celku. </w:t>
      </w:r>
    </w:p>
    <w:p w14:paraId="7D58E7DB" w14:textId="31566E9F" w:rsidR="00835473" w:rsidRDefault="001D69DC" w:rsidP="00692076">
      <w:pPr>
        <w:keepNext/>
        <w:spacing w:after="120" w:line="240" w:lineRule="auto"/>
        <w:jc w:val="both"/>
        <w:rPr>
          <w:b/>
        </w:rPr>
      </w:pPr>
      <w:r>
        <w:rPr>
          <w:b/>
        </w:rPr>
        <w:lastRenderedPageBreak/>
        <w:t>Tab. 3.2</w:t>
      </w:r>
      <w:r w:rsidRPr="004A2233">
        <w:rPr>
          <w:b/>
        </w:rPr>
        <w:t xml:space="preserve"> </w:t>
      </w:r>
      <w:r>
        <w:rPr>
          <w:b/>
        </w:rPr>
        <w:t>Střední školy</w:t>
      </w:r>
      <w:r w:rsidRPr="00C3589B">
        <w:t xml:space="preserve"> </w:t>
      </w:r>
      <w:r w:rsidRPr="004A2233">
        <w:rPr>
          <w:b/>
        </w:rPr>
        <w:t>- podíl zastoupení jednotlivých druhů postižení na celkovém počtu postižených žáků</w:t>
      </w:r>
      <w:r w:rsidR="00FD1C01">
        <w:rPr>
          <w:b/>
        </w:rPr>
        <w:t>, podíl dívek s</w:t>
      </w:r>
      <w:r w:rsidR="00835473">
        <w:rPr>
          <w:b/>
        </w:rPr>
        <w:t> postižením</w:t>
      </w:r>
    </w:p>
    <w:tbl>
      <w:tblPr>
        <w:tblW w:w="9783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709"/>
        <w:gridCol w:w="709"/>
        <w:gridCol w:w="709"/>
        <w:gridCol w:w="708"/>
        <w:gridCol w:w="709"/>
        <w:gridCol w:w="709"/>
        <w:gridCol w:w="709"/>
        <w:gridCol w:w="708"/>
        <w:gridCol w:w="705"/>
        <w:gridCol w:w="6"/>
      </w:tblGrid>
      <w:tr w:rsidR="00EC5218" w:rsidRPr="00EC5218" w14:paraId="6AC6D321" w14:textId="77777777" w:rsidTr="0060614A">
        <w:trPr>
          <w:trHeight w:val="257"/>
        </w:trPr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2D6E49B5" w14:textId="77777777" w:rsidR="00EC5218" w:rsidRPr="00EC5218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 w:rsidRPr="00EC5218">
              <w:rPr>
                <w:rFonts w:cs="Arial"/>
                <w:b/>
                <w:bCs/>
                <w:color w:val="FFFFFF"/>
                <w:sz w:val="17"/>
                <w:szCs w:val="17"/>
              </w:rPr>
              <w:t> </w:t>
            </w:r>
          </w:p>
        </w:tc>
        <w:tc>
          <w:tcPr>
            <w:tcW w:w="21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14:paraId="7B0E724D" w14:textId="729BB0FA" w:rsidR="00EC5218" w:rsidRPr="00EC5218" w:rsidRDefault="00835473" w:rsidP="00692076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>2012/13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14:paraId="7443F419" w14:textId="08B19B9F" w:rsidR="00EC5218" w:rsidRPr="00EC5218" w:rsidRDefault="00835473" w:rsidP="00692076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>2017/18</w:t>
            </w:r>
          </w:p>
        </w:tc>
        <w:tc>
          <w:tcPr>
            <w:tcW w:w="212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14:paraId="6DF8544C" w14:textId="357A993A" w:rsidR="00EC5218" w:rsidRPr="00EC5218" w:rsidRDefault="00835473" w:rsidP="00692076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>2022/23</w:t>
            </w:r>
          </w:p>
        </w:tc>
      </w:tr>
      <w:tr w:rsidR="00EC5218" w:rsidRPr="00EC5218" w14:paraId="4DCCC109" w14:textId="77777777" w:rsidTr="0060614A">
        <w:trPr>
          <w:gridAfter w:val="1"/>
          <w:wAfter w:w="6" w:type="dxa"/>
          <w:trHeight w:val="380"/>
        </w:trPr>
        <w:tc>
          <w:tcPr>
            <w:tcW w:w="3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9E8C00" w14:textId="77777777" w:rsidR="00EC5218" w:rsidRPr="00EC5218" w:rsidRDefault="00EC5218" w:rsidP="00692076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7"/>
                <w:szCs w:val="17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ABA86"/>
            <w:noWrap/>
            <w:vAlign w:val="center"/>
            <w:hideMark/>
          </w:tcPr>
          <w:p w14:paraId="256DD550" w14:textId="77777777" w:rsidR="00EC5218" w:rsidRPr="00651766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color w:val="000000"/>
                <w:sz w:val="17"/>
                <w:szCs w:val="17"/>
              </w:rPr>
            </w:pPr>
            <w:r w:rsidRPr="00651766">
              <w:rPr>
                <w:rFonts w:cs="Arial"/>
                <w:color w:val="000000"/>
                <w:sz w:val="17"/>
                <w:szCs w:val="17"/>
              </w:rPr>
              <w:t>celkem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ABA86"/>
            <w:vAlign w:val="center"/>
            <w:hideMark/>
          </w:tcPr>
          <w:p w14:paraId="019D1477" w14:textId="77777777" w:rsidR="00EC5218" w:rsidRPr="00651766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i/>
                <w:color w:val="000000"/>
                <w:sz w:val="17"/>
                <w:szCs w:val="17"/>
              </w:rPr>
            </w:pPr>
            <w:r w:rsidRPr="00651766">
              <w:rPr>
                <w:rFonts w:cs="Arial"/>
                <w:i/>
                <w:color w:val="000000"/>
                <w:sz w:val="17"/>
                <w:szCs w:val="17"/>
              </w:rPr>
              <w:t>z toho dívky</w:t>
            </w:r>
            <w:r w:rsidRPr="009900AC">
              <w:rPr>
                <w:rFonts w:cs="Arial"/>
                <w:i/>
                <w:color w:val="000000"/>
                <w:sz w:val="17"/>
                <w:szCs w:val="17"/>
                <w:vertAlign w:val="superscript"/>
              </w:rPr>
              <w:t>*)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ABA86"/>
            <w:noWrap/>
            <w:vAlign w:val="center"/>
            <w:hideMark/>
          </w:tcPr>
          <w:p w14:paraId="0226C7C4" w14:textId="77777777" w:rsidR="00EC5218" w:rsidRPr="00651766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bCs/>
                <w:color w:val="000000"/>
                <w:sz w:val="17"/>
                <w:szCs w:val="17"/>
              </w:rPr>
            </w:pPr>
            <w:r w:rsidRPr="00651766">
              <w:rPr>
                <w:rFonts w:cs="Arial"/>
                <w:bCs/>
                <w:color w:val="000000"/>
                <w:sz w:val="17"/>
                <w:szCs w:val="17"/>
              </w:rPr>
              <w:t>celkem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A86"/>
            <w:vAlign w:val="center"/>
            <w:hideMark/>
          </w:tcPr>
          <w:p w14:paraId="24CA55F7" w14:textId="77777777" w:rsidR="00EC5218" w:rsidRPr="00651766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7"/>
                <w:szCs w:val="17"/>
              </w:rPr>
            </w:pPr>
            <w:r w:rsidRPr="00651766">
              <w:rPr>
                <w:rFonts w:cs="Arial"/>
                <w:bCs/>
                <w:i/>
                <w:iCs/>
                <w:color w:val="000000"/>
                <w:sz w:val="17"/>
                <w:szCs w:val="17"/>
              </w:rPr>
              <w:t>z toho dívky</w:t>
            </w:r>
            <w:r w:rsidRPr="00651766">
              <w:rPr>
                <w:rFonts w:cs="Arial"/>
                <w:bCs/>
                <w:i/>
                <w:iCs/>
                <w:color w:val="000000"/>
                <w:sz w:val="17"/>
                <w:szCs w:val="17"/>
                <w:vertAlign w:val="superscript"/>
              </w:rPr>
              <w:t>*)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ABA86"/>
            <w:noWrap/>
            <w:vAlign w:val="center"/>
            <w:hideMark/>
          </w:tcPr>
          <w:p w14:paraId="0150A6B5" w14:textId="77777777" w:rsidR="00EC5218" w:rsidRPr="00651766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bCs/>
                <w:color w:val="000000"/>
                <w:sz w:val="17"/>
                <w:szCs w:val="17"/>
              </w:rPr>
            </w:pPr>
            <w:r w:rsidRPr="00651766">
              <w:rPr>
                <w:rFonts w:cs="Arial"/>
                <w:bCs/>
                <w:color w:val="000000"/>
                <w:sz w:val="17"/>
                <w:szCs w:val="17"/>
              </w:rPr>
              <w:t>celkem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A86"/>
            <w:vAlign w:val="center"/>
            <w:hideMark/>
          </w:tcPr>
          <w:p w14:paraId="0E181AE7" w14:textId="77777777" w:rsidR="00EC5218" w:rsidRPr="00651766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7"/>
                <w:szCs w:val="17"/>
              </w:rPr>
            </w:pPr>
            <w:r w:rsidRPr="00651766">
              <w:rPr>
                <w:rFonts w:cs="Arial"/>
                <w:bCs/>
                <w:i/>
                <w:iCs/>
                <w:color w:val="000000"/>
                <w:sz w:val="17"/>
                <w:szCs w:val="17"/>
              </w:rPr>
              <w:t>z toho dívky</w:t>
            </w:r>
            <w:r w:rsidRPr="00651766">
              <w:rPr>
                <w:rFonts w:cs="Arial"/>
                <w:bCs/>
                <w:i/>
                <w:iCs/>
                <w:color w:val="000000"/>
                <w:sz w:val="17"/>
                <w:szCs w:val="17"/>
                <w:vertAlign w:val="superscript"/>
              </w:rPr>
              <w:t>*)</w:t>
            </w:r>
          </w:p>
        </w:tc>
      </w:tr>
      <w:tr w:rsidR="00263D67" w:rsidRPr="003A78F5" w14:paraId="129DBCE6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64AF0" w14:textId="77777777" w:rsidR="00EC5218" w:rsidRPr="003A78F5" w:rsidRDefault="00EC5218" w:rsidP="00692076">
            <w:pPr>
              <w:keepNext/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A78F5">
              <w:rPr>
                <w:rFonts w:cs="Arial"/>
                <w:b/>
                <w:bCs/>
                <w:color w:val="000000"/>
                <w:sz w:val="16"/>
                <w:szCs w:val="16"/>
              </w:rPr>
              <w:t>počet žáků s postižením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BCC4" w14:textId="152AD1CE" w:rsidR="00EC5218" w:rsidRPr="003A78F5" w:rsidRDefault="00835473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19 160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9468" w14:textId="77777777" w:rsidR="00EC5218" w:rsidRPr="0060614A" w:rsidRDefault="00EC5218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0E29" w14:textId="77777777" w:rsidR="00EC5218" w:rsidRPr="0060614A" w:rsidRDefault="00EC5218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  <w:t>38,1%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ED19" w14:textId="4AF6AD12" w:rsidR="00EC5218" w:rsidRPr="003A78F5" w:rsidRDefault="00835473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22 316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A661" w14:textId="77777777" w:rsidR="00EC5218" w:rsidRPr="0060614A" w:rsidRDefault="00EC5218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BD053" w14:textId="38360F37" w:rsidR="00EC5218" w:rsidRPr="0060614A" w:rsidRDefault="00835473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  <w:t>36,3</w:t>
            </w:r>
            <w:r w:rsidR="00EC5218" w:rsidRPr="0060614A"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3C803" w14:textId="08573C23" w:rsidR="00EC5218" w:rsidRPr="003A78F5" w:rsidRDefault="00835473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b/>
                <w:bCs/>
                <w:color w:val="000000"/>
                <w:sz w:val="16"/>
                <w:szCs w:val="16"/>
              </w:rPr>
              <w:t>26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35473">
              <w:rPr>
                <w:rFonts w:cs="Arial"/>
                <w:b/>
                <w:bCs/>
                <w:color w:val="000000"/>
                <w:sz w:val="16"/>
                <w:szCs w:val="16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D5FC" w14:textId="77777777" w:rsidR="00EC5218" w:rsidRPr="0060614A" w:rsidRDefault="00EC5218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9F58B" w14:textId="77777777" w:rsidR="00EC5218" w:rsidRPr="0060614A" w:rsidRDefault="00EC5218" w:rsidP="00692076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b/>
                <w:bCs/>
                <w:i/>
                <w:color w:val="000000"/>
                <w:sz w:val="16"/>
                <w:szCs w:val="16"/>
              </w:rPr>
              <w:t>36,7%</w:t>
            </w:r>
          </w:p>
        </w:tc>
      </w:tr>
      <w:tr w:rsidR="00EC5218" w:rsidRPr="003A78F5" w14:paraId="47BB12EB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49081" w14:textId="77777777" w:rsidR="00EC5218" w:rsidRPr="003A78F5" w:rsidRDefault="00EC5218" w:rsidP="00692076">
            <w:pPr>
              <w:keepNext/>
              <w:spacing w:after="0" w:line="240" w:lineRule="auto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A78F5">
              <w:rPr>
                <w:rFonts w:cs="Arial"/>
                <w:i/>
                <w:iCs/>
                <w:color w:val="000000"/>
                <w:sz w:val="16"/>
                <w:szCs w:val="16"/>
              </w:rPr>
              <w:t>      dle druhu postižení: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8939B" w14:textId="77777777" w:rsidR="00EC5218" w:rsidRPr="0060614A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iCs/>
                <w:color w:val="000000"/>
                <w:sz w:val="16"/>
                <w:szCs w:val="16"/>
              </w:rPr>
              <w:t>v tom: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8CFB" w14:textId="77777777" w:rsidR="00EC5218" w:rsidRPr="0060614A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453B3" w14:textId="77777777" w:rsidR="00EC5218" w:rsidRPr="0060614A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iCs/>
                <w:color w:val="000000"/>
                <w:sz w:val="16"/>
                <w:szCs w:val="16"/>
              </w:rPr>
              <w:t>v tom: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BBDB1" w14:textId="77777777" w:rsidR="00EC5218" w:rsidRPr="0060614A" w:rsidRDefault="00EC5218" w:rsidP="00692076">
            <w:pPr>
              <w:keepNext/>
              <w:spacing w:after="0" w:line="240" w:lineRule="auto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8E39A" w14:textId="77777777" w:rsidR="00EC5218" w:rsidRPr="0060614A" w:rsidRDefault="00EC5218" w:rsidP="00692076">
            <w:pPr>
              <w:keepNext/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iCs/>
                <w:color w:val="000000"/>
                <w:sz w:val="16"/>
                <w:szCs w:val="16"/>
              </w:rPr>
              <w:t>v tom: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05C8C" w14:textId="77777777" w:rsidR="00EC5218" w:rsidRPr="0060614A" w:rsidRDefault="00EC5218" w:rsidP="00692076">
            <w:pPr>
              <w:keepNext/>
              <w:spacing w:after="0" w:line="240" w:lineRule="auto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color w:val="000000"/>
                <w:sz w:val="16"/>
                <w:szCs w:val="16"/>
              </w:rPr>
              <w:t> </w:t>
            </w:r>
          </w:p>
        </w:tc>
      </w:tr>
      <w:tr w:rsidR="00835473" w:rsidRPr="003A78F5" w14:paraId="33CDF099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ED193B7" w14:textId="39A4BB2C" w:rsidR="00835473" w:rsidRPr="00835473" w:rsidRDefault="00C24392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 závažnými </w:t>
            </w:r>
            <w:r w:rsidR="00835473" w:rsidRPr="00835473">
              <w:rPr>
                <w:sz w:val="16"/>
                <w:szCs w:val="16"/>
              </w:rPr>
              <w:t>vývojovými poruchami učení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C538" w14:textId="01227766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7 687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EB5B" w14:textId="2D9358E8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40,1%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DF31" w14:textId="3CC3D920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32,6%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5289" w14:textId="166CAC8E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10 749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35CC" w14:textId="6DAC0529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48,2%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DBFC1" w14:textId="70925332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32,1%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377E" w14:textId="6AD5B1FD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13 189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914C" w14:textId="0F40B652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49,0%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DF71C" w14:textId="414C7F27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35,8%</w:t>
            </w:r>
          </w:p>
        </w:tc>
      </w:tr>
      <w:tr w:rsidR="00835473" w:rsidRPr="003A78F5" w14:paraId="4B1E287A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E93E822" w14:textId="407D2F0E" w:rsidR="00835473" w:rsidRPr="00835473" w:rsidRDefault="0060614A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835473" w:rsidRPr="00835473">
              <w:rPr>
                <w:sz w:val="16"/>
                <w:szCs w:val="16"/>
              </w:rPr>
              <w:t>entálně</w:t>
            </w:r>
            <w:r w:rsidR="00C24392">
              <w:rPr>
                <w:sz w:val="16"/>
                <w:szCs w:val="16"/>
              </w:rPr>
              <w:t xml:space="preserve"> postižení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564B" w14:textId="39CF3764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8 012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2B20" w14:textId="4146E54D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41,8%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4716" w14:textId="3FE3BCBA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42,4%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F660" w14:textId="2C7CAC89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5 762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A37C" w14:textId="1DEDDE25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25,8%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28105" w14:textId="4ED32DDD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45,6%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86C4" w14:textId="3EE6AF1C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4 599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E0E7" w14:textId="32111AF2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17,1%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2AD46" w14:textId="359B1078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48,3%</w:t>
            </w:r>
          </w:p>
        </w:tc>
      </w:tr>
      <w:tr w:rsidR="00835473" w:rsidRPr="003A78F5" w14:paraId="10006AB3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F03A630" w14:textId="5F0CEE60" w:rsidR="00835473" w:rsidRPr="00835473" w:rsidRDefault="00C24392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 závažnými </w:t>
            </w:r>
            <w:r w:rsidR="00835473" w:rsidRPr="00835473">
              <w:rPr>
                <w:sz w:val="16"/>
                <w:szCs w:val="16"/>
              </w:rPr>
              <w:t>vývojovými poruchami chování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B5F6C" w14:textId="7E623ED7" w:rsidR="00835473" w:rsidRPr="00835473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380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7FDD" w14:textId="05663660" w:rsidR="00835473" w:rsidRPr="0060614A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2,0%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FBA8" w14:textId="127FCFC3" w:rsidR="00835473" w:rsidRPr="0060614A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34,2%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C229C" w14:textId="37CE783E" w:rsidR="00835473" w:rsidRPr="00835473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1016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BEEC" w14:textId="692029D4" w:rsidR="00835473" w:rsidRPr="0060614A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12E24" w14:textId="2E42974A" w:rsidR="00835473" w:rsidRPr="0060614A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28,1%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DCB7" w14:textId="3D4491A6" w:rsidR="00835473" w:rsidRPr="00835473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2 657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36D1" w14:textId="1B92B4ED" w:rsidR="00835473" w:rsidRPr="0060614A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9,9%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EBDB3" w14:textId="0B7599E1" w:rsidR="00835473" w:rsidRPr="0060614A" w:rsidRDefault="00835473" w:rsidP="00C24392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30,5%</w:t>
            </w:r>
          </w:p>
        </w:tc>
      </w:tr>
      <w:tr w:rsidR="00835473" w:rsidRPr="003A78F5" w14:paraId="2C2B78A2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B0A135D" w14:textId="7E8C376D" w:rsidR="00835473" w:rsidRPr="00835473" w:rsidRDefault="00C24392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 </w:t>
            </w:r>
            <w:r w:rsidR="00835473" w:rsidRPr="00835473">
              <w:rPr>
                <w:sz w:val="16"/>
                <w:szCs w:val="16"/>
              </w:rPr>
              <w:t>poruchami autistického spektra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DBC8" w14:textId="34D8B8CB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416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7162" w14:textId="761FF4B1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2,2%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37B65" w14:textId="05E15418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15,4%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8D69" w14:textId="7FCDF483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C612" w14:textId="7BF15C7B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3,5%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D661C" w14:textId="20A0DF09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15,9%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1FE5" w14:textId="78154154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1602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5C93" w14:textId="6756CBE1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6,0%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B38B7" w14:textId="55AE2034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16,5%</w:t>
            </w:r>
          </w:p>
        </w:tc>
      </w:tr>
      <w:tr w:rsidR="00835473" w:rsidRPr="003A78F5" w14:paraId="35863216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ABFA284" w14:textId="5BD7F11B" w:rsidR="00835473" w:rsidRPr="00835473" w:rsidRDefault="00C24392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 závažnými </w:t>
            </w:r>
            <w:r w:rsidR="00835473" w:rsidRPr="00835473">
              <w:rPr>
                <w:sz w:val="16"/>
                <w:szCs w:val="16"/>
              </w:rPr>
              <w:t>vadami řeči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6D42" w14:textId="2ABE04D0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4582" w14:textId="38276DC9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5F7A" w14:textId="7E3FD677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43,6%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773A" w14:textId="3C7CF442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281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D6D8" w14:textId="46F8F597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4F02B" w14:textId="49C9FAE0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29,9%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50FA" w14:textId="38060FEF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958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58DD" w14:textId="13DF69AD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3,6%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F1284" w14:textId="39961AB9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31,3%</w:t>
            </w:r>
          </w:p>
        </w:tc>
      </w:tr>
      <w:tr w:rsidR="00835473" w:rsidRPr="003A78F5" w14:paraId="41DACBE1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83C518D" w14:textId="6C78DDF6" w:rsidR="00835473" w:rsidRPr="00835473" w:rsidRDefault="00C24392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  <w:r w:rsidR="00835473" w:rsidRPr="00835473">
              <w:rPr>
                <w:sz w:val="16"/>
                <w:szCs w:val="16"/>
              </w:rPr>
              <w:t>ělesně</w:t>
            </w:r>
            <w:r>
              <w:rPr>
                <w:sz w:val="16"/>
                <w:szCs w:val="16"/>
              </w:rPr>
              <w:t xml:space="preserve"> postižení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8D14" w14:textId="56EBF6DD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716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FFAC" w14:textId="5CF6B9E6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3,7%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6474B" w14:textId="72D2893D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40,2%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F1F8" w14:textId="1A131F40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586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9C3F" w14:textId="0ACB40FF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AFF1E" w14:textId="740F00B9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40,4%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00C2" w14:textId="5B4C7B48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551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EAAC" w14:textId="1961E9B4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2,0%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673F1" w14:textId="691E17E5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47,7%</w:t>
            </w:r>
          </w:p>
        </w:tc>
      </w:tr>
      <w:tr w:rsidR="00835473" w:rsidRPr="003A78F5" w14:paraId="0A415A23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1CC3CCD" w14:textId="47AB4BB7" w:rsidR="00835473" w:rsidRPr="00835473" w:rsidRDefault="00C24392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835473" w:rsidRPr="00835473">
              <w:rPr>
                <w:sz w:val="16"/>
                <w:szCs w:val="16"/>
              </w:rPr>
              <w:t>luchově</w:t>
            </w:r>
            <w:r>
              <w:rPr>
                <w:sz w:val="16"/>
                <w:szCs w:val="16"/>
              </w:rPr>
              <w:t xml:space="preserve"> postižení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3195" w14:textId="4F1A3165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486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E1F1" w14:textId="2E6D6D8B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2,5%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CFF6" w14:textId="094C6266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45,5%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0269" w14:textId="7BB62CA0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443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3B4F" w14:textId="54F31741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2,0%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6EBEA" w14:textId="37CE5B56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48,3%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3BE9" w14:textId="63C2052C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465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41F2" w14:textId="69078EB3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1,7%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6B4C2" w14:textId="698BB4C2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51,4%</w:t>
            </w:r>
          </w:p>
        </w:tc>
      </w:tr>
      <w:tr w:rsidR="00835473" w:rsidRPr="003A78F5" w14:paraId="2AF60187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82B9429" w14:textId="5246AFC9" w:rsidR="00835473" w:rsidRPr="00835473" w:rsidRDefault="00C24392" w:rsidP="0083547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  <w:r w:rsidR="00835473" w:rsidRPr="00835473">
              <w:rPr>
                <w:sz w:val="16"/>
                <w:szCs w:val="16"/>
              </w:rPr>
              <w:t>rakově</w:t>
            </w:r>
            <w:r>
              <w:rPr>
                <w:sz w:val="16"/>
                <w:szCs w:val="16"/>
              </w:rPr>
              <w:t xml:space="preserve"> postižení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9927" w14:textId="1D7F6BED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267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1FBF" w14:textId="04CA429C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1,4%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AD2A" w14:textId="697CE2CB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41,6%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08BE" w14:textId="65A50ED0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293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0476" w14:textId="23F37704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D1FD9" w14:textId="54C31244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42,3%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A0C6" w14:textId="22E66959" w:rsidR="00835473" w:rsidRPr="00835473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306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96B6" w14:textId="5B6DB317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1,1%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9823C" w14:textId="049EDAAF" w:rsidR="00835473" w:rsidRPr="0060614A" w:rsidRDefault="00835473" w:rsidP="00835473">
            <w:pPr>
              <w:keepNext/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48,0%</w:t>
            </w:r>
          </w:p>
        </w:tc>
      </w:tr>
      <w:tr w:rsidR="00835473" w:rsidRPr="003A78F5" w14:paraId="1990F620" w14:textId="77777777" w:rsidTr="0060614A">
        <w:trPr>
          <w:gridAfter w:val="1"/>
          <w:wAfter w:w="6" w:type="dxa"/>
          <w:trHeight w:val="364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A567B1" w14:textId="0555D5C4" w:rsidR="00835473" w:rsidRPr="00835473" w:rsidRDefault="00C24392" w:rsidP="0083547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postižení </w:t>
            </w:r>
            <w:r w:rsidR="00835473" w:rsidRPr="00835473">
              <w:rPr>
                <w:sz w:val="16"/>
                <w:szCs w:val="16"/>
              </w:rPr>
              <w:t>více vadami1)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7CE5C" w14:textId="3339DE51" w:rsidR="00835473" w:rsidRPr="00835473" w:rsidRDefault="00835473" w:rsidP="00835473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1102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9030" w14:textId="241E0B74" w:rsidR="00835473" w:rsidRPr="0060614A" w:rsidRDefault="00835473" w:rsidP="00835473">
            <w:pPr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5,8%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C6983" w14:textId="0E0E807B" w:rsidR="00835473" w:rsidRPr="0060614A" w:rsidRDefault="00835473" w:rsidP="00835473">
            <w:pPr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40,7%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8ABE4" w14:textId="24606F8F" w:rsidR="00835473" w:rsidRPr="00835473" w:rsidRDefault="00835473" w:rsidP="00835473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2406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39D8" w14:textId="2EB194B2" w:rsidR="00835473" w:rsidRPr="0060614A" w:rsidRDefault="00835473" w:rsidP="00835473">
            <w:pPr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10,8%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30283" w14:textId="5E2D38A2" w:rsidR="00835473" w:rsidRPr="0060614A" w:rsidRDefault="00835473" w:rsidP="00835473">
            <w:pPr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39,6%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43CC7" w14:textId="2DD1456E" w:rsidR="00835473" w:rsidRPr="00835473" w:rsidRDefault="00835473" w:rsidP="00835473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35473">
              <w:rPr>
                <w:rFonts w:cs="Arial"/>
                <w:sz w:val="16"/>
                <w:szCs w:val="16"/>
              </w:rPr>
              <w:t>2583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41F6" w14:textId="32A6C7C3" w:rsidR="00835473" w:rsidRPr="0060614A" w:rsidRDefault="00835473" w:rsidP="00835473">
            <w:pPr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9,6%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B3F88" w14:textId="4BA1D7B0" w:rsidR="00835473" w:rsidRPr="0060614A" w:rsidRDefault="00835473" w:rsidP="00835473">
            <w:pPr>
              <w:spacing w:after="0" w:line="240" w:lineRule="auto"/>
              <w:jc w:val="right"/>
              <w:rPr>
                <w:rFonts w:cs="Arial"/>
                <w:i/>
                <w:color w:val="000000"/>
                <w:sz w:val="16"/>
                <w:szCs w:val="16"/>
              </w:rPr>
            </w:pPr>
            <w:r w:rsidRPr="0060614A">
              <w:rPr>
                <w:rFonts w:cs="Arial"/>
                <w:i/>
                <w:sz w:val="16"/>
                <w:szCs w:val="16"/>
              </w:rPr>
              <w:t>35,2%</w:t>
            </w:r>
          </w:p>
        </w:tc>
      </w:tr>
    </w:tbl>
    <w:p w14:paraId="5A006A06" w14:textId="77777777" w:rsidR="004F1EBD" w:rsidRPr="004F1EBD" w:rsidRDefault="001D69DC" w:rsidP="00233DA6">
      <w:pPr>
        <w:keepNext/>
        <w:spacing w:before="120" w:after="0" w:line="240" w:lineRule="auto"/>
        <w:jc w:val="both"/>
        <w:rPr>
          <w:sz w:val="16"/>
          <w:szCs w:val="16"/>
        </w:rPr>
      </w:pPr>
      <w:r w:rsidRPr="004F1EBD">
        <w:rPr>
          <w:sz w:val="16"/>
          <w:szCs w:val="16"/>
          <w:vertAlign w:val="superscript"/>
        </w:rPr>
        <w:t>*)</w:t>
      </w:r>
      <w:r w:rsidRPr="004F1EBD">
        <w:rPr>
          <w:sz w:val="16"/>
          <w:szCs w:val="16"/>
        </w:rPr>
        <w:t xml:space="preserve"> podíl dívek z celkového počtu žáků s postižením a ze žáků s jednotlivými druhy postižení</w:t>
      </w:r>
    </w:p>
    <w:p w14:paraId="5D736CEB" w14:textId="6CB955F3" w:rsidR="001D69DC" w:rsidRPr="00233DA6" w:rsidRDefault="004F1EBD" w:rsidP="00233DA6">
      <w:pPr>
        <w:spacing w:before="120" w:after="0"/>
        <w:jc w:val="both"/>
        <w:rPr>
          <w:rFonts w:cs="Arial"/>
          <w:sz w:val="16"/>
          <w:szCs w:val="16"/>
        </w:rPr>
      </w:pPr>
      <w:r w:rsidRPr="00907168">
        <w:rPr>
          <w:rFonts w:cs="Arial"/>
          <w:sz w:val="16"/>
          <w:szCs w:val="16"/>
          <w:vertAlign w:val="superscript"/>
        </w:rPr>
        <w:t>1)</w:t>
      </w:r>
      <w:r w:rsidR="0060614A">
        <w:rPr>
          <w:rFonts w:cs="Arial"/>
          <w:sz w:val="16"/>
          <w:szCs w:val="16"/>
        </w:rPr>
        <w:t xml:space="preserve"> za postiženého více vadami </w:t>
      </w:r>
      <w:r w:rsidRPr="00907168">
        <w:rPr>
          <w:rFonts w:cs="Arial"/>
          <w:sz w:val="16"/>
          <w:szCs w:val="16"/>
        </w:rPr>
        <w:t>po</w:t>
      </w:r>
      <w:r w:rsidR="0060614A">
        <w:rPr>
          <w:rFonts w:cs="Arial"/>
          <w:sz w:val="16"/>
          <w:szCs w:val="16"/>
        </w:rPr>
        <w:t>važujeme žáka</w:t>
      </w:r>
      <w:r w:rsidRPr="00907168">
        <w:rPr>
          <w:rFonts w:cs="Arial"/>
          <w:sz w:val="16"/>
          <w:szCs w:val="16"/>
        </w:rPr>
        <w:t xml:space="preserve"> se dvěma nebo více druhy postižení, ze kterých by každé opravňovalo k poskytování podpůrných opatř</w:t>
      </w:r>
      <w:r w:rsidR="00233DA6">
        <w:rPr>
          <w:rFonts w:cs="Arial"/>
          <w:sz w:val="16"/>
          <w:szCs w:val="16"/>
        </w:rPr>
        <w:t>ení ve vyšších stupních podpory</w:t>
      </w:r>
    </w:p>
    <w:p w14:paraId="476C1B0D" w14:textId="0709E22D" w:rsidR="001D69DC" w:rsidRPr="00EE7EAD" w:rsidRDefault="001D69DC" w:rsidP="004A2C68">
      <w:pPr>
        <w:spacing w:after="120" w:line="276" w:lineRule="auto"/>
        <w:jc w:val="right"/>
        <w:rPr>
          <w:rFonts w:asciiTheme="minorHAnsi" w:hAnsiTheme="minorHAnsi"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5F6A8E17" w14:textId="08D7D361" w:rsidR="006A3A1C" w:rsidRDefault="006A3A1C" w:rsidP="006A3A1C">
      <w:pPr>
        <w:spacing w:after="120"/>
        <w:jc w:val="both"/>
      </w:pPr>
      <w:r w:rsidRPr="004A5668">
        <w:t>Jak</w:t>
      </w:r>
      <w:r w:rsidR="00DC16DD">
        <w:t xml:space="preserve"> </w:t>
      </w:r>
      <w:r w:rsidR="00835473">
        <w:t>je patrné, ve školním roce 2022/23</w:t>
      </w:r>
      <w:r w:rsidRPr="004A5668">
        <w:t xml:space="preserve"> zaujímali žáci se závažnými </w:t>
      </w:r>
      <w:r w:rsidR="00CB0332">
        <w:t xml:space="preserve">vývojovými </w:t>
      </w:r>
      <w:r w:rsidRPr="004A5668">
        <w:t>poruchami učení polovinu všech ž</w:t>
      </w:r>
      <w:r w:rsidR="002E5F37">
        <w:t>áků s postižením (49 %). Ve školním roce 2012/13</w:t>
      </w:r>
      <w:r w:rsidRPr="004A5668">
        <w:t xml:space="preserve"> tvořili oproti tomu žáci s tímto postižením jen </w:t>
      </w:r>
      <w:r w:rsidR="004B11C6">
        <w:t>dvě pětiny (</w:t>
      </w:r>
      <w:r w:rsidR="002E5F37">
        <w:t>40,1</w:t>
      </w:r>
      <w:r w:rsidR="00DC16DD">
        <w:t> %</w:t>
      </w:r>
      <w:r w:rsidR="004B11C6">
        <w:t>)</w:t>
      </w:r>
      <w:r w:rsidR="002E5F37">
        <w:t xml:space="preserve">. Obdobně ve školním roce 2012/13 </w:t>
      </w:r>
      <w:r w:rsidR="002E5F37" w:rsidRPr="004A5668">
        <w:t>byl</w:t>
      </w:r>
      <w:r w:rsidR="002E5F37">
        <w:t>a</w:t>
      </w:r>
      <w:r w:rsidR="002E5F37" w:rsidRPr="004A5668">
        <w:t xml:space="preserve"> </w:t>
      </w:r>
      <w:r w:rsidR="002E5F37">
        <w:t xml:space="preserve">ve středních školách zaznamenána jen 2 % žáků </w:t>
      </w:r>
      <w:r w:rsidR="002E5F37" w:rsidRPr="004A5668">
        <w:t>s diagnostikovanou závažnou poruchou chování</w:t>
      </w:r>
      <w:r w:rsidR="002E5F37">
        <w:t xml:space="preserve"> ze všech žáků s postižením</w:t>
      </w:r>
      <w:r w:rsidR="002E5F37" w:rsidRPr="004A5668">
        <w:t>, ve školním roce 2</w:t>
      </w:r>
      <w:r w:rsidR="002E5F37">
        <w:t xml:space="preserve">022/23 jich však byla již desetina. Naopak, ve školním roce </w:t>
      </w:r>
      <w:r w:rsidR="005F4803">
        <w:t>2012/13 měly více než dvě pětiny</w:t>
      </w:r>
      <w:r w:rsidR="002E5F37">
        <w:t xml:space="preserve"> </w:t>
      </w:r>
      <w:r w:rsidRPr="004A5668">
        <w:t>žáků s postižením diagnózu spadající do kategorie mentálního pos</w:t>
      </w:r>
      <w:r w:rsidR="00DC16DD">
        <w:t>tižení</w:t>
      </w:r>
      <w:r w:rsidR="002E5F37">
        <w:t xml:space="preserve"> (41,8 %)</w:t>
      </w:r>
      <w:r w:rsidRPr="004A5668">
        <w:t xml:space="preserve">. Jak tomu bylo u základních škol, i u středních škol </w:t>
      </w:r>
      <w:r w:rsidR="007565CF">
        <w:t xml:space="preserve">měl </w:t>
      </w:r>
      <w:r w:rsidRPr="004A5668">
        <w:t xml:space="preserve">tento podíl v čase </w:t>
      </w:r>
      <w:r w:rsidR="007565CF">
        <w:t>tendenci klesat</w:t>
      </w:r>
      <w:r w:rsidR="002E5F37">
        <w:t xml:space="preserve"> a ve školním roce 2023/23 činil 17,1 %</w:t>
      </w:r>
      <w:r w:rsidRPr="004A5668">
        <w:t xml:space="preserve">. </w:t>
      </w:r>
      <w:r w:rsidR="002E5F37">
        <w:t>Vedle žáků se závažnými vývojovými poruchami</w:t>
      </w:r>
      <w:r w:rsidRPr="004A5668">
        <w:t xml:space="preserve"> se </w:t>
      </w:r>
      <w:r w:rsidR="007565CF">
        <w:t xml:space="preserve">za posledních 10 let </w:t>
      </w:r>
      <w:r w:rsidRPr="004A5668">
        <w:t>zvýšil podíl</w:t>
      </w:r>
      <w:r w:rsidR="002E5F37">
        <w:t>, jaký ze žáků s postižením tvoří žáci</w:t>
      </w:r>
      <w:r w:rsidRPr="004A5668">
        <w:t xml:space="preserve"> s diagnostikovanou poru</w:t>
      </w:r>
      <w:r w:rsidR="00DC16DD">
        <w:t>chou autistického spektra (</w:t>
      </w:r>
      <w:proofErr w:type="gramStart"/>
      <w:r w:rsidR="00DC16DD">
        <w:t>z</w:t>
      </w:r>
      <w:r w:rsidR="002E5F37">
        <w:t>e</w:t>
      </w:r>
      <w:proofErr w:type="gramEnd"/>
      <w:r w:rsidR="00DC16DD">
        <w:t xml:space="preserve"> </w:t>
      </w:r>
      <w:r w:rsidR="002E5F37">
        <w:t>2</w:t>
      </w:r>
      <w:r w:rsidR="007565CF">
        <w:t>,2 % na 6 %) a s va</w:t>
      </w:r>
      <w:r w:rsidR="002E5F37">
        <w:t>dami řeči (z 0,5 % na 3,6</w:t>
      </w:r>
      <w:r w:rsidR="00DC16DD">
        <w:t> %).</w:t>
      </w:r>
    </w:p>
    <w:p w14:paraId="73D1A124" w14:textId="6570C6A9" w:rsidR="002220EC" w:rsidRPr="002220EC" w:rsidRDefault="002220EC" w:rsidP="00FA7769">
      <w:pPr>
        <w:spacing w:after="120"/>
        <w:jc w:val="both"/>
        <w:rPr>
          <w:rFonts w:cs="Arial"/>
          <w:szCs w:val="20"/>
        </w:rPr>
      </w:pPr>
      <w:r w:rsidRPr="00967556">
        <w:rPr>
          <w:rFonts w:cs="Arial"/>
          <w:szCs w:val="20"/>
        </w:rPr>
        <w:t>Nutno poznamenat, že vlivem metodických změn souvisejících s přijetím „inkluzivní novely“ školského zákona</w:t>
      </w:r>
      <w:r w:rsidRPr="00D105FB">
        <w:t xml:space="preserve"> </w:t>
      </w:r>
      <w:r w:rsidRPr="00967556">
        <w:rPr>
          <w:rFonts w:cs="Arial"/>
          <w:szCs w:val="20"/>
        </w:rPr>
        <w:t xml:space="preserve">roku 2016 je statistika vykazovaných zdravotních postižení či znevýhodnění od roku 2016/17 hůře srovnatelná se staršími údaji. </w:t>
      </w:r>
    </w:p>
    <w:p w14:paraId="336442AD" w14:textId="28999B91" w:rsidR="00FA7769" w:rsidRPr="004A5668" w:rsidRDefault="002220EC" w:rsidP="00FA7769">
      <w:pPr>
        <w:spacing w:after="120"/>
        <w:jc w:val="both"/>
      </w:pPr>
      <w:r>
        <w:t xml:space="preserve">V tabulce </w:t>
      </w:r>
      <w:r w:rsidR="00FA7769" w:rsidRPr="004A5668">
        <w:t xml:space="preserve">3.2 </w:t>
      </w:r>
      <w:r w:rsidR="000050C6">
        <w:t xml:space="preserve">výše </w:t>
      </w:r>
      <w:r w:rsidR="00FA7769" w:rsidRPr="004A5668">
        <w:t>je také uveden podíl dívek ze všech žáků středních škol se zdravotním po</w:t>
      </w:r>
      <w:r w:rsidR="007565CF">
        <w:t>stižením v</w:t>
      </w:r>
      <w:r w:rsidR="0060614A">
        <w:t>e školních rocích 2012/13 a 2017/18</w:t>
      </w:r>
      <w:r w:rsidR="00FA7769" w:rsidRPr="004A5668">
        <w:t xml:space="preserve"> a dále podíl dívek ze žáků s postižením konkrétního druhu. Zde je patrné, že častěji než dívky mívají potvrzenou diagnózu chlapci. Ti tvořili </w:t>
      </w:r>
      <w:r w:rsidR="0060614A">
        <w:t>61,9</w:t>
      </w:r>
      <w:r w:rsidR="00DC16DD">
        <w:t> %</w:t>
      </w:r>
      <w:r w:rsidR="00FA7769" w:rsidRPr="004A5668">
        <w:t xml:space="preserve"> všech </w:t>
      </w:r>
      <w:r w:rsidR="0060614A">
        <w:t>postižených ve školním roce 2012/13</w:t>
      </w:r>
      <w:r w:rsidR="00FA7769" w:rsidRPr="004A5668">
        <w:t xml:space="preserve"> a </w:t>
      </w:r>
      <w:r w:rsidR="007565CF">
        <w:t>63,3</w:t>
      </w:r>
      <w:r w:rsidR="00DC16DD">
        <w:t> %</w:t>
      </w:r>
      <w:r w:rsidR="00FA7769" w:rsidRPr="004A5668">
        <w:t xml:space="preserve"> všech </w:t>
      </w:r>
      <w:r w:rsidR="00235E86">
        <w:t>postižených ve školním roce 2022/23</w:t>
      </w:r>
      <w:r w:rsidR="00FA7769" w:rsidRPr="004A5668">
        <w:t>. Výrazné rozdíly mezi chlapci a dívkami jsou přitom zejmé</w:t>
      </w:r>
      <w:r w:rsidR="00DF4FB7">
        <w:t>na v četnosti postižení poruchami autistického spektra</w:t>
      </w:r>
      <w:r w:rsidR="00FA7769" w:rsidRPr="004A5668">
        <w:t xml:space="preserve"> (</w:t>
      </w:r>
      <w:r w:rsidR="00086A75">
        <w:t xml:space="preserve">ve školním </w:t>
      </w:r>
      <w:r w:rsidR="00235E86">
        <w:t>roce 2022/23</w:t>
      </w:r>
      <w:r w:rsidR="00CB0332">
        <w:t xml:space="preserve"> tvořily dívky </w:t>
      </w:r>
      <w:r w:rsidR="00FA7769" w:rsidRPr="004A5668">
        <w:t xml:space="preserve">jen </w:t>
      </w:r>
      <w:r w:rsidR="00235E86">
        <w:t>16,5</w:t>
      </w:r>
      <w:r w:rsidR="00CB0332">
        <w:t xml:space="preserve"> % </w:t>
      </w:r>
      <w:r w:rsidR="00235E86">
        <w:t xml:space="preserve">takto </w:t>
      </w:r>
      <w:r w:rsidR="00CB0332">
        <w:t>postižených</w:t>
      </w:r>
      <w:r w:rsidR="00FA7769" w:rsidRPr="004A5668">
        <w:t>),</w:t>
      </w:r>
      <w:r w:rsidR="00235E86">
        <w:t xml:space="preserve"> v četnosti</w:t>
      </w:r>
      <w:r w:rsidR="00FA7769" w:rsidRPr="004A5668">
        <w:t xml:space="preserve"> </w:t>
      </w:r>
      <w:r w:rsidR="00235E86" w:rsidRPr="004A5668">
        <w:t xml:space="preserve">závažných </w:t>
      </w:r>
      <w:r w:rsidR="00235E86">
        <w:t>vývojových poruch chování (s 30,5</w:t>
      </w:r>
      <w:r w:rsidR="00235E86" w:rsidRPr="004A5668">
        <w:t>% podílem dívek)</w:t>
      </w:r>
      <w:r w:rsidR="00235E86">
        <w:t>,</w:t>
      </w:r>
      <w:r w:rsidR="00FA7769" w:rsidRPr="004A5668">
        <w:t xml:space="preserve"> závažných </w:t>
      </w:r>
      <w:r w:rsidR="00CB0332">
        <w:t>vad</w:t>
      </w:r>
      <w:r w:rsidR="00235E86">
        <w:t xml:space="preserve"> řeči (s 31,3</w:t>
      </w:r>
      <w:r w:rsidR="00FA7769" w:rsidRPr="004A5668">
        <w:t xml:space="preserve">% podílem dívek), a závažných </w:t>
      </w:r>
      <w:r w:rsidR="00CB0332">
        <w:t xml:space="preserve">vývojových </w:t>
      </w:r>
      <w:r w:rsidR="00FA7769" w:rsidRPr="004A5668">
        <w:t xml:space="preserve">poruch učení (s </w:t>
      </w:r>
      <w:r w:rsidR="00235E86">
        <w:t>35,8</w:t>
      </w:r>
      <w:r w:rsidR="00086A75">
        <w:t>%</w:t>
      </w:r>
      <w:r w:rsidR="00FA7769" w:rsidRPr="004A5668">
        <w:t xml:space="preserve"> podílem dívek). Oproti tomu mezi žáky s mentálním</w:t>
      </w:r>
      <w:r w:rsidR="00D92018">
        <w:t>, sluchovým</w:t>
      </w:r>
      <w:r w:rsidR="00086A75">
        <w:t>, zrakovým</w:t>
      </w:r>
      <w:r w:rsidR="00D92018">
        <w:t xml:space="preserve"> a tělesným</w:t>
      </w:r>
      <w:r w:rsidR="00FA7769" w:rsidRPr="004A5668">
        <w:t xml:space="preserve"> </w:t>
      </w:r>
      <w:r w:rsidR="00D92018" w:rsidRPr="004A5668">
        <w:t xml:space="preserve">postižením </w:t>
      </w:r>
      <w:r w:rsidR="00FA7769" w:rsidRPr="004A5668">
        <w:t>byl ve středních školách podíl dívek a chlapců</w:t>
      </w:r>
      <w:r w:rsidR="003D002C">
        <w:t xml:space="preserve"> poměrně</w:t>
      </w:r>
      <w:r w:rsidR="00FA7769" w:rsidRPr="004A5668">
        <w:t xml:space="preserve"> vyrovnaný.</w:t>
      </w:r>
      <w:r w:rsidR="00FA7769" w:rsidRPr="004A5668">
        <w:rPr>
          <w:rStyle w:val="Znakapoznpodarou"/>
        </w:rPr>
        <w:footnoteReference w:id="13"/>
      </w:r>
    </w:p>
    <w:p w14:paraId="08D76D88" w14:textId="0D335877" w:rsidR="00FA7769" w:rsidRPr="005E552D" w:rsidRDefault="004F77D6" w:rsidP="00386026">
      <w:pPr>
        <w:pStyle w:val="Nadpis2"/>
      </w:pPr>
      <w:bookmarkStart w:id="9" w:name="_Toc142547542"/>
      <w:r>
        <w:lastRenderedPageBreak/>
        <w:t>3</w:t>
      </w:r>
      <w:r w:rsidR="00FA7769" w:rsidRPr="005D213D">
        <w:t>.4 Žáci středních škol dle státní příslušnosti</w:t>
      </w:r>
      <w:bookmarkEnd w:id="9"/>
    </w:p>
    <w:p w14:paraId="4B91A14B" w14:textId="3B02275E" w:rsidR="00FA7769" w:rsidRPr="004A5668" w:rsidRDefault="00FA7769" w:rsidP="00161404">
      <w:pPr>
        <w:spacing w:before="120" w:after="120"/>
        <w:jc w:val="both"/>
        <w:rPr>
          <w:rFonts w:cs="Arial"/>
          <w:szCs w:val="20"/>
        </w:rPr>
      </w:pPr>
      <w:r w:rsidRPr="004A5668">
        <w:rPr>
          <w:rFonts w:cs="Arial"/>
          <w:szCs w:val="20"/>
        </w:rPr>
        <w:t>Do středních ško</w:t>
      </w:r>
      <w:r w:rsidR="003C29D4">
        <w:rPr>
          <w:rFonts w:cs="Arial"/>
          <w:szCs w:val="20"/>
        </w:rPr>
        <w:t xml:space="preserve">l docházelo ve školním </w:t>
      </w:r>
      <w:r w:rsidR="002A074E">
        <w:rPr>
          <w:rFonts w:cs="Arial"/>
          <w:szCs w:val="20"/>
        </w:rPr>
        <w:t>roce 2022/23</w:t>
      </w:r>
      <w:r w:rsidRPr="004A5668">
        <w:rPr>
          <w:rFonts w:cs="Arial"/>
          <w:szCs w:val="20"/>
        </w:rPr>
        <w:t xml:space="preserve"> celkem </w:t>
      </w:r>
      <w:r w:rsidR="002A074E" w:rsidRPr="002A074E">
        <w:rPr>
          <w:rFonts w:cs="Arial"/>
          <w:szCs w:val="20"/>
        </w:rPr>
        <w:t>14</w:t>
      </w:r>
      <w:r w:rsidR="002A074E">
        <w:rPr>
          <w:rFonts w:cs="Arial"/>
          <w:szCs w:val="20"/>
        </w:rPr>
        <w:t> </w:t>
      </w:r>
      <w:r w:rsidR="002A074E" w:rsidRPr="002A074E">
        <w:rPr>
          <w:rFonts w:cs="Arial"/>
          <w:szCs w:val="20"/>
        </w:rPr>
        <w:t>128</w:t>
      </w:r>
      <w:r w:rsidR="002A074E">
        <w:rPr>
          <w:rFonts w:cs="Arial"/>
          <w:szCs w:val="20"/>
        </w:rPr>
        <w:t xml:space="preserve"> </w:t>
      </w:r>
      <w:r w:rsidRPr="004A5668">
        <w:rPr>
          <w:rFonts w:cs="Arial"/>
          <w:szCs w:val="20"/>
        </w:rPr>
        <w:t>žáků s jiným než č</w:t>
      </w:r>
      <w:r w:rsidR="003C29D4">
        <w:rPr>
          <w:rFonts w:cs="Arial"/>
          <w:szCs w:val="20"/>
        </w:rPr>
        <w:t>eským st</w:t>
      </w:r>
      <w:r w:rsidR="002A074E">
        <w:rPr>
          <w:rFonts w:cs="Arial"/>
          <w:szCs w:val="20"/>
        </w:rPr>
        <w:t xml:space="preserve">átním občanstvím, což je </w:t>
      </w:r>
      <w:r w:rsidR="003C29D4">
        <w:rPr>
          <w:rFonts w:cs="Arial"/>
          <w:szCs w:val="20"/>
        </w:rPr>
        <w:t>3</w:t>
      </w:r>
      <w:r w:rsidR="002A074E">
        <w:rPr>
          <w:rFonts w:cs="Arial"/>
          <w:szCs w:val="20"/>
        </w:rPr>
        <w:t>,1</w:t>
      </w:r>
      <w:r w:rsidRPr="004A5668">
        <w:rPr>
          <w:rFonts w:cs="Arial"/>
          <w:szCs w:val="20"/>
        </w:rPr>
        <w:t> % ze všech žáků středních škol</w:t>
      </w:r>
      <w:r w:rsidR="002A074E">
        <w:rPr>
          <w:rFonts w:cs="Arial"/>
          <w:szCs w:val="20"/>
        </w:rPr>
        <w:t xml:space="preserve"> a zároveň nejvyšší </w:t>
      </w:r>
      <w:r w:rsidR="00E725AB">
        <w:rPr>
          <w:rFonts w:cs="Arial"/>
          <w:szCs w:val="20"/>
        </w:rPr>
        <w:t>po</w:t>
      </w:r>
      <w:r w:rsidR="002A074E">
        <w:rPr>
          <w:rFonts w:cs="Arial"/>
          <w:szCs w:val="20"/>
        </w:rPr>
        <w:t xml:space="preserve">díl za uplynulých deset let  - v předešlých devíti letech se tento podíl postupně </w:t>
      </w:r>
      <w:proofErr w:type="gramStart"/>
      <w:r w:rsidR="002A074E">
        <w:rPr>
          <w:rFonts w:cs="Arial"/>
          <w:szCs w:val="20"/>
        </w:rPr>
        <w:t>zvyšoval z 1,9</w:t>
      </w:r>
      <w:proofErr w:type="gramEnd"/>
      <w:r w:rsidR="002A074E">
        <w:rPr>
          <w:rFonts w:cs="Arial"/>
          <w:szCs w:val="20"/>
        </w:rPr>
        <w:t xml:space="preserve"> % </w:t>
      </w:r>
      <w:r w:rsidR="0060614A">
        <w:rPr>
          <w:rFonts w:cs="Arial"/>
          <w:szCs w:val="20"/>
        </w:rPr>
        <w:t>n</w:t>
      </w:r>
      <w:r w:rsidR="002A074E">
        <w:rPr>
          <w:rFonts w:cs="Arial"/>
          <w:szCs w:val="20"/>
        </w:rPr>
        <w:t>a 2,3 %</w:t>
      </w:r>
      <w:r w:rsidRPr="004A5668">
        <w:rPr>
          <w:rFonts w:cs="Arial"/>
          <w:szCs w:val="20"/>
        </w:rPr>
        <w:t>.</w:t>
      </w:r>
      <w:r w:rsidR="002A074E">
        <w:rPr>
          <w:rFonts w:cs="Arial"/>
          <w:szCs w:val="20"/>
        </w:rPr>
        <w:t xml:space="preserve"> </w:t>
      </w:r>
      <w:r w:rsidRPr="004A5668">
        <w:rPr>
          <w:rFonts w:cs="Arial"/>
          <w:szCs w:val="20"/>
        </w:rPr>
        <w:t xml:space="preserve"> </w:t>
      </w:r>
      <w:r w:rsidRPr="004A5668">
        <w:rPr>
          <w:rFonts w:cs="Arial"/>
          <w:b/>
          <w:szCs w:val="20"/>
        </w:rPr>
        <w:t>Ze všech krajů</w:t>
      </w:r>
      <w:r w:rsidRPr="004A5668">
        <w:rPr>
          <w:rFonts w:cs="Arial"/>
          <w:szCs w:val="20"/>
        </w:rPr>
        <w:t xml:space="preserve"> byl podíl cizinců </w:t>
      </w:r>
      <w:r w:rsidR="008F560C">
        <w:rPr>
          <w:rFonts w:cs="Arial"/>
          <w:szCs w:val="20"/>
        </w:rPr>
        <w:t xml:space="preserve">mezi žáky </w:t>
      </w:r>
      <w:r w:rsidR="00E725AB">
        <w:rPr>
          <w:rFonts w:cs="Arial"/>
          <w:szCs w:val="20"/>
        </w:rPr>
        <w:t>tradičně nejvyšší v Praze (6,3</w:t>
      </w:r>
      <w:r w:rsidRPr="004A5668">
        <w:rPr>
          <w:rFonts w:cs="Arial"/>
          <w:szCs w:val="20"/>
        </w:rPr>
        <w:t xml:space="preserve"> %), </w:t>
      </w:r>
      <w:r w:rsidR="00E725AB">
        <w:rPr>
          <w:rFonts w:cs="Arial"/>
          <w:szCs w:val="20"/>
        </w:rPr>
        <w:t>dále v kraji Karlovarském (5,2</w:t>
      </w:r>
      <w:r w:rsidR="003C29D4">
        <w:rPr>
          <w:rFonts w:cs="Arial"/>
          <w:szCs w:val="20"/>
        </w:rPr>
        <w:t> %</w:t>
      </w:r>
      <w:r w:rsidR="00E725AB">
        <w:rPr>
          <w:rFonts w:cs="Arial"/>
          <w:szCs w:val="20"/>
        </w:rPr>
        <w:t>) a Plzeňském (4,3</w:t>
      </w:r>
      <w:r w:rsidRPr="004A5668">
        <w:rPr>
          <w:rFonts w:cs="Arial"/>
          <w:szCs w:val="20"/>
        </w:rPr>
        <w:t xml:space="preserve"> %). Naopak v kraji </w:t>
      </w:r>
      <w:r w:rsidR="00017D11">
        <w:rPr>
          <w:rFonts w:cs="Arial"/>
          <w:szCs w:val="20"/>
        </w:rPr>
        <w:t>Olomouckém</w:t>
      </w:r>
      <w:r w:rsidR="00E725AB">
        <w:rPr>
          <w:rFonts w:cs="Arial"/>
          <w:szCs w:val="20"/>
        </w:rPr>
        <w:t xml:space="preserve">, </w:t>
      </w:r>
      <w:r w:rsidR="00E725AB" w:rsidRPr="004A5668">
        <w:rPr>
          <w:rFonts w:cs="Arial"/>
          <w:szCs w:val="20"/>
        </w:rPr>
        <w:t>Moravskoslezském</w:t>
      </w:r>
      <w:r w:rsidR="00E725AB">
        <w:rPr>
          <w:rFonts w:cs="Arial"/>
          <w:szCs w:val="20"/>
        </w:rPr>
        <w:t>, Zlínském</w:t>
      </w:r>
      <w:r w:rsidRPr="004A5668">
        <w:rPr>
          <w:rFonts w:cs="Arial"/>
          <w:szCs w:val="20"/>
        </w:rPr>
        <w:t xml:space="preserve"> a na Vysočině </w:t>
      </w:r>
      <w:r w:rsidR="00E725AB">
        <w:rPr>
          <w:rFonts w:cs="Arial"/>
          <w:szCs w:val="20"/>
        </w:rPr>
        <w:t>dosahoval podíl cizinců nejnižších hodnot (1,4 %, resp. 1,6 %)</w:t>
      </w:r>
      <w:r w:rsidR="0021603A">
        <w:rPr>
          <w:rFonts w:cs="Arial"/>
          <w:szCs w:val="20"/>
        </w:rPr>
        <w:t xml:space="preserve">. </w:t>
      </w:r>
      <w:r w:rsidRPr="004A5668">
        <w:rPr>
          <w:rFonts w:cs="Arial"/>
          <w:szCs w:val="20"/>
        </w:rPr>
        <w:t>V ostatních krajích se podíl takových žáků pohybov</w:t>
      </w:r>
      <w:r w:rsidR="00E725AB">
        <w:rPr>
          <w:rFonts w:cs="Arial"/>
          <w:szCs w:val="20"/>
        </w:rPr>
        <w:t xml:space="preserve">al mezi </w:t>
      </w:r>
      <w:r w:rsidR="003C29D4">
        <w:rPr>
          <w:rFonts w:cs="Arial"/>
          <w:szCs w:val="20"/>
        </w:rPr>
        <w:t>2</w:t>
      </w:r>
      <w:r w:rsidR="008F560C">
        <w:rPr>
          <w:rFonts w:cs="Arial"/>
          <w:szCs w:val="20"/>
        </w:rPr>
        <w:t>,2</w:t>
      </w:r>
      <w:r w:rsidR="003E423A">
        <w:rPr>
          <w:rFonts w:cs="Arial"/>
          <w:szCs w:val="20"/>
        </w:rPr>
        <w:t> %</w:t>
      </w:r>
      <w:r w:rsidR="00E725AB">
        <w:rPr>
          <w:rFonts w:cs="Arial"/>
          <w:szCs w:val="20"/>
        </w:rPr>
        <w:t xml:space="preserve"> až 3,1 %</w:t>
      </w:r>
      <w:r w:rsidR="003E423A">
        <w:rPr>
          <w:rFonts w:cs="Arial"/>
          <w:szCs w:val="20"/>
        </w:rPr>
        <w:t xml:space="preserve"> - viz graf 3</w:t>
      </w:r>
      <w:r w:rsidR="00124443">
        <w:rPr>
          <w:rFonts w:cs="Arial"/>
          <w:szCs w:val="20"/>
        </w:rPr>
        <w:t>.14</w:t>
      </w:r>
      <w:r w:rsidRPr="004A5668">
        <w:rPr>
          <w:rFonts w:cs="Arial"/>
          <w:szCs w:val="20"/>
        </w:rPr>
        <w:t>. Ten samý graf také ukazuje, že ve středních školách veřejného zřizovatele byl podstatně nižší podíl žá</w:t>
      </w:r>
      <w:r w:rsidR="003C29D4">
        <w:rPr>
          <w:rFonts w:cs="Arial"/>
          <w:szCs w:val="20"/>
        </w:rPr>
        <w:t>ků cizí státní příslušnosti (2</w:t>
      </w:r>
      <w:r w:rsidR="00E725AB">
        <w:rPr>
          <w:rFonts w:cs="Arial"/>
          <w:szCs w:val="20"/>
        </w:rPr>
        <w:t>,8</w:t>
      </w:r>
      <w:r w:rsidRPr="004A5668">
        <w:rPr>
          <w:rFonts w:cs="Arial"/>
          <w:szCs w:val="20"/>
        </w:rPr>
        <w:t> %) než ve středních ško</w:t>
      </w:r>
      <w:r w:rsidR="00E725AB">
        <w:rPr>
          <w:rFonts w:cs="Arial"/>
          <w:szCs w:val="20"/>
        </w:rPr>
        <w:t>lách zřizovatele soukromého (4,3</w:t>
      </w:r>
      <w:r w:rsidRPr="004A5668">
        <w:rPr>
          <w:rFonts w:cs="Arial"/>
          <w:szCs w:val="20"/>
        </w:rPr>
        <w:t> %). Ještě nižší podíl žáků cizí státní příslušnosti však zaznamenaly ško</w:t>
      </w:r>
      <w:r w:rsidR="00E725AB">
        <w:rPr>
          <w:rFonts w:cs="Arial"/>
          <w:szCs w:val="20"/>
        </w:rPr>
        <w:t>ly s církevním zřizovatelem (2,3</w:t>
      </w:r>
      <w:r w:rsidRPr="004A5668">
        <w:rPr>
          <w:rFonts w:cs="Arial"/>
          <w:szCs w:val="20"/>
        </w:rPr>
        <w:t xml:space="preserve"> %). </w:t>
      </w:r>
    </w:p>
    <w:p w14:paraId="2CE59E80" w14:textId="13A808B5" w:rsidR="00FA7769" w:rsidRDefault="00FA7769" w:rsidP="00FA3561">
      <w:pPr>
        <w:keepNext/>
        <w:spacing w:after="120" w:line="240" w:lineRule="auto"/>
        <w:rPr>
          <w:b/>
        </w:rPr>
      </w:pPr>
      <w:r w:rsidRPr="00C3589B">
        <w:rPr>
          <w:b/>
        </w:rPr>
        <w:t>G</w:t>
      </w:r>
      <w:r>
        <w:rPr>
          <w:b/>
        </w:rPr>
        <w:t>raf</w:t>
      </w:r>
      <w:r w:rsidRPr="00C3589B">
        <w:rPr>
          <w:b/>
        </w:rPr>
        <w:t xml:space="preserve"> </w:t>
      </w:r>
      <w:r w:rsidR="00124443">
        <w:rPr>
          <w:b/>
        </w:rPr>
        <w:t>3.14</w:t>
      </w:r>
      <w:r w:rsidRPr="00C3589B">
        <w:t xml:space="preserve"> </w:t>
      </w:r>
      <w:r>
        <w:rPr>
          <w:b/>
        </w:rPr>
        <w:t>Střední školy</w:t>
      </w:r>
      <w:r w:rsidRPr="00C3589B">
        <w:t xml:space="preserve"> - </w:t>
      </w:r>
      <w:r w:rsidRPr="00C3589B">
        <w:rPr>
          <w:b/>
        </w:rPr>
        <w:t xml:space="preserve">podíl žáků s cizí státní příslušností </w:t>
      </w:r>
      <w:r>
        <w:rPr>
          <w:b/>
        </w:rPr>
        <w:t xml:space="preserve">celkem, </w:t>
      </w:r>
      <w:r w:rsidRPr="00C3589B">
        <w:rPr>
          <w:b/>
        </w:rPr>
        <w:t xml:space="preserve">dle kraje a </w:t>
      </w:r>
      <w:r>
        <w:rPr>
          <w:b/>
        </w:rPr>
        <w:t xml:space="preserve">dle </w:t>
      </w:r>
      <w:r w:rsidR="00E725AB">
        <w:rPr>
          <w:b/>
        </w:rPr>
        <w:t>zřizovatele (2022/23</w:t>
      </w:r>
      <w:r w:rsidRPr="00C3589B">
        <w:rPr>
          <w:b/>
        </w:rPr>
        <w:t>)</w:t>
      </w:r>
    </w:p>
    <w:p w14:paraId="7FFE6FAF" w14:textId="0E926BBD" w:rsidR="00FA7769" w:rsidRPr="003C29D4" w:rsidRDefault="00400AB7" w:rsidP="00FA3561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45CF5B5B" wp14:editId="118B69EC">
            <wp:extent cx="6029325" cy="4714875"/>
            <wp:effectExtent l="0" t="0" r="9525" b="952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F0F8EF3" w14:textId="77777777" w:rsidR="00FA7769" w:rsidRPr="00B410D9" w:rsidRDefault="00FA7769" w:rsidP="00FA3561">
      <w:pPr>
        <w:spacing w:after="120" w:line="276" w:lineRule="auto"/>
        <w:jc w:val="right"/>
        <w:rPr>
          <w:rFonts w:asciiTheme="minorHAnsi" w:hAnsiTheme="minorHAnsi" w:cs="Arial"/>
          <w:sz w:val="18"/>
          <w:szCs w:val="22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1B44A5A8" w14:textId="49D783A4" w:rsidR="00541A82" w:rsidRDefault="00541A82" w:rsidP="00541A8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Země</w:t>
      </w:r>
      <w:r w:rsidRPr="003F7CBF">
        <w:rPr>
          <w:rFonts w:cs="Arial"/>
          <w:szCs w:val="20"/>
        </w:rPr>
        <w:t xml:space="preserve"> původu </w:t>
      </w:r>
      <w:r>
        <w:rPr>
          <w:rFonts w:cs="Arial"/>
          <w:szCs w:val="20"/>
        </w:rPr>
        <w:t xml:space="preserve">cizinců vzdělávajících se na </w:t>
      </w:r>
      <w:r w:rsidR="0060614A">
        <w:rPr>
          <w:rFonts w:cs="Arial"/>
          <w:szCs w:val="20"/>
        </w:rPr>
        <w:t>středn</w:t>
      </w:r>
      <w:r>
        <w:rPr>
          <w:rFonts w:cs="Arial"/>
          <w:szCs w:val="20"/>
        </w:rPr>
        <w:t xml:space="preserve">ích školách v ČR ve školním roce 2022/23 lze rozdělit na státy EU (21,1 % cizinců), ostatní evropské státy (58,9 % cizinců) a ostatní státy světa, příp. nezjištěná občanství (20,0 %). Každé z této skupiny přitom dominuje jeden stát. </w:t>
      </w:r>
      <w:r w:rsidRPr="006F049A">
        <w:rPr>
          <w:rFonts w:cs="Arial"/>
          <w:b/>
          <w:szCs w:val="20"/>
        </w:rPr>
        <w:t>Ze států EU</w:t>
      </w:r>
      <w:r>
        <w:rPr>
          <w:rFonts w:cs="Arial"/>
          <w:szCs w:val="20"/>
        </w:rPr>
        <w:t xml:space="preserve"> je to Slovensko, 69,3 % žáků cizinců původem z EU tvořili právě Slováci. </w:t>
      </w:r>
      <w:r w:rsidRPr="006F049A">
        <w:rPr>
          <w:rFonts w:cs="Arial"/>
          <w:b/>
          <w:szCs w:val="20"/>
        </w:rPr>
        <w:t>Ze států Evropy, které nejsou v EU</w:t>
      </w:r>
      <w:r>
        <w:rPr>
          <w:rFonts w:cs="Arial"/>
          <w:szCs w:val="20"/>
        </w:rPr>
        <w:t xml:space="preserve">, silně převažuje Ukrajina, 84,9 % žáků cizinců původem z Evropy mimo EU tvořili Ukrajinci. </w:t>
      </w:r>
      <w:r>
        <w:rPr>
          <w:rFonts w:cs="Arial"/>
          <w:b/>
          <w:szCs w:val="20"/>
        </w:rPr>
        <w:t>Ze států</w:t>
      </w:r>
      <w:r w:rsidRPr="006F049A">
        <w:rPr>
          <w:rFonts w:cs="Arial"/>
          <w:b/>
          <w:szCs w:val="20"/>
        </w:rPr>
        <w:t xml:space="preserve"> mimo Evropu</w:t>
      </w:r>
      <w:r>
        <w:rPr>
          <w:rFonts w:cs="Arial"/>
          <w:szCs w:val="20"/>
        </w:rPr>
        <w:t xml:space="preserve"> je zase nejčetněji zastoupený Vietnam. Téměř dvě třetiny žáků cizinců původem z mimoevropských zemí tvořili Vietnamci (66,8 %).</w:t>
      </w:r>
    </w:p>
    <w:p w14:paraId="7A36247E" w14:textId="6F52265F" w:rsidR="00541A82" w:rsidRDefault="00124443" w:rsidP="00541A8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Graf 3.15</w:t>
      </w:r>
      <w:r w:rsidR="00541A82" w:rsidRPr="008D178B">
        <w:rPr>
          <w:rFonts w:cs="Arial"/>
          <w:szCs w:val="20"/>
        </w:rPr>
        <w:t xml:space="preserve"> níže ukazuje toto rozložení celkem a také v dělení na jednotlivé kraje.</w:t>
      </w:r>
      <w:r w:rsidR="00541A82">
        <w:rPr>
          <w:rFonts w:cs="Arial"/>
          <w:szCs w:val="20"/>
        </w:rPr>
        <w:t xml:space="preserve"> Ty jsou řazené dle podílu, jaký tvořili ve školním roce 2022/23 cizinci původem ze Slovenska, Ukrajiny či Vietnamu ze všech cizinců </w:t>
      </w:r>
      <w:r w:rsidR="00541A82">
        <w:rPr>
          <w:rFonts w:cs="Arial"/>
          <w:szCs w:val="20"/>
        </w:rPr>
        <w:lastRenderedPageBreak/>
        <w:t xml:space="preserve">vzdělávajících se na </w:t>
      </w:r>
      <w:r w:rsidR="0060614A">
        <w:rPr>
          <w:rFonts w:cs="Arial"/>
          <w:szCs w:val="20"/>
        </w:rPr>
        <w:t>stře</w:t>
      </w:r>
      <w:r w:rsidR="00541A82">
        <w:rPr>
          <w:rFonts w:cs="Arial"/>
          <w:szCs w:val="20"/>
        </w:rPr>
        <w:t>dních školách v České republice</w:t>
      </w:r>
      <w:r w:rsidR="00541A82" w:rsidRPr="001D3DF1">
        <w:rPr>
          <w:rFonts w:cs="Arial"/>
          <w:szCs w:val="20"/>
        </w:rPr>
        <w:t xml:space="preserve">. Tato </w:t>
      </w:r>
      <w:r w:rsidR="00541A82" w:rsidRPr="001D3DF1">
        <w:rPr>
          <w:rFonts w:cs="Arial"/>
          <w:b/>
          <w:szCs w:val="20"/>
        </w:rPr>
        <w:t>tři občanství</w:t>
      </w:r>
      <w:r w:rsidR="00541A82" w:rsidRPr="001D3DF1">
        <w:rPr>
          <w:rFonts w:cs="Arial"/>
          <w:szCs w:val="20"/>
        </w:rPr>
        <w:t xml:space="preserve"> </w:t>
      </w:r>
      <w:r w:rsidR="00541A82">
        <w:rPr>
          <w:rFonts w:cs="Arial"/>
          <w:szCs w:val="20"/>
        </w:rPr>
        <w:t>mělo v České republice celkem 78,0</w:t>
      </w:r>
      <w:r w:rsidR="00541A82" w:rsidRPr="001D3DF1">
        <w:rPr>
          <w:rFonts w:cs="Arial"/>
          <w:szCs w:val="20"/>
        </w:rPr>
        <w:t xml:space="preserve"> % ze žáků </w:t>
      </w:r>
      <w:r w:rsidR="00541A82">
        <w:rPr>
          <w:rFonts w:cs="Arial"/>
          <w:szCs w:val="20"/>
        </w:rPr>
        <w:t>středních</w:t>
      </w:r>
      <w:r w:rsidR="00541A82" w:rsidRPr="001D3DF1">
        <w:rPr>
          <w:rFonts w:cs="Arial"/>
          <w:szCs w:val="20"/>
        </w:rPr>
        <w:t xml:space="preserve"> škol cizí státní příslušnosti.</w:t>
      </w:r>
      <w:r w:rsidR="00541A82">
        <w:rPr>
          <w:rFonts w:cs="Arial"/>
          <w:szCs w:val="20"/>
        </w:rPr>
        <w:t xml:space="preserve"> Přitom ve Zlínském kraji tvořili </w:t>
      </w:r>
      <w:r w:rsidR="00541A82" w:rsidRPr="001D3DF1">
        <w:rPr>
          <w:rFonts w:cs="Arial"/>
          <w:szCs w:val="20"/>
        </w:rPr>
        <w:t xml:space="preserve">žáci těchto tří občanství </w:t>
      </w:r>
      <w:r w:rsidR="00541A82">
        <w:rPr>
          <w:rFonts w:cs="Arial"/>
          <w:szCs w:val="20"/>
        </w:rPr>
        <w:t>ve středních</w:t>
      </w:r>
      <w:r w:rsidR="00541A82" w:rsidRPr="001D3DF1">
        <w:rPr>
          <w:rFonts w:cs="Arial"/>
          <w:szCs w:val="20"/>
        </w:rPr>
        <w:t xml:space="preserve"> školách</w:t>
      </w:r>
      <w:r w:rsidR="00541A82">
        <w:rPr>
          <w:rFonts w:cs="Arial"/>
          <w:szCs w:val="20"/>
        </w:rPr>
        <w:t xml:space="preserve"> 88,9 %</w:t>
      </w:r>
      <w:r w:rsidR="00BE0228">
        <w:rPr>
          <w:rFonts w:cs="Arial"/>
          <w:szCs w:val="20"/>
        </w:rPr>
        <w:t xml:space="preserve"> a podobné hodnoty dosáhli kraj Olomoucký (88,5 %)</w:t>
      </w:r>
      <w:r w:rsidR="00541A82">
        <w:rPr>
          <w:rFonts w:cs="Arial"/>
          <w:szCs w:val="20"/>
        </w:rPr>
        <w:t>. N</w:t>
      </w:r>
      <w:r w:rsidR="00541A82" w:rsidRPr="001D3DF1">
        <w:rPr>
          <w:rFonts w:cs="Arial"/>
          <w:szCs w:val="20"/>
        </w:rPr>
        <w:t xml:space="preserve">aopak </w:t>
      </w:r>
      <w:r w:rsidR="00BE0228">
        <w:rPr>
          <w:rFonts w:cs="Arial"/>
          <w:szCs w:val="20"/>
        </w:rPr>
        <w:t xml:space="preserve">jednoznačně nejnižší a </w:t>
      </w:r>
      <w:r w:rsidR="00541A82" w:rsidRPr="001D3DF1">
        <w:rPr>
          <w:rFonts w:cs="Arial"/>
          <w:szCs w:val="20"/>
        </w:rPr>
        <w:t xml:space="preserve">menší podíl, než je celorepublikový průměr, </w:t>
      </w:r>
      <w:r w:rsidR="00BE0228">
        <w:rPr>
          <w:rFonts w:cs="Arial"/>
          <w:szCs w:val="20"/>
        </w:rPr>
        <w:t>zaznamenali žáci vzdělávající se v Praze</w:t>
      </w:r>
      <w:r w:rsidR="00541A82">
        <w:rPr>
          <w:rFonts w:cs="Arial"/>
          <w:szCs w:val="20"/>
        </w:rPr>
        <w:t xml:space="preserve"> (</w:t>
      </w:r>
      <w:r w:rsidR="00BE0228">
        <w:rPr>
          <w:rFonts w:cs="Arial"/>
          <w:szCs w:val="20"/>
        </w:rPr>
        <w:t>67,4 %)</w:t>
      </w:r>
      <w:r w:rsidR="00541A82">
        <w:rPr>
          <w:rFonts w:cs="Arial"/>
          <w:szCs w:val="20"/>
        </w:rPr>
        <w:t>.</w:t>
      </w:r>
    </w:p>
    <w:p w14:paraId="3867D918" w14:textId="556E03EE" w:rsidR="00541A82" w:rsidRPr="003F7CBF" w:rsidRDefault="00541A82" w:rsidP="00541A8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Pokud se jedná o žáky </w:t>
      </w:r>
      <w:r w:rsidRPr="00F81C62">
        <w:rPr>
          <w:rFonts w:cs="Arial"/>
          <w:b/>
          <w:szCs w:val="20"/>
        </w:rPr>
        <w:t>slovenské státní příslušnosti</w:t>
      </w:r>
      <w:r>
        <w:rPr>
          <w:rFonts w:cs="Arial"/>
          <w:szCs w:val="20"/>
        </w:rPr>
        <w:t xml:space="preserve">, tvořili mezi všemi žáky cizí státní příslušnosti </w:t>
      </w:r>
      <w:r w:rsidR="00BE0228">
        <w:rPr>
          <w:rFonts w:cs="Arial"/>
          <w:szCs w:val="20"/>
        </w:rPr>
        <w:t xml:space="preserve">jednoznačně </w:t>
      </w:r>
      <w:r>
        <w:rPr>
          <w:rFonts w:cs="Arial"/>
          <w:szCs w:val="20"/>
        </w:rPr>
        <w:t xml:space="preserve">nejvyšší podíl v kraji </w:t>
      </w:r>
      <w:r w:rsidR="00BE0228">
        <w:rPr>
          <w:rFonts w:cs="Arial"/>
          <w:szCs w:val="20"/>
        </w:rPr>
        <w:t>Zlín</w:t>
      </w:r>
      <w:r>
        <w:rPr>
          <w:rFonts w:cs="Arial"/>
          <w:szCs w:val="20"/>
        </w:rPr>
        <w:t>ském (</w:t>
      </w:r>
      <w:r w:rsidR="00BE0228">
        <w:rPr>
          <w:rFonts w:cs="Arial"/>
          <w:szCs w:val="20"/>
        </w:rPr>
        <w:t>36,4</w:t>
      </w:r>
      <w:r w:rsidR="00EA62A4">
        <w:rPr>
          <w:rFonts w:cs="Arial"/>
          <w:szCs w:val="20"/>
        </w:rPr>
        <w:t xml:space="preserve"> %) a </w:t>
      </w:r>
      <w:r>
        <w:rPr>
          <w:rFonts w:cs="Arial"/>
          <w:szCs w:val="20"/>
        </w:rPr>
        <w:t>nejmenší naopak v kraji Karlovarském (</w:t>
      </w:r>
      <w:r w:rsidR="00BE0228">
        <w:rPr>
          <w:rFonts w:cs="Arial"/>
          <w:szCs w:val="20"/>
        </w:rPr>
        <w:t>6,4</w:t>
      </w:r>
      <w:r>
        <w:rPr>
          <w:rFonts w:cs="Arial"/>
          <w:szCs w:val="20"/>
        </w:rPr>
        <w:t xml:space="preserve"> %). V kraji Karlovarském </w:t>
      </w:r>
      <w:r w:rsidR="00BE0228">
        <w:rPr>
          <w:rFonts w:cs="Arial"/>
          <w:szCs w:val="20"/>
        </w:rPr>
        <w:t>zas</w:t>
      </w:r>
      <w:r>
        <w:rPr>
          <w:rFonts w:cs="Arial"/>
          <w:szCs w:val="20"/>
        </w:rPr>
        <w:t xml:space="preserve"> mezi cizinci tvořili oproti jiným krajům výraznější podíl </w:t>
      </w:r>
      <w:r w:rsidRPr="00F81C62">
        <w:rPr>
          <w:rFonts w:cs="Arial"/>
          <w:b/>
          <w:szCs w:val="20"/>
        </w:rPr>
        <w:t>Vietnamci</w:t>
      </w:r>
      <w:r>
        <w:rPr>
          <w:rFonts w:cs="Arial"/>
          <w:szCs w:val="20"/>
        </w:rPr>
        <w:t xml:space="preserve"> (</w:t>
      </w:r>
      <w:r w:rsidR="00BE0228">
        <w:rPr>
          <w:rFonts w:cs="Arial"/>
          <w:szCs w:val="20"/>
        </w:rPr>
        <w:t>38,9 %</w:t>
      </w:r>
      <w:r>
        <w:rPr>
          <w:rFonts w:cs="Arial"/>
          <w:szCs w:val="20"/>
        </w:rPr>
        <w:t xml:space="preserve">). Nejmenší podíl ze všech cizinců pak Vietnamci představovali v kraji </w:t>
      </w:r>
      <w:r w:rsidR="00BE0228">
        <w:rPr>
          <w:rFonts w:cs="Arial"/>
          <w:szCs w:val="20"/>
        </w:rPr>
        <w:t>Zlínském (5,7</w:t>
      </w:r>
      <w:r>
        <w:rPr>
          <w:rFonts w:cs="Arial"/>
          <w:szCs w:val="20"/>
        </w:rPr>
        <w:t xml:space="preserve"> %). Pokud se jedná o Ukrajince, po začlenění mnohých dětí ukrajinských uprchlíků do českých škol tvořili nejvyšší podíl mezi žáky cizí státní příslušnost</w:t>
      </w:r>
      <w:r w:rsidR="00BE0228">
        <w:rPr>
          <w:rFonts w:cs="Arial"/>
          <w:szCs w:val="20"/>
        </w:rPr>
        <w:t xml:space="preserve">i v kraji Královéhradeckém (63,1 %) </w:t>
      </w:r>
      <w:r>
        <w:rPr>
          <w:rFonts w:cs="Arial"/>
          <w:szCs w:val="20"/>
        </w:rPr>
        <w:t xml:space="preserve">a nejmenší </w:t>
      </w:r>
      <w:r w:rsidR="00BE0228">
        <w:rPr>
          <w:rFonts w:cs="Arial"/>
          <w:szCs w:val="20"/>
        </w:rPr>
        <w:t>v kraji Karlovarském (33,7</w:t>
      </w:r>
      <w:r>
        <w:rPr>
          <w:rFonts w:cs="Arial"/>
          <w:szCs w:val="20"/>
        </w:rPr>
        <w:t xml:space="preserve"> %).</w:t>
      </w:r>
    </w:p>
    <w:p w14:paraId="5F5B4A19" w14:textId="71DD805E" w:rsidR="00541A82" w:rsidRDefault="00FA7769" w:rsidP="00541A82">
      <w:pPr>
        <w:keepNext/>
        <w:spacing w:after="120"/>
        <w:jc w:val="both"/>
        <w:rPr>
          <w:rFonts w:cs="Arial"/>
          <w:b/>
          <w:spacing w:val="-6"/>
          <w:szCs w:val="20"/>
        </w:rPr>
      </w:pPr>
      <w:r w:rsidRPr="00541A82">
        <w:rPr>
          <w:b/>
        </w:rPr>
        <w:t xml:space="preserve">Graf </w:t>
      </w:r>
      <w:r w:rsidR="00124443">
        <w:rPr>
          <w:b/>
        </w:rPr>
        <w:t>3.15</w:t>
      </w:r>
      <w:r w:rsidRPr="00541A82">
        <w:rPr>
          <w:b/>
        </w:rPr>
        <w:t xml:space="preserve"> Střední školy</w:t>
      </w:r>
      <w:r w:rsidRPr="00DA3773">
        <w:rPr>
          <w:b/>
        </w:rPr>
        <w:t xml:space="preserve"> – </w:t>
      </w:r>
      <w:r w:rsidR="0060614A">
        <w:rPr>
          <w:rFonts w:cs="Arial"/>
          <w:b/>
          <w:spacing w:val="-6"/>
          <w:szCs w:val="20"/>
        </w:rPr>
        <w:t>r</w:t>
      </w:r>
      <w:r w:rsidR="00541A82">
        <w:rPr>
          <w:rFonts w:cs="Arial"/>
          <w:b/>
          <w:spacing w:val="-6"/>
          <w:szCs w:val="20"/>
        </w:rPr>
        <w:t>ozložení žáků-cizinců</w:t>
      </w:r>
      <w:r w:rsidR="00541A82" w:rsidRPr="0095105D">
        <w:rPr>
          <w:rFonts w:cs="Arial"/>
          <w:b/>
          <w:spacing w:val="-6"/>
          <w:szCs w:val="20"/>
        </w:rPr>
        <w:t xml:space="preserve"> </w:t>
      </w:r>
      <w:r w:rsidR="00541A82">
        <w:rPr>
          <w:rFonts w:cs="Arial"/>
          <w:b/>
          <w:spacing w:val="-6"/>
          <w:szCs w:val="20"/>
        </w:rPr>
        <w:t>dle země původu celkem a v dělení na kraje (2022/23)</w:t>
      </w:r>
    </w:p>
    <w:p w14:paraId="1087D54E" w14:textId="591889F3" w:rsidR="00FA7769" w:rsidRPr="00A32860" w:rsidRDefault="00541A82" w:rsidP="00494032">
      <w:pPr>
        <w:keepNext/>
        <w:spacing w:after="120" w:line="240" w:lineRule="auto"/>
        <w:rPr>
          <w:i/>
        </w:rPr>
      </w:pPr>
      <w:r>
        <w:rPr>
          <w:noProof/>
        </w:rPr>
        <w:drawing>
          <wp:inline distT="0" distB="0" distL="0" distR="0" wp14:anchorId="423B5095" wp14:editId="7C70B0DE">
            <wp:extent cx="6120130" cy="4333875"/>
            <wp:effectExtent l="0" t="0" r="13970" b="9525"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3CD2192" w14:textId="64BE2834" w:rsidR="00A32860" w:rsidRPr="00A32860" w:rsidRDefault="00FA7769" w:rsidP="00A32860">
      <w:pPr>
        <w:spacing w:after="120" w:line="276" w:lineRule="auto"/>
        <w:jc w:val="right"/>
        <w:rPr>
          <w:rFonts w:asciiTheme="minorHAnsi" w:hAnsiTheme="minorHAnsi"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4BF0E101" w14:textId="38FA8A8C" w:rsidR="00A32860" w:rsidRDefault="00A32860" w:rsidP="00A32860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Odhlédneme-li od relativních ukazatelů, pak byl ze všech krajů </w:t>
      </w:r>
      <w:r w:rsidRPr="006E6D7E">
        <w:rPr>
          <w:rFonts w:cs="Arial"/>
          <w:b/>
          <w:szCs w:val="20"/>
        </w:rPr>
        <w:t>nejvyšší počet</w:t>
      </w:r>
      <w:r>
        <w:rPr>
          <w:rFonts w:cs="Arial"/>
          <w:szCs w:val="20"/>
        </w:rPr>
        <w:t xml:space="preserve"> Slováků, Vietnamců i Ukrajinců</w:t>
      </w:r>
      <w:r w:rsidR="0070384E">
        <w:rPr>
          <w:rFonts w:cs="Arial"/>
          <w:szCs w:val="20"/>
        </w:rPr>
        <w:t xml:space="preserve"> na středních školách</w:t>
      </w:r>
      <w:r>
        <w:rPr>
          <w:rFonts w:cs="Arial"/>
          <w:szCs w:val="20"/>
        </w:rPr>
        <w:t xml:space="preserve"> </w:t>
      </w:r>
      <w:r w:rsidRPr="006E6D7E">
        <w:rPr>
          <w:rFonts w:cs="Arial"/>
          <w:b/>
          <w:szCs w:val="20"/>
        </w:rPr>
        <w:t>v</w:t>
      </w:r>
      <w:r>
        <w:rPr>
          <w:rFonts w:cs="Arial"/>
          <w:b/>
          <w:szCs w:val="20"/>
        </w:rPr>
        <w:t> </w:t>
      </w:r>
      <w:r w:rsidRPr="006E6D7E">
        <w:rPr>
          <w:rFonts w:cs="Arial"/>
          <w:b/>
          <w:szCs w:val="20"/>
        </w:rPr>
        <w:t>Praze</w:t>
      </w:r>
      <w:r>
        <w:rPr>
          <w:rFonts w:cs="Arial"/>
          <w:b/>
          <w:szCs w:val="20"/>
        </w:rPr>
        <w:t xml:space="preserve"> </w:t>
      </w:r>
      <w:r w:rsidRPr="0070384E">
        <w:rPr>
          <w:rFonts w:cs="Arial"/>
          <w:szCs w:val="20"/>
        </w:rPr>
        <w:t>(601,</w:t>
      </w:r>
      <w:r w:rsidR="0070384E">
        <w:rPr>
          <w:rFonts w:cs="Arial"/>
          <w:szCs w:val="20"/>
        </w:rPr>
        <w:t xml:space="preserve"> resp. </w:t>
      </w:r>
      <w:r w:rsidRPr="0070384E">
        <w:rPr>
          <w:rFonts w:cs="Arial"/>
          <w:szCs w:val="20"/>
        </w:rPr>
        <w:t xml:space="preserve">545, resp. </w:t>
      </w:r>
      <w:r w:rsidR="0070384E">
        <w:rPr>
          <w:rFonts w:cs="Arial"/>
          <w:szCs w:val="20"/>
        </w:rPr>
        <w:t>2 006</w:t>
      </w:r>
      <w:r w:rsidRPr="0070384E">
        <w:rPr>
          <w:rFonts w:cs="Arial"/>
          <w:szCs w:val="20"/>
        </w:rPr>
        <w:t xml:space="preserve"> žáků)</w:t>
      </w:r>
      <w:r>
        <w:rPr>
          <w:rFonts w:cs="Arial"/>
          <w:szCs w:val="20"/>
        </w:rPr>
        <w:t xml:space="preserve">. Ze všech středoškoláků slovenské státní příslušnosti se jich na středních školách v Praze vzdělávalo 29,1%, z žáků ukrajinské státní příslušnosti 28,4 % a ze žáků vietnamské státní příslušnosti 28,8 %. </w:t>
      </w:r>
      <w:r w:rsidR="0070384E">
        <w:rPr>
          <w:rFonts w:cs="Arial"/>
          <w:szCs w:val="20"/>
        </w:rPr>
        <w:t>Ze žáků ruské státní příslušnosti se jich pak v Praze vzdělávaly dvě třetiny (66,0 %).</w:t>
      </w:r>
    </w:p>
    <w:p w14:paraId="59A7F1D9" w14:textId="0D788EEA" w:rsidR="00A32860" w:rsidRDefault="00A32860" w:rsidP="00A32860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Naopak </w:t>
      </w:r>
      <w:r w:rsidRPr="006E6D7E">
        <w:rPr>
          <w:rFonts w:cs="Arial"/>
          <w:b/>
          <w:szCs w:val="20"/>
        </w:rPr>
        <w:t>nejmenší počet</w:t>
      </w:r>
      <w:r>
        <w:rPr>
          <w:rFonts w:cs="Arial"/>
          <w:szCs w:val="20"/>
        </w:rPr>
        <w:t xml:space="preserve"> ukrajinských a vietnamských žáků základních škol byl v kraji Zlínském (</w:t>
      </w:r>
      <w:r w:rsidR="00E941F4">
        <w:rPr>
          <w:rFonts w:cs="Arial"/>
          <w:szCs w:val="20"/>
        </w:rPr>
        <w:t>189</w:t>
      </w:r>
      <w:r>
        <w:rPr>
          <w:rFonts w:cs="Arial"/>
          <w:szCs w:val="20"/>
        </w:rPr>
        <w:t xml:space="preserve">, resp. </w:t>
      </w:r>
      <w:r w:rsidR="00E941F4">
        <w:rPr>
          <w:rFonts w:cs="Arial"/>
          <w:szCs w:val="20"/>
        </w:rPr>
        <w:t>23</w:t>
      </w:r>
      <w:r>
        <w:rPr>
          <w:rFonts w:cs="Arial"/>
          <w:szCs w:val="20"/>
        </w:rPr>
        <w:t>), nejméně žáků Slováků bylo v kraji Karlovars</w:t>
      </w:r>
      <w:r w:rsidR="00E941F4">
        <w:rPr>
          <w:rFonts w:cs="Arial"/>
          <w:szCs w:val="20"/>
        </w:rPr>
        <w:t>kém (36, kde byl zároveň druhý nejnižší počet ukrajinských žáků (191</w:t>
      </w:r>
      <w:r>
        <w:rPr>
          <w:rFonts w:cs="Arial"/>
          <w:szCs w:val="20"/>
        </w:rPr>
        <w:t xml:space="preserve">) a nejméně žáků z Ruska pak </w:t>
      </w:r>
      <w:r w:rsidR="00E941F4">
        <w:rPr>
          <w:rFonts w:cs="Arial"/>
          <w:szCs w:val="20"/>
        </w:rPr>
        <w:t>v kraji Pardubickém (pouze tři</w:t>
      </w:r>
      <w:r>
        <w:rPr>
          <w:rFonts w:cs="Arial"/>
          <w:szCs w:val="20"/>
        </w:rPr>
        <w:t>).</w:t>
      </w:r>
    </w:p>
    <w:p w14:paraId="1AF5ECDF" w14:textId="44CCA314" w:rsidR="00A32860" w:rsidRDefault="00A32860" w:rsidP="00A32860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Co se týče </w:t>
      </w:r>
      <w:r w:rsidRPr="006E6D7E">
        <w:rPr>
          <w:rFonts w:cs="Arial"/>
          <w:b/>
          <w:szCs w:val="20"/>
        </w:rPr>
        <w:t>jiných, méně častých, státních občanství</w:t>
      </w:r>
      <w:r>
        <w:rPr>
          <w:rFonts w:cs="Arial"/>
          <w:szCs w:val="20"/>
        </w:rPr>
        <w:t>, v </w:t>
      </w:r>
      <w:r w:rsidR="0012148A">
        <w:rPr>
          <w:rFonts w:cs="Arial"/>
          <w:szCs w:val="20"/>
        </w:rPr>
        <w:t>Moravskoslezském</w:t>
      </w:r>
      <w:r>
        <w:rPr>
          <w:rFonts w:cs="Arial"/>
          <w:szCs w:val="20"/>
        </w:rPr>
        <w:t xml:space="preserve"> kraji zaujímali mezi cizinci </w:t>
      </w:r>
      <w:r w:rsidR="001667C0">
        <w:rPr>
          <w:rFonts w:cs="Arial"/>
          <w:szCs w:val="20"/>
        </w:rPr>
        <w:t>na středních školách 8,8</w:t>
      </w:r>
      <w:r>
        <w:rPr>
          <w:rFonts w:cs="Arial"/>
          <w:szCs w:val="20"/>
        </w:rPr>
        <w:t> % příslušníci jiných států Evropské unie, než je Slovensko</w:t>
      </w:r>
      <w:r w:rsidR="0012148A">
        <w:rPr>
          <w:rFonts w:cs="Arial"/>
          <w:szCs w:val="20"/>
        </w:rPr>
        <w:t xml:space="preserve">, což je ze všech krajů nejvíce. </w:t>
      </w:r>
      <w:r>
        <w:rPr>
          <w:rFonts w:cs="Arial"/>
          <w:szCs w:val="20"/>
        </w:rPr>
        <w:t xml:space="preserve">Naopak v kraji </w:t>
      </w:r>
      <w:r w:rsidR="0012148A">
        <w:rPr>
          <w:rFonts w:cs="Arial"/>
          <w:szCs w:val="20"/>
        </w:rPr>
        <w:t xml:space="preserve">Ústeckém činil tento podíl jen 3,0 %, ve Zlínském 3,2 % a v Olomouckém 3,6 %. </w:t>
      </w:r>
    </w:p>
    <w:p w14:paraId="678CF516" w14:textId="27118435" w:rsidR="00A32860" w:rsidRPr="00852E72" w:rsidRDefault="00A32860" w:rsidP="00A32860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Žáci z jiných států Evropy mimo EU, než je Ukrajina, zaujímali mezi cizi</w:t>
      </w:r>
      <w:r w:rsidR="0012148A">
        <w:rPr>
          <w:rFonts w:cs="Arial"/>
          <w:szCs w:val="20"/>
        </w:rPr>
        <w:t>nci nejvyšší podíl v Praze (15,8</w:t>
      </w:r>
      <w:r>
        <w:rPr>
          <w:rFonts w:cs="Arial"/>
          <w:szCs w:val="20"/>
        </w:rPr>
        <w:t> %)</w:t>
      </w:r>
      <w:r w:rsidR="0012148A">
        <w:rPr>
          <w:rFonts w:cs="Arial"/>
          <w:szCs w:val="20"/>
        </w:rPr>
        <w:t xml:space="preserve"> a nejnižší v kraji Moravskoslezském (2,6 %)</w:t>
      </w:r>
      <w:r>
        <w:rPr>
          <w:rFonts w:cs="Arial"/>
          <w:szCs w:val="20"/>
        </w:rPr>
        <w:t>. Nakonec žáci z mimoevropských států kromě Vietnamu tvořili mezi cizinci nejvyšš</w:t>
      </w:r>
      <w:r w:rsidR="0012148A">
        <w:rPr>
          <w:rFonts w:cs="Arial"/>
          <w:szCs w:val="20"/>
        </w:rPr>
        <w:t>í podíl v kraji Libereckém (10,9</w:t>
      </w:r>
      <w:r>
        <w:rPr>
          <w:rFonts w:cs="Arial"/>
          <w:szCs w:val="20"/>
        </w:rPr>
        <w:t> %)</w:t>
      </w:r>
      <w:r w:rsidR="0012148A">
        <w:rPr>
          <w:rFonts w:cs="Arial"/>
          <w:szCs w:val="20"/>
        </w:rPr>
        <w:t xml:space="preserve"> a nejnižší </w:t>
      </w:r>
      <w:r>
        <w:rPr>
          <w:rFonts w:cs="Arial"/>
          <w:szCs w:val="20"/>
        </w:rPr>
        <w:t xml:space="preserve">v kraji </w:t>
      </w:r>
      <w:r w:rsidR="0012148A">
        <w:rPr>
          <w:rFonts w:cs="Arial"/>
          <w:szCs w:val="20"/>
        </w:rPr>
        <w:t>Zlínském (2,2 %) a Plzeňském (2</w:t>
      </w:r>
      <w:r>
        <w:rPr>
          <w:rFonts w:cs="Arial"/>
          <w:szCs w:val="20"/>
        </w:rPr>
        <w:t xml:space="preserve">,8 %). </w:t>
      </w:r>
    </w:p>
    <w:p w14:paraId="4330683D" w14:textId="180B011C" w:rsidR="00FA7769" w:rsidRPr="00EA62A4" w:rsidRDefault="00FA7769" w:rsidP="00FA7769">
      <w:pPr>
        <w:spacing w:after="120"/>
        <w:jc w:val="both"/>
        <w:rPr>
          <w:rFonts w:cs="Arial"/>
          <w:szCs w:val="20"/>
        </w:rPr>
      </w:pPr>
      <w:r w:rsidRPr="007034E1">
        <w:t>Pokud se jedná o vývoj</w:t>
      </w:r>
      <w:r w:rsidR="0012148A" w:rsidRPr="007034E1">
        <w:t xml:space="preserve"> v čase, mezi školními roky 2012/13 a 2022/23</w:t>
      </w:r>
      <w:r w:rsidRPr="007034E1">
        <w:t xml:space="preserve"> se zvýšil podíl žáků cizí státní příslušnosti ve stř</w:t>
      </w:r>
      <w:r w:rsidR="001A4E80" w:rsidRPr="007034E1">
        <w:t xml:space="preserve">edních </w:t>
      </w:r>
      <w:proofErr w:type="gramStart"/>
      <w:r w:rsidR="001A4E80" w:rsidRPr="007034E1">
        <w:t xml:space="preserve">školách </w:t>
      </w:r>
      <w:r w:rsidR="007034E1" w:rsidRPr="007034E1">
        <w:t>z 1,9</w:t>
      </w:r>
      <w:proofErr w:type="gramEnd"/>
      <w:r w:rsidR="007034E1" w:rsidRPr="007034E1">
        <w:t> % na 3,1</w:t>
      </w:r>
      <w:r w:rsidR="00C321F3" w:rsidRPr="007034E1">
        <w:t> %</w:t>
      </w:r>
      <w:r w:rsidR="00EA62A4">
        <w:t>. Ještě ve školním roce 2021/22 přitom dosahoval hodnoty 2,3 % -</w:t>
      </w:r>
      <w:r w:rsidRPr="007034E1">
        <w:t xml:space="preserve"> viz</w:t>
      </w:r>
      <w:r w:rsidR="00124443">
        <w:t xml:space="preserve"> graf 3.16</w:t>
      </w:r>
      <w:r w:rsidRPr="007034E1">
        <w:t>.</w:t>
      </w:r>
      <w:r w:rsidRPr="004A5668">
        <w:t xml:space="preserve"> </w:t>
      </w:r>
    </w:p>
    <w:p w14:paraId="39C79F56" w14:textId="6B06E486" w:rsidR="00CE5869" w:rsidRDefault="00C321F3" w:rsidP="00C321F3">
      <w:pPr>
        <w:keepNext/>
        <w:spacing w:after="120" w:line="240" w:lineRule="auto"/>
        <w:rPr>
          <w:b/>
        </w:rPr>
      </w:pPr>
      <w:r w:rsidRPr="00180ED8">
        <w:rPr>
          <w:b/>
        </w:rPr>
        <w:t>G</w:t>
      </w:r>
      <w:r>
        <w:rPr>
          <w:b/>
        </w:rPr>
        <w:t>raf</w:t>
      </w:r>
      <w:r w:rsidRPr="00180ED8">
        <w:rPr>
          <w:b/>
        </w:rPr>
        <w:t xml:space="preserve"> </w:t>
      </w:r>
      <w:r w:rsidR="00124443">
        <w:rPr>
          <w:b/>
        </w:rPr>
        <w:t>3.16</w:t>
      </w:r>
      <w:r w:rsidRPr="00180ED8">
        <w:rPr>
          <w:b/>
        </w:rPr>
        <w:t xml:space="preserve"> </w:t>
      </w:r>
      <w:r>
        <w:rPr>
          <w:b/>
        </w:rPr>
        <w:t>Střední školy</w:t>
      </w:r>
      <w:r w:rsidRPr="00180ED8">
        <w:rPr>
          <w:b/>
        </w:rPr>
        <w:t xml:space="preserve"> - vývoj podílu žáků cizí </w:t>
      </w:r>
      <w:r w:rsidR="00CE5869">
        <w:rPr>
          <w:b/>
        </w:rPr>
        <w:t>státní příslušnosti v čase (2012/13 až 2022/23</w:t>
      </w:r>
      <w:r w:rsidRPr="00180ED8">
        <w:rPr>
          <w:b/>
        </w:rPr>
        <w:t>)</w:t>
      </w:r>
    </w:p>
    <w:p w14:paraId="4B28E3F0" w14:textId="6ADA2F3D" w:rsidR="00FA7769" w:rsidRPr="00184DA9" w:rsidRDefault="0028381B" w:rsidP="00184DA9">
      <w:pPr>
        <w:keepNext/>
        <w:spacing w:after="120" w:line="240" w:lineRule="auto"/>
        <w:rPr>
          <w:b/>
        </w:rPr>
      </w:pPr>
      <w:r w:rsidRPr="0028381B">
        <w:rPr>
          <w:b/>
          <w:noProof/>
        </w:rPr>
        <w:drawing>
          <wp:inline distT="0" distB="0" distL="0" distR="0" wp14:anchorId="39A8B4DC" wp14:editId="621FF49E">
            <wp:extent cx="6120130" cy="3346450"/>
            <wp:effectExtent l="0" t="0" r="0" b="6350"/>
            <wp:docPr id="68" name="Graf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C321F3" w:rsidRPr="00180ED8">
        <w:rPr>
          <w:b/>
        </w:rPr>
        <w:t xml:space="preserve"> </w:t>
      </w:r>
    </w:p>
    <w:p w14:paraId="7ABD5C7B" w14:textId="77777777" w:rsidR="00FA7769" w:rsidRPr="00B410D9" w:rsidRDefault="00FA7769" w:rsidP="00AB0787">
      <w:pPr>
        <w:spacing w:after="120" w:line="276" w:lineRule="auto"/>
        <w:jc w:val="right"/>
        <w:rPr>
          <w:rFonts w:asciiTheme="minorHAnsi" w:hAnsiTheme="minorHAnsi"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535D802D" w14:textId="11FBAB59" w:rsidR="00F77C2A" w:rsidRDefault="00FA7769" w:rsidP="00F77C2A">
      <w:pPr>
        <w:spacing w:after="120"/>
        <w:jc w:val="both"/>
      </w:pPr>
      <w:r w:rsidRPr="004A5668">
        <w:t>Kromě</w:t>
      </w:r>
      <w:r w:rsidRPr="004A5668">
        <w:rPr>
          <w:b/>
          <w:szCs w:val="28"/>
        </w:rPr>
        <w:t xml:space="preserve"> </w:t>
      </w:r>
      <w:r w:rsidRPr="004A5668">
        <w:t>celkového podílu žáků cizí státní p</w:t>
      </w:r>
      <w:r w:rsidR="001667C0">
        <w:t>říslušnosti znázorňuje graf 3.16</w:t>
      </w:r>
      <w:r w:rsidRPr="004A5668">
        <w:t xml:space="preserve"> také </w:t>
      </w:r>
      <w:r w:rsidRPr="004A5668">
        <w:rPr>
          <w:b/>
        </w:rPr>
        <w:t xml:space="preserve">podíl žáků původem ze Slovenska, Ukrajiny </w:t>
      </w:r>
      <w:r w:rsidR="00C321F3">
        <w:rPr>
          <w:b/>
        </w:rPr>
        <w:t>Vietnamu</w:t>
      </w:r>
      <w:r w:rsidR="00C321F3" w:rsidRPr="004A5668">
        <w:rPr>
          <w:b/>
        </w:rPr>
        <w:t xml:space="preserve"> </w:t>
      </w:r>
      <w:r w:rsidRPr="004A5668">
        <w:rPr>
          <w:b/>
        </w:rPr>
        <w:t>a Ruska</w:t>
      </w:r>
      <w:r w:rsidRPr="004A5668">
        <w:t xml:space="preserve">. </w:t>
      </w:r>
      <w:r w:rsidR="007B4B2D">
        <w:t xml:space="preserve">Tito žáci v čase </w:t>
      </w:r>
      <w:r w:rsidR="00BE0761">
        <w:t>stabilně tvořili</w:t>
      </w:r>
      <w:r w:rsidR="007B4B2D">
        <w:t xml:space="preserve"> cca čtyři pětiny všech cizinců na středních školách</w:t>
      </w:r>
      <w:r w:rsidR="00F77C2A">
        <w:t xml:space="preserve"> (nejméně 77,4 % ve školním roce 2014/15, ve školním roce 2022/23 tento podíl poprvé přesáhl hranici 80 % a činil 83,9 %)</w:t>
      </w:r>
      <w:r w:rsidR="00C529FE" w:rsidRPr="00C529FE">
        <w:t xml:space="preserve">. </w:t>
      </w:r>
      <w:r w:rsidR="00F77C2A">
        <w:t>Přitom</w:t>
      </w:r>
      <w:r w:rsidR="00257D71">
        <w:t xml:space="preserve"> </w:t>
      </w:r>
      <w:r w:rsidR="008A2DFF">
        <w:t>počet</w:t>
      </w:r>
      <w:r w:rsidR="00165363">
        <w:t xml:space="preserve"> cizinců původem z Ukrajiny </w:t>
      </w:r>
      <w:r w:rsidR="008A2DFF">
        <w:t xml:space="preserve">v uplynulých deseti letech </w:t>
      </w:r>
      <w:r w:rsidR="00165363">
        <w:t>soustavně rostl, pouze s výjimkou období mezi školními roky 201</w:t>
      </w:r>
      <w:r w:rsidR="008A2DFF">
        <w:t>3/14 a 2014/15, kdy se snížil z 2 201 na 2 126</w:t>
      </w:r>
      <w:r w:rsidR="00165363">
        <w:t>.</w:t>
      </w:r>
      <w:r w:rsidR="008A2DFF">
        <w:t xml:space="preserve"> </w:t>
      </w:r>
      <w:r w:rsidR="00F77C2A">
        <w:t xml:space="preserve">Ve školním roce 2022/23 se oproti předchozímu zvýšil 2,3krát a za 10 let se počet Ukrajinců u nás více než ztrojnásobil (zvýšil se 3,3krát). </w:t>
      </w:r>
      <w:r w:rsidR="008A2DFF">
        <w:t xml:space="preserve">Podíl Ukrajinců ze všech žáků středních škol </w:t>
      </w:r>
      <w:r w:rsidR="00F77C2A">
        <w:t xml:space="preserve">za poslední školní rok </w:t>
      </w:r>
      <w:r w:rsidR="008A2DFF">
        <w:t xml:space="preserve">stoupl </w:t>
      </w:r>
      <w:r w:rsidR="00F77C2A">
        <w:t>z 0,7 % na 1,5</w:t>
      </w:r>
      <w:r w:rsidR="00257D71">
        <w:t> %</w:t>
      </w:r>
      <w:r w:rsidR="00F77C2A">
        <w:t xml:space="preserve">, před deseti lety činil 0,5 %. </w:t>
      </w:r>
    </w:p>
    <w:p w14:paraId="621C012E" w14:textId="24C442E0" w:rsidR="00165363" w:rsidRDefault="007B4B2D" w:rsidP="00F77C2A">
      <w:pPr>
        <w:spacing w:after="120"/>
        <w:jc w:val="both"/>
      </w:pPr>
      <w:r>
        <w:t>V porovnání s tím lze říci, že podíl žáků původem z</w:t>
      </w:r>
      <w:r w:rsidR="00F77C2A">
        <w:t>e Slovenska, Vietnamu,</w:t>
      </w:r>
      <w:r>
        <w:t xml:space="preserve"> Rus</w:t>
      </w:r>
      <w:r w:rsidR="00F77C2A">
        <w:t>ka i ostatních zemí byl v čase poměrně stabilní.</w:t>
      </w:r>
    </w:p>
    <w:p w14:paraId="4D91C2E9" w14:textId="1F7CF39B" w:rsidR="00FA7769" w:rsidRPr="004A5668" w:rsidRDefault="00FA7769" w:rsidP="00FA7769">
      <w:pPr>
        <w:spacing w:after="120"/>
        <w:jc w:val="both"/>
      </w:pPr>
      <w:r w:rsidRPr="000031F2">
        <w:t xml:space="preserve">Absolutní počty žáků </w:t>
      </w:r>
      <w:r w:rsidR="006B4CFE">
        <w:t xml:space="preserve">středních škol </w:t>
      </w:r>
      <w:r w:rsidR="00BE0761" w:rsidRPr="000031F2">
        <w:t xml:space="preserve">cizí státní příslušnosti </w:t>
      </w:r>
      <w:r w:rsidRPr="000031F2">
        <w:t>ve</w:t>
      </w:r>
      <w:r w:rsidRPr="00691399">
        <w:t xml:space="preserve"> škol</w:t>
      </w:r>
      <w:r w:rsidR="00F77C2A">
        <w:t xml:space="preserve">ním </w:t>
      </w:r>
      <w:r w:rsidR="00F77C2A" w:rsidRPr="004F5AE3">
        <w:t>roce 2022/23</w:t>
      </w:r>
      <w:r w:rsidR="00A019D7" w:rsidRPr="004F5AE3">
        <w:t xml:space="preserve"> uvádí tabulka 3</w:t>
      </w:r>
      <w:r w:rsidR="00E3792E" w:rsidRPr="004F5AE3">
        <w:t>.3</w:t>
      </w:r>
      <w:r w:rsidRPr="004F5AE3">
        <w:t>, ve které je výčet zemí, které jsou původem více než 100 žáků středních škol. Jak je patrné, z cizi</w:t>
      </w:r>
      <w:r w:rsidR="00C529FE" w:rsidRPr="004F5AE3">
        <w:t>nců tvořili ve</w:t>
      </w:r>
      <w:r w:rsidR="00F77C2A" w:rsidRPr="004F5AE3">
        <w:t xml:space="preserve"> školním roce 2022/23</w:t>
      </w:r>
      <w:r w:rsidRPr="004F5AE3">
        <w:t xml:space="preserve"> nejv</w:t>
      </w:r>
      <w:r w:rsidR="006B4CFE" w:rsidRPr="004F5AE3">
        <w:t>yšší podíl žáci z Ukrajiny (50</w:t>
      </w:r>
      <w:r w:rsidRPr="004F5AE3">
        <w:t> %) a dále ze Slovenska</w:t>
      </w:r>
      <w:r w:rsidR="006B4CFE" w:rsidRPr="004F5AE3">
        <w:t xml:space="preserve"> (14,6 %)</w:t>
      </w:r>
      <w:r w:rsidRPr="004F5AE3">
        <w:t xml:space="preserve"> a Vietnamu</w:t>
      </w:r>
      <w:r w:rsidRPr="004A5668">
        <w:t xml:space="preserve"> (</w:t>
      </w:r>
      <w:r w:rsidR="006B4CFE">
        <w:t>13,4 %)</w:t>
      </w:r>
      <w:r w:rsidRPr="004A5668">
        <w:t>. Podíl žáků cizin</w:t>
      </w:r>
      <w:r w:rsidR="00C529FE">
        <w:t>ců</w:t>
      </w:r>
      <w:r w:rsidR="006B4CFE">
        <w:t xml:space="preserve"> původem z Ruska tvoří dále 5,9</w:t>
      </w:r>
      <w:r w:rsidR="00F8241E">
        <w:t xml:space="preserve"> %. </w:t>
      </w:r>
      <w:r w:rsidRPr="004A5668">
        <w:t xml:space="preserve">Ostatní země zaujímají </w:t>
      </w:r>
      <w:r w:rsidR="006B4CFE">
        <w:t>0,9 % až 1,5 %</w:t>
      </w:r>
      <w:r w:rsidRPr="004A5668">
        <w:t xml:space="preserve"> z celkového počtu cizinců.    </w:t>
      </w:r>
    </w:p>
    <w:p w14:paraId="6BEF3198" w14:textId="04C6E8ED" w:rsidR="00FA7769" w:rsidRDefault="00E3792E" w:rsidP="006B4CFE">
      <w:pPr>
        <w:keepNext/>
        <w:spacing w:after="120" w:line="240" w:lineRule="auto"/>
        <w:jc w:val="both"/>
        <w:rPr>
          <w:b/>
        </w:rPr>
      </w:pPr>
      <w:r>
        <w:rPr>
          <w:b/>
        </w:rPr>
        <w:lastRenderedPageBreak/>
        <w:t xml:space="preserve">Tabulka 3.3 </w:t>
      </w:r>
      <w:r w:rsidR="00FA7769" w:rsidRPr="00D316CC">
        <w:rPr>
          <w:b/>
        </w:rPr>
        <w:t xml:space="preserve">Střední školy – počet žáků cizí státní příslušnosti dle státního občanství (pouze státy, které jsou </w:t>
      </w:r>
      <w:r w:rsidR="006B4CFE">
        <w:rPr>
          <w:b/>
        </w:rPr>
        <w:t>původem více než 100 žáků); 2022/23</w:t>
      </w:r>
      <w:r w:rsidR="006B51B8">
        <w:rPr>
          <w:b/>
        </w:rPr>
        <w:t xml:space="preserve"> (k 30.</w:t>
      </w:r>
      <w:r w:rsidR="001667C0">
        <w:rPr>
          <w:b/>
        </w:rPr>
        <w:t> </w:t>
      </w:r>
      <w:r w:rsidR="006B51B8">
        <w:rPr>
          <w:b/>
        </w:rPr>
        <w:t>9.)</w:t>
      </w:r>
    </w:p>
    <w:tbl>
      <w:tblPr>
        <w:tblW w:w="39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20"/>
        <w:gridCol w:w="1440"/>
      </w:tblGrid>
      <w:tr w:rsidR="00F77C2A" w:rsidRPr="00F77C2A" w14:paraId="769467EF" w14:textId="77777777" w:rsidTr="00F77C2A">
        <w:trPr>
          <w:trHeight w:val="67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9FC396A" w14:textId="77777777" w:rsidR="00F77C2A" w:rsidRPr="00F77C2A" w:rsidRDefault="00F77C2A" w:rsidP="006B4CFE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F77C2A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země původu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C3396BC" w14:textId="77777777" w:rsidR="00F77C2A" w:rsidRPr="00F77C2A" w:rsidRDefault="00F77C2A" w:rsidP="006B4CFE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F77C2A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počet žáků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22A949F" w14:textId="77777777" w:rsidR="00F77C2A" w:rsidRPr="00F77C2A" w:rsidRDefault="00F77C2A" w:rsidP="006B4CF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F77C2A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podíl ze všech žáků cizí státní příslušnosti</w:t>
            </w:r>
          </w:p>
        </w:tc>
      </w:tr>
      <w:tr w:rsidR="00F77C2A" w:rsidRPr="00F77C2A" w14:paraId="30B3E6B7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234D" w14:textId="345E46E5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Ukrajina</w:t>
            </w:r>
            <w:r w:rsidR="006B51B8">
              <w:rPr>
                <w:rStyle w:val="Znakapoznpodarou"/>
                <w:rFonts w:cs="Arial"/>
                <w:color w:val="000000"/>
                <w:sz w:val="16"/>
                <w:szCs w:val="16"/>
              </w:rPr>
              <w:footnoteReference w:id="14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14F8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7 062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3952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50,0%</w:t>
            </w:r>
          </w:p>
        </w:tc>
      </w:tr>
      <w:tr w:rsidR="00F77C2A" w:rsidRPr="00F77C2A" w14:paraId="1A0F2604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D1DA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43BB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2 062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24DE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14,6%</w:t>
            </w:r>
          </w:p>
        </w:tc>
      </w:tr>
      <w:tr w:rsidR="00F77C2A" w:rsidRPr="00F77C2A" w14:paraId="3C36E6EA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1CA7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Vietnam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0B28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1 892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EB3B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13,4%</w:t>
            </w:r>
          </w:p>
        </w:tc>
      </w:tr>
      <w:tr w:rsidR="00F77C2A" w:rsidRPr="00F77C2A" w14:paraId="20355AAC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667E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Rusko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C530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832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C557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5,9%</w:t>
            </w:r>
          </w:p>
        </w:tc>
      </w:tr>
      <w:tr w:rsidR="00F77C2A" w:rsidRPr="00F77C2A" w14:paraId="7CF0D6D5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3793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Bulharsko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D9FF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CC14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1,5%</w:t>
            </w:r>
          </w:p>
        </w:tc>
      </w:tr>
      <w:tr w:rsidR="00F77C2A" w:rsidRPr="00F77C2A" w14:paraId="3980FDCF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A9BB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Mongolsko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4A9E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6783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1,4%</w:t>
            </w:r>
          </w:p>
        </w:tc>
      </w:tr>
      <w:tr w:rsidR="00F77C2A" w:rsidRPr="00F77C2A" w14:paraId="580D2BA1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B349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Rumunsko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BD21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6B03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1,2%</w:t>
            </w:r>
          </w:p>
        </w:tc>
      </w:tr>
      <w:tr w:rsidR="00F77C2A" w:rsidRPr="00F77C2A" w14:paraId="79FE9086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9BA7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Moldavsko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192D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C670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1,1%</w:t>
            </w:r>
          </w:p>
        </w:tc>
      </w:tr>
      <w:tr w:rsidR="00F77C2A" w:rsidRPr="00F77C2A" w14:paraId="7E3B71B1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5CB7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Maďarsko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B206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45FB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1,0%</w:t>
            </w:r>
          </w:p>
        </w:tc>
      </w:tr>
      <w:tr w:rsidR="00F77C2A" w:rsidRPr="00F77C2A" w14:paraId="7F2E11A2" w14:textId="77777777" w:rsidTr="00F77C2A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8664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Kazachstán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842B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374B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1,0%</w:t>
            </w:r>
          </w:p>
        </w:tc>
      </w:tr>
      <w:tr w:rsidR="00F77C2A" w:rsidRPr="00F77C2A" w14:paraId="3432E072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6871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Polsko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82CF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E4D1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1,0%</w:t>
            </w:r>
          </w:p>
        </w:tc>
      </w:tr>
      <w:tr w:rsidR="00F77C2A" w:rsidRPr="00F77C2A" w14:paraId="2ABF517A" w14:textId="77777777" w:rsidTr="00F77C2A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49EF" w14:textId="77777777" w:rsidR="00F77C2A" w:rsidRPr="00F77C2A" w:rsidRDefault="00F77C2A" w:rsidP="00F77C2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Čína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2B78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65AC" w14:textId="77777777" w:rsidR="00F77C2A" w:rsidRPr="00F77C2A" w:rsidRDefault="00F77C2A" w:rsidP="00F77C2A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7C2A">
              <w:rPr>
                <w:rFonts w:cs="Arial"/>
                <w:color w:val="000000"/>
                <w:sz w:val="16"/>
                <w:szCs w:val="16"/>
              </w:rPr>
              <w:t>0,9%</w:t>
            </w:r>
          </w:p>
        </w:tc>
      </w:tr>
    </w:tbl>
    <w:p w14:paraId="1838EFE5" w14:textId="0411068C" w:rsidR="00FA7769" w:rsidRDefault="00691399" w:rsidP="007964E5">
      <w:pPr>
        <w:spacing w:before="120" w:after="120"/>
        <w:jc w:val="both"/>
        <w:rPr>
          <w:rFonts w:cs="Arial"/>
          <w:sz w:val="18"/>
        </w:rPr>
      </w:pPr>
      <w:r>
        <w:rPr>
          <w:b/>
        </w:rPr>
        <w:t xml:space="preserve">                                     </w:t>
      </w:r>
      <w:r w:rsidR="00FA7769" w:rsidRPr="00F94849">
        <w:rPr>
          <w:rFonts w:cs="Arial"/>
          <w:sz w:val="18"/>
        </w:rPr>
        <w:t>Zdroj: ČSÚ</w:t>
      </w:r>
      <w:r w:rsidR="00FA7769" w:rsidRPr="00F94849">
        <w:rPr>
          <w:rFonts w:cs="Arial"/>
          <w:noProof/>
        </w:rPr>
        <w:t xml:space="preserve"> </w:t>
      </w:r>
      <w:r w:rsidR="00FA7769" w:rsidRPr="00307699">
        <w:rPr>
          <w:rFonts w:cs="Arial"/>
          <w:sz w:val="18"/>
        </w:rPr>
        <w:t>podle údajů MŠMT</w:t>
      </w:r>
    </w:p>
    <w:p w14:paraId="39CC6117" w14:textId="10004344" w:rsidR="00FF6B7E" w:rsidRPr="00480931" w:rsidRDefault="00FF6B7E" w:rsidP="00D8357D">
      <w:pPr>
        <w:spacing w:after="120"/>
        <w:jc w:val="both"/>
        <w:rPr>
          <w:rFonts w:cs="Arial"/>
          <w:color w:val="FF0000"/>
          <w:szCs w:val="20"/>
        </w:rPr>
      </w:pPr>
    </w:p>
    <w:sectPr w:rsidR="00FF6B7E" w:rsidRPr="00480931" w:rsidSect="006F5416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89A1D8" w14:textId="77777777" w:rsidR="005E5985" w:rsidRDefault="005E5985" w:rsidP="00E71A58">
      <w:r>
        <w:separator/>
      </w:r>
    </w:p>
  </w:endnote>
  <w:endnote w:type="continuationSeparator" w:id="0">
    <w:p w14:paraId="139496F4" w14:textId="77777777" w:rsidR="005E5985" w:rsidRDefault="005E5985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8270E" w14:textId="0CCE07FA" w:rsidR="0028381B" w:rsidRPr="00932443" w:rsidRDefault="0028381B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9776" behindDoc="0" locked="0" layoutInCell="1" allowOverlap="1" wp14:anchorId="44869E7E" wp14:editId="7B7B3158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F215DE">
      <w:rPr>
        <w:szCs w:val="16"/>
      </w:rPr>
      <w:t>22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rStyle w:val="ZpatChar"/>
        <w:szCs w:val="16"/>
      </w:rPr>
      <w:t>Školní rok 2022/2023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BFAD" w14:textId="397DF57C" w:rsidR="0028381B" w:rsidRPr="00932443" w:rsidRDefault="0028381B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728" behindDoc="0" locked="0" layoutInCell="1" allowOverlap="1" wp14:anchorId="4020FA8D" wp14:editId="4C38B72F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Školní rok 2022/2023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F215DE">
      <w:rPr>
        <w:rStyle w:val="ZpatChar"/>
        <w:szCs w:val="16"/>
      </w:rPr>
      <w:t>21</w:t>
    </w:r>
    <w:r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B981B" w14:textId="77777777" w:rsidR="005E5985" w:rsidRDefault="005E5985" w:rsidP="00E71A58">
      <w:r>
        <w:separator/>
      </w:r>
    </w:p>
  </w:footnote>
  <w:footnote w:type="continuationSeparator" w:id="0">
    <w:p w14:paraId="788D2A4F" w14:textId="77777777" w:rsidR="005E5985" w:rsidRDefault="005E5985" w:rsidP="00E71A58">
      <w:r>
        <w:continuationSeparator/>
      </w:r>
    </w:p>
  </w:footnote>
  <w:footnote w:id="1">
    <w:p w14:paraId="654721C1" w14:textId="77777777" w:rsidR="0028381B" w:rsidRPr="0091489A" w:rsidRDefault="0028381B" w:rsidP="000B785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91489A">
        <w:rPr>
          <w:rStyle w:val="Znakapoznpodarou"/>
          <w:rFonts w:ascii="Arial" w:hAnsi="Arial" w:cs="Arial"/>
          <w:sz w:val="18"/>
          <w:szCs w:val="18"/>
        </w:rPr>
        <w:footnoteRef/>
      </w:r>
      <w:r w:rsidRPr="0091489A">
        <w:rPr>
          <w:rFonts w:ascii="Arial" w:hAnsi="Arial" w:cs="Arial"/>
          <w:sz w:val="18"/>
          <w:szCs w:val="18"/>
        </w:rPr>
        <w:t xml:space="preserve"> Podle mezinárodní klasifikace ISCED se takové vzdělávání nazývá nižší sekundární a v České republice se do něj započítává i 2. stupeň základních </w:t>
      </w:r>
      <w:proofErr w:type="gramStart"/>
      <w:r w:rsidRPr="0091489A">
        <w:rPr>
          <w:rFonts w:ascii="Arial" w:hAnsi="Arial" w:cs="Arial"/>
          <w:sz w:val="18"/>
          <w:szCs w:val="18"/>
        </w:rPr>
        <w:t>škol a 1.-4. ročník</w:t>
      </w:r>
      <w:proofErr w:type="gramEnd"/>
      <w:r w:rsidRPr="0091489A">
        <w:rPr>
          <w:rFonts w:ascii="Arial" w:hAnsi="Arial" w:cs="Arial"/>
          <w:sz w:val="18"/>
          <w:szCs w:val="18"/>
        </w:rPr>
        <w:t xml:space="preserve"> osmileté konzervatoře. Vyšší ročníky gymnázií a osmileté konzervatoře se řadí do vyššího sekundárního vzdělávání. To zahrnuje i veškeré střední vzdělávání, které již nespadá do povinné školní docházky (více viz zde: </w:t>
      </w:r>
      <w:hyperlink r:id="rId1" w:history="1">
        <w:r w:rsidRPr="0091489A">
          <w:rPr>
            <w:rStyle w:val="Hypertextovodkaz"/>
            <w:rFonts w:ascii="Arial" w:hAnsi="Arial" w:cs="Arial"/>
            <w:sz w:val="18"/>
            <w:szCs w:val="18"/>
          </w:rPr>
          <w:t>www.czso.cz/csu/czso/klasifikace_vzdelani_cz_isced_2011</w:t>
        </w:r>
      </w:hyperlink>
      <w:r w:rsidRPr="0091489A">
        <w:rPr>
          <w:rFonts w:ascii="Arial" w:hAnsi="Arial" w:cs="Arial"/>
          <w:sz w:val="18"/>
          <w:szCs w:val="18"/>
        </w:rPr>
        <w:t xml:space="preserve">) </w:t>
      </w:r>
    </w:p>
  </w:footnote>
  <w:footnote w:id="2">
    <w:p w14:paraId="0187CA85" w14:textId="7EAEE861" w:rsidR="0028381B" w:rsidRDefault="0028381B" w:rsidP="000B785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D80BF8">
        <w:rPr>
          <w:rFonts w:ascii="Arial" w:hAnsi="Arial" w:cs="Arial"/>
          <w:sz w:val="18"/>
          <w:szCs w:val="18"/>
        </w:rPr>
        <w:t>Školou je myšlen právní subjekt s jedním ředitelstvím, které může zahrnovat více odloučených pracovišť, jakož i více úrovní a druhů vzdělávání.</w:t>
      </w:r>
    </w:p>
  </w:footnote>
  <w:footnote w:id="3">
    <w:p w14:paraId="74E6E138" w14:textId="378F5C17" w:rsidR="0028381B" w:rsidRPr="0033440D" w:rsidRDefault="0028381B" w:rsidP="000B785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33440D">
        <w:rPr>
          <w:rStyle w:val="Znakapoznpodarou"/>
          <w:rFonts w:ascii="Arial" w:hAnsi="Arial" w:cs="Arial"/>
          <w:sz w:val="18"/>
          <w:szCs w:val="18"/>
        </w:rPr>
        <w:footnoteRef/>
      </w:r>
      <w:r w:rsidRPr="0033440D">
        <w:rPr>
          <w:rFonts w:ascii="Arial" w:hAnsi="Arial" w:cs="Arial"/>
          <w:sz w:val="18"/>
          <w:szCs w:val="18"/>
        </w:rPr>
        <w:t xml:space="preserve"> Připomeň</w:t>
      </w:r>
      <w:r>
        <w:rPr>
          <w:rFonts w:ascii="Arial" w:hAnsi="Arial" w:cs="Arial"/>
          <w:sz w:val="18"/>
          <w:szCs w:val="18"/>
        </w:rPr>
        <w:t>me, že 96,7</w:t>
      </w:r>
      <w:r w:rsidRPr="0033440D">
        <w:rPr>
          <w:rFonts w:ascii="Arial" w:hAnsi="Arial" w:cs="Arial"/>
          <w:sz w:val="18"/>
          <w:szCs w:val="18"/>
        </w:rPr>
        <w:t xml:space="preserve"> % žáků základních škol navštěvovaly školy veřejného zřizovatele. U středních škol tak hrají soukromé školy mnohem větší úlohu než u škol základních.</w:t>
      </w:r>
    </w:p>
  </w:footnote>
  <w:footnote w:id="4">
    <w:p w14:paraId="686A5B78" w14:textId="65EFD540" w:rsidR="0028381B" w:rsidRPr="006E5E0F" w:rsidRDefault="0028381B">
      <w:pPr>
        <w:pStyle w:val="Textpoznpodarou"/>
        <w:rPr>
          <w:rFonts w:ascii="Arial" w:hAnsi="Arial" w:cs="Arial"/>
          <w:sz w:val="18"/>
          <w:szCs w:val="18"/>
        </w:rPr>
      </w:pPr>
      <w:r w:rsidRPr="006E5E0F">
        <w:rPr>
          <w:rStyle w:val="Znakapoznpodarou"/>
          <w:rFonts w:ascii="Arial" w:hAnsi="Arial" w:cs="Arial"/>
          <w:sz w:val="18"/>
          <w:szCs w:val="18"/>
        </w:rPr>
        <w:footnoteRef/>
      </w:r>
      <w:r w:rsidRPr="006E5E0F">
        <w:rPr>
          <w:rFonts w:ascii="Arial" w:hAnsi="Arial" w:cs="Arial"/>
          <w:sz w:val="18"/>
          <w:szCs w:val="18"/>
        </w:rPr>
        <w:t xml:space="preserve"> Doplňme, že kromě žáků s trvalým pobytem v ČR mohou střední školy navštěvovat i cizinci bez trvalého pobytu v ČR. Do počtu žáků středních škol se tedy též promítá míra migrace</w:t>
      </w:r>
      <w:r>
        <w:rPr>
          <w:rFonts w:ascii="Arial" w:hAnsi="Arial" w:cs="Arial"/>
          <w:sz w:val="18"/>
          <w:szCs w:val="18"/>
        </w:rPr>
        <w:t>, kterou graf 3.2 nezachycuje</w:t>
      </w:r>
      <w:r w:rsidRPr="006E5E0F">
        <w:rPr>
          <w:rFonts w:ascii="Arial" w:hAnsi="Arial" w:cs="Arial"/>
          <w:sz w:val="18"/>
          <w:szCs w:val="18"/>
        </w:rPr>
        <w:t>.</w:t>
      </w:r>
    </w:p>
  </w:footnote>
  <w:footnote w:id="5">
    <w:p w14:paraId="0BA08195" w14:textId="2142E670" w:rsidR="0028381B" w:rsidRPr="00431664" w:rsidRDefault="0028381B" w:rsidP="005D74F2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5D74F2">
        <w:rPr>
          <w:rStyle w:val="Znakapoznpodarou"/>
          <w:rFonts w:ascii="Arial" w:hAnsi="Arial" w:cs="Arial"/>
          <w:sz w:val="18"/>
          <w:szCs w:val="18"/>
        </w:rPr>
        <w:footnoteRef/>
      </w:r>
      <w:r w:rsidRPr="005D74F2">
        <w:rPr>
          <w:rFonts w:ascii="Arial" w:hAnsi="Arial" w:cs="Arial"/>
          <w:sz w:val="18"/>
          <w:szCs w:val="18"/>
        </w:rPr>
        <w:t xml:space="preserve"> Česká republika má ve srovnání s jinými zeměmi EU jeden z nejvyšších podílů žáků v odborném vzdělávání.  Zejména však učňovské obory nejsou příliš atraktivní a vzdělává se v nich velký podíl žáků z horších socioekonomických poměrů (viz </w:t>
      </w:r>
      <w:hyperlink r:id="rId2" w:history="1">
        <w:r w:rsidRPr="005D74F2">
          <w:rPr>
            <w:rStyle w:val="Hypertextovodkaz"/>
            <w:rFonts w:ascii="Arial" w:eastAsia="Arial" w:hAnsi="Arial" w:cs="Arial"/>
            <w:sz w:val="18"/>
            <w:szCs w:val="18"/>
          </w:rPr>
          <w:t>https://idea.cerge-ei.cz/zpravy/spolecansky-status-ucnovskeho-vzdelavani-v-ceske-republice</w:t>
        </w:r>
      </w:hyperlink>
      <w:r w:rsidRPr="005D74F2">
        <w:rPr>
          <w:rFonts w:ascii="Arial" w:eastAsia="Arial" w:hAnsi="Arial" w:cs="Arial"/>
          <w:color w:val="000000"/>
          <w:sz w:val="18"/>
          <w:szCs w:val="18"/>
        </w:rPr>
        <w:t>)</w:t>
      </w:r>
      <w:r w:rsidRPr="005D74F2">
        <w:rPr>
          <w:rFonts w:ascii="Arial" w:hAnsi="Arial" w:cs="Arial"/>
          <w:sz w:val="18"/>
          <w:szCs w:val="18"/>
        </w:rPr>
        <w:t xml:space="preserve">. Tito žáci si pak mohou doplnit maturitu v nástavbovém studiu. Nástavbové studium však zaznamenává dle dat </w:t>
      </w:r>
      <w:proofErr w:type="spellStart"/>
      <w:r w:rsidRPr="005D74F2">
        <w:rPr>
          <w:rFonts w:ascii="Arial" w:hAnsi="Arial" w:cs="Arial"/>
          <w:sz w:val="18"/>
          <w:szCs w:val="18"/>
        </w:rPr>
        <w:t>Cermatu</w:t>
      </w:r>
      <w:proofErr w:type="spellEnd"/>
      <w:r w:rsidRPr="005D74F2">
        <w:rPr>
          <w:rFonts w:ascii="Arial" w:hAnsi="Arial" w:cs="Arial"/>
          <w:sz w:val="18"/>
          <w:szCs w:val="18"/>
        </w:rPr>
        <w:t xml:space="preserve"> ze všech druhů vzdělávání nejnižší úspěšnost složení závěrečné zkoušky, viz zde: </w:t>
      </w:r>
      <w:hyperlink r:id="rId3" w:history="1">
        <w:r w:rsidRPr="005D74F2">
          <w:rPr>
            <w:rStyle w:val="Hypertextovodkaz"/>
            <w:rFonts w:ascii="Arial" w:hAnsi="Arial" w:cs="Arial"/>
            <w:sz w:val="18"/>
            <w:szCs w:val="18"/>
          </w:rPr>
          <w:t>https://data.cermat.cz/files/files/2022/MZ/MZ13-22_DIDAKTICKE_TESTY_signalni_vysledky.pdf</w:t>
        </w:r>
      </w:hyperlink>
      <w:r w:rsidRPr="005D74F2">
        <w:rPr>
          <w:rFonts w:ascii="Arial" w:hAnsi="Arial" w:cs="Arial"/>
          <w:sz w:val="18"/>
          <w:szCs w:val="18"/>
        </w:rPr>
        <w:t>. Odborníci tak vedou</w:t>
      </w:r>
      <w:r w:rsidRPr="00431664">
        <w:rPr>
          <w:rFonts w:ascii="Arial" w:hAnsi="Arial" w:cs="Arial"/>
          <w:sz w:val="18"/>
          <w:szCs w:val="18"/>
        </w:rPr>
        <w:t xml:space="preserve"> debatu o tom, jak zajistit rovné šance pro všechny a </w:t>
      </w:r>
      <w:r>
        <w:rPr>
          <w:rFonts w:ascii="Arial" w:hAnsi="Arial" w:cs="Arial"/>
          <w:sz w:val="18"/>
          <w:szCs w:val="18"/>
        </w:rPr>
        <w:t>v jakém věku by mělo docházet</w:t>
      </w:r>
      <w:r w:rsidRPr="00431664">
        <w:rPr>
          <w:rFonts w:ascii="Arial" w:hAnsi="Arial" w:cs="Arial"/>
          <w:sz w:val="18"/>
          <w:szCs w:val="18"/>
        </w:rPr>
        <w:t xml:space="preserve"> k selekci vzdělávací (a potažmo profesní)</w:t>
      </w:r>
      <w:r>
        <w:rPr>
          <w:rFonts w:ascii="Arial" w:hAnsi="Arial" w:cs="Arial"/>
          <w:sz w:val="18"/>
          <w:szCs w:val="18"/>
        </w:rPr>
        <w:t xml:space="preserve"> dráhy žáků.</w:t>
      </w:r>
    </w:p>
  </w:footnote>
  <w:footnote w:id="6">
    <w:p w14:paraId="585B2810" w14:textId="032AA4B9" w:rsidR="0028381B" w:rsidRPr="0091489A" w:rsidRDefault="0028381B" w:rsidP="00FA7769">
      <w:pPr>
        <w:pStyle w:val="Textpoznpodarou"/>
        <w:rPr>
          <w:rFonts w:ascii="Arial" w:hAnsi="Arial" w:cs="Arial"/>
          <w:sz w:val="18"/>
          <w:szCs w:val="18"/>
        </w:rPr>
      </w:pPr>
      <w:r w:rsidRPr="0091489A">
        <w:rPr>
          <w:rStyle w:val="Znakapoznpodarou"/>
          <w:rFonts w:ascii="Arial" w:hAnsi="Arial" w:cs="Arial"/>
          <w:sz w:val="18"/>
          <w:szCs w:val="18"/>
        </w:rPr>
        <w:footnoteRef/>
      </w:r>
      <w:r w:rsidRPr="0091489A">
        <w:rPr>
          <w:rFonts w:ascii="Arial" w:hAnsi="Arial" w:cs="Arial"/>
          <w:sz w:val="18"/>
          <w:szCs w:val="18"/>
        </w:rPr>
        <w:t xml:space="preserve"> více o této klasifikaci viz zde: </w:t>
      </w:r>
      <w:hyperlink r:id="rId4" w:history="1">
        <w:r w:rsidRPr="0091489A">
          <w:rPr>
            <w:rStyle w:val="Hypertextovodkaz"/>
            <w:rFonts w:ascii="Arial" w:hAnsi="Arial" w:cs="Arial"/>
            <w:sz w:val="18"/>
            <w:szCs w:val="18"/>
          </w:rPr>
          <w:t>www.czso.cz/csu/czso/klasifikace_kmenovych_oboru_vzdelani_-kkov-</w:t>
        </w:r>
      </w:hyperlink>
      <w:r w:rsidRPr="0091489A">
        <w:rPr>
          <w:rFonts w:ascii="Arial" w:hAnsi="Arial" w:cs="Arial"/>
          <w:sz w:val="18"/>
          <w:szCs w:val="18"/>
        </w:rPr>
        <w:t xml:space="preserve"> </w:t>
      </w:r>
    </w:p>
  </w:footnote>
  <w:footnote w:id="7">
    <w:p w14:paraId="1C9E3F9F" w14:textId="77777777" w:rsidR="0028381B" w:rsidRPr="0091489A" w:rsidRDefault="0028381B" w:rsidP="004B4219">
      <w:pPr>
        <w:pStyle w:val="Textpoznpodarou"/>
        <w:rPr>
          <w:rFonts w:ascii="Arial" w:hAnsi="Arial" w:cs="Arial"/>
          <w:sz w:val="18"/>
          <w:szCs w:val="18"/>
        </w:rPr>
      </w:pPr>
      <w:r w:rsidRPr="0091489A">
        <w:rPr>
          <w:rStyle w:val="Znakapoznpodarou"/>
          <w:rFonts w:ascii="Arial" w:hAnsi="Arial" w:cs="Arial"/>
          <w:sz w:val="18"/>
          <w:szCs w:val="18"/>
        </w:rPr>
        <w:footnoteRef/>
      </w:r>
      <w:r w:rsidRPr="0091489A">
        <w:rPr>
          <w:rFonts w:ascii="Arial" w:hAnsi="Arial" w:cs="Arial"/>
          <w:sz w:val="18"/>
          <w:szCs w:val="18"/>
        </w:rPr>
        <w:t xml:space="preserve"> Nové nařízení vlády č. 211/2010 Sb. nahrazuje dosavadní právní úpravu, obsaženou v nařízení vlády č. 689/2004 Sb., a současně zohledňuje změny v soustavě oborů vzdělání vyvolané realizací čtvrté, závěrečné etapy </w:t>
      </w:r>
      <w:proofErr w:type="spellStart"/>
      <w:r w:rsidRPr="0091489A">
        <w:rPr>
          <w:rFonts w:ascii="Arial" w:hAnsi="Arial" w:cs="Arial"/>
          <w:sz w:val="18"/>
          <w:szCs w:val="18"/>
        </w:rPr>
        <w:t>kurikulární</w:t>
      </w:r>
      <w:proofErr w:type="spellEnd"/>
      <w:r w:rsidRPr="0091489A">
        <w:rPr>
          <w:rFonts w:ascii="Arial" w:hAnsi="Arial" w:cs="Arial"/>
          <w:sz w:val="18"/>
          <w:szCs w:val="18"/>
        </w:rPr>
        <w:t xml:space="preserve"> reformy vzdělávací soustavy.</w:t>
      </w:r>
    </w:p>
  </w:footnote>
  <w:footnote w:id="8">
    <w:p w14:paraId="7E303BAC" w14:textId="2C4C3BFC" w:rsidR="0028381B" w:rsidRPr="0091489A" w:rsidRDefault="0028381B" w:rsidP="00C24392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91489A">
        <w:rPr>
          <w:rStyle w:val="Znakapoznpodarou"/>
          <w:rFonts w:ascii="Arial" w:hAnsi="Arial" w:cs="Arial"/>
          <w:sz w:val="18"/>
          <w:szCs w:val="18"/>
        </w:rPr>
        <w:footnoteRef/>
      </w:r>
      <w:r w:rsidRPr="0091489A">
        <w:rPr>
          <w:rFonts w:ascii="Arial" w:hAnsi="Arial" w:cs="Arial"/>
          <w:sz w:val="18"/>
          <w:szCs w:val="18"/>
        </w:rPr>
        <w:t xml:space="preserve"> V případě skupiny oborů gastronomie, hotelnictví a turismus je dobré poznamenat, že se nejedná o dopad pandemie na zájem o tuto skupinu oborů. Mezi školními roky 2010/11 a 2018/19 počet žáků každoročně klesal, a sice o 6 až 8,3 %. Mezi lety 2018/19 a 2020/21 byl </w:t>
      </w:r>
      <w:r>
        <w:rPr>
          <w:rFonts w:ascii="Arial" w:hAnsi="Arial" w:cs="Arial"/>
          <w:sz w:val="18"/>
          <w:szCs w:val="18"/>
        </w:rPr>
        <w:t xml:space="preserve">relativně </w:t>
      </w:r>
      <w:r w:rsidRPr="0091489A">
        <w:rPr>
          <w:rFonts w:ascii="Arial" w:hAnsi="Arial" w:cs="Arial"/>
          <w:sz w:val="18"/>
          <w:szCs w:val="18"/>
        </w:rPr>
        <w:t>stabilní (čin</w:t>
      </w:r>
      <w:r>
        <w:rPr>
          <w:rFonts w:ascii="Arial" w:hAnsi="Arial" w:cs="Arial"/>
          <w:sz w:val="18"/>
          <w:szCs w:val="18"/>
        </w:rPr>
        <w:t xml:space="preserve">il 14 až 14,1 tisíce žáků), </w:t>
      </w:r>
      <w:r w:rsidRPr="0091489A">
        <w:rPr>
          <w:rFonts w:ascii="Arial" w:hAnsi="Arial" w:cs="Arial"/>
          <w:sz w:val="18"/>
          <w:szCs w:val="18"/>
        </w:rPr>
        <w:t xml:space="preserve">ve školním </w:t>
      </w:r>
      <w:r>
        <w:rPr>
          <w:rFonts w:ascii="Arial" w:hAnsi="Arial" w:cs="Arial"/>
          <w:sz w:val="18"/>
          <w:szCs w:val="18"/>
        </w:rPr>
        <w:t>roce 2021/22 opět poklesl o </w:t>
      </w:r>
      <w:r w:rsidRPr="0091489A">
        <w:rPr>
          <w:rFonts w:ascii="Arial" w:hAnsi="Arial" w:cs="Arial"/>
          <w:sz w:val="18"/>
          <w:szCs w:val="18"/>
        </w:rPr>
        <w:t>715 žáků</w:t>
      </w:r>
      <w:r>
        <w:rPr>
          <w:rFonts w:ascii="Arial" w:hAnsi="Arial" w:cs="Arial"/>
          <w:sz w:val="18"/>
          <w:szCs w:val="18"/>
        </w:rPr>
        <w:t xml:space="preserve"> a ve školním roce 2022/23 se naopak o 253 žáků zvýšil</w:t>
      </w:r>
      <w:r w:rsidRPr="0091489A">
        <w:rPr>
          <w:rFonts w:ascii="Arial" w:hAnsi="Arial" w:cs="Arial"/>
          <w:sz w:val="18"/>
          <w:szCs w:val="18"/>
        </w:rPr>
        <w:t>.</w:t>
      </w:r>
    </w:p>
  </w:footnote>
  <w:footnote w:id="9">
    <w:p w14:paraId="05FAFB14" w14:textId="77777777" w:rsidR="0028381B" w:rsidRDefault="0028381B" w:rsidP="00C243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6C46E7">
        <w:rPr>
          <w:sz w:val="18"/>
          <w:szCs w:val="18"/>
        </w:rPr>
        <w:t>Možno srovnat s mírou nezaměstnanosti absolventů skupin oborů s výučním listem, viz zde:</w:t>
      </w:r>
    </w:p>
    <w:p w14:paraId="7862EB36" w14:textId="1A8182C5" w:rsidR="0028381B" w:rsidRPr="006C46E7" w:rsidRDefault="00F215DE" w:rsidP="00C243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/>
          <w:color w:val="000000"/>
          <w:sz w:val="18"/>
          <w:szCs w:val="18"/>
        </w:rPr>
      </w:pPr>
      <w:hyperlink r:id="rId5" w:history="1">
        <w:r w:rsidR="0028381B" w:rsidRPr="005C3B30">
          <w:rPr>
            <w:rStyle w:val="Hypertextovodkaz"/>
            <w:rFonts w:eastAsia="Arial"/>
            <w:sz w:val="18"/>
            <w:szCs w:val="18"/>
          </w:rPr>
          <w:t>https://infoabsolvent.cz/Temata/PublikaceAbsolventi?Stranka=9-0-178&amp;NazevSeo=Nezamestnanost-absolventu-skol-se-strednim-a-</w:t>
        </w:r>
      </w:hyperlink>
      <w:r w:rsidR="0028381B">
        <w:rPr>
          <w:rFonts w:eastAsia="Arial"/>
          <w:color w:val="000000"/>
          <w:sz w:val="18"/>
          <w:szCs w:val="18"/>
        </w:rPr>
        <w:t xml:space="preserve"> </w:t>
      </w:r>
    </w:p>
  </w:footnote>
  <w:footnote w:id="10">
    <w:p w14:paraId="3A8DFC07" w14:textId="77777777" w:rsidR="0028381B" w:rsidRPr="0088001A" w:rsidRDefault="0028381B" w:rsidP="00FA7769">
      <w:pPr>
        <w:pStyle w:val="Textpoznpodarou"/>
        <w:rPr>
          <w:rFonts w:ascii="Arial" w:hAnsi="Arial" w:cs="Arial"/>
          <w:sz w:val="18"/>
          <w:szCs w:val="18"/>
        </w:rPr>
      </w:pPr>
      <w:r w:rsidRPr="0088001A">
        <w:rPr>
          <w:rStyle w:val="Znakapoznpodarou"/>
          <w:rFonts w:ascii="Arial" w:hAnsi="Arial" w:cs="Arial"/>
          <w:sz w:val="18"/>
          <w:szCs w:val="18"/>
        </w:rPr>
        <w:footnoteRef/>
      </w:r>
      <w:r w:rsidRPr="0088001A">
        <w:rPr>
          <w:rFonts w:ascii="Arial" w:hAnsi="Arial" w:cs="Arial"/>
          <w:sz w:val="18"/>
          <w:szCs w:val="18"/>
        </w:rPr>
        <w:t xml:space="preserve"> Zahrnuje podnikání, administrativu, ekonomiku a management různých odvětví.</w:t>
      </w:r>
    </w:p>
  </w:footnote>
  <w:footnote w:id="11">
    <w:p w14:paraId="2A9B1F8D" w14:textId="4C3C3019" w:rsidR="0028381B" w:rsidRPr="00A70867" w:rsidRDefault="0028381B" w:rsidP="00C24392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A70867">
        <w:rPr>
          <w:rStyle w:val="Znakapoznpodarou"/>
          <w:rFonts w:ascii="Arial" w:hAnsi="Arial" w:cs="Arial"/>
          <w:sz w:val="18"/>
          <w:szCs w:val="18"/>
        </w:rPr>
        <w:footnoteRef/>
      </w:r>
      <w:r w:rsidRPr="00A70867">
        <w:rPr>
          <w:rFonts w:ascii="Arial" w:hAnsi="Arial" w:cs="Arial"/>
          <w:sz w:val="18"/>
          <w:szCs w:val="18"/>
        </w:rPr>
        <w:t xml:space="preserve"> Za postižené více vadami se považuje dítě se dvěma nebo více druhy postižení, ze</w:t>
      </w:r>
      <w:r>
        <w:rPr>
          <w:rFonts w:ascii="Arial" w:hAnsi="Arial" w:cs="Arial"/>
          <w:sz w:val="18"/>
          <w:szCs w:val="18"/>
        </w:rPr>
        <w:t xml:space="preserve"> kterých by každé opravňovalo k </w:t>
      </w:r>
      <w:r w:rsidRPr="00A70867">
        <w:rPr>
          <w:rFonts w:ascii="Arial" w:hAnsi="Arial" w:cs="Arial"/>
          <w:sz w:val="18"/>
          <w:szCs w:val="18"/>
        </w:rPr>
        <w:t>poskytování podpůrných opatření ve vyšších stupních podpory.</w:t>
      </w:r>
    </w:p>
  </w:footnote>
  <w:footnote w:id="12">
    <w:p w14:paraId="04B10257" w14:textId="5C90434F" w:rsidR="0028381B" w:rsidRPr="00A70867" w:rsidRDefault="0028381B" w:rsidP="00C24392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A70867">
        <w:rPr>
          <w:rStyle w:val="Znakapoznpodarou"/>
          <w:rFonts w:ascii="Arial" w:hAnsi="Arial" w:cs="Arial"/>
          <w:sz w:val="18"/>
          <w:szCs w:val="18"/>
        </w:rPr>
        <w:footnoteRef/>
      </w:r>
      <w:r w:rsidRPr="00A70867">
        <w:rPr>
          <w:rFonts w:ascii="Arial" w:hAnsi="Arial" w:cs="Arial"/>
          <w:sz w:val="18"/>
          <w:szCs w:val="18"/>
        </w:rPr>
        <w:t xml:space="preserve"> Stejně jako u nižších úrovní vzdělávání, i zde může velkou lohu hrát míra podpory. Je-li žákům s určitým druhem postižení přiznávána podpora (finanční, personální), pak je větší pravděpodobnost, že se dot</w:t>
      </w:r>
      <w:r>
        <w:rPr>
          <w:rFonts w:ascii="Arial" w:hAnsi="Arial" w:cs="Arial"/>
          <w:sz w:val="18"/>
          <w:szCs w:val="18"/>
        </w:rPr>
        <w:t>yč</w:t>
      </w:r>
      <w:r w:rsidRPr="00A70867">
        <w:rPr>
          <w:rFonts w:ascii="Arial" w:hAnsi="Arial" w:cs="Arial"/>
          <w:sz w:val="18"/>
          <w:szCs w:val="18"/>
        </w:rPr>
        <w:t>ní rozhodnou zajít k odborníkovi a nechají žákům danou diagnózu potvrdit.</w:t>
      </w:r>
    </w:p>
  </w:footnote>
  <w:footnote w:id="13">
    <w:p w14:paraId="4BFBD781" w14:textId="357865B8" w:rsidR="0028381B" w:rsidRPr="0091489A" w:rsidRDefault="0028381B" w:rsidP="00FA7769">
      <w:pPr>
        <w:pStyle w:val="Textpoznpodarou"/>
        <w:rPr>
          <w:rFonts w:ascii="Arial" w:hAnsi="Arial" w:cs="Arial"/>
          <w:sz w:val="18"/>
          <w:szCs w:val="18"/>
        </w:rPr>
      </w:pPr>
      <w:r w:rsidRPr="0091489A">
        <w:rPr>
          <w:rStyle w:val="Znakapoznpodarou"/>
          <w:rFonts w:ascii="Arial" w:hAnsi="Arial" w:cs="Arial"/>
          <w:sz w:val="18"/>
          <w:szCs w:val="18"/>
        </w:rPr>
        <w:footnoteRef/>
      </w:r>
      <w:r w:rsidRPr="0091489A">
        <w:rPr>
          <w:rFonts w:ascii="Arial" w:hAnsi="Arial" w:cs="Arial"/>
          <w:sz w:val="18"/>
          <w:szCs w:val="18"/>
        </w:rPr>
        <w:t xml:space="preserve"> V tabulkách této publikace jsou k dispozici i počty dívek a chlapců s jednotlivými druhy postižení a údaj, jaký podíl ze všech chlapců, resp. dívek má diagnostikované uvedené druhy postižení. Viz tabu</w:t>
      </w:r>
      <w:r>
        <w:rPr>
          <w:rFonts w:ascii="Arial" w:hAnsi="Arial" w:cs="Arial"/>
          <w:sz w:val="18"/>
          <w:szCs w:val="18"/>
        </w:rPr>
        <w:t xml:space="preserve">lky </w:t>
      </w:r>
      <w:proofErr w:type="gramStart"/>
      <w:r>
        <w:rPr>
          <w:rFonts w:ascii="Arial" w:hAnsi="Arial" w:cs="Arial"/>
          <w:sz w:val="18"/>
          <w:szCs w:val="18"/>
        </w:rPr>
        <w:t>3.1.22</w:t>
      </w:r>
      <w:proofErr w:type="gramEnd"/>
      <w:r>
        <w:rPr>
          <w:rFonts w:ascii="Arial" w:hAnsi="Arial" w:cs="Arial"/>
          <w:sz w:val="18"/>
          <w:szCs w:val="18"/>
        </w:rPr>
        <w:t xml:space="preserve"> a 3.1.23</w:t>
      </w:r>
      <w:r w:rsidRPr="0091489A">
        <w:rPr>
          <w:rFonts w:ascii="Arial" w:hAnsi="Arial" w:cs="Arial"/>
          <w:sz w:val="18"/>
          <w:szCs w:val="18"/>
        </w:rPr>
        <w:t>.</w:t>
      </w:r>
    </w:p>
  </w:footnote>
  <w:footnote w:id="14">
    <w:p w14:paraId="1FD29B5B" w14:textId="20771B39" w:rsidR="0028381B" w:rsidRPr="001667C0" w:rsidRDefault="0028381B" w:rsidP="00742A80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1667C0">
        <w:rPr>
          <w:rStyle w:val="Znakapoznpodarou"/>
          <w:rFonts w:ascii="Arial" w:hAnsi="Arial" w:cs="Arial"/>
          <w:sz w:val="18"/>
          <w:szCs w:val="18"/>
        </w:rPr>
        <w:footnoteRef/>
      </w:r>
      <w:r w:rsidRPr="001667C0">
        <w:rPr>
          <w:rFonts w:ascii="Arial" w:hAnsi="Arial" w:cs="Arial"/>
          <w:sz w:val="18"/>
          <w:szCs w:val="18"/>
        </w:rPr>
        <w:t xml:space="preserve"> Údaje v této publikaci jsou dle stavu k 30. září daného školního roku. Údaje o počtech ukrajinských azylantů však byly sbírány též na jaře 2023. Mezi podzimním a jarním sběrem přitom ve středních školách ubylo o 421 ukrajinských azylantů, z toho 285 v maturitních oborech a 136 v nematuritních oborech.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C5BA4" w14:textId="77777777" w:rsidR="0028381B" w:rsidRPr="005859FB" w:rsidRDefault="0028381B" w:rsidP="005859FB">
    <w:pPr>
      <w:pStyle w:val="Zhlav"/>
    </w:pPr>
    <w:r>
      <w:t>Školy a školská zařízení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01019" w14:textId="77777777" w:rsidR="0028381B" w:rsidRPr="006F5416" w:rsidRDefault="0028381B" w:rsidP="00937AE2">
    <w:pPr>
      <w:pStyle w:val="Zhlav"/>
    </w:pPr>
    <w:r>
      <w:t>Školy a školská zařízení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032D4"/>
    <w:multiLevelType w:val="hybridMultilevel"/>
    <w:tmpl w:val="865A8EB2"/>
    <w:lvl w:ilvl="0" w:tplc="F68AA2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D4AED"/>
    <w:multiLevelType w:val="hybridMultilevel"/>
    <w:tmpl w:val="891EC2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E18D8"/>
    <w:multiLevelType w:val="hybridMultilevel"/>
    <w:tmpl w:val="89806270"/>
    <w:lvl w:ilvl="0" w:tplc="578C2E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53796B"/>
    <w:multiLevelType w:val="hybridMultilevel"/>
    <w:tmpl w:val="B86EC8CA"/>
    <w:lvl w:ilvl="0" w:tplc="043493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4"/>
  </w:num>
  <w:num w:numId="14">
    <w:abstractNumId w:val="16"/>
  </w:num>
  <w:num w:numId="15">
    <w:abstractNumId w:val="12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12"/>
    <w:rsid w:val="00001C7F"/>
    <w:rsid w:val="00001F1A"/>
    <w:rsid w:val="0000209D"/>
    <w:rsid w:val="00002954"/>
    <w:rsid w:val="00002D74"/>
    <w:rsid w:val="000031F2"/>
    <w:rsid w:val="00004450"/>
    <w:rsid w:val="00004D5A"/>
    <w:rsid w:val="000050C6"/>
    <w:rsid w:val="000056D5"/>
    <w:rsid w:val="00007555"/>
    <w:rsid w:val="0000767A"/>
    <w:rsid w:val="00010702"/>
    <w:rsid w:val="00010A21"/>
    <w:rsid w:val="00011849"/>
    <w:rsid w:val="00012274"/>
    <w:rsid w:val="00012510"/>
    <w:rsid w:val="000129C3"/>
    <w:rsid w:val="000136A4"/>
    <w:rsid w:val="00013F31"/>
    <w:rsid w:val="00014499"/>
    <w:rsid w:val="00014D8F"/>
    <w:rsid w:val="00014F55"/>
    <w:rsid w:val="00015CF8"/>
    <w:rsid w:val="00016992"/>
    <w:rsid w:val="00016CA9"/>
    <w:rsid w:val="00017BDF"/>
    <w:rsid w:val="00017D11"/>
    <w:rsid w:val="00021636"/>
    <w:rsid w:val="000216C6"/>
    <w:rsid w:val="000224E7"/>
    <w:rsid w:val="000234D6"/>
    <w:rsid w:val="00023AA4"/>
    <w:rsid w:val="00023D29"/>
    <w:rsid w:val="00023F23"/>
    <w:rsid w:val="00024EB8"/>
    <w:rsid w:val="0002572C"/>
    <w:rsid w:val="000259A0"/>
    <w:rsid w:val="00026389"/>
    <w:rsid w:val="0002773A"/>
    <w:rsid w:val="00031209"/>
    <w:rsid w:val="00031AE0"/>
    <w:rsid w:val="000322EF"/>
    <w:rsid w:val="00033EFE"/>
    <w:rsid w:val="00033FA8"/>
    <w:rsid w:val="00033FCD"/>
    <w:rsid w:val="0003595E"/>
    <w:rsid w:val="000367D8"/>
    <w:rsid w:val="00036C45"/>
    <w:rsid w:val="0003718B"/>
    <w:rsid w:val="00040343"/>
    <w:rsid w:val="0004057F"/>
    <w:rsid w:val="000406B9"/>
    <w:rsid w:val="0004121F"/>
    <w:rsid w:val="000413F5"/>
    <w:rsid w:val="00041CEC"/>
    <w:rsid w:val="000421D8"/>
    <w:rsid w:val="00042719"/>
    <w:rsid w:val="00043865"/>
    <w:rsid w:val="000442C8"/>
    <w:rsid w:val="0004467E"/>
    <w:rsid w:val="000456A5"/>
    <w:rsid w:val="000459D5"/>
    <w:rsid w:val="00045C29"/>
    <w:rsid w:val="00046372"/>
    <w:rsid w:val="00046393"/>
    <w:rsid w:val="00046430"/>
    <w:rsid w:val="0004694F"/>
    <w:rsid w:val="00046C2B"/>
    <w:rsid w:val="000473B9"/>
    <w:rsid w:val="0004758E"/>
    <w:rsid w:val="000476CE"/>
    <w:rsid w:val="000512A3"/>
    <w:rsid w:val="00051EBB"/>
    <w:rsid w:val="000522E4"/>
    <w:rsid w:val="000530DE"/>
    <w:rsid w:val="000532DE"/>
    <w:rsid w:val="0005392F"/>
    <w:rsid w:val="00054851"/>
    <w:rsid w:val="00054EB9"/>
    <w:rsid w:val="00054F20"/>
    <w:rsid w:val="0005583F"/>
    <w:rsid w:val="000564AE"/>
    <w:rsid w:val="00056F13"/>
    <w:rsid w:val="00056F30"/>
    <w:rsid w:val="00056F98"/>
    <w:rsid w:val="000600CC"/>
    <w:rsid w:val="00060973"/>
    <w:rsid w:val="00060A25"/>
    <w:rsid w:val="000610E1"/>
    <w:rsid w:val="0006164B"/>
    <w:rsid w:val="00062CD3"/>
    <w:rsid w:val="00062EC5"/>
    <w:rsid w:val="00062F22"/>
    <w:rsid w:val="000631CF"/>
    <w:rsid w:val="00064844"/>
    <w:rsid w:val="000648BE"/>
    <w:rsid w:val="00064A90"/>
    <w:rsid w:val="00065051"/>
    <w:rsid w:val="0006559B"/>
    <w:rsid w:val="00065939"/>
    <w:rsid w:val="00065D55"/>
    <w:rsid w:val="00066569"/>
    <w:rsid w:val="00066F37"/>
    <w:rsid w:val="00070303"/>
    <w:rsid w:val="000712B3"/>
    <w:rsid w:val="00072D5C"/>
    <w:rsid w:val="00072DC6"/>
    <w:rsid w:val="00072FCD"/>
    <w:rsid w:val="00074945"/>
    <w:rsid w:val="00075235"/>
    <w:rsid w:val="0007535D"/>
    <w:rsid w:val="00077BD2"/>
    <w:rsid w:val="00081DD4"/>
    <w:rsid w:val="00082393"/>
    <w:rsid w:val="0008263E"/>
    <w:rsid w:val="00082C19"/>
    <w:rsid w:val="00083744"/>
    <w:rsid w:val="00083E6D"/>
    <w:rsid w:val="0008474B"/>
    <w:rsid w:val="000851C8"/>
    <w:rsid w:val="00085395"/>
    <w:rsid w:val="00085FF4"/>
    <w:rsid w:val="00086A75"/>
    <w:rsid w:val="00087634"/>
    <w:rsid w:val="00087CAE"/>
    <w:rsid w:val="00087D9B"/>
    <w:rsid w:val="00087F2B"/>
    <w:rsid w:val="0009041B"/>
    <w:rsid w:val="0009074B"/>
    <w:rsid w:val="000910EB"/>
    <w:rsid w:val="000916D1"/>
    <w:rsid w:val="000917DE"/>
    <w:rsid w:val="000917FC"/>
    <w:rsid w:val="00091BCC"/>
    <w:rsid w:val="00091D15"/>
    <w:rsid w:val="00091E88"/>
    <w:rsid w:val="000921D2"/>
    <w:rsid w:val="00092EDC"/>
    <w:rsid w:val="0009362C"/>
    <w:rsid w:val="00094B99"/>
    <w:rsid w:val="000974D1"/>
    <w:rsid w:val="0009799E"/>
    <w:rsid w:val="000A0794"/>
    <w:rsid w:val="000A1183"/>
    <w:rsid w:val="000A256D"/>
    <w:rsid w:val="000A3878"/>
    <w:rsid w:val="000A3A2C"/>
    <w:rsid w:val="000A3C52"/>
    <w:rsid w:val="000A633A"/>
    <w:rsid w:val="000A6708"/>
    <w:rsid w:val="000A708D"/>
    <w:rsid w:val="000A7838"/>
    <w:rsid w:val="000B1029"/>
    <w:rsid w:val="000B1FBB"/>
    <w:rsid w:val="000B238D"/>
    <w:rsid w:val="000B2821"/>
    <w:rsid w:val="000B30F3"/>
    <w:rsid w:val="000B30FA"/>
    <w:rsid w:val="000B3675"/>
    <w:rsid w:val="000B3A31"/>
    <w:rsid w:val="000B4AD2"/>
    <w:rsid w:val="000B55B4"/>
    <w:rsid w:val="000B5943"/>
    <w:rsid w:val="000B5EC1"/>
    <w:rsid w:val="000B6250"/>
    <w:rsid w:val="000B6A02"/>
    <w:rsid w:val="000B741A"/>
    <w:rsid w:val="000B785C"/>
    <w:rsid w:val="000B7EE5"/>
    <w:rsid w:val="000C0FB7"/>
    <w:rsid w:val="000C12F5"/>
    <w:rsid w:val="000C14A1"/>
    <w:rsid w:val="000C276F"/>
    <w:rsid w:val="000C2A76"/>
    <w:rsid w:val="000C2FE5"/>
    <w:rsid w:val="000C3380"/>
    <w:rsid w:val="000C3408"/>
    <w:rsid w:val="000C353B"/>
    <w:rsid w:val="000C49BD"/>
    <w:rsid w:val="000C5FB8"/>
    <w:rsid w:val="000C61DB"/>
    <w:rsid w:val="000C6AFD"/>
    <w:rsid w:val="000C78D0"/>
    <w:rsid w:val="000D0F6D"/>
    <w:rsid w:val="000D3BF8"/>
    <w:rsid w:val="000D421D"/>
    <w:rsid w:val="000D5637"/>
    <w:rsid w:val="000E0123"/>
    <w:rsid w:val="000E028D"/>
    <w:rsid w:val="000E257A"/>
    <w:rsid w:val="000E305F"/>
    <w:rsid w:val="000E3DFE"/>
    <w:rsid w:val="000E5D4D"/>
    <w:rsid w:val="000E6FBD"/>
    <w:rsid w:val="000F08DE"/>
    <w:rsid w:val="000F187D"/>
    <w:rsid w:val="000F281C"/>
    <w:rsid w:val="000F2B5C"/>
    <w:rsid w:val="000F2F9C"/>
    <w:rsid w:val="000F4153"/>
    <w:rsid w:val="000F42DB"/>
    <w:rsid w:val="000F4596"/>
    <w:rsid w:val="000F4C96"/>
    <w:rsid w:val="000F51EF"/>
    <w:rsid w:val="000F54F7"/>
    <w:rsid w:val="000F5CBB"/>
    <w:rsid w:val="000F5FF8"/>
    <w:rsid w:val="000F6286"/>
    <w:rsid w:val="000F65AB"/>
    <w:rsid w:val="000F7372"/>
    <w:rsid w:val="000F785A"/>
    <w:rsid w:val="0010092F"/>
    <w:rsid w:val="00100F5C"/>
    <w:rsid w:val="00101154"/>
    <w:rsid w:val="00102C63"/>
    <w:rsid w:val="00102D0D"/>
    <w:rsid w:val="00102F77"/>
    <w:rsid w:val="00103093"/>
    <w:rsid w:val="00103103"/>
    <w:rsid w:val="0010437D"/>
    <w:rsid w:val="00104C4C"/>
    <w:rsid w:val="00105E3B"/>
    <w:rsid w:val="00106F93"/>
    <w:rsid w:val="00106FEC"/>
    <w:rsid w:val="001122A8"/>
    <w:rsid w:val="00112537"/>
    <w:rsid w:val="001125B3"/>
    <w:rsid w:val="00112736"/>
    <w:rsid w:val="001130E6"/>
    <w:rsid w:val="00113341"/>
    <w:rsid w:val="00114C62"/>
    <w:rsid w:val="0011559C"/>
    <w:rsid w:val="00117E86"/>
    <w:rsid w:val="00120CA7"/>
    <w:rsid w:val="001210D7"/>
    <w:rsid w:val="0012148A"/>
    <w:rsid w:val="0012192F"/>
    <w:rsid w:val="0012250C"/>
    <w:rsid w:val="00124443"/>
    <w:rsid w:val="001259E3"/>
    <w:rsid w:val="00125D69"/>
    <w:rsid w:val="00126CE3"/>
    <w:rsid w:val="001301C4"/>
    <w:rsid w:val="00130ABD"/>
    <w:rsid w:val="001313EE"/>
    <w:rsid w:val="00131474"/>
    <w:rsid w:val="00131A45"/>
    <w:rsid w:val="001322DD"/>
    <w:rsid w:val="001325E0"/>
    <w:rsid w:val="001337D0"/>
    <w:rsid w:val="00133F68"/>
    <w:rsid w:val="00134C78"/>
    <w:rsid w:val="001350AD"/>
    <w:rsid w:val="001352DA"/>
    <w:rsid w:val="00135B02"/>
    <w:rsid w:val="00135B65"/>
    <w:rsid w:val="00135E64"/>
    <w:rsid w:val="001405FA"/>
    <w:rsid w:val="00140C07"/>
    <w:rsid w:val="00141591"/>
    <w:rsid w:val="001425C3"/>
    <w:rsid w:val="001430AD"/>
    <w:rsid w:val="00143103"/>
    <w:rsid w:val="00143675"/>
    <w:rsid w:val="001437FE"/>
    <w:rsid w:val="0014441E"/>
    <w:rsid w:val="00144C2B"/>
    <w:rsid w:val="00144CC4"/>
    <w:rsid w:val="001456D0"/>
    <w:rsid w:val="00147A96"/>
    <w:rsid w:val="0015049E"/>
    <w:rsid w:val="00150D28"/>
    <w:rsid w:val="0015235C"/>
    <w:rsid w:val="001526C3"/>
    <w:rsid w:val="00152969"/>
    <w:rsid w:val="00152CDD"/>
    <w:rsid w:val="001532A2"/>
    <w:rsid w:val="00153654"/>
    <w:rsid w:val="001548D3"/>
    <w:rsid w:val="00154E7D"/>
    <w:rsid w:val="0015575E"/>
    <w:rsid w:val="00156D16"/>
    <w:rsid w:val="00157E69"/>
    <w:rsid w:val="001601BB"/>
    <w:rsid w:val="001603E4"/>
    <w:rsid w:val="00161404"/>
    <w:rsid w:val="00161648"/>
    <w:rsid w:val="00161691"/>
    <w:rsid w:val="0016256B"/>
    <w:rsid w:val="00162DAF"/>
    <w:rsid w:val="001635E3"/>
    <w:rsid w:val="00163793"/>
    <w:rsid w:val="00164B11"/>
    <w:rsid w:val="00164DC5"/>
    <w:rsid w:val="00165363"/>
    <w:rsid w:val="001667C0"/>
    <w:rsid w:val="00167ED3"/>
    <w:rsid w:val="001706D6"/>
    <w:rsid w:val="001710FD"/>
    <w:rsid w:val="001714F2"/>
    <w:rsid w:val="00171A39"/>
    <w:rsid w:val="00171AB7"/>
    <w:rsid w:val="001720A3"/>
    <w:rsid w:val="00172128"/>
    <w:rsid w:val="00173F33"/>
    <w:rsid w:val="00175720"/>
    <w:rsid w:val="001764DA"/>
    <w:rsid w:val="00180AF0"/>
    <w:rsid w:val="00180B35"/>
    <w:rsid w:val="00180C3A"/>
    <w:rsid w:val="00181007"/>
    <w:rsid w:val="001810E3"/>
    <w:rsid w:val="0018265D"/>
    <w:rsid w:val="00182836"/>
    <w:rsid w:val="00182E90"/>
    <w:rsid w:val="00184B08"/>
    <w:rsid w:val="00184DA9"/>
    <w:rsid w:val="00185010"/>
    <w:rsid w:val="001859DA"/>
    <w:rsid w:val="00186298"/>
    <w:rsid w:val="00190F5D"/>
    <w:rsid w:val="001918B2"/>
    <w:rsid w:val="00192060"/>
    <w:rsid w:val="001921A2"/>
    <w:rsid w:val="001928AC"/>
    <w:rsid w:val="00192FD9"/>
    <w:rsid w:val="00193657"/>
    <w:rsid w:val="00193677"/>
    <w:rsid w:val="00196098"/>
    <w:rsid w:val="00196337"/>
    <w:rsid w:val="0019696B"/>
    <w:rsid w:val="00197101"/>
    <w:rsid w:val="001A05D8"/>
    <w:rsid w:val="001A06C3"/>
    <w:rsid w:val="001A0A6E"/>
    <w:rsid w:val="001A13AF"/>
    <w:rsid w:val="001A2D20"/>
    <w:rsid w:val="001A3486"/>
    <w:rsid w:val="001A3AF5"/>
    <w:rsid w:val="001A4D56"/>
    <w:rsid w:val="001A4E80"/>
    <w:rsid w:val="001A552F"/>
    <w:rsid w:val="001A67BF"/>
    <w:rsid w:val="001A79B9"/>
    <w:rsid w:val="001B0FE4"/>
    <w:rsid w:val="001B1027"/>
    <w:rsid w:val="001B15CC"/>
    <w:rsid w:val="001B1637"/>
    <w:rsid w:val="001B267B"/>
    <w:rsid w:val="001B2768"/>
    <w:rsid w:val="001B2A54"/>
    <w:rsid w:val="001B2CA9"/>
    <w:rsid w:val="001B3110"/>
    <w:rsid w:val="001B373F"/>
    <w:rsid w:val="001B3B75"/>
    <w:rsid w:val="001B4729"/>
    <w:rsid w:val="001B4F24"/>
    <w:rsid w:val="001B5267"/>
    <w:rsid w:val="001B5BEF"/>
    <w:rsid w:val="001B5D9B"/>
    <w:rsid w:val="001B6C09"/>
    <w:rsid w:val="001B760A"/>
    <w:rsid w:val="001B7D45"/>
    <w:rsid w:val="001C05CD"/>
    <w:rsid w:val="001C0797"/>
    <w:rsid w:val="001C0B47"/>
    <w:rsid w:val="001C0E7F"/>
    <w:rsid w:val="001C2608"/>
    <w:rsid w:val="001C26E8"/>
    <w:rsid w:val="001C3868"/>
    <w:rsid w:val="001C7478"/>
    <w:rsid w:val="001C7C35"/>
    <w:rsid w:val="001C7D93"/>
    <w:rsid w:val="001C7E4C"/>
    <w:rsid w:val="001D00F3"/>
    <w:rsid w:val="001D0882"/>
    <w:rsid w:val="001D0E9E"/>
    <w:rsid w:val="001D2643"/>
    <w:rsid w:val="001D3014"/>
    <w:rsid w:val="001D31E0"/>
    <w:rsid w:val="001D3A55"/>
    <w:rsid w:val="001D3DF1"/>
    <w:rsid w:val="001D4165"/>
    <w:rsid w:val="001D492A"/>
    <w:rsid w:val="001D68B2"/>
    <w:rsid w:val="001D69DC"/>
    <w:rsid w:val="001D7B82"/>
    <w:rsid w:val="001D7EE6"/>
    <w:rsid w:val="001D7FE0"/>
    <w:rsid w:val="001E07F5"/>
    <w:rsid w:val="001E1D8B"/>
    <w:rsid w:val="001E238F"/>
    <w:rsid w:val="001E2EF7"/>
    <w:rsid w:val="001E3828"/>
    <w:rsid w:val="001E4332"/>
    <w:rsid w:val="001E57F4"/>
    <w:rsid w:val="001E5D08"/>
    <w:rsid w:val="001E6244"/>
    <w:rsid w:val="001E79C5"/>
    <w:rsid w:val="001F0349"/>
    <w:rsid w:val="001F12FA"/>
    <w:rsid w:val="001F1388"/>
    <w:rsid w:val="001F1585"/>
    <w:rsid w:val="001F16D9"/>
    <w:rsid w:val="001F4158"/>
    <w:rsid w:val="001F4597"/>
    <w:rsid w:val="001F612F"/>
    <w:rsid w:val="001F6190"/>
    <w:rsid w:val="001F66D6"/>
    <w:rsid w:val="001F6E14"/>
    <w:rsid w:val="001F7008"/>
    <w:rsid w:val="001F7BB8"/>
    <w:rsid w:val="00200886"/>
    <w:rsid w:val="00201203"/>
    <w:rsid w:val="002013DA"/>
    <w:rsid w:val="002014A3"/>
    <w:rsid w:val="00202A2D"/>
    <w:rsid w:val="00202EB2"/>
    <w:rsid w:val="00203E1E"/>
    <w:rsid w:val="002041CD"/>
    <w:rsid w:val="00204C84"/>
    <w:rsid w:val="00205D2D"/>
    <w:rsid w:val="00206DCF"/>
    <w:rsid w:val="002070EA"/>
    <w:rsid w:val="00207344"/>
    <w:rsid w:val="00207C9D"/>
    <w:rsid w:val="00210B09"/>
    <w:rsid w:val="00211120"/>
    <w:rsid w:val="002115A9"/>
    <w:rsid w:val="00211611"/>
    <w:rsid w:val="002118B9"/>
    <w:rsid w:val="0021267E"/>
    <w:rsid w:val="002142E4"/>
    <w:rsid w:val="00214868"/>
    <w:rsid w:val="00214ED2"/>
    <w:rsid w:val="00214F7C"/>
    <w:rsid w:val="00215001"/>
    <w:rsid w:val="0021603A"/>
    <w:rsid w:val="00216B72"/>
    <w:rsid w:val="00216DA0"/>
    <w:rsid w:val="00217C5B"/>
    <w:rsid w:val="002210BD"/>
    <w:rsid w:val="00221292"/>
    <w:rsid w:val="0022139E"/>
    <w:rsid w:val="002214CF"/>
    <w:rsid w:val="002217B5"/>
    <w:rsid w:val="002220EC"/>
    <w:rsid w:val="002230DF"/>
    <w:rsid w:val="00223B46"/>
    <w:rsid w:val="00223CFB"/>
    <w:rsid w:val="00224AD1"/>
    <w:rsid w:val="002252E0"/>
    <w:rsid w:val="002255F6"/>
    <w:rsid w:val="002257AD"/>
    <w:rsid w:val="002264DE"/>
    <w:rsid w:val="00226A91"/>
    <w:rsid w:val="002276C1"/>
    <w:rsid w:val="00227766"/>
    <w:rsid w:val="00227850"/>
    <w:rsid w:val="00227A53"/>
    <w:rsid w:val="00230643"/>
    <w:rsid w:val="00230C6E"/>
    <w:rsid w:val="00230EAA"/>
    <w:rsid w:val="0023118E"/>
    <w:rsid w:val="00233109"/>
    <w:rsid w:val="00233137"/>
    <w:rsid w:val="00233DA6"/>
    <w:rsid w:val="00235806"/>
    <w:rsid w:val="00235E86"/>
    <w:rsid w:val="00236443"/>
    <w:rsid w:val="00236C95"/>
    <w:rsid w:val="00236D42"/>
    <w:rsid w:val="00237602"/>
    <w:rsid w:val="0023779C"/>
    <w:rsid w:val="002415B7"/>
    <w:rsid w:val="00241924"/>
    <w:rsid w:val="00241E94"/>
    <w:rsid w:val="002425D9"/>
    <w:rsid w:val="00243563"/>
    <w:rsid w:val="002436BA"/>
    <w:rsid w:val="00243B3A"/>
    <w:rsid w:val="002445DD"/>
    <w:rsid w:val="00244A15"/>
    <w:rsid w:val="002465D1"/>
    <w:rsid w:val="00247319"/>
    <w:rsid w:val="0024799E"/>
    <w:rsid w:val="00247C96"/>
    <w:rsid w:val="00247FB4"/>
    <w:rsid w:val="00251922"/>
    <w:rsid w:val="0025269C"/>
    <w:rsid w:val="002535BC"/>
    <w:rsid w:val="002538CE"/>
    <w:rsid w:val="00253C0F"/>
    <w:rsid w:val="002542AC"/>
    <w:rsid w:val="00254402"/>
    <w:rsid w:val="00255CD0"/>
    <w:rsid w:val="00256F7E"/>
    <w:rsid w:val="00257D71"/>
    <w:rsid w:val="002602E7"/>
    <w:rsid w:val="00261B88"/>
    <w:rsid w:val="00261FA0"/>
    <w:rsid w:val="00262B1F"/>
    <w:rsid w:val="0026319C"/>
    <w:rsid w:val="002633D1"/>
    <w:rsid w:val="00263D62"/>
    <w:rsid w:val="00263D67"/>
    <w:rsid w:val="002651FD"/>
    <w:rsid w:val="00265B9E"/>
    <w:rsid w:val="00267A0A"/>
    <w:rsid w:val="00270163"/>
    <w:rsid w:val="002709AC"/>
    <w:rsid w:val="00270AF2"/>
    <w:rsid w:val="00270D37"/>
    <w:rsid w:val="00271465"/>
    <w:rsid w:val="00271F00"/>
    <w:rsid w:val="002733D2"/>
    <w:rsid w:val="0027456E"/>
    <w:rsid w:val="0027522C"/>
    <w:rsid w:val="00275F01"/>
    <w:rsid w:val="002777BE"/>
    <w:rsid w:val="00280182"/>
    <w:rsid w:val="00280ACF"/>
    <w:rsid w:val="00280B02"/>
    <w:rsid w:val="00282237"/>
    <w:rsid w:val="002823FA"/>
    <w:rsid w:val="00282B80"/>
    <w:rsid w:val="0028381B"/>
    <w:rsid w:val="00283BE6"/>
    <w:rsid w:val="00284002"/>
    <w:rsid w:val="0028505C"/>
    <w:rsid w:val="0028535B"/>
    <w:rsid w:val="00285412"/>
    <w:rsid w:val="002856DB"/>
    <w:rsid w:val="00287859"/>
    <w:rsid w:val="00287C53"/>
    <w:rsid w:val="00290CCE"/>
    <w:rsid w:val="0029203C"/>
    <w:rsid w:val="002921A5"/>
    <w:rsid w:val="00292E29"/>
    <w:rsid w:val="00294E81"/>
    <w:rsid w:val="0029557F"/>
    <w:rsid w:val="00295582"/>
    <w:rsid w:val="002962CB"/>
    <w:rsid w:val="00296FD7"/>
    <w:rsid w:val="002A00BE"/>
    <w:rsid w:val="002A0636"/>
    <w:rsid w:val="002A074E"/>
    <w:rsid w:val="002A0A11"/>
    <w:rsid w:val="002A138B"/>
    <w:rsid w:val="002A15DC"/>
    <w:rsid w:val="002A1622"/>
    <w:rsid w:val="002A16D4"/>
    <w:rsid w:val="002A230C"/>
    <w:rsid w:val="002A245C"/>
    <w:rsid w:val="002A2746"/>
    <w:rsid w:val="002A411C"/>
    <w:rsid w:val="002A4A08"/>
    <w:rsid w:val="002A548E"/>
    <w:rsid w:val="002B0758"/>
    <w:rsid w:val="002B08E1"/>
    <w:rsid w:val="002B1785"/>
    <w:rsid w:val="002B3A9F"/>
    <w:rsid w:val="002B4097"/>
    <w:rsid w:val="002B4DD5"/>
    <w:rsid w:val="002B5656"/>
    <w:rsid w:val="002B5BEA"/>
    <w:rsid w:val="002B636D"/>
    <w:rsid w:val="002B6B6E"/>
    <w:rsid w:val="002B7648"/>
    <w:rsid w:val="002B778B"/>
    <w:rsid w:val="002B7DA7"/>
    <w:rsid w:val="002C0EA0"/>
    <w:rsid w:val="002C111E"/>
    <w:rsid w:val="002C18C3"/>
    <w:rsid w:val="002C2A05"/>
    <w:rsid w:val="002C36FB"/>
    <w:rsid w:val="002C43BD"/>
    <w:rsid w:val="002C4B6C"/>
    <w:rsid w:val="002C5C25"/>
    <w:rsid w:val="002C60D3"/>
    <w:rsid w:val="002C6538"/>
    <w:rsid w:val="002C6907"/>
    <w:rsid w:val="002C6B92"/>
    <w:rsid w:val="002C70F4"/>
    <w:rsid w:val="002C78B4"/>
    <w:rsid w:val="002D0E59"/>
    <w:rsid w:val="002D182D"/>
    <w:rsid w:val="002D19C0"/>
    <w:rsid w:val="002D1B1C"/>
    <w:rsid w:val="002D1BF7"/>
    <w:rsid w:val="002D1DE5"/>
    <w:rsid w:val="002D23AB"/>
    <w:rsid w:val="002D29A6"/>
    <w:rsid w:val="002D29BD"/>
    <w:rsid w:val="002D3B3C"/>
    <w:rsid w:val="002D41B1"/>
    <w:rsid w:val="002D539C"/>
    <w:rsid w:val="002D5FC9"/>
    <w:rsid w:val="002D612E"/>
    <w:rsid w:val="002D64AE"/>
    <w:rsid w:val="002D6E13"/>
    <w:rsid w:val="002D74C7"/>
    <w:rsid w:val="002E02A1"/>
    <w:rsid w:val="002E17AE"/>
    <w:rsid w:val="002E247C"/>
    <w:rsid w:val="002E26D6"/>
    <w:rsid w:val="002E2D1F"/>
    <w:rsid w:val="002E3CFA"/>
    <w:rsid w:val="002E3F80"/>
    <w:rsid w:val="002E4875"/>
    <w:rsid w:val="002E4E4C"/>
    <w:rsid w:val="002E5226"/>
    <w:rsid w:val="002E58C0"/>
    <w:rsid w:val="002E59FC"/>
    <w:rsid w:val="002E5F37"/>
    <w:rsid w:val="002E6D52"/>
    <w:rsid w:val="002F0C16"/>
    <w:rsid w:val="002F17ED"/>
    <w:rsid w:val="002F1BFB"/>
    <w:rsid w:val="002F3688"/>
    <w:rsid w:val="002F3B0B"/>
    <w:rsid w:val="002F41E8"/>
    <w:rsid w:val="002F47F1"/>
    <w:rsid w:val="002F558C"/>
    <w:rsid w:val="002F5A49"/>
    <w:rsid w:val="002F69A3"/>
    <w:rsid w:val="002F6C29"/>
    <w:rsid w:val="002F72C4"/>
    <w:rsid w:val="0030014C"/>
    <w:rsid w:val="00301E8A"/>
    <w:rsid w:val="00302221"/>
    <w:rsid w:val="0030240C"/>
    <w:rsid w:val="0030251C"/>
    <w:rsid w:val="00302A46"/>
    <w:rsid w:val="00303A31"/>
    <w:rsid w:val="00303A8C"/>
    <w:rsid w:val="00304771"/>
    <w:rsid w:val="00304AB8"/>
    <w:rsid w:val="003052D4"/>
    <w:rsid w:val="00305760"/>
    <w:rsid w:val="003064B9"/>
    <w:rsid w:val="00306AFC"/>
    <w:rsid w:val="00306C5B"/>
    <w:rsid w:val="003107F5"/>
    <w:rsid w:val="00312793"/>
    <w:rsid w:val="00312D27"/>
    <w:rsid w:val="00313C5D"/>
    <w:rsid w:val="00313CE8"/>
    <w:rsid w:val="00314672"/>
    <w:rsid w:val="00314806"/>
    <w:rsid w:val="003149F2"/>
    <w:rsid w:val="00314F7B"/>
    <w:rsid w:val="0031553A"/>
    <w:rsid w:val="00316BB8"/>
    <w:rsid w:val="00316DF1"/>
    <w:rsid w:val="003179AB"/>
    <w:rsid w:val="003209D6"/>
    <w:rsid w:val="00321184"/>
    <w:rsid w:val="00321924"/>
    <w:rsid w:val="00322668"/>
    <w:rsid w:val="0032270C"/>
    <w:rsid w:val="0032326A"/>
    <w:rsid w:val="00323469"/>
    <w:rsid w:val="00323B86"/>
    <w:rsid w:val="00323E14"/>
    <w:rsid w:val="00324B63"/>
    <w:rsid w:val="0032519A"/>
    <w:rsid w:val="00325C6E"/>
    <w:rsid w:val="00325F75"/>
    <w:rsid w:val="0032656E"/>
    <w:rsid w:val="00327CB2"/>
    <w:rsid w:val="00327CB6"/>
    <w:rsid w:val="0033084C"/>
    <w:rsid w:val="00330ACA"/>
    <w:rsid w:val="00331500"/>
    <w:rsid w:val="003315D6"/>
    <w:rsid w:val="00331F80"/>
    <w:rsid w:val="00332190"/>
    <w:rsid w:val="003323A1"/>
    <w:rsid w:val="00333182"/>
    <w:rsid w:val="00333894"/>
    <w:rsid w:val="0033440D"/>
    <w:rsid w:val="0033478D"/>
    <w:rsid w:val="003347EF"/>
    <w:rsid w:val="00336618"/>
    <w:rsid w:val="00337DB8"/>
    <w:rsid w:val="00340268"/>
    <w:rsid w:val="00340799"/>
    <w:rsid w:val="0034095F"/>
    <w:rsid w:val="00341C24"/>
    <w:rsid w:val="00341D4B"/>
    <w:rsid w:val="00341E22"/>
    <w:rsid w:val="00343A00"/>
    <w:rsid w:val="00344668"/>
    <w:rsid w:val="003456FB"/>
    <w:rsid w:val="00345CBF"/>
    <w:rsid w:val="003462D9"/>
    <w:rsid w:val="003469A7"/>
    <w:rsid w:val="0034745A"/>
    <w:rsid w:val="00347B39"/>
    <w:rsid w:val="00350828"/>
    <w:rsid w:val="00350C8D"/>
    <w:rsid w:val="00351746"/>
    <w:rsid w:val="003518C1"/>
    <w:rsid w:val="003529CC"/>
    <w:rsid w:val="00352ACA"/>
    <w:rsid w:val="0035303F"/>
    <w:rsid w:val="00354158"/>
    <w:rsid w:val="00354B7E"/>
    <w:rsid w:val="00354DF0"/>
    <w:rsid w:val="003559B3"/>
    <w:rsid w:val="003568B8"/>
    <w:rsid w:val="003572D9"/>
    <w:rsid w:val="003576A7"/>
    <w:rsid w:val="00357A9C"/>
    <w:rsid w:val="00360C86"/>
    <w:rsid w:val="00361C42"/>
    <w:rsid w:val="003630D1"/>
    <w:rsid w:val="0036391F"/>
    <w:rsid w:val="00363CE9"/>
    <w:rsid w:val="00363E22"/>
    <w:rsid w:val="003641C9"/>
    <w:rsid w:val="0036435D"/>
    <w:rsid w:val="003657F3"/>
    <w:rsid w:val="00365CC1"/>
    <w:rsid w:val="00366D15"/>
    <w:rsid w:val="00367C55"/>
    <w:rsid w:val="00367EFD"/>
    <w:rsid w:val="00370F6F"/>
    <w:rsid w:val="0037191E"/>
    <w:rsid w:val="00371955"/>
    <w:rsid w:val="00371F82"/>
    <w:rsid w:val="00372A3C"/>
    <w:rsid w:val="0037313F"/>
    <w:rsid w:val="003731F2"/>
    <w:rsid w:val="003747A9"/>
    <w:rsid w:val="00375265"/>
    <w:rsid w:val="00375A1E"/>
    <w:rsid w:val="0037628A"/>
    <w:rsid w:val="00376DED"/>
    <w:rsid w:val="00377D23"/>
    <w:rsid w:val="00380129"/>
    <w:rsid w:val="003818DC"/>
    <w:rsid w:val="00383B35"/>
    <w:rsid w:val="00384327"/>
    <w:rsid w:val="00384853"/>
    <w:rsid w:val="003849B1"/>
    <w:rsid w:val="00385324"/>
    <w:rsid w:val="00385CF8"/>
    <w:rsid w:val="00385D98"/>
    <w:rsid w:val="00385F7B"/>
    <w:rsid w:val="00386026"/>
    <w:rsid w:val="003865D4"/>
    <w:rsid w:val="00386648"/>
    <w:rsid w:val="00386890"/>
    <w:rsid w:val="00386913"/>
    <w:rsid w:val="0038765F"/>
    <w:rsid w:val="00390B55"/>
    <w:rsid w:val="003911F6"/>
    <w:rsid w:val="00391461"/>
    <w:rsid w:val="003920E0"/>
    <w:rsid w:val="0039216A"/>
    <w:rsid w:val="00393B69"/>
    <w:rsid w:val="003940DD"/>
    <w:rsid w:val="00394628"/>
    <w:rsid w:val="00394935"/>
    <w:rsid w:val="00396009"/>
    <w:rsid w:val="003A00BC"/>
    <w:rsid w:val="003A0AD5"/>
    <w:rsid w:val="003A2B4D"/>
    <w:rsid w:val="003A3808"/>
    <w:rsid w:val="003A3897"/>
    <w:rsid w:val="003A3BF4"/>
    <w:rsid w:val="003A4117"/>
    <w:rsid w:val="003A4175"/>
    <w:rsid w:val="003A478C"/>
    <w:rsid w:val="003A4975"/>
    <w:rsid w:val="003A52A3"/>
    <w:rsid w:val="003A5525"/>
    <w:rsid w:val="003A62B2"/>
    <w:rsid w:val="003A672D"/>
    <w:rsid w:val="003A6B38"/>
    <w:rsid w:val="003A7054"/>
    <w:rsid w:val="003A73ED"/>
    <w:rsid w:val="003A78F5"/>
    <w:rsid w:val="003B0994"/>
    <w:rsid w:val="003B09D0"/>
    <w:rsid w:val="003B177C"/>
    <w:rsid w:val="003B194B"/>
    <w:rsid w:val="003B3BDD"/>
    <w:rsid w:val="003B3D82"/>
    <w:rsid w:val="003B4194"/>
    <w:rsid w:val="003B41E7"/>
    <w:rsid w:val="003B5A32"/>
    <w:rsid w:val="003B5DE1"/>
    <w:rsid w:val="003B6803"/>
    <w:rsid w:val="003B7A27"/>
    <w:rsid w:val="003C0201"/>
    <w:rsid w:val="003C1047"/>
    <w:rsid w:val="003C1626"/>
    <w:rsid w:val="003C210A"/>
    <w:rsid w:val="003C23F0"/>
    <w:rsid w:val="003C29D4"/>
    <w:rsid w:val="003C3490"/>
    <w:rsid w:val="003C60D5"/>
    <w:rsid w:val="003C670D"/>
    <w:rsid w:val="003C6725"/>
    <w:rsid w:val="003C72EB"/>
    <w:rsid w:val="003C77D2"/>
    <w:rsid w:val="003D002C"/>
    <w:rsid w:val="003D1AB2"/>
    <w:rsid w:val="003D1D17"/>
    <w:rsid w:val="003D1D86"/>
    <w:rsid w:val="003D2891"/>
    <w:rsid w:val="003D2C5E"/>
    <w:rsid w:val="003D3B6C"/>
    <w:rsid w:val="003D3E71"/>
    <w:rsid w:val="003D4408"/>
    <w:rsid w:val="003D475C"/>
    <w:rsid w:val="003D49C4"/>
    <w:rsid w:val="003D55A8"/>
    <w:rsid w:val="003D5685"/>
    <w:rsid w:val="003D57A6"/>
    <w:rsid w:val="003D623E"/>
    <w:rsid w:val="003D6580"/>
    <w:rsid w:val="003D6920"/>
    <w:rsid w:val="003D6C8E"/>
    <w:rsid w:val="003D6DD5"/>
    <w:rsid w:val="003D75F8"/>
    <w:rsid w:val="003E088E"/>
    <w:rsid w:val="003E1B34"/>
    <w:rsid w:val="003E1C65"/>
    <w:rsid w:val="003E399E"/>
    <w:rsid w:val="003E423A"/>
    <w:rsid w:val="003E4C91"/>
    <w:rsid w:val="003E544A"/>
    <w:rsid w:val="003E614F"/>
    <w:rsid w:val="003E6406"/>
    <w:rsid w:val="003F00C0"/>
    <w:rsid w:val="003F03F3"/>
    <w:rsid w:val="003F042C"/>
    <w:rsid w:val="003F21C9"/>
    <w:rsid w:val="003F313C"/>
    <w:rsid w:val="003F32BA"/>
    <w:rsid w:val="003F4AD5"/>
    <w:rsid w:val="003F4B2C"/>
    <w:rsid w:val="003F551C"/>
    <w:rsid w:val="003F69AB"/>
    <w:rsid w:val="003F79D4"/>
    <w:rsid w:val="003F7CBF"/>
    <w:rsid w:val="003F7D23"/>
    <w:rsid w:val="00400AB7"/>
    <w:rsid w:val="0040115E"/>
    <w:rsid w:val="00401BDE"/>
    <w:rsid w:val="004021EF"/>
    <w:rsid w:val="004064C7"/>
    <w:rsid w:val="004064CE"/>
    <w:rsid w:val="00406BFC"/>
    <w:rsid w:val="004078AB"/>
    <w:rsid w:val="00407A3A"/>
    <w:rsid w:val="00407C13"/>
    <w:rsid w:val="00410638"/>
    <w:rsid w:val="004122AC"/>
    <w:rsid w:val="00412D31"/>
    <w:rsid w:val="00413E1C"/>
    <w:rsid w:val="00414002"/>
    <w:rsid w:val="004148A0"/>
    <w:rsid w:val="004148D5"/>
    <w:rsid w:val="0041531C"/>
    <w:rsid w:val="004154EA"/>
    <w:rsid w:val="00415543"/>
    <w:rsid w:val="004159AB"/>
    <w:rsid w:val="00415C5A"/>
    <w:rsid w:val="00415DC8"/>
    <w:rsid w:val="0041678D"/>
    <w:rsid w:val="0042049A"/>
    <w:rsid w:val="0042072E"/>
    <w:rsid w:val="004212A0"/>
    <w:rsid w:val="004217B2"/>
    <w:rsid w:val="00422398"/>
    <w:rsid w:val="00424838"/>
    <w:rsid w:val="004259A4"/>
    <w:rsid w:val="00425ED7"/>
    <w:rsid w:val="004277D2"/>
    <w:rsid w:val="004279CC"/>
    <w:rsid w:val="00427F43"/>
    <w:rsid w:val="004306B2"/>
    <w:rsid w:val="00430D4D"/>
    <w:rsid w:val="004312B1"/>
    <w:rsid w:val="0043159F"/>
    <w:rsid w:val="00431664"/>
    <w:rsid w:val="00432466"/>
    <w:rsid w:val="00432A58"/>
    <w:rsid w:val="004333D3"/>
    <w:rsid w:val="00433688"/>
    <w:rsid w:val="00433FAA"/>
    <w:rsid w:val="004340E2"/>
    <w:rsid w:val="00434617"/>
    <w:rsid w:val="0043524B"/>
    <w:rsid w:val="00435A4B"/>
    <w:rsid w:val="00435E99"/>
    <w:rsid w:val="004361CB"/>
    <w:rsid w:val="004370BF"/>
    <w:rsid w:val="00437F64"/>
    <w:rsid w:val="0044021E"/>
    <w:rsid w:val="00440553"/>
    <w:rsid w:val="00440900"/>
    <w:rsid w:val="00440B62"/>
    <w:rsid w:val="00441212"/>
    <w:rsid w:val="004414E2"/>
    <w:rsid w:val="00442BA0"/>
    <w:rsid w:val="00443026"/>
    <w:rsid w:val="00443055"/>
    <w:rsid w:val="00443C54"/>
    <w:rsid w:val="00443FCB"/>
    <w:rsid w:val="004441A0"/>
    <w:rsid w:val="004452E3"/>
    <w:rsid w:val="00445EAB"/>
    <w:rsid w:val="00446283"/>
    <w:rsid w:val="004462FB"/>
    <w:rsid w:val="004469F3"/>
    <w:rsid w:val="00450719"/>
    <w:rsid w:val="00450D65"/>
    <w:rsid w:val="00450FAB"/>
    <w:rsid w:val="00451257"/>
    <w:rsid w:val="00451517"/>
    <w:rsid w:val="0045190F"/>
    <w:rsid w:val="004519A4"/>
    <w:rsid w:val="00453B74"/>
    <w:rsid w:val="00454D57"/>
    <w:rsid w:val="0045502E"/>
    <w:rsid w:val="0045598A"/>
    <w:rsid w:val="00456626"/>
    <w:rsid w:val="00456635"/>
    <w:rsid w:val="00460FB3"/>
    <w:rsid w:val="004615E9"/>
    <w:rsid w:val="00461962"/>
    <w:rsid w:val="00461F84"/>
    <w:rsid w:val="0046244A"/>
    <w:rsid w:val="00465AD1"/>
    <w:rsid w:val="004674B4"/>
    <w:rsid w:val="004676AB"/>
    <w:rsid w:val="00467B66"/>
    <w:rsid w:val="00467C2E"/>
    <w:rsid w:val="00470072"/>
    <w:rsid w:val="0047094F"/>
    <w:rsid w:val="004710EF"/>
    <w:rsid w:val="00471995"/>
    <w:rsid w:val="00472920"/>
    <w:rsid w:val="00472C32"/>
    <w:rsid w:val="0047385C"/>
    <w:rsid w:val="00474C68"/>
    <w:rsid w:val="00474DB2"/>
    <w:rsid w:val="0047521B"/>
    <w:rsid w:val="004759BC"/>
    <w:rsid w:val="00476240"/>
    <w:rsid w:val="00476432"/>
    <w:rsid w:val="00476439"/>
    <w:rsid w:val="00476555"/>
    <w:rsid w:val="00476632"/>
    <w:rsid w:val="0047671E"/>
    <w:rsid w:val="00476D99"/>
    <w:rsid w:val="0047735C"/>
    <w:rsid w:val="0047768D"/>
    <w:rsid w:val="004776BC"/>
    <w:rsid w:val="004777C3"/>
    <w:rsid w:val="0047789C"/>
    <w:rsid w:val="004808C5"/>
    <w:rsid w:val="00480931"/>
    <w:rsid w:val="0048139F"/>
    <w:rsid w:val="00481E40"/>
    <w:rsid w:val="00482A74"/>
    <w:rsid w:val="00482D4C"/>
    <w:rsid w:val="0048304D"/>
    <w:rsid w:val="0048310F"/>
    <w:rsid w:val="004845F6"/>
    <w:rsid w:val="00484ECE"/>
    <w:rsid w:val="00485633"/>
    <w:rsid w:val="004859DF"/>
    <w:rsid w:val="00485E1A"/>
    <w:rsid w:val="004864B7"/>
    <w:rsid w:val="00486535"/>
    <w:rsid w:val="004868C1"/>
    <w:rsid w:val="00487577"/>
    <w:rsid w:val="004876F1"/>
    <w:rsid w:val="00487E3F"/>
    <w:rsid w:val="004900FF"/>
    <w:rsid w:val="00490CE7"/>
    <w:rsid w:val="004915CB"/>
    <w:rsid w:val="004924DC"/>
    <w:rsid w:val="00493FB0"/>
    <w:rsid w:val="00494032"/>
    <w:rsid w:val="00494CE2"/>
    <w:rsid w:val="00496EF6"/>
    <w:rsid w:val="004A0765"/>
    <w:rsid w:val="004A1095"/>
    <w:rsid w:val="004A14E4"/>
    <w:rsid w:val="004A29A0"/>
    <w:rsid w:val="004A2C68"/>
    <w:rsid w:val="004A3212"/>
    <w:rsid w:val="004A3B7D"/>
    <w:rsid w:val="004A4CD3"/>
    <w:rsid w:val="004A61C5"/>
    <w:rsid w:val="004A6219"/>
    <w:rsid w:val="004A6769"/>
    <w:rsid w:val="004A77DF"/>
    <w:rsid w:val="004B1190"/>
    <w:rsid w:val="004B11C6"/>
    <w:rsid w:val="004B1417"/>
    <w:rsid w:val="004B257C"/>
    <w:rsid w:val="004B2FD2"/>
    <w:rsid w:val="004B3710"/>
    <w:rsid w:val="004B3A63"/>
    <w:rsid w:val="004B4219"/>
    <w:rsid w:val="004B4398"/>
    <w:rsid w:val="004B4A61"/>
    <w:rsid w:val="004B55B7"/>
    <w:rsid w:val="004B5727"/>
    <w:rsid w:val="004B59BC"/>
    <w:rsid w:val="004B6468"/>
    <w:rsid w:val="004B6681"/>
    <w:rsid w:val="004B6906"/>
    <w:rsid w:val="004B74A6"/>
    <w:rsid w:val="004B7D50"/>
    <w:rsid w:val="004B7EF6"/>
    <w:rsid w:val="004C048E"/>
    <w:rsid w:val="004C0561"/>
    <w:rsid w:val="004C07FA"/>
    <w:rsid w:val="004C08D4"/>
    <w:rsid w:val="004C0AD8"/>
    <w:rsid w:val="004C171D"/>
    <w:rsid w:val="004C1A1B"/>
    <w:rsid w:val="004C22B4"/>
    <w:rsid w:val="004C274B"/>
    <w:rsid w:val="004C384C"/>
    <w:rsid w:val="004C3867"/>
    <w:rsid w:val="004C3B46"/>
    <w:rsid w:val="004C3F87"/>
    <w:rsid w:val="004C4CD0"/>
    <w:rsid w:val="004C540F"/>
    <w:rsid w:val="004C5D51"/>
    <w:rsid w:val="004C5F00"/>
    <w:rsid w:val="004C6E5B"/>
    <w:rsid w:val="004C70DC"/>
    <w:rsid w:val="004C737D"/>
    <w:rsid w:val="004D0211"/>
    <w:rsid w:val="004D0794"/>
    <w:rsid w:val="004D0963"/>
    <w:rsid w:val="004D17E1"/>
    <w:rsid w:val="004D17F6"/>
    <w:rsid w:val="004D1CCB"/>
    <w:rsid w:val="004D22C0"/>
    <w:rsid w:val="004D2910"/>
    <w:rsid w:val="004D2A8C"/>
    <w:rsid w:val="004D3712"/>
    <w:rsid w:val="004D3C55"/>
    <w:rsid w:val="004D556B"/>
    <w:rsid w:val="004D5B7D"/>
    <w:rsid w:val="004D60D5"/>
    <w:rsid w:val="004E0056"/>
    <w:rsid w:val="004E0A54"/>
    <w:rsid w:val="004E169F"/>
    <w:rsid w:val="004E346A"/>
    <w:rsid w:val="004E48DF"/>
    <w:rsid w:val="004E4B10"/>
    <w:rsid w:val="004E543C"/>
    <w:rsid w:val="004E55D7"/>
    <w:rsid w:val="004E5A65"/>
    <w:rsid w:val="004E66F1"/>
    <w:rsid w:val="004E6B07"/>
    <w:rsid w:val="004E6C86"/>
    <w:rsid w:val="004E79A9"/>
    <w:rsid w:val="004F06F5"/>
    <w:rsid w:val="004F092A"/>
    <w:rsid w:val="004F11A0"/>
    <w:rsid w:val="004F19A0"/>
    <w:rsid w:val="004F1B02"/>
    <w:rsid w:val="004F1EBD"/>
    <w:rsid w:val="004F33A0"/>
    <w:rsid w:val="004F476E"/>
    <w:rsid w:val="004F4C68"/>
    <w:rsid w:val="004F5AE3"/>
    <w:rsid w:val="004F6FD4"/>
    <w:rsid w:val="004F747D"/>
    <w:rsid w:val="004F77D6"/>
    <w:rsid w:val="00500A8A"/>
    <w:rsid w:val="005019F7"/>
    <w:rsid w:val="005021BD"/>
    <w:rsid w:val="00502CB8"/>
    <w:rsid w:val="00503D39"/>
    <w:rsid w:val="00504DF0"/>
    <w:rsid w:val="00505884"/>
    <w:rsid w:val="00505A3F"/>
    <w:rsid w:val="00505AEB"/>
    <w:rsid w:val="0050610D"/>
    <w:rsid w:val="00506AF6"/>
    <w:rsid w:val="00506B7E"/>
    <w:rsid w:val="00506EA4"/>
    <w:rsid w:val="005075AB"/>
    <w:rsid w:val="00510068"/>
    <w:rsid w:val="00510840"/>
    <w:rsid w:val="005108C0"/>
    <w:rsid w:val="00511873"/>
    <w:rsid w:val="00512A2F"/>
    <w:rsid w:val="0051310E"/>
    <w:rsid w:val="00513B7E"/>
    <w:rsid w:val="00515AD4"/>
    <w:rsid w:val="00515C74"/>
    <w:rsid w:val="00516090"/>
    <w:rsid w:val="0051644E"/>
    <w:rsid w:val="005166A1"/>
    <w:rsid w:val="0052007E"/>
    <w:rsid w:val="00520319"/>
    <w:rsid w:val="005207AA"/>
    <w:rsid w:val="00521013"/>
    <w:rsid w:val="00522D7D"/>
    <w:rsid w:val="0052337A"/>
    <w:rsid w:val="005239EA"/>
    <w:rsid w:val="00525137"/>
    <w:rsid w:val="005251DD"/>
    <w:rsid w:val="005257ED"/>
    <w:rsid w:val="00525CEF"/>
    <w:rsid w:val="00525FFC"/>
    <w:rsid w:val="00526384"/>
    <w:rsid w:val="00526565"/>
    <w:rsid w:val="00527897"/>
    <w:rsid w:val="00527F80"/>
    <w:rsid w:val="005302AB"/>
    <w:rsid w:val="00530D76"/>
    <w:rsid w:val="00532CE7"/>
    <w:rsid w:val="00532E6A"/>
    <w:rsid w:val="0053324C"/>
    <w:rsid w:val="00533B1A"/>
    <w:rsid w:val="00534151"/>
    <w:rsid w:val="00534A28"/>
    <w:rsid w:val="00535DB8"/>
    <w:rsid w:val="00536B9B"/>
    <w:rsid w:val="00537086"/>
    <w:rsid w:val="005370C4"/>
    <w:rsid w:val="005371CE"/>
    <w:rsid w:val="005372CF"/>
    <w:rsid w:val="00537DAF"/>
    <w:rsid w:val="00541508"/>
    <w:rsid w:val="00541A82"/>
    <w:rsid w:val="00541BBF"/>
    <w:rsid w:val="00541C4C"/>
    <w:rsid w:val="00541CED"/>
    <w:rsid w:val="005422E2"/>
    <w:rsid w:val="005432F2"/>
    <w:rsid w:val="00543A02"/>
    <w:rsid w:val="005442CC"/>
    <w:rsid w:val="00545528"/>
    <w:rsid w:val="00545E45"/>
    <w:rsid w:val="005465CB"/>
    <w:rsid w:val="00550EA0"/>
    <w:rsid w:val="005524F6"/>
    <w:rsid w:val="005525D0"/>
    <w:rsid w:val="00552D10"/>
    <w:rsid w:val="0055327E"/>
    <w:rsid w:val="00554CFE"/>
    <w:rsid w:val="0055553C"/>
    <w:rsid w:val="005556E4"/>
    <w:rsid w:val="0055586A"/>
    <w:rsid w:val="0055599F"/>
    <w:rsid w:val="00555ABA"/>
    <w:rsid w:val="00556B98"/>
    <w:rsid w:val="00556D68"/>
    <w:rsid w:val="0055728A"/>
    <w:rsid w:val="00557A73"/>
    <w:rsid w:val="00557FDA"/>
    <w:rsid w:val="00560FD5"/>
    <w:rsid w:val="00561F02"/>
    <w:rsid w:val="0056217C"/>
    <w:rsid w:val="00562411"/>
    <w:rsid w:val="00562680"/>
    <w:rsid w:val="005647BF"/>
    <w:rsid w:val="00564AA1"/>
    <w:rsid w:val="00564B8A"/>
    <w:rsid w:val="005658FE"/>
    <w:rsid w:val="00565F8E"/>
    <w:rsid w:val="0056647F"/>
    <w:rsid w:val="00566C30"/>
    <w:rsid w:val="00566DB2"/>
    <w:rsid w:val="0056714A"/>
    <w:rsid w:val="00567BF8"/>
    <w:rsid w:val="00567C89"/>
    <w:rsid w:val="00570A11"/>
    <w:rsid w:val="00570A93"/>
    <w:rsid w:val="00571E5F"/>
    <w:rsid w:val="0057364B"/>
    <w:rsid w:val="00573A3B"/>
    <w:rsid w:val="00574773"/>
    <w:rsid w:val="00574CB1"/>
    <w:rsid w:val="00575722"/>
    <w:rsid w:val="00576730"/>
    <w:rsid w:val="00576D54"/>
    <w:rsid w:val="00581E84"/>
    <w:rsid w:val="00582B45"/>
    <w:rsid w:val="00582D45"/>
    <w:rsid w:val="00583885"/>
    <w:rsid w:val="00583FFD"/>
    <w:rsid w:val="00584360"/>
    <w:rsid w:val="00584F85"/>
    <w:rsid w:val="00585357"/>
    <w:rsid w:val="005859FB"/>
    <w:rsid w:val="00585E51"/>
    <w:rsid w:val="0058622A"/>
    <w:rsid w:val="00586579"/>
    <w:rsid w:val="00590212"/>
    <w:rsid w:val="005911BE"/>
    <w:rsid w:val="00591F79"/>
    <w:rsid w:val="00593152"/>
    <w:rsid w:val="0059439A"/>
    <w:rsid w:val="00594553"/>
    <w:rsid w:val="00594CCF"/>
    <w:rsid w:val="00594F9D"/>
    <w:rsid w:val="005956BF"/>
    <w:rsid w:val="005973F7"/>
    <w:rsid w:val="00597650"/>
    <w:rsid w:val="00597A4F"/>
    <w:rsid w:val="00597F44"/>
    <w:rsid w:val="005A04B3"/>
    <w:rsid w:val="005A10F2"/>
    <w:rsid w:val="005A12A9"/>
    <w:rsid w:val="005A16D1"/>
    <w:rsid w:val="005A1896"/>
    <w:rsid w:val="005A21E0"/>
    <w:rsid w:val="005A28FF"/>
    <w:rsid w:val="005A2E08"/>
    <w:rsid w:val="005A3DF8"/>
    <w:rsid w:val="005A4018"/>
    <w:rsid w:val="005A40F7"/>
    <w:rsid w:val="005A435A"/>
    <w:rsid w:val="005A4745"/>
    <w:rsid w:val="005A4DB5"/>
    <w:rsid w:val="005A5387"/>
    <w:rsid w:val="005A5549"/>
    <w:rsid w:val="005A5A57"/>
    <w:rsid w:val="005A5F01"/>
    <w:rsid w:val="005A7595"/>
    <w:rsid w:val="005A7DC6"/>
    <w:rsid w:val="005B0664"/>
    <w:rsid w:val="005B121D"/>
    <w:rsid w:val="005B2851"/>
    <w:rsid w:val="005B2ADE"/>
    <w:rsid w:val="005B5339"/>
    <w:rsid w:val="005B6D93"/>
    <w:rsid w:val="005B7266"/>
    <w:rsid w:val="005C00E4"/>
    <w:rsid w:val="005C06ED"/>
    <w:rsid w:val="005C0816"/>
    <w:rsid w:val="005C25CE"/>
    <w:rsid w:val="005C2B85"/>
    <w:rsid w:val="005C2C7C"/>
    <w:rsid w:val="005C3526"/>
    <w:rsid w:val="005C5707"/>
    <w:rsid w:val="005C5DF4"/>
    <w:rsid w:val="005C5FA9"/>
    <w:rsid w:val="005C66D4"/>
    <w:rsid w:val="005C6A99"/>
    <w:rsid w:val="005C78CC"/>
    <w:rsid w:val="005C7E65"/>
    <w:rsid w:val="005D0A47"/>
    <w:rsid w:val="005D12D8"/>
    <w:rsid w:val="005D13D5"/>
    <w:rsid w:val="005D1AF5"/>
    <w:rsid w:val="005D1E23"/>
    <w:rsid w:val="005D213D"/>
    <w:rsid w:val="005D2CF3"/>
    <w:rsid w:val="005D2D0E"/>
    <w:rsid w:val="005D3B87"/>
    <w:rsid w:val="005D3C3F"/>
    <w:rsid w:val="005D5802"/>
    <w:rsid w:val="005D5E36"/>
    <w:rsid w:val="005D74F2"/>
    <w:rsid w:val="005D7890"/>
    <w:rsid w:val="005D7896"/>
    <w:rsid w:val="005E0D48"/>
    <w:rsid w:val="005E248C"/>
    <w:rsid w:val="005E27AB"/>
    <w:rsid w:val="005E2B98"/>
    <w:rsid w:val="005E4C42"/>
    <w:rsid w:val="005E565A"/>
    <w:rsid w:val="005E5985"/>
    <w:rsid w:val="005E5D8D"/>
    <w:rsid w:val="005E62C0"/>
    <w:rsid w:val="005E635F"/>
    <w:rsid w:val="005E7ACB"/>
    <w:rsid w:val="005E7C78"/>
    <w:rsid w:val="005E7F0B"/>
    <w:rsid w:val="005F21D1"/>
    <w:rsid w:val="005F3EB1"/>
    <w:rsid w:val="005F425D"/>
    <w:rsid w:val="005F4803"/>
    <w:rsid w:val="005F5469"/>
    <w:rsid w:val="005F5A7F"/>
    <w:rsid w:val="0060011F"/>
    <w:rsid w:val="00600991"/>
    <w:rsid w:val="00601A76"/>
    <w:rsid w:val="00601B56"/>
    <w:rsid w:val="00601DBC"/>
    <w:rsid w:val="00602738"/>
    <w:rsid w:val="006033F3"/>
    <w:rsid w:val="006035DE"/>
    <w:rsid w:val="00603B3F"/>
    <w:rsid w:val="006040E1"/>
    <w:rsid w:val="00604307"/>
    <w:rsid w:val="0060487F"/>
    <w:rsid w:val="00604EAD"/>
    <w:rsid w:val="00605DA7"/>
    <w:rsid w:val="0060614A"/>
    <w:rsid w:val="006068B6"/>
    <w:rsid w:val="00606EB6"/>
    <w:rsid w:val="00607517"/>
    <w:rsid w:val="00607EFE"/>
    <w:rsid w:val="006104FB"/>
    <w:rsid w:val="00610A6E"/>
    <w:rsid w:val="00610DCE"/>
    <w:rsid w:val="0061139F"/>
    <w:rsid w:val="006113F2"/>
    <w:rsid w:val="00611862"/>
    <w:rsid w:val="00612868"/>
    <w:rsid w:val="00612A2F"/>
    <w:rsid w:val="00612F37"/>
    <w:rsid w:val="00612F79"/>
    <w:rsid w:val="0061355B"/>
    <w:rsid w:val="00615038"/>
    <w:rsid w:val="006156B1"/>
    <w:rsid w:val="00615EAD"/>
    <w:rsid w:val="00616E05"/>
    <w:rsid w:val="00617310"/>
    <w:rsid w:val="00617559"/>
    <w:rsid w:val="00617820"/>
    <w:rsid w:val="006224A6"/>
    <w:rsid w:val="006228D0"/>
    <w:rsid w:val="00622A88"/>
    <w:rsid w:val="00623816"/>
    <w:rsid w:val="00624093"/>
    <w:rsid w:val="00625E06"/>
    <w:rsid w:val="0062655C"/>
    <w:rsid w:val="00626B5A"/>
    <w:rsid w:val="0063152A"/>
    <w:rsid w:val="00631A36"/>
    <w:rsid w:val="006323A4"/>
    <w:rsid w:val="0063288A"/>
    <w:rsid w:val="006328A5"/>
    <w:rsid w:val="006330CA"/>
    <w:rsid w:val="00633690"/>
    <w:rsid w:val="00633BB4"/>
    <w:rsid w:val="006346BB"/>
    <w:rsid w:val="00635B0D"/>
    <w:rsid w:val="0063655E"/>
    <w:rsid w:val="0063694F"/>
    <w:rsid w:val="00637C49"/>
    <w:rsid w:val="006401AF"/>
    <w:rsid w:val="006404A7"/>
    <w:rsid w:val="006405F3"/>
    <w:rsid w:val="00640A36"/>
    <w:rsid w:val="00641312"/>
    <w:rsid w:val="00642B69"/>
    <w:rsid w:val="00642E65"/>
    <w:rsid w:val="00643F07"/>
    <w:rsid w:val="00644505"/>
    <w:rsid w:val="00644652"/>
    <w:rsid w:val="00644E4F"/>
    <w:rsid w:val="006451E4"/>
    <w:rsid w:val="00645B33"/>
    <w:rsid w:val="00647176"/>
    <w:rsid w:val="00647202"/>
    <w:rsid w:val="006474CA"/>
    <w:rsid w:val="00647B42"/>
    <w:rsid w:val="0065031F"/>
    <w:rsid w:val="00651007"/>
    <w:rsid w:val="006516CB"/>
    <w:rsid w:val="00651766"/>
    <w:rsid w:val="00652057"/>
    <w:rsid w:val="006526C8"/>
    <w:rsid w:val="006542B9"/>
    <w:rsid w:val="00654C2C"/>
    <w:rsid w:val="006554E1"/>
    <w:rsid w:val="00655A7E"/>
    <w:rsid w:val="006571DE"/>
    <w:rsid w:val="0065797A"/>
    <w:rsid w:val="00657E87"/>
    <w:rsid w:val="00657FC5"/>
    <w:rsid w:val="006601F2"/>
    <w:rsid w:val="006602B2"/>
    <w:rsid w:val="00661484"/>
    <w:rsid w:val="0066180D"/>
    <w:rsid w:val="00661A5F"/>
    <w:rsid w:val="00661BF2"/>
    <w:rsid w:val="0066204E"/>
    <w:rsid w:val="00663890"/>
    <w:rsid w:val="00664803"/>
    <w:rsid w:val="00664C80"/>
    <w:rsid w:val="00665590"/>
    <w:rsid w:val="00665BA4"/>
    <w:rsid w:val="00665D83"/>
    <w:rsid w:val="00666763"/>
    <w:rsid w:val="00667954"/>
    <w:rsid w:val="006679B7"/>
    <w:rsid w:val="00667AF2"/>
    <w:rsid w:val="00670F73"/>
    <w:rsid w:val="006710C9"/>
    <w:rsid w:val="00671A24"/>
    <w:rsid w:val="0067425E"/>
    <w:rsid w:val="0067441C"/>
    <w:rsid w:val="00674483"/>
    <w:rsid w:val="00674938"/>
    <w:rsid w:val="00674ADC"/>
    <w:rsid w:val="00674D89"/>
    <w:rsid w:val="00675844"/>
    <w:rsid w:val="00675A30"/>
    <w:rsid w:val="00675E37"/>
    <w:rsid w:val="00676AA2"/>
    <w:rsid w:val="00677072"/>
    <w:rsid w:val="00680269"/>
    <w:rsid w:val="0068051C"/>
    <w:rsid w:val="00680CF4"/>
    <w:rsid w:val="0068174E"/>
    <w:rsid w:val="00681DCE"/>
    <w:rsid w:val="006824C6"/>
    <w:rsid w:val="0068260E"/>
    <w:rsid w:val="00682FEB"/>
    <w:rsid w:val="00683F3C"/>
    <w:rsid w:val="00686382"/>
    <w:rsid w:val="00686D74"/>
    <w:rsid w:val="00686FBD"/>
    <w:rsid w:val="00690DB2"/>
    <w:rsid w:val="00691399"/>
    <w:rsid w:val="00692076"/>
    <w:rsid w:val="00692667"/>
    <w:rsid w:val="00692F27"/>
    <w:rsid w:val="0069347A"/>
    <w:rsid w:val="00693910"/>
    <w:rsid w:val="00694677"/>
    <w:rsid w:val="00695398"/>
    <w:rsid w:val="00695BEF"/>
    <w:rsid w:val="006964CE"/>
    <w:rsid w:val="006965F2"/>
    <w:rsid w:val="0069693B"/>
    <w:rsid w:val="0069706C"/>
    <w:rsid w:val="00697448"/>
    <w:rsid w:val="00697750"/>
    <w:rsid w:val="006977F6"/>
    <w:rsid w:val="00697A13"/>
    <w:rsid w:val="00697D69"/>
    <w:rsid w:val="006A071F"/>
    <w:rsid w:val="006A0E34"/>
    <w:rsid w:val="006A109C"/>
    <w:rsid w:val="006A10D9"/>
    <w:rsid w:val="006A140D"/>
    <w:rsid w:val="006A3A1C"/>
    <w:rsid w:val="006A3A46"/>
    <w:rsid w:val="006A50F0"/>
    <w:rsid w:val="006A574B"/>
    <w:rsid w:val="006A5807"/>
    <w:rsid w:val="006A6F1E"/>
    <w:rsid w:val="006A787D"/>
    <w:rsid w:val="006B155E"/>
    <w:rsid w:val="006B3132"/>
    <w:rsid w:val="006B344A"/>
    <w:rsid w:val="006B354C"/>
    <w:rsid w:val="006B3EFC"/>
    <w:rsid w:val="006B4CFE"/>
    <w:rsid w:val="006B4D4F"/>
    <w:rsid w:val="006B5118"/>
    <w:rsid w:val="006B51B8"/>
    <w:rsid w:val="006B5B78"/>
    <w:rsid w:val="006B6F44"/>
    <w:rsid w:val="006B784C"/>
    <w:rsid w:val="006B78D8"/>
    <w:rsid w:val="006B791E"/>
    <w:rsid w:val="006B7FF7"/>
    <w:rsid w:val="006C02D4"/>
    <w:rsid w:val="006C045E"/>
    <w:rsid w:val="006C098E"/>
    <w:rsid w:val="006C113F"/>
    <w:rsid w:val="006C1225"/>
    <w:rsid w:val="006C123E"/>
    <w:rsid w:val="006C1714"/>
    <w:rsid w:val="006C191F"/>
    <w:rsid w:val="006C3657"/>
    <w:rsid w:val="006C40B8"/>
    <w:rsid w:val="006C435E"/>
    <w:rsid w:val="006C46E7"/>
    <w:rsid w:val="006C48E4"/>
    <w:rsid w:val="006C56D4"/>
    <w:rsid w:val="006C6924"/>
    <w:rsid w:val="006C70CB"/>
    <w:rsid w:val="006C785B"/>
    <w:rsid w:val="006C7CA6"/>
    <w:rsid w:val="006D02AC"/>
    <w:rsid w:val="006D1923"/>
    <w:rsid w:val="006D1C1C"/>
    <w:rsid w:val="006D1C4D"/>
    <w:rsid w:val="006D22F7"/>
    <w:rsid w:val="006D29E3"/>
    <w:rsid w:val="006D2F03"/>
    <w:rsid w:val="006D3D19"/>
    <w:rsid w:val="006D3E8A"/>
    <w:rsid w:val="006D431E"/>
    <w:rsid w:val="006D4462"/>
    <w:rsid w:val="006D4D82"/>
    <w:rsid w:val="006D5470"/>
    <w:rsid w:val="006D551A"/>
    <w:rsid w:val="006D55DF"/>
    <w:rsid w:val="006D5AB7"/>
    <w:rsid w:val="006D61F6"/>
    <w:rsid w:val="006D64E2"/>
    <w:rsid w:val="006D6D8D"/>
    <w:rsid w:val="006D7525"/>
    <w:rsid w:val="006D774B"/>
    <w:rsid w:val="006E0507"/>
    <w:rsid w:val="006E0594"/>
    <w:rsid w:val="006E07FD"/>
    <w:rsid w:val="006E0B4B"/>
    <w:rsid w:val="006E0F4C"/>
    <w:rsid w:val="006E1651"/>
    <w:rsid w:val="006E279A"/>
    <w:rsid w:val="006E2ADF"/>
    <w:rsid w:val="006E2B19"/>
    <w:rsid w:val="006E313B"/>
    <w:rsid w:val="006E32A1"/>
    <w:rsid w:val="006E3F15"/>
    <w:rsid w:val="006E4EA1"/>
    <w:rsid w:val="006E502F"/>
    <w:rsid w:val="006E54EC"/>
    <w:rsid w:val="006E5E0F"/>
    <w:rsid w:val="006E6395"/>
    <w:rsid w:val="006E63F2"/>
    <w:rsid w:val="006E6518"/>
    <w:rsid w:val="006E686C"/>
    <w:rsid w:val="006E6D7E"/>
    <w:rsid w:val="006E702A"/>
    <w:rsid w:val="006E7356"/>
    <w:rsid w:val="006E73CC"/>
    <w:rsid w:val="006E7DC2"/>
    <w:rsid w:val="006F0003"/>
    <w:rsid w:val="006F0222"/>
    <w:rsid w:val="006F049A"/>
    <w:rsid w:val="006F07EA"/>
    <w:rsid w:val="006F12D8"/>
    <w:rsid w:val="006F1D1E"/>
    <w:rsid w:val="006F2A2E"/>
    <w:rsid w:val="006F3A08"/>
    <w:rsid w:val="006F3F8E"/>
    <w:rsid w:val="006F4256"/>
    <w:rsid w:val="006F4DCF"/>
    <w:rsid w:val="006F5416"/>
    <w:rsid w:val="006F565E"/>
    <w:rsid w:val="006F5D76"/>
    <w:rsid w:val="006F7137"/>
    <w:rsid w:val="007005C1"/>
    <w:rsid w:val="00700AD4"/>
    <w:rsid w:val="00700BF3"/>
    <w:rsid w:val="007028C4"/>
    <w:rsid w:val="007034E1"/>
    <w:rsid w:val="0070384E"/>
    <w:rsid w:val="00703C14"/>
    <w:rsid w:val="00703E54"/>
    <w:rsid w:val="00704EB8"/>
    <w:rsid w:val="007050BC"/>
    <w:rsid w:val="0070548C"/>
    <w:rsid w:val="00705698"/>
    <w:rsid w:val="00705C42"/>
    <w:rsid w:val="00705CCF"/>
    <w:rsid w:val="00705CF6"/>
    <w:rsid w:val="00706789"/>
    <w:rsid w:val="00706AD4"/>
    <w:rsid w:val="0070742B"/>
    <w:rsid w:val="007078E1"/>
    <w:rsid w:val="00712EA7"/>
    <w:rsid w:val="007140BE"/>
    <w:rsid w:val="00715458"/>
    <w:rsid w:val="007164A4"/>
    <w:rsid w:val="00716502"/>
    <w:rsid w:val="00716F56"/>
    <w:rsid w:val="00717F46"/>
    <w:rsid w:val="0072037E"/>
    <w:rsid w:val="007211F5"/>
    <w:rsid w:val="00721546"/>
    <w:rsid w:val="00721E7C"/>
    <w:rsid w:val="0072209E"/>
    <w:rsid w:val="007239D4"/>
    <w:rsid w:val="0072462E"/>
    <w:rsid w:val="0072483C"/>
    <w:rsid w:val="00724FAF"/>
    <w:rsid w:val="00725699"/>
    <w:rsid w:val="00725BB5"/>
    <w:rsid w:val="00725F62"/>
    <w:rsid w:val="0072606C"/>
    <w:rsid w:val="00726317"/>
    <w:rsid w:val="00730047"/>
    <w:rsid w:val="00730183"/>
    <w:rsid w:val="00730AE8"/>
    <w:rsid w:val="00731B27"/>
    <w:rsid w:val="00733ACD"/>
    <w:rsid w:val="00736542"/>
    <w:rsid w:val="00737861"/>
    <w:rsid w:val="00737BFE"/>
    <w:rsid w:val="00737BFF"/>
    <w:rsid w:val="00740195"/>
    <w:rsid w:val="00741358"/>
    <w:rsid w:val="00741493"/>
    <w:rsid w:val="007417E5"/>
    <w:rsid w:val="00742A80"/>
    <w:rsid w:val="00742B1F"/>
    <w:rsid w:val="00742C9A"/>
    <w:rsid w:val="007431D5"/>
    <w:rsid w:val="00743769"/>
    <w:rsid w:val="00743A8F"/>
    <w:rsid w:val="00746DE3"/>
    <w:rsid w:val="00746E70"/>
    <w:rsid w:val="007479B2"/>
    <w:rsid w:val="007508C0"/>
    <w:rsid w:val="00750D9B"/>
    <w:rsid w:val="0075206D"/>
    <w:rsid w:val="00752180"/>
    <w:rsid w:val="007523AD"/>
    <w:rsid w:val="00752A1E"/>
    <w:rsid w:val="00752CE6"/>
    <w:rsid w:val="007530E2"/>
    <w:rsid w:val="0075333A"/>
    <w:rsid w:val="007535D5"/>
    <w:rsid w:val="007550FA"/>
    <w:rsid w:val="00755202"/>
    <w:rsid w:val="00755D3A"/>
    <w:rsid w:val="007564B0"/>
    <w:rsid w:val="007565CF"/>
    <w:rsid w:val="007569B6"/>
    <w:rsid w:val="00756F12"/>
    <w:rsid w:val="007578D3"/>
    <w:rsid w:val="007609C6"/>
    <w:rsid w:val="007615EC"/>
    <w:rsid w:val="0076175D"/>
    <w:rsid w:val="00761B7D"/>
    <w:rsid w:val="00761F38"/>
    <w:rsid w:val="00762AA4"/>
    <w:rsid w:val="0076309B"/>
    <w:rsid w:val="0076320E"/>
    <w:rsid w:val="007633E5"/>
    <w:rsid w:val="007634D4"/>
    <w:rsid w:val="00764826"/>
    <w:rsid w:val="00764F49"/>
    <w:rsid w:val="0076521E"/>
    <w:rsid w:val="00765856"/>
    <w:rsid w:val="007660BB"/>
    <w:rsid w:val="007661E9"/>
    <w:rsid w:val="007667B6"/>
    <w:rsid w:val="00766E66"/>
    <w:rsid w:val="0076714F"/>
    <w:rsid w:val="0076747E"/>
    <w:rsid w:val="00772FF2"/>
    <w:rsid w:val="00773731"/>
    <w:rsid w:val="00774213"/>
    <w:rsid w:val="007746A0"/>
    <w:rsid w:val="00775132"/>
    <w:rsid w:val="00775DD3"/>
    <w:rsid w:val="00776169"/>
    <w:rsid w:val="00776527"/>
    <w:rsid w:val="00777381"/>
    <w:rsid w:val="00777DE0"/>
    <w:rsid w:val="00780EF1"/>
    <w:rsid w:val="00780F58"/>
    <w:rsid w:val="00781059"/>
    <w:rsid w:val="00781313"/>
    <w:rsid w:val="00781543"/>
    <w:rsid w:val="00781971"/>
    <w:rsid w:val="007822A7"/>
    <w:rsid w:val="007825CF"/>
    <w:rsid w:val="0078356A"/>
    <w:rsid w:val="00783ABF"/>
    <w:rsid w:val="00784111"/>
    <w:rsid w:val="00784EA7"/>
    <w:rsid w:val="00786086"/>
    <w:rsid w:val="00786A92"/>
    <w:rsid w:val="00787060"/>
    <w:rsid w:val="0079044F"/>
    <w:rsid w:val="00790764"/>
    <w:rsid w:val="00790CE1"/>
    <w:rsid w:val="0079116F"/>
    <w:rsid w:val="00791CDB"/>
    <w:rsid w:val="00791E24"/>
    <w:rsid w:val="0079254D"/>
    <w:rsid w:val="007925AD"/>
    <w:rsid w:val="00792798"/>
    <w:rsid w:val="00792912"/>
    <w:rsid w:val="00793462"/>
    <w:rsid w:val="0079361F"/>
    <w:rsid w:val="00793731"/>
    <w:rsid w:val="00793BE9"/>
    <w:rsid w:val="00794071"/>
    <w:rsid w:val="0079432E"/>
    <w:rsid w:val="0079453C"/>
    <w:rsid w:val="0079466B"/>
    <w:rsid w:val="00794677"/>
    <w:rsid w:val="00794D81"/>
    <w:rsid w:val="00794FBA"/>
    <w:rsid w:val="00795460"/>
    <w:rsid w:val="007963F4"/>
    <w:rsid w:val="007964E5"/>
    <w:rsid w:val="007968CD"/>
    <w:rsid w:val="0079704D"/>
    <w:rsid w:val="0079785C"/>
    <w:rsid w:val="007A00F0"/>
    <w:rsid w:val="007A113A"/>
    <w:rsid w:val="007A123E"/>
    <w:rsid w:val="007A3120"/>
    <w:rsid w:val="007A3852"/>
    <w:rsid w:val="007A4559"/>
    <w:rsid w:val="007A502A"/>
    <w:rsid w:val="007A64BE"/>
    <w:rsid w:val="007A6A37"/>
    <w:rsid w:val="007A71E5"/>
    <w:rsid w:val="007A7C30"/>
    <w:rsid w:val="007B2325"/>
    <w:rsid w:val="007B352D"/>
    <w:rsid w:val="007B3F02"/>
    <w:rsid w:val="007B49F7"/>
    <w:rsid w:val="007B4B2D"/>
    <w:rsid w:val="007B4E7C"/>
    <w:rsid w:val="007B5262"/>
    <w:rsid w:val="007B5543"/>
    <w:rsid w:val="007B6689"/>
    <w:rsid w:val="007B763E"/>
    <w:rsid w:val="007B7947"/>
    <w:rsid w:val="007B7EF6"/>
    <w:rsid w:val="007C0866"/>
    <w:rsid w:val="007C1652"/>
    <w:rsid w:val="007C1CF4"/>
    <w:rsid w:val="007C1D85"/>
    <w:rsid w:val="007C3D62"/>
    <w:rsid w:val="007C4476"/>
    <w:rsid w:val="007C5AD2"/>
    <w:rsid w:val="007C656A"/>
    <w:rsid w:val="007C6E00"/>
    <w:rsid w:val="007C79C9"/>
    <w:rsid w:val="007D0EEB"/>
    <w:rsid w:val="007D0F30"/>
    <w:rsid w:val="007D21BE"/>
    <w:rsid w:val="007D287E"/>
    <w:rsid w:val="007D2DDF"/>
    <w:rsid w:val="007D3BFE"/>
    <w:rsid w:val="007D40DF"/>
    <w:rsid w:val="007D61D5"/>
    <w:rsid w:val="007D6964"/>
    <w:rsid w:val="007D747C"/>
    <w:rsid w:val="007E1DAD"/>
    <w:rsid w:val="007E2849"/>
    <w:rsid w:val="007E33A1"/>
    <w:rsid w:val="007E37D3"/>
    <w:rsid w:val="007E4968"/>
    <w:rsid w:val="007E579F"/>
    <w:rsid w:val="007E60A6"/>
    <w:rsid w:val="007E722A"/>
    <w:rsid w:val="007E79A8"/>
    <w:rsid w:val="007E7DA8"/>
    <w:rsid w:val="007E7E61"/>
    <w:rsid w:val="007F00E7"/>
    <w:rsid w:val="007F0845"/>
    <w:rsid w:val="007F0B36"/>
    <w:rsid w:val="007F0C1F"/>
    <w:rsid w:val="007F0E01"/>
    <w:rsid w:val="007F0EEA"/>
    <w:rsid w:val="007F1D44"/>
    <w:rsid w:val="007F2B29"/>
    <w:rsid w:val="007F3792"/>
    <w:rsid w:val="007F3CDD"/>
    <w:rsid w:val="007F66C3"/>
    <w:rsid w:val="007F773C"/>
    <w:rsid w:val="007F7756"/>
    <w:rsid w:val="007F7A02"/>
    <w:rsid w:val="00800D34"/>
    <w:rsid w:val="008018C6"/>
    <w:rsid w:val="00801E93"/>
    <w:rsid w:val="008020EA"/>
    <w:rsid w:val="0080256A"/>
    <w:rsid w:val="008026EB"/>
    <w:rsid w:val="008029E7"/>
    <w:rsid w:val="00802E27"/>
    <w:rsid w:val="00803022"/>
    <w:rsid w:val="008032AD"/>
    <w:rsid w:val="008033E5"/>
    <w:rsid w:val="00803B38"/>
    <w:rsid w:val="00803E0A"/>
    <w:rsid w:val="008046E3"/>
    <w:rsid w:val="00805BAD"/>
    <w:rsid w:val="00806BB0"/>
    <w:rsid w:val="00807739"/>
    <w:rsid w:val="00807C82"/>
    <w:rsid w:val="0081099F"/>
    <w:rsid w:val="008111F7"/>
    <w:rsid w:val="00811FCF"/>
    <w:rsid w:val="00812A2E"/>
    <w:rsid w:val="00813CB4"/>
    <w:rsid w:val="00815282"/>
    <w:rsid w:val="00815862"/>
    <w:rsid w:val="008168F7"/>
    <w:rsid w:val="00816905"/>
    <w:rsid w:val="00820979"/>
    <w:rsid w:val="00820D0D"/>
    <w:rsid w:val="00821CC7"/>
    <w:rsid w:val="00821FF6"/>
    <w:rsid w:val="00822C4D"/>
    <w:rsid w:val="008236C2"/>
    <w:rsid w:val="008237DA"/>
    <w:rsid w:val="00823EFB"/>
    <w:rsid w:val="00824828"/>
    <w:rsid w:val="008259F4"/>
    <w:rsid w:val="00825B78"/>
    <w:rsid w:val="00825C0B"/>
    <w:rsid w:val="00825C4D"/>
    <w:rsid w:val="00825D36"/>
    <w:rsid w:val="00825E53"/>
    <w:rsid w:val="008262CE"/>
    <w:rsid w:val="0082649F"/>
    <w:rsid w:val="00827673"/>
    <w:rsid w:val="00830020"/>
    <w:rsid w:val="00830C39"/>
    <w:rsid w:val="0083143E"/>
    <w:rsid w:val="00831CDE"/>
    <w:rsid w:val="0083420B"/>
    <w:rsid w:val="00834304"/>
    <w:rsid w:val="00834FAA"/>
    <w:rsid w:val="0083518B"/>
    <w:rsid w:val="00835473"/>
    <w:rsid w:val="00835C56"/>
    <w:rsid w:val="00836086"/>
    <w:rsid w:val="00836E96"/>
    <w:rsid w:val="00837655"/>
    <w:rsid w:val="00837809"/>
    <w:rsid w:val="008378ED"/>
    <w:rsid w:val="00837B49"/>
    <w:rsid w:val="00837CCD"/>
    <w:rsid w:val="00840090"/>
    <w:rsid w:val="008401BF"/>
    <w:rsid w:val="00840579"/>
    <w:rsid w:val="008410CE"/>
    <w:rsid w:val="00842F19"/>
    <w:rsid w:val="00843694"/>
    <w:rsid w:val="008439AD"/>
    <w:rsid w:val="00843E2C"/>
    <w:rsid w:val="008440A3"/>
    <w:rsid w:val="00844AFF"/>
    <w:rsid w:val="00844D3B"/>
    <w:rsid w:val="00844F6F"/>
    <w:rsid w:val="00845028"/>
    <w:rsid w:val="00845562"/>
    <w:rsid w:val="00845951"/>
    <w:rsid w:val="00846728"/>
    <w:rsid w:val="00846BFD"/>
    <w:rsid w:val="0084700A"/>
    <w:rsid w:val="0084708F"/>
    <w:rsid w:val="008471A9"/>
    <w:rsid w:val="00847787"/>
    <w:rsid w:val="008477C8"/>
    <w:rsid w:val="008479D6"/>
    <w:rsid w:val="0085114D"/>
    <w:rsid w:val="00852217"/>
    <w:rsid w:val="00852B7E"/>
    <w:rsid w:val="00852E72"/>
    <w:rsid w:val="008544AB"/>
    <w:rsid w:val="00855408"/>
    <w:rsid w:val="00855D26"/>
    <w:rsid w:val="00856AFE"/>
    <w:rsid w:val="00856D65"/>
    <w:rsid w:val="00856E24"/>
    <w:rsid w:val="008576E9"/>
    <w:rsid w:val="00857B9B"/>
    <w:rsid w:val="008606E6"/>
    <w:rsid w:val="00861219"/>
    <w:rsid w:val="00861B41"/>
    <w:rsid w:val="00861B79"/>
    <w:rsid w:val="00861F55"/>
    <w:rsid w:val="00862B65"/>
    <w:rsid w:val="00862E24"/>
    <w:rsid w:val="00863152"/>
    <w:rsid w:val="00863434"/>
    <w:rsid w:val="00863B35"/>
    <w:rsid w:val="00863C3F"/>
    <w:rsid w:val="00864BCD"/>
    <w:rsid w:val="00864CB6"/>
    <w:rsid w:val="00865B42"/>
    <w:rsid w:val="00865E4C"/>
    <w:rsid w:val="008664AD"/>
    <w:rsid w:val="00866B8E"/>
    <w:rsid w:val="00867384"/>
    <w:rsid w:val="00867861"/>
    <w:rsid w:val="008701E4"/>
    <w:rsid w:val="0087080F"/>
    <w:rsid w:val="00870A7F"/>
    <w:rsid w:val="008716FA"/>
    <w:rsid w:val="0087206E"/>
    <w:rsid w:val="008737D3"/>
    <w:rsid w:val="00873CF4"/>
    <w:rsid w:val="00874235"/>
    <w:rsid w:val="008749E0"/>
    <w:rsid w:val="00875626"/>
    <w:rsid w:val="00875A32"/>
    <w:rsid w:val="00875AE0"/>
    <w:rsid w:val="00876086"/>
    <w:rsid w:val="0087647D"/>
    <w:rsid w:val="0087653E"/>
    <w:rsid w:val="00877281"/>
    <w:rsid w:val="0088001A"/>
    <w:rsid w:val="0088047D"/>
    <w:rsid w:val="00880CD7"/>
    <w:rsid w:val="0088120C"/>
    <w:rsid w:val="008814AF"/>
    <w:rsid w:val="0088208F"/>
    <w:rsid w:val="008821C9"/>
    <w:rsid w:val="0088366B"/>
    <w:rsid w:val="00884DC5"/>
    <w:rsid w:val="00886C33"/>
    <w:rsid w:val="00886FB3"/>
    <w:rsid w:val="008873D4"/>
    <w:rsid w:val="008874BD"/>
    <w:rsid w:val="008878CE"/>
    <w:rsid w:val="00890C63"/>
    <w:rsid w:val="0089106C"/>
    <w:rsid w:val="00891D6A"/>
    <w:rsid w:val="00891E2E"/>
    <w:rsid w:val="0089372E"/>
    <w:rsid w:val="008938B0"/>
    <w:rsid w:val="00893E85"/>
    <w:rsid w:val="00894031"/>
    <w:rsid w:val="0089426A"/>
    <w:rsid w:val="00894AE9"/>
    <w:rsid w:val="008951EA"/>
    <w:rsid w:val="0089533C"/>
    <w:rsid w:val="008954DD"/>
    <w:rsid w:val="0089618C"/>
    <w:rsid w:val="00897263"/>
    <w:rsid w:val="00897362"/>
    <w:rsid w:val="00897878"/>
    <w:rsid w:val="00897B42"/>
    <w:rsid w:val="00897D09"/>
    <w:rsid w:val="00897F49"/>
    <w:rsid w:val="00897FCC"/>
    <w:rsid w:val="008A2232"/>
    <w:rsid w:val="008A2DFF"/>
    <w:rsid w:val="008A48F9"/>
    <w:rsid w:val="008A5096"/>
    <w:rsid w:val="008A509B"/>
    <w:rsid w:val="008A5D2C"/>
    <w:rsid w:val="008A657D"/>
    <w:rsid w:val="008A662C"/>
    <w:rsid w:val="008A75BD"/>
    <w:rsid w:val="008A7A60"/>
    <w:rsid w:val="008B1102"/>
    <w:rsid w:val="008B2D7F"/>
    <w:rsid w:val="008B2F9E"/>
    <w:rsid w:val="008B3029"/>
    <w:rsid w:val="008B3E2E"/>
    <w:rsid w:val="008B4825"/>
    <w:rsid w:val="008B5760"/>
    <w:rsid w:val="008B57CF"/>
    <w:rsid w:val="008B6CBD"/>
    <w:rsid w:val="008B7B1C"/>
    <w:rsid w:val="008B7C02"/>
    <w:rsid w:val="008B7D2B"/>
    <w:rsid w:val="008B7DE0"/>
    <w:rsid w:val="008C0049"/>
    <w:rsid w:val="008C069D"/>
    <w:rsid w:val="008C0E88"/>
    <w:rsid w:val="008C0FC4"/>
    <w:rsid w:val="008C14B6"/>
    <w:rsid w:val="008C177C"/>
    <w:rsid w:val="008C2218"/>
    <w:rsid w:val="008C224B"/>
    <w:rsid w:val="008C3112"/>
    <w:rsid w:val="008C3787"/>
    <w:rsid w:val="008C5D60"/>
    <w:rsid w:val="008C5E8B"/>
    <w:rsid w:val="008C61BA"/>
    <w:rsid w:val="008C70B1"/>
    <w:rsid w:val="008C772D"/>
    <w:rsid w:val="008D0C64"/>
    <w:rsid w:val="008D130E"/>
    <w:rsid w:val="008D14F5"/>
    <w:rsid w:val="008D178B"/>
    <w:rsid w:val="008D1E6A"/>
    <w:rsid w:val="008D2A16"/>
    <w:rsid w:val="008D4594"/>
    <w:rsid w:val="008D47DD"/>
    <w:rsid w:val="008D4C38"/>
    <w:rsid w:val="008D6345"/>
    <w:rsid w:val="008D6C23"/>
    <w:rsid w:val="008D7F6C"/>
    <w:rsid w:val="008E0E9C"/>
    <w:rsid w:val="008E2325"/>
    <w:rsid w:val="008E2C57"/>
    <w:rsid w:val="008E31FF"/>
    <w:rsid w:val="008E4FDC"/>
    <w:rsid w:val="008E679C"/>
    <w:rsid w:val="008E6D38"/>
    <w:rsid w:val="008E6F06"/>
    <w:rsid w:val="008E7290"/>
    <w:rsid w:val="008E7B8B"/>
    <w:rsid w:val="008E7ECD"/>
    <w:rsid w:val="008F029B"/>
    <w:rsid w:val="008F15A4"/>
    <w:rsid w:val="008F284B"/>
    <w:rsid w:val="008F3FC9"/>
    <w:rsid w:val="008F41A4"/>
    <w:rsid w:val="008F560C"/>
    <w:rsid w:val="008F566F"/>
    <w:rsid w:val="008F585B"/>
    <w:rsid w:val="008F706B"/>
    <w:rsid w:val="008F711D"/>
    <w:rsid w:val="008F76A0"/>
    <w:rsid w:val="008F76C1"/>
    <w:rsid w:val="009003A8"/>
    <w:rsid w:val="00900E51"/>
    <w:rsid w:val="00901010"/>
    <w:rsid w:val="00901750"/>
    <w:rsid w:val="00902500"/>
    <w:rsid w:val="00902A0A"/>
    <w:rsid w:val="00902EFF"/>
    <w:rsid w:val="00904A3E"/>
    <w:rsid w:val="00905358"/>
    <w:rsid w:val="00905623"/>
    <w:rsid w:val="0090564F"/>
    <w:rsid w:val="00906401"/>
    <w:rsid w:val="00906B3E"/>
    <w:rsid w:val="00907168"/>
    <w:rsid w:val="0090753F"/>
    <w:rsid w:val="009077D9"/>
    <w:rsid w:val="00910196"/>
    <w:rsid w:val="0091155E"/>
    <w:rsid w:val="009119E1"/>
    <w:rsid w:val="00912A92"/>
    <w:rsid w:val="009137FD"/>
    <w:rsid w:val="0091435B"/>
    <w:rsid w:val="0091489A"/>
    <w:rsid w:val="00914981"/>
    <w:rsid w:val="009153A6"/>
    <w:rsid w:val="00916363"/>
    <w:rsid w:val="0091728D"/>
    <w:rsid w:val="0092016E"/>
    <w:rsid w:val="009204F9"/>
    <w:rsid w:val="00920B74"/>
    <w:rsid w:val="0092171C"/>
    <w:rsid w:val="0092180B"/>
    <w:rsid w:val="00921F14"/>
    <w:rsid w:val="009222CC"/>
    <w:rsid w:val="0092269D"/>
    <w:rsid w:val="009232E2"/>
    <w:rsid w:val="00924243"/>
    <w:rsid w:val="00924AC8"/>
    <w:rsid w:val="0092597A"/>
    <w:rsid w:val="009260ED"/>
    <w:rsid w:val="00927074"/>
    <w:rsid w:val="00927F1E"/>
    <w:rsid w:val="0093045A"/>
    <w:rsid w:val="0093090E"/>
    <w:rsid w:val="00931216"/>
    <w:rsid w:val="00931E2D"/>
    <w:rsid w:val="00932443"/>
    <w:rsid w:val="00932C43"/>
    <w:rsid w:val="00932CF9"/>
    <w:rsid w:val="009334D3"/>
    <w:rsid w:val="00933A78"/>
    <w:rsid w:val="00934640"/>
    <w:rsid w:val="00934CB7"/>
    <w:rsid w:val="00935505"/>
    <w:rsid w:val="00937AE2"/>
    <w:rsid w:val="0094006F"/>
    <w:rsid w:val="00941056"/>
    <w:rsid w:val="009411BF"/>
    <w:rsid w:val="009413C3"/>
    <w:rsid w:val="0094153B"/>
    <w:rsid w:val="0094427A"/>
    <w:rsid w:val="0094591D"/>
    <w:rsid w:val="00946019"/>
    <w:rsid w:val="00946C2B"/>
    <w:rsid w:val="0095105D"/>
    <w:rsid w:val="0095179C"/>
    <w:rsid w:val="00953BC7"/>
    <w:rsid w:val="00954CD6"/>
    <w:rsid w:val="00955ED8"/>
    <w:rsid w:val="0095613B"/>
    <w:rsid w:val="00956B96"/>
    <w:rsid w:val="00956FCF"/>
    <w:rsid w:val="00957206"/>
    <w:rsid w:val="00960451"/>
    <w:rsid w:val="00960A67"/>
    <w:rsid w:val="00961B51"/>
    <w:rsid w:val="00961D85"/>
    <w:rsid w:val="00962D52"/>
    <w:rsid w:val="00963599"/>
    <w:rsid w:val="00964897"/>
    <w:rsid w:val="009650EA"/>
    <w:rsid w:val="0096524B"/>
    <w:rsid w:val="00965C99"/>
    <w:rsid w:val="009666A6"/>
    <w:rsid w:val="00967556"/>
    <w:rsid w:val="009716B7"/>
    <w:rsid w:val="00971D2C"/>
    <w:rsid w:val="00971D5F"/>
    <w:rsid w:val="0097368A"/>
    <w:rsid w:val="00973AB4"/>
    <w:rsid w:val="00973ED6"/>
    <w:rsid w:val="009746BF"/>
    <w:rsid w:val="00974923"/>
    <w:rsid w:val="00974C26"/>
    <w:rsid w:val="009758E1"/>
    <w:rsid w:val="009801DA"/>
    <w:rsid w:val="00980A74"/>
    <w:rsid w:val="00980D3D"/>
    <w:rsid w:val="00980E0D"/>
    <w:rsid w:val="009810AD"/>
    <w:rsid w:val="00981B06"/>
    <w:rsid w:val="009821A9"/>
    <w:rsid w:val="00983686"/>
    <w:rsid w:val="00983847"/>
    <w:rsid w:val="00984B93"/>
    <w:rsid w:val="00985CFA"/>
    <w:rsid w:val="00986217"/>
    <w:rsid w:val="00986E0F"/>
    <w:rsid w:val="00987317"/>
    <w:rsid w:val="009873D7"/>
    <w:rsid w:val="00987A30"/>
    <w:rsid w:val="009900AC"/>
    <w:rsid w:val="0099086B"/>
    <w:rsid w:val="00990AD8"/>
    <w:rsid w:val="00990C2A"/>
    <w:rsid w:val="009919D2"/>
    <w:rsid w:val="00991C98"/>
    <w:rsid w:val="00992B46"/>
    <w:rsid w:val="00992B76"/>
    <w:rsid w:val="00992CF3"/>
    <w:rsid w:val="00994128"/>
    <w:rsid w:val="00994385"/>
    <w:rsid w:val="009943A7"/>
    <w:rsid w:val="0099493D"/>
    <w:rsid w:val="009968D6"/>
    <w:rsid w:val="00997154"/>
    <w:rsid w:val="0099746B"/>
    <w:rsid w:val="00997D1B"/>
    <w:rsid w:val="009A08D1"/>
    <w:rsid w:val="009A0F7E"/>
    <w:rsid w:val="009A1475"/>
    <w:rsid w:val="009A1CAB"/>
    <w:rsid w:val="009A1F93"/>
    <w:rsid w:val="009A31BD"/>
    <w:rsid w:val="009A33AF"/>
    <w:rsid w:val="009A60D1"/>
    <w:rsid w:val="009A72FB"/>
    <w:rsid w:val="009B0A72"/>
    <w:rsid w:val="009B15CB"/>
    <w:rsid w:val="009B314E"/>
    <w:rsid w:val="009B42BA"/>
    <w:rsid w:val="009B431C"/>
    <w:rsid w:val="009B5030"/>
    <w:rsid w:val="009B545D"/>
    <w:rsid w:val="009B54FC"/>
    <w:rsid w:val="009B63BB"/>
    <w:rsid w:val="009B682E"/>
    <w:rsid w:val="009B6FD3"/>
    <w:rsid w:val="009B7784"/>
    <w:rsid w:val="009B7B22"/>
    <w:rsid w:val="009C0334"/>
    <w:rsid w:val="009C03FE"/>
    <w:rsid w:val="009C161E"/>
    <w:rsid w:val="009C1750"/>
    <w:rsid w:val="009C1899"/>
    <w:rsid w:val="009C1924"/>
    <w:rsid w:val="009C1BF6"/>
    <w:rsid w:val="009C2E29"/>
    <w:rsid w:val="009C2F39"/>
    <w:rsid w:val="009C43F4"/>
    <w:rsid w:val="009C5365"/>
    <w:rsid w:val="009C554B"/>
    <w:rsid w:val="009C5728"/>
    <w:rsid w:val="009C58D3"/>
    <w:rsid w:val="009C719E"/>
    <w:rsid w:val="009C75AC"/>
    <w:rsid w:val="009C76C6"/>
    <w:rsid w:val="009D0EEB"/>
    <w:rsid w:val="009D29B8"/>
    <w:rsid w:val="009D3312"/>
    <w:rsid w:val="009D384B"/>
    <w:rsid w:val="009D3ACD"/>
    <w:rsid w:val="009D465D"/>
    <w:rsid w:val="009D4B0B"/>
    <w:rsid w:val="009D5451"/>
    <w:rsid w:val="009D5E94"/>
    <w:rsid w:val="009D6447"/>
    <w:rsid w:val="009D76C5"/>
    <w:rsid w:val="009E0C36"/>
    <w:rsid w:val="009E0D38"/>
    <w:rsid w:val="009E1E30"/>
    <w:rsid w:val="009E22C3"/>
    <w:rsid w:val="009E28B0"/>
    <w:rsid w:val="009E2B1F"/>
    <w:rsid w:val="009E2DFC"/>
    <w:rsid w:val="009E34DE"/>
    <w:rsid w:val="009E3798"/>
    <w:rsid w:val="009E4708"/>
    <w:rsid w:val="009E47D2"/>
    <w:rsid w:val="009E4D9A"/>
    <w:rsid w:val="009E4F4B"/>
    <w:rsid w:val="009E5273"/>
    <w:rsid w:val="009E5353"/>
    <w:rsid w:val="009E5757"/>
    <w:rsid w:val="009E5B0F"/>
    <w:rsid w:val="009E5DDB"/>
    <w:rsid w:val="009E6027"/>
    <w:rsid w:val="009E685E"/>
    <w:rsid w:val="009E78FB"/>
    <w:rsid w:val="009E7EBC"/>
    <w:rsid w:val="009F0181"/>
    <w:rsid w:val="009F0F9B"/>
    <w:rsid w:val="009F2213"/>
    <w:rsid w:val="009F2DDE"/>
    <w:rsid w:val="009F420E"/>
    <w:rsid w:val="009F4311"/>
    <w:rsid w:val="009F4646"/>
    <w:rsid w:val="009F496E"/>
    <w:rsid w:val="009F4A16"/>
    <w:rsid w:val="009F4CA7"/>
    <w:rsid w:val="009F4FF3"/>
    <w:rsid w:val="009F5F1A"/>
    <w:rsid w:val="009F7060"/>
    <w:rsid w:val="009F77E6"/>
    <w:rsid w:val="00A001DC"/>
    <w:rsid w:val="00A007BE"/>
    <w:rsid w:val="00A01694"/>
    <w:rsid w:val="00A019D7"/>
    <w:rsid w:val="00A0215E"/>
    <w:rsid w:val="00A0237F"/>
    <w:rsid w:val="00A02C6B"/>
    <w:rsid w:val="00A02EC2"/>
    <w:rsid w:val="00A04FF2"/>
    <w:rsid w:val="00A06ACB"/>
    <w:rsid w:val="00A07DDE"/>
    <w:rsid w:val="00A10C0A"/>
    <w:rsid w:val="00A10D66"/>
    <w:rsid w:val="00A1213F"/>
    <w:rsid w:val="00A12895"/>
    <w:rsid w:val="00A13141"/>
    <w:rsid w:val="00A13266"/>
    <w:rsid w:val="00A137DA"/>
    <w:rsid w:val="00A13997"/>
    <w:rsid w:val="00A14114"/>
    <w:rsid w:val="00A153D6"/>
    <w:rsid w:val="00A16413"/>
    <w:rsid w:val="00A16AA6"/>
    <w:rsid w:val="00A16B2D"/>
    <w:rsid w:val="00A200A0"/>
    <w:rsid w:val="00A20649"/>
    <w:rsid w:val="00A21E7D"/>
    <w:rsid w:val="00A223DF"/>
    <w:rsid w:val="00A2281F"/>
    <w:rsid w:val="00A22821"/>
    <w:rsid w:val="00A22ADD"/>
    <w:rsid w:val="00A23943"/>
    <w:rsid w:val="00A2397C"/>
    <w:rsid w:val="00A23E43"/>
    <w:rsid w:val="00A23EB2"/>
    <w:rsid w:val="00A23EC6"/>
    <w:rsid w:val="00A2415A"/>
    <w:rsid w:val="00A2440B"/>
    <w:rsid w:val="00A24565"/>
    <w:rsid w:val="00A24FFF"/>
    <w:rsid w:val="00A253BB"/>
    <w:rsid w:val="00A257A1"/>
    <w:rsid w:val="00A26719"/>
    <w:rsid w:val="00A26CAF"/>
    <w:rsid w:val="00A272D1"/>
    <w:rsid w:val="00A278D8"/>
    <w:rsid w:val="00A301F0"/>
    <w:rsid w:val="00A302E6"/>
    <w:rsid w:val="00A303E5"/>
    <w:rsid w:val="00A30F65"/>
    <w:rsid w:val="00A315CE"/>
    <w:rsid w:val="00A31F6F"/>
    <w:rsid w:val="00A32242"/>
    <w:rsid w:val="00A32746"/>
    <w:rsid w:val="00A32860"/>
    <w:rsid w:val="00A32AB8"/>
    <w:rsid w:val="00A3606B"/>
    <w:rsid w:val="00A3783A"/>
    <w:rsid w:val="00A37E6D"/>
    <w:rsid w:val="00A40E97"/>
    <w:rsid w:val="00A418BC"/>
    <w:rsid w:val="00A44A95"/>
    <w:rsid w:val="00A44AB1"/>
    <w:rsid w:val="00A46DE0"/>
    <w:rsid w:val="00A47E15"/>
    <w:rsid w:val="00A50D73"/>
    <w:rsid w:val="00A50F93"/>
    <w:rsid w:val="00A52505"/>
    <w:rsid w:val="00A526A8"/>
    <w:rsid w:val="00A52B55"/>
    <w:rsid w:val="00A52CAD"/>
    <w:rsid w:val="00A53EA7"/>
    <w:rsid w:val="00A53FC7"/>
    <w:rsid w:val="00A54049"/>
    <w:rsid w:val="00A547D5"/>
    <w:rsid w:val="00A549B5"/>
    <w:rsid w:val="00A551F4"/>
    <w:rsid w:val="00A55AD2"/>
    <w:rsid w:val="00A56736"/>
    <w:rsid w:val="00A57781"/>
    <w:rsid w:val="00A61F79"/>
    <w:rsid w:val="00A62973"/>
    <w:rsid w:val="00A62CE1"/>
    <w:rsid w:val="00A62D4A"/>
    <w:rsid w:val="00A6312A"/>
    <w:rsid w:val="00A63BD8"/>
    <w:rsid w:val="00A63DBF"/>
    <w:rsid w:val="00A63F9F"/>
    <w:rsid w:val="00A64358"/>
    <w:rsid w:val="00A651B7"/>
    <w:rsid w:val="00A65D20"/>
    <w:rsid w:val="00A65D75"/>
    <w:rsid w:val="00A6741E"/>
    <w:rsid w:val="00A675A2"/>
    <w:rsid w:val="00A675CE"/>
    <w:rsid w:val="00A67C12"/>
    <w:rsid w:val="00A70867"/>
    <w:rsid w:val="00A7163A"/>
    <w:rsid w:val="00A71967"/>
    <w:rsid w:val="00A73E6E"/>
    <w:rsid w:val="00A74F9F"/>
    <w:rsid w:val="00A7580C"/>
    <w:rsid w:val="00A7597A"/>
    <w:rsid w:val="00A75E40"/>
    <w:rsid w:val="00A760DA"/>
    <w:rsid w:val="00A77AC1"/>
    <w:rsid w:val="00A77D1D"/>
    <w:rsid w:val="00A77DAE"/>
    <w:rsid w:val="00A8049F"/>
    <w:rsid w:val="00A81F47"/>
    <w:rsid w:val="00A82704"/>
    <w:rsid w:val="00A8279E"/>
    <w:rsid w:val="00A83811"/>
    <w:rsid w:val="00A83D70"/>
    <w:rsid w:val="00A83D86"/>
    <w:rsid w:val="00A8427E"/>
    <w:rsid w:val="00A846E8"/>
    <w:rsid w:val="00A84A16"/>
    <w:rsid w:val="00A84CFC"/>
    <w:rsid w:val="00A8566E"/>
    <w:rsid w:val="00A857C0"/>
    <w:rsid w:val="00A85952"/>
    <w:rsid w:val="00A86046"/>
    <w:rsid w:val="00A8629B"/>
    <w:rsid w:val="00A87415"/>
    <w:rsid w:val="00A87568"/>
    <w:rsid w:val="00A87643"/>
    <w:rsid w:val="00A90149"/>
    <w:rsid w:val="00A905FD"/>
    <w:rsid w:val="00A911FA"/>
    <w:rsid w:val="00A918A5"/>
    <w:rsid w:val="00A9246D"/>
    <w:rsid w:val="00A93ECC"/>
    <w:rsid w:val="00A94DA8"/>
    <w:rsid w:val="00A95388"/>
    <w:rsid w:val="00A970E0"/>
    <w:rsid w:val="00A97EBD"/>
    <w:rsid w:val="00AA0BD9"/>
    <w:rsid w:val="00AA2850"/>
    <w:rsid w:val="00AA2996"/>
    <w:rsid w:val="00AA2A4B"/>
    <w:rsid w:val="00AA3CCD"/>
    <w:rsid w:val="00AA4283"/>
    <w:rsid w:val="00AA4FBB"/>
    <w:rsid w:val="00AA52A7"/>
    <w:rsid w:val="00AA52BF"/>
    <w:rsid w:val="00AA559A"/>
    <w:rsid w:val="00AA5630"/>
    <w:rsid w:val="00AA6078"/>
    <w:rsid w:val="00AA765A"/>
    <w:rsid w:val="00AB070A"/>
    <w:rsid w:val="00AB0787"/>
    <w:rsid w:val="00AB0BD2"/>
    <w:rsid w:val="00AB1A99"/>
    <w:rsid w:val="00AB1C66"/>
    <w:rsid w:val="00AB1DD2"/>
    <w:rsid w:val="00AB2AF1"/>
    <w:rsid w:val="00AB2C96"/>
    <w:rsid w:val="00AB362F"/>
    <w:rsid w:val="00AB4548"/>
    <w:rsid w:val="00AB5CB7"/>
    <w:rsid w:val="00AB5E95"/>
    <w:rsid w:val="00AB6565"/>
    <w:rsid w:val="00AB6CDA"/>
    <w:rsid w:val="00AB71A5"/>
    <w:rsid w:val="00AB73B3"/>
    <w:rsid w:val="00AB7BDE"/>
    <w:rsid w:val="00AB7E90"/>
    <w:rsid w:val="00AB7F8F"/>
    <w:rsid w:val="00AC0E45"/>
    <w:rsid w:val="00AC1AA3"/>
    <w:rsid w:val="00AC39E7"/>
    <w:rsid w:val="00AC4B87"/>
    <w:rsid w:val="00AC7933"/>
    <w:rsid w:val="00AC7DE1"/>
    <w:rsid w:val="00AD1220"/>
    <w:rsid w:val="00AD157F"/>
    <w:rsid w:val="00AD19D1"/>
    <w:rsid w:val="00AD306C"/>
    <w:rsid w:val="00AD3C1C"/>
    <w:rsid w:val="00AD425D"/>
    <w:rsid w:val="00AD43A0"/>
    <w:rsid w:val="00AD4BEB"/>
    <w:rsid w:val="00AD4D36"/>
    <w:rsid w:val="00AD4F5D"/>
    <w:rsid w:val="00AD53D8"/>
    <w:rsid w:val="00AD5482"/>
    <w:rsid w:val="00AD5D4C"/>
    <w:rsid w:val="00AD68AD"/>
    <w:rsid w:val="00AD6B02"/>
    <w:rsid w:val="00AD6F93"/>
    <w:rsid w:val="00AD7091"/>
    <w:rsid w:val="00AD7B1C"/>
    <w:rsid w:val="00AD7CDF"/>
    <w:rsid w:val="00AE081E"/>
    <w:rsid w:val="00AE09B3"/>
    <w:rsid w:val="00AE13E3"/>
    <w:rsid w:val="00AE1478"/>
    <w:rsid w:val="00AE1A83"/>
    <w:rsid w:val="00AE2487"/>
    <w:rsid w:val="00AE37DE"/>
    <w:rsid w:val="00AE39B0"/>
    <w:rsid w:val="00AE5AF3"/>
    <w:rsid w:val="00AE6DBA"/>
    <w:rsid w:val="00AF1130"/>
    <w:rsid w:val="00AF332B"/>
    <w:rsid w:val="00AF388B"/>
    <w:rsid w:val="00AF50E3"/>
    <w:rsid w:val="00AF5EA5"/>
    <w:rsid w:val="00AF7377"/>
    <w:rsid w:val="00AF7A65"/>
    <w:rsid w:val="00B00913"/>
    <w:rsid w:val="00B013C9"/>
    <w:rsid w:val="00B01436"/>
    <w:rsid w:val="00B01593"/>
    <w:rsid w:val="00B01F64"/>
    <w:rsid w:val="00B02382"/>
    <w:rsid w:val="00B02D21"/>
    <w:rsid w:val="00B04AE7"/>
    <w:rsid w:val="00B055AA"/>
    <w:rsid w:val="00B07173"/>
    <w:rsid w:val="00B10827"/>
    <w:rsid w:val="00B10A4D"/>
    <w:rsid w:val="00B1170B"/>
    <w:rsid w:val="00B11E54"/>
    <w:rsid w:val="00B130C2"/>
    <w:rsid w:val="00B13743"/>
    <w:rsid w:val="00B1434A"/>
    <w:rsid w:val="00B16C12"/>
    <w:rsid w:val="00B17124"/>
    <w:rsid w:val="00B17B4A"/>
    <w:rsid w:val="00B17E71"/>
    <w:rsid w:val="00B17FDE"/>
    <w:rsid w:val="00B202AE"/>
    <w:rsid w:val="00B20843"/>
    <w:rsid w:val="00B224C2"/>
    <w:rsid w:val="00B22645"/>
    <w:rsid w:val="00B22B13"/>
    <w:rsid w:val="00B2346F"/>
    <w:rsid w:val="00B2379C"/>
    <w:rsid w:val="00B2426E"/>
    <w:rsid w:val="00B24764"/>
    <w:rsid w:val="00B254E9"/>
    <w:rsid w:val="00B25AE7"/>
    <w:rsid w:val="00B25BE0"/>
    <w:rsid w:val="00B2687D"/>
    <w:rsid w:val="00B26D77"/>
    <w:rsid w:val="00B270AD"/>
    <w:rsid w:val="00B2747E"/>
    <w:rsid w:val="00B277E5"/>
    <w:rsid w:val="00B30607"/>
    <w:rsid w:val="00B30BF2"/>
    <w:rsid w:val="00B30D77"/>
    <w:rsid w:val="00B30FF3"/>
    <w:rsid w:val="00B319BF"/>
    <w:rsid w:val="00B31A9E"/>
    <w:rsid w:val="00B322B8"/>
    <w:rsid w:val="00B32316"/>
    <w:rsid w:val="00B32662"/>
    <w:rsid w:val="00B32DDB"/>
    <w:rsid w:val="00B34138"/>
    <w:rsid w:val="00B34528"/>
    <w:rsid w:val="00B35583"/>
    <w:rsid w:val="00B35603"/>
    <w:rsid w:val="00B35EBA"/>
    <w:rsid w:val="00B36665"/>
    <w:rsid w:val="00B375FB"/>
    <w:rsid w:val="00B37720"/>
    <w:rsid w:val="00B37E7E"/>
    <w:rsid w:val="00B402FC"/>
    <w:rsid w:val="00B4044D"/>
    <w:rsid w:val="00B414E6"/>
    <w:rsid w:val="00B4167E"/>
    <w:rsid w:val="00B43B29"/>
    <w:rsid w:val="00B457F9"/>
    <w:rsid w:val="00B46604"/>
    <w:rsid w:val="00B46FAF"/>
    <w:rsid w:val="00B500F5"/>
    <w:rsid w:val="00B50212"/>
    <w:rsid w:val="00B519B3"/>
    <w:rsid w:val="00B530CD"/>
    <w:rsid w:val="00B53263"/>
    <w:rsid w:val="00B53DD0"/>
    <w:rsid w:val="00B5462B"/>
    <w:rsid w:val="00B546C2"/>
    <w:rsid w:val="00B54D31"/>
    <w:rsid w:val="00B55B2B"/>
    <w:rsid w:val="00B55F5E"/>
    <w:rsid w:val="00B5747B"/>
    <w:rsid w:val="00B5752E"/>
    <w:rsid w:val="00B576E5"/>
    <w:rsid w:val="00B577DB"/>
    <w:rsid w:val="00B57926"/>
    <w:rsid w:val="00B57DC4"/>
    <w:rsid w:val="00B62DF6"/>
    <w:rsid w:val="00B63879"/>
    <w:rsid w:val="00B63A11"/>
    <w:rsid w:val="00B64393"/>
    <w:rsid w:val="00B64671"/>
    <w:rsid w:val="00B64C24"/>
    <w:rsid w:val="00B64FC3"/>
    <w:rsid w:val="00B65961"/>
    <w:rsid w:val="00B6608F"/>
    <w:rsid w:val="00B66E68"/>
    <w:rsid w:val="00B678DE"/>
    <w:rsid w:val="00B679FB"/>
    <w:rsid w:val="00B67F8E"/>
    <w:rsid w:val="00B705AA"/>
    <w:rsid w:val="00B710B4"/>
    <w:rsid w:val="00B72563"/>
    <w:rsid w:val="00B72A0A"/>
    <w:rsid w:val="00B735DA"/>
    <w:rsid w:val="00B73C78"/>
    <w:rsid w:val="00B74104"/>
    <w:rsid w:val="00B744C2"/>
    <w:rsid w:val="00B74518"/>
    <w:rsid w:val="00B74B8F"/>
    <w:rsid w:val="00B74F7C"/>
    <w:rsid w:val="00B75A6F"/>
    <w:rsid w:val="00B7617F"/>
    <w:rsid w:val="00B7631E"/>
    <w:rsid w:val="00B7682E"/>
    <w:rsid w:val="00B76D1E"/>
    <w:rsid w:val="00B7794F"/>
    <w:rsid w:val="00B80BFE"/>
    <w:rsid w:val="00B80EC6"/>
    <w:rsid w:val="00B81138"/>
    <w:rsid w:val="00B82599"/>
    <w:rsid w:val="00B827F5"/>
    <w:rsid w:val="00B836A2"/>
    <w:rsid w:val="00B838C1"/>
    <w:rsid w:val="00B83A3F"/>
    <w:rsid w:val="00B84C86"/>
    <w:rsid w:val="00B85002"/>
    <w:rsid w:val="00B850BB"/>
    <w:rsid w:val="00B85965"/>
    <w:rsid w:val="00B86080"/>
    <w:rsid w:val="00B8770C"/>
    <w:rsid w:val="00B879B8"/>
    <w:rsid w:val="00B9104B"/>
    <w:rsid w:val="00B91D10"/>
    <w:rsid w:val="00B91E8F"/>
    <w:rsid w:val="00B9263A"/>
    <w:rsid w:val="00B92A24"/>
    <w:rsid w:val="00B92D1D"/>
    <w:rsid w:val="00B92E48"/>
    <w:rsid w:val="00B93526"/>
    <w:rsid w:val="00B938C5"/>
    <w:rsid w:val="00B93BDF"/>
    <w:rsid w:val="00B941A5"/>
    <w:rsid w:val="00B94C0A"/>
    <w:rsid w:val="00B95940"/>
    <w:rsid w:val="00B95BBC"/>
    <w:rsid w:val="00B97292"/>
    <w:rsid w:val="00BA002F"/>
    <w:rsid w:val="00BA16F7"/>
    <w:rsid w:val="00BA1C90"/>
    <w:rsid w:val="00BA2ED0"/>
    <w:rsid w:val="00BA33BD"/>
    <w:rsid w:val="00BA3BF9"/>
    <w:rsid w:val="00BA4060"/>
    <w:rsid w:val="00BA51C2"/>
    <w:rsid w:val="00BA62EE"/>
    <w:rsid w:val="00BA74FC"/>
    <w:rsid w:val="00BB073E"/>
    <w:rsid w:val="00BB3181"/>
    <w:rsid w:val="00BB46F3"/>
    <w:rsid w:val="00BB4CB1"/>
    <w:rsid w:val="00BB4F98"/>
    <w:rsid w:val="00BB5500"/>
    <w:rsid w:val="00BB5D0E"/>
    <w:rsid w:val="00BB650A"/>
    <w:rsid w:val="00BB79B0"/>
    <w:rsid w:val="00BB7E73"/>
    <w:rsid w:val="00BC05D1"/>
    <w:rsid w:val="00BC1EB9"/>
    <w:rsid w:val="00BC1F07"/>
    <w:rsid w:val="00BC36BD"/>
    <w:rsid w:val="00BC375B"/>
    <w:rsid w:val="00BC40EB"/>
    <w:rsid w:val="00BC47BA"/>
    <w:rsid w:val="00BC5623"/>
    <w:rsid w:val="00BC5BC4"/>
    <w:rsid w:val="00BC650D"/>
    <w:rsid w:val="00BC68D0"/>
    <w:rsid w:val="00BC6B40"/>
    <w:rsid w:val="00BC6C8D"/>
    <w:rsid w:val="00BC7154"/>
    <w:rsid w:val="00BC7B5B"/>
    <w:rsid w:val="00BC7C96"/>
    <w:rsid w:val="00BD0155"/>
    <w:rsid w:val="00BD12F7"/>
    <w:rsid w:val="00BD1A3A"/>
    <w:rsid w:val="00BD215A"/>
    <w:rsid w:val="00BD2217"/>
    <w:rsid w:val="00BD3339"/>
    <w:rsid w:val="00BD366B"/>
    <w:rsid w:val="00BD3D66"/>
    <w:rsid w:val="00BD3DB6"/>
    <w:rsid w:val="00BD536B"/>
    <w:rsid w:val="00BD6D50"/>
    <w:rsid w:val="00BD723D"/>
    <w:rsid w:val="00BE01A0"/>
    <w:rsid w:val="00BE0228"/>
    <w:rsid w:val="00BE04CB"/>
    <w:rsid w:val="00BE0761"/>
    <w:rsid w:val="00BE1230"/>
    <w:rsid w:val="00BE18B9"/>
    <w:rsid w:val="00BE2424"/>
    <w:rsid w:val="00BE2427"/>
    <w:rsid w:val="00BE2495"/>
    <w:rsid w:val="00BE4825"/>
    <w:rsid w:val="00BE5673"/>
    <w:rsid w:val="00BE5C27"/>
    <w:rsid w:val="00BE5EAB"/>
    <w:rsid w:val="00BE65BD"/>
    <w:rsid w:val="00BE6BD1"/>
    <w:rsid w:val="00BE6ECE"/>
    <w:rsid w:val="00BF0EF8"/>
    <w:rsid w:val="00BF1578"/>
    <w:rsid w:val="00BF17D5"/>
    <w:rsid w:val="00BF2253"/>
    <w:rsid w:val="00BF3795"/>
    <w:rsid w:val="00BF4AC4"/>
    <w:rsid w:val="00BF4B10"/>
    <w:rsid w:val="00BF631C"/>
    <w:rsid w:val="00BF6435"/>
    <w:rsid w:val="00BF668B"/>
    <w:rsid w:val="00BF7F41"/>
    <w:rsid w:val="00C00D76"/>
    <w:rsid w:val="00C0105C"/>
    <w:rsid w:val="00C01061"/>
    <w:rsid w:val="00C018F3"/>
    <w:rsid w:val="00C019FF"/>
    <w:rsid w:val="00C0347C"/>
    <w:rsid w:val="00C03ADC"/>
    <w:rsid w:val="00C07DEE"/>
    <w:rsid w:val="00C10572"/>
    <w:rsid w:val="00C11A0B"/>
    <w:rsid w:val="00C1452B"/>
    <w:rsid w:val="00C14AD1"/>
    <w:rsid w:val="00C151F0"/>
    <w:rsid w:val="00C15656"/>
    <w:rsid w:val="00C159CB"/>
    <w:rsid w:val="00C15F04"/>
    <w:rsid w:val="00C164FA"/>
    <w:rsid w:val="00C16859"/>
    <w:rsid w:val="00C200FA"/>
    <w:rsid w:val="00C20769"/>
    <w:rsid w:val="00C209C1"/>
    <w:rsid w:val="00C21ACE"/>
    <w:rsid w:val="00C21B0F"/>
    <w:rsid w:val="00C21F94"/>
    <w:rsid w:val="00C2258D"/>
    <w:rsid w:val="00C22AC1"/>
    <w:rsid w:val="00C22DC5"/>
    <w:rsid w:val="00C22E3D"/>
    <w:rsid w:val="00C24392"/>
    <w:rsid w:val="00C25884"/>
    <w:rsid w:val="00C25935"/>
    <w:rsid w:val="00C25C1F"/>
    <w:rsid w:val="00C270EE"/>
    <w:rsid w:val="00C27913"/>
    <w:rsid w:val="00C27ECC"/>
    <w:rsid w:val="00C30B6E"/>
    <w:rsid w:val="00C31450"/>
    <w:rsid w:val="00C321F3"/>
    <w:rsid w:val="00C3368F"/>
    <w:rsid w:val="00C33851"/>
    <w:rsid w:val="00C33B68"/>
    <w:rsid w:val="00C33CD5"/>
    <w:rsid w:val="00C350BB"/>
    <w:rsid w:val="00C35ABD"/>
    <w:rsid w:val="00C36343"/>
    <w:rsid w:val="00C3647D"/>
    <w:rsid w:val="00C36590"/>
    <w:rsid w:val="00C36A79"/>
    <w:rsid w:val="00C36AE9"/>
    <w:rsid w:val="00C36DD5"/>
    <w:rsid w:val="00C36ECC"/>
    <w:rsid w:val="00C377A5"/>
    <w:rsid w:val="00C377DC"/>
    <w:rsid w:val="00C405D4"/>
    <w:rsid w:val="00C41EE8"/>
    <w:rsid w:val="00C41EF8"/>
    <w:rsid w:val="00C42590"/>
    <w:rsid w:val="00C42661"/>
    <w:rsid w:val="00C435E2"/>
    <w:rsid w:val="00C435F3"/>
    <w:rsid w:val="00C43835"/>
    <w:rsid w:val="00C43F18"/>
    <w:rsid w:val="00C440A8"/>
    <w:rsid w:val="00C4513B"/>
    <w:rsid w:val="00C5058F"/>
    <w:rsid w:val="00C50C66"/>
    <w:rsid w:val="00C513DA"/>
    <w:rsid w:val="00C518C2"/>
    <w:rsid w:val="00C529B5"/>
    <w:rsid w:val="00C529FE"/>
    <w:rsid w:val="00C5305A"/>
    <w:rsid w:val="00C535EE"/>
    <w:rsid w:val="00C53BD5"/>
    <w:rsid w:val="00C53C00"/>
    <w:rsid w:val="00C54697"/>
    <w:rsid w:val="00C54948"/>
    <w:rsid w:val="00C54C03"/>
    <w:rsid w:val="00C5591F"/>
    <w:rsid w:val="00C56D37"/>
    <w:rsid w:val="00C57E2E"/>
    <w:rsid w:val="00C63203"/>
    <w:rsid w:val="00C635EE"/>
    <w:rsid w:val="00C63A95"/>
    <w:rsid w:val="00C6409E"/>
    <w:rsid w:val="00C6429D"/>
    <w:rsid w:val="00C6455D"/>
    <w:rsid w:val="00C655C0"/>
    <w:rsid w:val="00C656AA"/>
    <w:rsid w:val="00C67100"/>
    <w:rsid w:val="00C674BA"/>
    <w:rsid w:val="00C67551"/>
    <w:rsid w:val="00C67F74"/>
    <w:rsid w:val="00C71000"/>
    <w:rsid w:val="00C719C3"/>
    <w:rsid w:val="00C734DA"/>
    <w:rsid w:val="00C73885"/>
    <w:rsid w:val="00C73895"/>
    <w:rsid w:val="00C740CD"/>
    <w:rsid w:val="00C747B1"/>
    <w:rsid w:val="00C75024"/>
    <w:rsid w:val="00C76518"/>
    <w:rsid w:val="00C76869"/>
    <w:rsid w:val="00C76C60"/>
    <w:rsid w:val="00C778C6"/>
    <w:rsid w:val="00C77964"/>
    <w:rsid w:val="00C77CF8"/>
    <w:rsid w:val="00C80E75"/>
    <w:rsid w:val="00C8143B"/>
    <w:rsid w:val="00C81593"/>
    <w:rsid w:val="00C81F13"/>
    <w:rsid w:val="00C82191"/>
    <w:rsid w:val="00C8311E"/>
    <w:rsid w:val="00C83C52"/>
    <w:rsid w:val="00C842AC"/>
    <w:rsid w:val="00C86052"/>
    <w:rsid w:val="00C862A7"/>
    <w:rsid w:val="00C87E10"/>
    <w:rsid w:val="00C90604"/>
    <w:rsid w:val="00C90824"/>
    <w:rsid w:val="00C90CF4"/>
    <w:rsid w:val="00C9124A"/>
    <w:rsid w:val="00C913D4"/>
    <w:rsid w:val="00C91DD5"/>
    <w:rsid w:val="00C92523"/>
    <w:rsid w:val="00C9253E"/>
    <w:rsid w:val="00C9265F"/>
    <w:rsid w:val="00C92EB6"/>
    <w:rsid w:val="00C9317D"/>
    <w:rsid w:val="00C93389"/>
    <w:rsid w:val="00C93DAD"/>
    <w:rsid w:val="00C94FC3"/>
    <w:rsid w:val="00C9584A"/>
    <w:rsid w:val="00C95AD8"/>
    <w:rsid w:val="00C97566"/>
    <w:rsid w:val="00C9760F"/>
    <w:rsid w:val="00C97ACE"/>
    <w:rsid w:val="00CA1EAF"/>
    <w:rsid w:val="00CA26C6"/>
    <w:rsid w:val="00CA3F86"/>
    <w:rsid w:val="00CA3FF4"/>
    <w:rsid w:val="00CA4D0C"/>
    <w:rsid w:val="00CA5374"/>
    <w:rsid w:val="00CA54C8"/>
    <w:rsid w:val="00CA6088"/>
    <w:rsid w:val="00CA663A"/>
    <w:rsid w:val="00CA6949"/>
    <w:rsid w:val="00CA6E63"/>
    <w:rsid w:val="00CA77E6"/>
    <w:rsid w:val="00CA7BA6"/>
    <w:rsid w:val="00CB0332"/>
    <w:rsid w:val="00CB0820"/>
    <w:rsid w:val="00CB1944"/>
    <w:rsid w:val="00CB1D1E"/>
    <w:rsid w:val="00CB2810"/>
    <w:rsid w:val="00CB30CE"/>
    <w:rsid w:val="00CB381A"/>
    <w:rsid w:val="00CB4229"/>
    <w:rsid w:val="00CB47C0"/>
    <w:rsid w:val="00CB4930"/>
    <w:rsid w:val="00CB5FDE"/>
    <w:rsid w:val="00CB6743"/>
    <w:rsid w:val="00CB7204"/>
    <w:rsid w:val="00CB724B"/>
    <w:rsid w:val="00CC05BF"/>
    <w:rsid w:val="00CC0F51"/>
    <w:rsid w:val="00CC1230"/>
    <w:rsid w:val="00CC2A83"/>
    <w:rsid w:val="00CC2E7D"/>
    <w:rsid w:val="00CC6003"/>
    <w:rsid w:val="00CD067E"/>
    <w:rsid w:val="00CD0AB6"/>
    <w:rsid w:val="00CD10A5"/>
    <w:rsid w:val="00CD1661"/>
    <w:rsid w:val="00CD1BD7"/>
    <w:rsid w:val="00CD1CF3"/>
    <w:rsid w:val="00CD2020"/>
    <w:rsid w:val="00CD2076"/>
    <w:rsid w:val="00CD2C82"/>
    <w:rsid w:val="00CD374B"/>
    <w:rsid w:val="00CD43FB"/>
    <w:rsid w:val="00CD4965"/>
    <w:rsid w:val="00CD5ED1"/>
    <w:rsid w:val="00CD6C14"/>
    <w:rsid w:val="00CD7BEB"/>
    <w:rsid w:val="00CE01D4"/>
    <w:rsid w:val="00CE1234"/>
    <w:rsid w:val="00CE147C"/>
    <w:rsid w:val="00CE1D97"/>
    <w:rsid w:val="00CE21B0"/>
    <w:rsid w:val="00CE236C"/>
    <w:rsid w:val="00CE2E77"/>
    <w:rsid w:val="00CE2E85"/>
    <w:rsid w:val="00CE3254"/>
    <w:rsid w:val="00CE3554"/>
    <w:rsid w:val="00CE3862"/>
    <w:rsid w:val="00CE427F"/>
    <w:rsid w:val="00CE5495"/>
    <w:rsid w:val="00CE5869"/>
    <w:rsid w:val="00CE670B"/>
    <w:rsid w:val="00CE6C40"/>
    <w:rsid w:val="00CE72A2"/>
    <w:rsid w:val="00CF0747"/>
    <w:rsid w:val="00CF0EEF"/>
    <w:rsid w:val="00CF1998"/>
    <w:rsid w:val="00CF2338"/>
    <w:rsid w:val="00CF27F9"/>
    <w:rsid w:val="00CF2AB4"/>
    <w:rsid w:val="00CF4455"/>
    <w:rsid w:val="00CF4ADA"/>
    <w:rsid w:val="00CF51EC"/>
    <w:rsid w:val="00CF5FA9"/>
    <w:rsid w:val="00CF6172"/>
    <w:rsid w:val="00CF6778"/>
    <w:rsid w:val="00CF68F6"/>
    <w:rsid w:val="00CF6BBF"/>
    <w:rsid w:val="00CF7159"/>
    <w:rsid w:val="00CF72A7"/>
    <w:rsid w:val="00CF73AE"/>
    <w:rsid w:val="00CF7401"/>
    <w:rsid w:val="00D01EE5"/>
    <w:rsid w:val="00D0203C"/>
    <w:rsid w:val="00D0291B"/>
    <w:rsid w:val="00D040DD"/>
    <w:rsid w:val="00D04DCE"/>
    <w:rsid w:val="00D05238"/>
    <w:rsid w:val="00D05DD3"/>
    <w:rsid w:val="00D05F98"/>
    <w:rsid w:val="00D06A5E"/>
    <w:rsid w:val="00D06DA3"/>
    <w:rsid w:val="00D077FD"/>
    <w:rsid w:val="00D105FB"/>
    <w:rsid w:val="00D10873"/>
    <w:rsid w:val="00D10B73"/>
    <w:rsid w:val="00D10FE5"/>
    <w:rsid w:val="00D1194E"/>
    <w:rsid w:val="00D12107"/>
    <w:rsid w:val="00D12ED9"/>
    <w:rsid w:val="00D12F18"/>
    <w:rsid w:val="00D13080"/>
    <w:rsid w:val="00D13103"/>
    <w:rsid w:val="00D13986"/>
    <w:rsid w:val="00D147BA"/>
    <w:rsid w:val="00D15BED"/>
    <w:rsid w:val="00D15C54"/>
    <w:rsid w:val="00D168A1"/>
    <w:rsid w:val="00D16C00"/>
    <w:rsid w:val="00D17008"/>
    <w:rsid w:val="00D21B68"/>
    <w:rsid w:val="00D21C8C"/>
    <w:rsid w:val="00D222BB"/>
    <w:rsid w:val="00D235B7"/>
    <w:rsid w:val="00D23CB7"/>
    <w:rsid w:val="00D23D3E"/>
    <w:rsid w:val="00D251CD"/>
    <w:rsid w:val="00D25F28"/>
    <w:rsid w:val="00D265CF"/>
    <w:rsid w:val="00D26867"/>
    <w:rsid w:val="00D26AEA"/>
    <w:rsid w:val="00D26C4E"/>
    <w:rsid w:val="00D27515"/>
    <w:rsid w:val="00D27973"/>
    <w:rsid w:val="00D279FE"/>
    <w:rsid w:val="00D27C4D"/>
    <w:rsid w:val="00D30CC4"/>
    <w:rsid w:val="00D30F9D"/>
    <w:rsid w:val="00D310D1"/>
    <w:rsid w:val="00D33C33"/>
    <w:rsid w:val="00D34261"/>
    <w:rsid w:val="00D3434E"/>
    <w:rsid w:val="00D343F5"/>
    <w:rsid w:val="00D3469F"/>
    <w:rsid w:val="00D347A6"/>
    <w:rsid w:val="00D35512"/>
    <w:rsid w:val="00D3576C"/>
    <w:rsid w:val="00D36129"/>
    <w:rsid w:val="00D368AB"/>
    <w:rsid w:val="00D37541"/>
    <w:rsid w:val="00D37886"/>
    <w:rsid w:val="00D417AD"/>
    <w:rsid w:val="00D4181F"/>
    <w:rsid w:val="00D4320A"/>
    <w:rsid w:val="00D446A6"/>
    <w:rsid w:val="00D44E0F"/>
    <w:rsid w:val="00D4579E"/>
    <w:rsid w:val="00D4645C"/>
    <w:rsid w:val="00D469C1"/>
    <w:rsid w:val="00D46E9B"/>
    <w:rsid w:val="00D46EA5"/>
    <w:rsid w:val="00D47B79"/>
    <w:rsid w:val="00D47E5F"/>
    <w:rsid w:val="00D5097D"/>
    <w:rsid w:val="00D50F46"/>
    <w:rsid w:val="00D51A94"/>
    <w:rsid w:val="00D5363B"/>
    <w:rsid w:val="00D549EB"/>
    <w:rsid w:val="00D54D3E"/>
    <w:rsid w:val="00D54FF6"/>
    <w:rsid w:val="00D55479"/>
    <w:rsid w:val="00D55B06"/>
    <w:rsid w:val="00D55DB1"/>
    <w:rsid w:val="00D561C3"/>
    <w:rsid w:val="00D564E0"/>
    <w:rsid w:val="00D56752"/>
    <w:rsid w:val="00D56CD4"/>
    <w:rsid w:val="00D56DBD"/>
    <w:rsid w:val="00D56EB1"/>
    <w:rsid w:val="00D57F33"/>
    <w:rsid w:val="00D60538"/>
    <w:rsid w:val="00D61155"/>
    <w:rsid w:val="00D6249A"/>
    <w:rsid w:val="00D64050"/>
    <w:rsid w:val="00D6444F"/>
    <w:rsid w:val="00D64541"/>
    <w:rsid w:val="00D652AB"/>
    <w:rsid w:val="00D65631"/>
    <w:rsid w:val="00D66223"/>
    <w:rsid w:val="00D66AA4"/>
    <w:rsid w:val="00D71BA5"/>
    <w:rsid w:val="00D72E09"/>
    <w:rsid w:val="00D72EAB"/>
    <w:rsid w:val="00D74140"/>
    <w:rsid w:val="00D74353"/>
    <w:rsid w:val="00D7485A"/>
    <w:rsid w:val="00D74A8A"/>
    <w:rsid w:val="00D74CAF"/>
    <w:rsid w:val="00D74D79"/>
    <w:rsid w:val="00D765E4"/>
    <w:rsid w:val="00D773B1"/>
    <w:rsid w:val="00D80035"/>
    <w:rsid w:val="00D80743"/>
    <w:rsid w:val="00D8084C"/>
    <w:rsid w:val="00D80BF8"/>
    <w:rsid w:val="00D8240D"/>
    <w:rsid w:val="00D830E8"/>
    <w:rsid w:val="00D8357D"/>
    <w:rsid w:val="00D83ED8"/>
    <w:rsid w:val="00D84A46"/>
    <w:rsid w:val="00D861CC"/>
    <w:rsid w:val="00D86831"/>
    <w:rsid w:val="00D87284"/>
    <w:rsid w:val="00D87693"/>
    <w:rsid w:val="00D908DE"/>
    <w:rsid w:val="00D90C09"/>
    <w:rsid w:val="00D91045"/>
    <w:rsid w:val="00D91139"/>
    <w:rsid w:val="00D9113E"/>
    <w:rsid w:val="00D91B71"/>
    <w:rsid w:val="00D92018"/>
    <w:rsid w:val="00D92ECC"/>
    <w:rsid w:val="00D94BA0"/>
    <w:rsid w:val="00D9514C"/>
    <w:rsid w:val="00D951D0"/>
    <w:rsid w:val="00D96D3A"/>
    <w:rsid w:val="00D96DD0"/>
    <w:rsid w:val="00D9725E"/>
    <w:rsid w:val="00D972A3"/>
    <w:rsid w:val="00D97835"/>
    <w:rsid w:val="00D97CE0"/>
    <w:rsid w:val="00DA0972"/>
    <w:rsid w:val="00DA114F"/>
    <w:rsid w:val="00DA17E9"/>
    <w:rsid w:val="00DA1F73"/>
    <w:rsid w:val="00DA3D5C"/>
    <w:rsid w:val="00DA42AC"/>
    <w:rsid w:val="00DA4497"/>
    <w:rsid w:val="00DA46A4"/>
    <w:rsid w:val="00DA491A"/>
    <w:rsid w:val="00DA59F1"/>
    <w:rsid w:val="00DA5C77"/>
    <w:rsid w:val="00DA6216"/>
    <w:rsid w:val="00DA6250"/>
    <w:rsid w:val="00DA666C"/>
    <w:rsid w:val="00DA7A30"/>
    <w:rsid w:val="00DA7C0C"/>
    <w:rsid w:val="00DB0A08"/>
    <w:rsid w:val="00DB135E"/>
    <w:rsid w:val="00DB200A"/>
    <w:rsid w:val="00DB2053"/>
    <w:rsid w:val="00DB2EC8"/>
    <w:rsid w:val="00DB3D28"/>
    <w:rsid w:val="00DB560E"/>
    <w:rsid w:val="00DB5CF0"/>
    <w:rsid w:val="00DB5D5B"/>
    <w:rsid w:val="00DB6DB5"/>
    <w:rsid w:val="00DC017F"/>
    <w:rsid w:val="00DC16DD"/>
    <w:rsid w:val="00DC1A31"/>
    <w:rsid w:val="00DC1C8F"/>
    <w:rsid w:val="00DC1D4C"/>
    <w:rsid w:val="00DC2A28"/>
    <w:rsid w:val="00DC2C40"/>
    <w:rsid w:val="00DC3846"/>
    <w:rsid w:val="00DC3A95"/>
    <w:rsid w:val="00DC4FB4"/>
    <w:rsid w:val="00DC5B3B"/>
    <w:rsid w:val="00DC6DEB"/>
    <w:rsid w:val="00DD0A11"/>
    <w:rsid w:val="00DD129F"/>
    <w:rsid w:val="00DD2702"/>
    <w:rsid w:val="00DD2DEC"/>
    <w:rsid w:val="00DD2F6B"/>
    <w:rsid w:val="00DD39AD"/>
    <w:rsid w:val="00DD4EA5"/>
    <w:rsid w:val="00DD51D4"/>
    <w:rsid w:val="00DD5695"/>
    <w:rsid w:val="00DD56D9"/>
    <w:rsid w:val="00DD5F3A"/>
    <w:rsid w:val="00DD60DD"/>
    <w:rsid w:val="00DD7093"/>
    <w:rsid w:val="00DE0131"/>
    <w:rsid w:val="00DE1B3B"/>
    <w:rsid w:val="00DE2B8D"/>
    <w:rsid w:val="00DE3364"/>
    <w:rsid w:val="00DE461E"/>
    <w:rsid w:val="00DE4933"/>
    <w:rsid w:val="00DE4D44"/>
    <w:rsid w:val="00DE5304"/>
    <w:rsid w:val="00DE6B7C"/>
    <w:rsid w:val="00DE6E08"/>
    <w:rsid w:val="00DE76C0"/>
    <w:rsid w:val="00DF1418"/>
    <w:rsid w:val="00DF3477"/>
    <w:rsid w:val="00DF40F7"/>
    <w:rsid w:val="00DF42FF"/>
    <w:rsid w:val="00DF4636"/>
    <w:rsid w:val="00DF4680"/>
    <w:rsid w:val="00DF495F"/>
    <w:rsid w:val="00DF4FB7"/>
    <w:rsid w:val="00DF5C90"/>
    <w:rsid w:val="00DF603C"/>
    <w:rsid w:val="00DF62FC"/>
    <w:rsid w:val="00DF6738"/>
    <w:rsid w:val="00E009CD"/>
    <w:rsid w:val="00E01B2A"/>
    <w:rsid w:val="00E01C0E"/>
    <w:rsid w:val="00E02CAC"/>
    <w:rsid w:val="00E03F9A"/>
    <w:rsid w:val="00E04694"/>
    <w:rsid w:val="00E048E2"/>
    <w:rsid w:val="00E053DF"/>
    <w:rsid w:val="00E06A97"/>
    <w:rsid w:val="00E074C6"/>
    <w:rsid w:val="00E07C9D"/>
    <w:rsid w:val="00E10733"/>
    <w:rsid w:val="00E113F9"/>
    <w:rsid w:val="00E12199"/>
    <w:rsid w:val="00E1221E"/>
    <w:rsid w:val="00E12B1E"/>
    <w:rsid w:val="00E12C34"/>
    <w:rsid w:val="00E1368B"/>
    <w:rsid w:val="00E13D22"/>
    <w:rsid w:val="00E14A62"/>
    <w:rsid w:val="00E15503"/>
    <w:rsid w:val="00E16105"/>
    <w:rsid w:val="00E17262"/>
    <w:rsid w:val="00E1747A"/>
    <w:rsid w:val="00E20D1A"/>
    <w:rsid w:val="00E20E76"/>
    <w:rsid w:val="00E24A9E"/>
    <w:rsid w:val="00E24E4A"/>
    <w:rsid w:val="00E2501D"/>
    <w:rsid w:val="00E253A2"/>
    <w:rsid w:val="00E25A61"/>
    <w:rsid w:val="00E25D6F"/>
    <w:rsid w:val="00E268B3"/>
    <w:rsid w:val="00E276D1"/>
    <w:rsid w:val="00E27CE6"/>
    <w:rsid w:val="00E27D6C"/>
    <w:rsid w:val="00E30151"/>
    <w:rsid w:val="00E30ECA"/>
    <w:rsid w:val="00E30F00"/>
    <w:rsid w:val="00E313F7"/>
    <w:rsid w:val="00E31618"/>
    <w:rsid w:val="00E3175A"/>
    <w:rsid w:val="00E317EF"/>
    <w:rsid w:val="00E32873"/>
    <w:rsid w:val="00E3309D"/>
    <w:rsid w:val="00E337F5"/>
    <w:rsid w:val="00E337FB"/>
    <w:rsid w:val="00E34002"/>
    <w:rsid w:val="00E34866"/>
    <w:rsid w:val="00E34B4A"/>
    <w:rsid w:val="00E34BE6"/>
    <w:rsid w:val="00E34FDA"/>
    <w:rsid w:val="00E3543A"/>
    <w:rsid w:val="00E35689"/>
    <w:rsid w:val="00E3621C"/>
    <w:rsid w:val="00E3792E"/>
    <w:rsid w:val="00E37E33"/>
    <w:rsid w:val="00E37EC9"/>
    <w:rsid w:val="00E40EDE"/>
    <w:rsid w:val="00E41A97"/>
    <w:rsid w:val="00E425E3"/>
    <w:rsid w:val="00E4390D"/>
    <w:rsid w:val="00E4498A"/>
    <w:rsid w:val="00E44BA2"/>
    <w:rsid w:val="00E45675"/>
    <w:rsid w:val="00E45E2A"/>
    <w:rsid w:val="00E47E16"/>
    <w:rsid w:val="00E50156"/>
    <w:rsid w:val="00E524FA"/>
    <w:rsid w:val="00E53470"/>
    <w:rsid w:val="00E539F6"/>
    <w:rsid w:val="00E53E70"/>
    <w:rsid w:val="00E54004"/>
    <w:rsid w:val="00E5443E"/>
    <w:rsid w:val="00E54455"/>
    <w:rsid w:val="00E54A2F"/>
    <w:rsid w:val="00E5516A"/>
    <w:rsid w:val="00E55BF1"/>
    <w:rsid w:val="00E560A9"/>
    <w:rsid w:val="00E5623C"/>
    <w:rsid w:val="00E56294"/>
    <w:rsid w:val="00E57F14"/>
    <w:rsid w:val="00E6024C"/>
    <w:rsid w:val="00E60853"/>
    <w:rsid w:val="00E622A4"/>
    <w:rsid w:val="00E62459"/>
    <w:rsid w:val="00E62996"/>
    <w:rsid w:val="00E63E64"/>
    <w:rsid w:val="00E64A4E"/>
    <w:rsid w:val="00E6519D"/>
    <w:rsid w:val="00E659A8"/>
    <w:rsid w:val="00E666C3"/>
    <w:rsid w:val="00E6673A"/>
    <w:rsid w:val="00E66D62"/>
    <w:rsid w:val="00E67696"/>
    <w:rsid w:val="00E71A16"/>
    <w:rsid w:val="00E71A58"/>
    <w:rsid w:val="00E725AB"/>
    <w:rsid w:val="00E726D5"/>
    <w:rsid w:val="00E7272C"/>
    <w:rsid w:val="00E72A7A"/>
    <w:rsid w:val="00E72E53"/>
    <w:rsid w:val="00E735B9"/>
    <w:rsid w:val="00E73C13"/>
    <w:rsid w:val="00E75C94"/>
    <w:rsid w:val="00E75CB2"/>
    <w:rsid w:val="00E75E92"/>
    <w:rsid w:val="00E7658F"/>
    <w:rsid w:val="00E7691C"/>
    <w:rsid w:val="00E77711"/>
    <w:rsid w:val="00E77B55"/>
    <w:rsid w:val="00E77C07"/>
    <w:rsid w:val="00E81A83"/>
    <w:rsid w:val="00E82AA4"/>
    <w:rsid w:val="00E82E32"/>
    <w:rsid w:val="00E83223"/>
    <w:rsid w:val="00E8343F"/>
    <w:rsid w:val="00E83560"/>
    <w:rsid w:val="00E85F38"/>
    <w:rsid w:val="00E86775"/>
    <w:rsid w:val="00E86E4A"/>
    <w:rsid w:val="00E87117"/>
    <w:rsid w:val="00E878C4"/>
    <w:rsid w:val="00E90549"/>
    <w:rsid w:val="00E9070E"/>
    <w:rsid w:val="00E90836"/>
    <w:rsid w:val="00E90D90"/>
    <w:rsid w:val="00E92137"/>
    <w:rsid w:val="00E92235"/>
    <w:rsid w:val="00E93820"/>
    <w:rsid w:val="00E941F4"/>
    <w:rsid w:val="00E94344"/>
    <w:rsid w:val="00E94690"/>
    <w:rsid w:val="00E94780"/>
    <w:rsid w:val="00E956AE"/>
    <w:rsid w:val="00E96034"/>
    <w:rsid w:val="00E96ACA"/>
    <w:rsid w:val="00EA0C68"/>
    <w:rsid w:val="00EA1042"/>
    <w:rsid w:val="00EA15B8"/>
    <w:rsid w:val="00EA2C94"/>
    <w:rsid w:val="00EA32BC"/>
    <w:rsid w:val="00EA43FD"/>
    <w:rsid w:val="00EA4AE7"/>
    <w:rsid w:val="00EA5C81"/>
    <w:rsid w:val="00EA62A4"/>
    <w:rsid w:val="00EA64C7"/>
    <w:rsid w:val="00EA6CB1"/>
    <w:rsid w:val="00EB02BC"/>
    <w:rsid w:val="00EB1AEB"/>
    <w:rsid w:val="00EB1C38"/>
    <w:rsid w:val="00EB2621"/>
    <w:rsid w:val="00EB3140"/>
    <w:rsid w:val="00EB3C65"/>
    <w:rsid w:val="00EB4511"/>
    <w:rsid w:val="00EB5489"/>
    <w:rsid w:val="00EB5A25"/>
    <w:rsid w:val="00EB70EC"/>
    <w:rsid w:val="00EC03D7"/>
    <w:rsid w:val="00EC0BFA"/>
    <w:rsid w:val="00EC0FF3"/>
    <w:rsid w:val="00EC1885"/>
    <w:rsid w:val="00EC20E8"/>
    <w:rsid w:val="00EC214F"/>
    <w:rsid w:val="00EC31DB"/>
    <w:rsid w:val="00EC3220"/>
    <w:rsid w:val="00EC3A74"/>
    <w:rsid w:val="00EC4AFC"/>
    <w:rsid w:val="00EC5218"/>
    <w:rsid w:val="00EC53A0"/>
    <w:rsid w:val="00EC5EF6"/>
    <w:rsid w:val="00EC639B"/>
    <w:rsid w:val="00EC67A4"/>
    <w:rsid w:val="00EC750A"/>
    <w:rsid w:val="00EC7E98"/>
    <w:rsid w:val="00ED0547"/>
    <w:rsid w:val="00ED14E5"/>
    <w:rsid w:val="00ED161E"/>
    <w:rsid w:val="00ED1D90"/>
    <w:rsid w:val="00ED2C74"/>
    <w:rsid w:val="00ED4166"/>
    <w:rsid w:val="00ED4D0E"/>
    <w:rsid w:val="00ED62C6"/>
    <w:rsid w:val="00ED64C1"/>
    <w:rsid w:val="00ED76BB"/>
    <w:rsid w:val="00EE06BC"/>
    <w:rsid w:val="00EE0D40"/>
    <w:rsid w:val="00EE15E8"/>
    <w:rsid w:val="00EE1A4D"/>
    <w:rsid w:val="00EE1B52"/>
    <w:rsid w:val="00EE3446"/>
    <w:rsid w:val="00EE39B7"/>
    <w:rsid w:val="00EE3E78"/>
    <w:rsid w:val="00EE4B1B"/>
    <w:rsid w:val="00EE4E5E"/>
    <w:rsid w:val="00EE5C81"/>
    <w:rsid w:val="00EE743A"/>
    <w:rsid w:val="00EE7EAD"/>
    <w:rsid w:val="00EF0135"/>
    <w:rsid w:val="00EF05B5"/>
    <w:rsid w:val="00EF05F9"/>
    <w:rsid w:val="00EF0CF6"/>
    <w:rsid w:val="00EF1109"/>
    <w:rsid w:val="00EF13AE"/>
    <w:rsid w:val="00EF150D"/>
    <w:rsid w:val="00EF1975"/>
    <w:rsid w:val="00EF1F5A"/>
    <w:rsid w:val="00EF467D"/>
    <w:rsid w:val="00EF47BF"/>
    <w:rsid w:val="00EF4BD9"/>
    <w:rsid w:val="00EF4C92"/>
    <w:rsid w:val="00EF6922"/>
    <w:rsid w:val="00EF73DD"/>
    <w:rsid w:val="00EF7D91"/>
    <w:rsid w:val="00F00C8B"/>
    <w:rsid w:val="00F01056"/>
    <w:rsid w:val="00F024CB"/>
    <w:rsid w:val="00F025AC"/>
    <w:rsid w:val="00F02C35"/>
    <w:rsid w:val="00F04811"/>
    <w:rsid w:val="00F0488C"/>
    <w:rsid w:val="00F05F5E"/>
    <w:rsid w:val="00F06CE2"/>
    <w:rsid w:val="00F07B5F"/>
    <w:rsid w:val="00F07BDE"/>
    <w:rsid w:val="00F10927"/>
    <w:rsid w:val="00F10F11"/>
    <w:rsid w:val="00F112A1"/>
    <w:rsid w:val="00F11AAF"/>
    <w:rsid w:val="00F13389"/>
    <w:rsid w:val="00F13BAC"/>
    <w:rsid w:val="00F14B7E"/>
    <w:rsid w:val="00F15AAA"/>
    <w:rsid w:val="00F15BEF"/>
    <w:rsid w:val="00F160A2"/>
    <w:rsid w:val="00F16D65"/>
    <w:rsid w:val="00F16F36"/>
    <w:rsid w:val="00F1715D"/>
    <w:rsid w:val="00F215DE"/>
    <w:rsid w:val="00F21755"/>
    <w:rsid w:val="00F21AE9"/>
    <w:rsid w:val="00F21E2A"/>
    <w:rsid w:val="00F224C1"/>
    <w:rsid w:val="00F22798"/>
    <w:rsid w:val="00F229CF"/>
    <w:rsid w:val="00F22AA8"/>
    <w:rsid w:val="00F22C15"/>
    <w:rsid w:val="00F240A9"/>
    <w:rsid w:val="00F24407"/>
    <w:rsid w:val="00F244A4"/>
    <w:rsid w:val="00F24782"/>
    <w:rsid w:val="00F24FAA"/>
    <w:rsid w:val="00F2534C"/>
    <w:rsid w:val="00F258C3"/>
    <w:rsid w:val="00F25ADA"/>
    <w:rsid w:val="00F26D00"/>
    <w:rsid w:val="00F27093"/>
    <w:rsid w:val="00F27863"/>
    <w:rsid w:val="00F30709"/>
    <w:rsid w:val="00F31090"/>
    <w:rsid w:val="00F32735"/>
    <w:rsid w:val="00F32E8C"/>
    <w:rsid w:val="00F32F52"/>
    <w:rsid w:val="00F332EF"/>
    <w:rsid w:val="00F3364D"/>
    <w:rsid w:val="00F33AAA"/>
    <w:rsid w:val="00F341B2"/>
    <w:rsid w:val="00F35931"/>
    <w:rsid w:val="00F36ECA"/>
    <w:rsid w:val="00F40195"/>
    <w:rsid w:val="00F40ECF"/>
    <w:rsid w:val="00F4172A"/>
    <w:rsid w:val="00F41A27"/>
    <w:rsid w:val="00F424D3"/>
    <w:rsid w:val="00F42674"/>
    <w:rsid w:val="00F43204"/>
    <w:rsid w:val="00F437CC"/>
    <w:rsid w:val="00F4384B"/>
    <w:rsid w:val="00F45E4C"/>
    <w:rsid w:val="00F46888"/>
    <w:rsid w:val="00F47067"/>
    <w:rsid w:val="00F47682"/>
    <w:rsid w:val="00F476BD"/>
    <w:rsid w:val="00F50488"/>
    <w:rsid w:val="00F50800"/>
    <w:rsid w:val="00F50D49"/>
    <w:rsid w:val="00F50F9C"/>
    <w:rsid w:val="00F51A59"/>
    <w:rsid w:val="00F525EB"/>
    <w:rsid w:val="00F5271A"/>
    <w:rsid w:val="00F52DDE"/>
    <w:rsid w:val="00F533EE"/>
    <w:rsid w:val="00F54510"/>
    <w:rsid w:val="00F557C6"/>
    <w:rsid w:val="00F562DC"/>
    <w:rsid w:val="00F5645E"/>
    <w:rsid w:val="00F56E07"/>
    <w:rsid w:val="00F57536"/>
    <w:rsid w:val="00F57735"/>
    <w:rsid w:val="00F619A9"/>
    <w:rsid w:val="00F62279"/>
    <w:rsid w:val="00F62818"/>
    <w:rsid w:val="00F63C10"/>
    <w:rsid w:val="00F63DDE"/>
    <w:rsid w:val="00F63FB7"/>
    <w:rsid w:val="00F646F7"/>
    <w:rsid w:val="00F649D2"/>
    <w:rsid w:val="00F64A2E"/>
    <w:rsid w:val="00F64BCC"/>
    <w:rsid w:val="00F65359"/>
    <w:rsid w:val="00F655E5"/>
    <w:rsid w:val="00F6602B"/>
    <w:rsid w:val="00F66871"/>
    <w:rsid w:val="00F66C16"/>
    <w:rsid w:val="00F67275"/>
    <w:rsid w:val="00F674B7"/>
    <w:rsid w:val="00F708F5"/>
    <w:rsid w:val="00F70FAD"/>
    <w:rsid w:val="00F710DF"/>
    <w:rsid w:val="00F713B3"/>
    <w:rsid w:val="00F71565"/>
    <w:rsid w:val="00F7181C"/>
    <w:rsid w:val="00F71C04"/>
    <w:rsid w:val="00F7260E"/>
    <w:rsid w:val="00F72E1C"/>
    <w:rsid w:val="00F73A0C"/>
    <w:rsid w:val="00F73C46"/>
    <w:rsid w:val="00F747F7"/>
    <w:rsid w:val="00F7524D"/>
    <w:rsid w:val="00F756DB"/>
    <w:rsid w:val="00F759C1"/>
    <w:rsid w:val="00F7650F"/>
    <w:rsid w:val="00F76B17"/>
    <w:rsid w:val="00F77C0C"/>
    <w:rsid w:val="00F77C2A"/>
    <w:rsid w:val="00F80CA3"/>
    <w:rsid w:val="00F81355"/>
    <w:rsid w:val="00F81C62"/>
    <w:rsid w:val="00F81D2E"/>
    <w:rsid w:val="00F8241E"/>
    <w:rsid w:val="00F8377E"/>
    <w:rsid w:val="00F83B06"/>
    <w:rsid w:val="00F84568"/>
    <w:rsid w:val="00F84BB6"/>
    <w:rsid w:val="00F85066"/>
    <w:rsid w:val="00F85073"/>
    <w:rsid w:val="00F85243"/>
    <w:rsid w:val="00F85CBA"/>
    <w:rsid w:val="00F86B92"/>
    <w:rsid w:val="00F86F09"/>
    <w:rsid w:val="00F900F5"/>
    <w:rsid w:val="00F90247"/>
    <w:rsid w:val="00F90500"/>
    <w:rsid w:val="00F9129D"/>
    <w:rsid w:val="00F92054"/>
    <w:rsid w:val="00F9212D"/>
    <w:rsid w:val="00F928F4"/>
    <w:rsid w:val="00F93AE3"/>
    <w:rsid w:val="00F96DEA"/>
    <w:rsid w:val="00F96EC7"/>
    <w:rsid w:val="00F9748B"/>
    <w:rsid w:val="00F9780B"/>
    <w:rsid w:val="00F97AA1"/>
    <w:rsid w:val="00F97AB8"/>
    <w:rsid w:val="00FA003F"/>
    <w:rsid w:val="00FA104E"/>
    <w:rsid w:val="00FA11D4"/>
    <w:rsid w:val="00FA1BC1"/>
    <w:rsid w:val="00FA1C75"/>
    <w:rsid w:val="00FA20BF"/>
    <w:rsid w:val="00FA29C5"/>
    <w:rsid w:val="00FA3371"/>
    <w:rsid w:val="00FA3561"/>
    <w:rsid w:val="00FA3640"/>
    <w:rsid w:val="00FA43FB"/>
    <w:rsid w:val="00FA4FC9"/>
    <w:rsid w:val="00FA5C16"/>
    <w:rsid w:val="00FA5D4D"/>
    <w:rsid w:val="00FA7769"/>
    <w:rsid w:val="00FA7981"/>
    <w:rsid w:val="00FB02C7"/>
    <w:rsid w:val="00FB0947"/>
    <w:rsid w:val="00FB0DE1"/>
    <w:rsid w:val="00FB0EE2"/>
    <w:rsid w:val="00FB0FFC"/>
    <w:rsid w:val="00FB1537"/>
    <w:rsid w:val="00FB509F"/>
    <w:rsid w:val="00FB542E"/>
    <w:rsid w:val="00FB55A4"/>
    <w:rsid w:val="00FB625B"/>
    <w:rsid w:val="00FB74A7"/>
    <w:rsid w:val="00FC03F1"/>
    <w:rsid w:val="00FC070C"/>
    <w:rsid w:val="00FC0E27"/>
    <w:rsid w:val="00FC0E5F"/>
    <w:rsid w:val="00FC1A95"/>
    <w:rsid w:val="00FC2BB4"/>
    <w:rsid w:val="00FC393F"/>
    <w:rsid w:val="00FC3D5B"/>
    <w:rsid w:val="00FC43AD"/>
    <w:rsid w:val="00FC4FD9"/>
    <w:rsid w:val="00FC54AF"/>
    <w:rsid w:val="00FC56DE"/>
    <w:rsid w:val="00FC684B"/>
    <w:rsid w:val="00FD095C"/>
    <w:rsid w:val="00FD1C01"/>
    <w:rsid w:val="00FD1C6E"/>
    <w:rsid w:val="00FD1E73"/>
    <w:rsid w:val="00FD25CE"/>
    <w:rsid w:val="00FD3265"/>
    <w:rsid w:val="00FD5197"/>
    <w:rsid w:val="00FD5721"/>
    <w:rsid w:val="00FD6260"/>
    <w:rsid w:val="00FD763A"/>
    <w:rsid w:val="00FD77AD"/>
    <w:rsid w:val="00FE090A"/>
    <w:rsid w:val="00FE1249"/>
    <w:rsid w:val="00FE1FDB"/>
    <w:rsid w:val="00FE2718"/>
    <w:rsid w:val="00FE2F78"/>
    <w:rsid w:val="00FE2FDF"/>
    <w:rsid w:val="00FE3AFE"/>
    <w:rsid w:val="00FE3EA2"/>
    <w:rsid w:val="00FE478B"/>
    <w:rsid w:val="00FE5881"/>
    <w:rsid w:val="00FE6465"/>
    <w:rsid w:val="00FE7186"/>
    <w:rsid w:val="00FE7756"/>
    <w:rsid w:val="00FF0857"/>
    <w:rsid w:val="00FF1DFF"/>
    <w:rsid w:val="00FF23D7"/>
    <w:rsid w:val="00FF33A4"/>
    <w:rsid w:val="00FF462C"/>
    <w:rsid w:val="00FF6B7E"/>
    <w:rsid w:val="00FF7372"/>
    <w:rsid w:val="00FF755A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78B6EB46"/>
  <w15:docId w15:val="{B88752AC-985B-4031-8676-15B5293C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478B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qFormat/>
    <w:rsid w:val="00A67C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A67C12"/>
    <w:pPr>
      <w:spacing w:after="0" w:line="240" w:lineRule="auto"/>
    </w:pPr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7C12"/>
    <w:rPr>
      <w:rFonts w:asciiTheme="minorHAnsi" w:eastAsiaTheme="minorHAnsi" w:hAnsiTheme="minorHAnsi" w:cstheme="minorBidi"/>
    </w:rPr>
  </w:style>
  <w:style w:type="character" w:styleId="Znakapoznpodarou">
    <w:name w:val="footnote reference"/>
    <w:basedOn w:val="Standardnpsmoodstavce"/>
    <w:uiPriority w:val="99"/>
    <w:semiHidden/>
    <w:unhideWhenUsed/>
    <w:rsid w:val="00A67C12"/>
    <w:rPr>
      <w:vertAlign w:val="superscript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67C12"/>
    <w:rPr>
      <w:rFonts w:ascii="Arial" w:eastAsia="Times New Roman" w:hAnsi="Arial" w:cs="Arial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A67C12"/>
    <w:pPr>
      <w:widowControl w:val="0"/>
      <w:tabs>
        <w:tab w:val="left" w:pos="0"/>
        <w:tab w:val="left" w:pos="601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5859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859F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859F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9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59F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F6B7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</w:rPr>
  </w:style>
  <w:style w:type="character" w:styleId="AkronymHTML">
    <w:name w:val="HTML Acronym"/>
    <w:basedOn w:val="Standardnpsmoodstavce"/>
    <w:uiPriority w:val="99"/>
    <w:semiHidden/>
    <w:unhideWhenUsed/>
    <w:rsid w:val="00FF6B7E"/>
  </w:style>
  <w:style w:type="character" w:styleId="Sledovanodkaz">
    <w:name w:val="FollowedHyperlink"/>
    <w:basedOn w:val="Standardnpsmoodstavce"/>
    <w:uiPriority w:val="99"/>
    <w:semiHidden/>
    <w:unhideWhenUsed/>
    <w:rsid w:val="00FF6B7E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FF6B7E"/>
    <w:rPr>
      <w:rFonts w:asciiTheme="minorHAnsi" w:eastAsiaTheme="minorHAnsi" w:hAnsiTheme="minorHAnsi" w:cstheme="minorBidi"/>
      <w:sz w:val="22"/>
      <w:szCs w:val="22"/>
    </w:rPr>
  </w:style>
  <w:style w:type="table" w:customStyle="1" w:styleId="Tabulkasmkou4zvraznn21">
    <w:name w:val="Tabulka s mřížkou 4 – zvýraznění 21"/>
    <w:basedOn w:val="Normlntabulka"/>
    <w:uiPriority w:val="49"/>
    <w:rsid w:val="00FF6B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FA776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A776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10068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hiv-nuv.npi.cz/t/stredni-vzdelavani.html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s://www.czso.cz/csu/czso/studenti-a-absolventi-vysokych-skol-v-ceske-republice-gr402tsw19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ata.cermat.cz/files/files/2022/MZ/MZ13-22_DIDAKTICKE_TESTY_signalni_vysledky.pdf" TargetMode="External"/><Relationship Id="rId2" Type="http://schemas.openxmlformats.org/officeDocument/2006/relationships/hyperlink" Target="https://idea.cerge-ei.cz/zpravy/spolecansky-status-ucnovskeho-vzdelavani-v-ceske-republice" TargetMode="External"/><Relationship Id="rId1" Type="http://schemas.openxmlformats.org/officeDocument/2006/relationships/hyperlink" Target="http://www.czso.cz/csu/czso/klasifikace_vzdelani_cz_isced_2011" TargetMode="External"/><Relationship Id="rId5" Type="http://schemas.openxmlformats.org/officeDocument/2006/relationships/hyperlink" Target="https://infoabsolvent.cz/Temata/PublikaceAbsolventi?Stranka=9-0-178&amp;NazevSeo=Nezamestnanost-absolventu-skol-se-strednim-a-" TargetMode="External"/><Relationship Id="rId4" Type="http://schemas.openxmlformats.org/officeDocument/2006/relationships/hyperlink" Target="http://www.czso.cz/csu/czso/klasifikace_kmenovych_oboru_vzdelani_-kkov-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sparova3676\Downloads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kasparova3676\Desktop\&#352;A&#352;Z\&#352;A&#352;Z_2023\&#352;A&#352;Z_grafy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D:\kasparova3676\Desktop\&#352;A&#352;Z\&#352;A&#352;Z_2023\&#352;A&#352;Z_grafy.xlsx" TargetMode="External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D:\kasparova3676\Desktop\&#352;A&#352;Z\&#352;A&#352;Z_2023\&#352;A&#352;Z_grafy.xlsx" TargetMode="External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kasparova3676\Desktop\&#352;A&#352;Z\&#352;A&#352;Z_2023\&#352;A&#352;Z_grafy.xlsx" TargetMode="External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23004223t_vypln&#283;no1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6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1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kasparova3676\Desktop\&#352;A&#352;Z\&#352;A&#352;Z_2023\&#352;A&#352;Z_grafy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kasparova3676\Desktop\&#352;A&#352;Z\&#352;A&#352;Z_2023\&#352;A&#352;Z_grafy.xlsx" TargetMode="External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kasparova3676\Desktop\&#352;A&#352;Z\&#352;A&#352;Z_2023\&#352;A&#352;Z_grafy.xlsx" TargetMode="External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D:\kasparova3676\Desktop\&#352;A&#352;Z\&#352;A&#352;Z_2023\&#352;A&#352;Z_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'3.1'!$B$15</c:f>
              <c:strCache>
                <c:ptCount val="1"/>
                <c:pt idx="0">
                  <c:v>počet žáků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'3.1'!$A$16:$A$26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'3.1'!$B$16:$B$26</c:f>
              <c:numCache>
                <c:formatCode>#\ ##0_ ;\-#\ ##0\ </c:formatCode>
                <c:ptCount val="11"/>
                <c:pt idx="0">
                  <c:v>470754</c:v>
                </c:pt>
                <c:pt idx="1">
                  <c:v>448792</c:v>
                </c:pt>
                <c:pt idx="2">
                  <c:v>435542</c:v>
                </c:pt>
                <c:pt idx="3">
                  <c:v>427107</c:v>
                </c:pt>
                <c:pt idx="4">
                  <c:v>424849</c:v>
                </c:pt>
                <c:pt idx="5">
                  <c:v>421535</c:v>
                </c:pt>
                <c:pt idx="6">
                  <c:v>420814</c:v>
                </c:pt>
                <c:pt idx="7">
                  <c:v>423838</c:v>
                </c:pt>
                <c:pt idx="8">
                  <c:v>432906</c:v>
                </c:pt>
                <c:pt idx="9">
                  <c:v>446254</c:v>
                </c:pt>
                <c:pt idx="10">
                  <c:v>463200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D8-48DF-8BBD-A17DD12584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axId val="191516160"/>
        <c:axId val="160820608"/>
      </c:barChart>
      <c:lineChart>
        <c:grouping val="standard"/>
        <c:varyColors val="0"/>
        <c:ser>
          <c:idx val="1"/>
          <c:order val="1"/>
          <c:tx>
            <c:strRef>
              <c:f>'3.1'!$C$15</c:f>
              <c:strCache>
                <c:ptCount val="1"/>
                <c:pt idx="0">
                  <c:v>podíl žáků v jiné než denní formě</c:v>
                </c:pt>
              </c:strCache>
            </c:strRef>
          </c:tx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'3.1'!$A$16:$A$26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'3.1'!$C$16:$C$26</c:f>
              <c:numCache>
                <c:formatCode>0.0%</c:formatCode>
                <c:ptCount val="11"/>
                <c:pt idx="0">
                  <c:v>5.7429145583468226E-2</c:v>
                </c:pt>
                <c:pt idx="1">
                  <c:v>5.5546890318900512E-2</c:v>
                </c:pt>
                <c:pt idx="2">
                  <c:v>5.2830725854223014E-2</c:v>
                </c:pt>
                <c:pt idx="3">
                  <c:v>5.0282481907344058E-2</c:v>
                </c:pt>
                <c:pt idx="4">
                  <c:v>4.8869127619460093E-2</c:v>
                </c:pt>
                <c:pt idx="5">
                  <c:v>4.3927550499958487E-2</c:v>
                </c:pt>
                <c:pt idx="6">
                  <c:v>4.0058077915658699E-2</c:v>
                </c:pt>
                <c:pt idx="7">
                  <c:v>3.7160424501814372E-2</c:v>
                </c:pt>
                <c:pt idx="8">
                  <c:v>3.6044776464174672E-2</c:v>
                </c:pt>
                <c:pt idx="9">
                  <c:v>3.5939173654465841E-2</c:v>
                </c:pt>
                <c:pt idx="10">
                  <c:v>3.3255613126079449E-2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D8-48DF-8BBD-A17DD12584F8}"/>
            </c:ext>
          </c:extLst>
        </c:ser>
        <c:ser>
          <c:idx val="2"/>
          <c:order val="2"/>
          <c:tx>
            <c:strRef>
              <c:f>'3.1'!$D$15</c:f>
              <c:strCache>
                <c:ptCount val="1"/>
                <c:pt idx="0">
                  <c:v>podíl žáků v soukromých a církevních školách</c:v>
                </c:pt>
              </c:strCache>
            </c:strRef>
          </c:tx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'3.1'!$A$16:$A$26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'3.1'!$D$16:$D$26</c:f>
              <c:numCache>
                <c:formatCode>0.0%</c:formatCode>
                <c:ptCount val="11"/>
                <c:pt idx="0">
                  <c:v>0.14442575102919997</c:v>
                </c:pt>
                <c:pt idx="1">
                  <c:v>0.14459705164084921</c:v>
                </c:pt>
                <c:pt idx="2">
                  <c:v>0.14833701457035142</c:v>
                </c:pt>
                <c:pt idx="3">
                  <c:v>0.15173949385048713</c:v>
                </c:pt>
                <c:pt idx="4">
                  <c:v>0.15694988101654941</c:v>
                </c:pt>
                <c:pt idx="5">
                  <c:v>0.1607838020567687</c:v>
                </c:pt>
                <c:pt idx="6">
                  <c:v>0.16147989372977134</c:v>
                </c:pt>
                <c:pt idx="7">
                  <c:v>0.16397774621435549</c:v>
                </c:pt>
                <c:pt idx="8">
                  <c:v>0.16665742678549153</c:v>
                </c:pt>
                <c:pt idx="9">
                  <c:v>0.17127241436491325</c:v>
                </c:pt>
                <c:pt idx="10">
                  <c:v>0.17560449050086355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0D8-48DF-8BBD-A17DD12584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466880"/>
        <c:axId val="160821184"/>
      </c:lineChart>
      <c:catAx>
        <c:axId val="19151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820608"/>
        <c:crosses val="autoZero"/>
        <c:auto val="1"/>
        <c:lblAlgn val="ctr"/>
        <c:lblOffset val="100"/>
        <c:noMultiLvlLbl val="0"/>
      </c:catAx>
      <c:valAx>
        <c:axId val="160820608"/>
        <c:scaling>
          <c:orientation val="minMax"/>
          <c:max val="6500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#\ ##0_ ;\-#\ ##0\ " sourceLinked="1"/>
        <c:majorTickMark val="out"/>
        <c:minorTickMark val="none"/>
        <c:tickLblPos val="nextTo"/>
        <c:crossAx val="191516160"/>
        <c:crosses val="autoZero"/>
        <c:crossBetween val="between"/>
        <c:majorUnit val="50000"/>
      </c:valAx>
      <c:valAx>
        <c:axId val="160821184"/>
        <c:scaling>
          <c:orientation val="minMax"/>
        </c:scaling>
        <c:delete val="0"/>
        <c:axPos val="r"/>
        <c:numFmt formatCode="0\ %" sourceLinked="0"/>
        <c:majorTickMark val="out"/>
        <c:minorTickMark val="none"/>
        <c:tickLblPos val="nextTo"/>
        <c:crossAx val="193466880"/>
        <c:crosses val="max"/>
        <c:crossBetween val="between"/>
      </c:valAx>
      <c:catAx>
        <c:axId val="193466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0821184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8899737532808398"/>
          <c:y val="4.5267489711934158E-2"/>
          <c:w val="0.57723213286863728"/>
          <c:h val="0.878266709811958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'3.10'!$B$17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'3.10'!$A$18:$A$27</c:f>
              <c:strCache>
                <c:ptCount val="10"/>
                <c:pt idx="0">
                  <c:v>zdravotnictví</c:v>
                </c:pt>
                <c:pt idx="1">
                  <c:v>zpracování dřeva a výroba hudebních nástrojů</c:v>
                </c:pt>
                <c:pt idx="2">
                  <c:v>obchod</c:v>
                </c:pt>
                <c:pt idx="3">
                  <c:v>potravinářství a potravinářská chemie</c:v>
                </c:pt>
                <c:pt idx="4">
                  <c:v>osobní a provozní služby</c:v>
                </c:pt>
                <c:pt idx="5">
                  <c:v>stavebnictví, geodézie a kartografie</c:v>
                </c:pt>
                <c:pt idx="6">
                  <c:v>zemědělství a lesnictví</c:v>
                </c:pt>
                <c:pt idx="7">
                  <c:v>elektrotechnika, telekomunikační a výpočetní technika</c:v>
                </c:pt>
                <c:pt idx="8">
                  <c:v>gastronomie, hotelnictví a turismus</c:v>
                </c:pt>
                <c:pt idx="9">
                  <c:v>strojírenství a strojírenská výroba</c:v>
                </c:pt>
              </c:strCache>
            </c:strRef>
          </c:cat>
          <c:val>
            <c:numRef>
              <c:f>'3.10'!$B$18:$B$27</c:f>
              <c:numCache>
                <c:formatCode>0.0</c:formatCode>
                <c:ptCount val="10"/>
                <c:pt idx="0">
                  <c:v>1.9610000000000001</c:v>
                </c:pt>
                <c:pt idx="1">
                  <c:v>5.556</c:v>
                </c:pt>
                <c:pt idx="2">
                  <c:v>5.681</c:v>
                </c:pt>
                <c:pt idx="3">
                  <c:v>7.5540000000000003</c:v>
                </c:pt>
                <c:pt idx="4">
                  <c:v>7.7670000000000003</c:v>
                </c:pt>
                <c:pt idx="5">
                  <c:v>8.4529999999999994</c:v>
                </c:pt>
                <c:pt idx="6">
                  <c:v>10.324999999999999</c:v>
                </c:pt>
                <c:pt idx="7">
                  <c:v>11.862</c:v>
                </c:pt>
                <c:pt idx="8">
                  <c:v>13.573</c:v>
                </c:pt>
                <c:pt idx="9">
                  <c:v>17.832000000000001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B2-40D7-A53C-58465B052AAF}"/>
            </c:ext>
          </c:extLst>
        </c:ser>
        <c:ser>
          <c:idx val="1"/>
          <c:order val="1"/>
          <c:tx>
            <c:strRef>
              <c:f>'3.10'!$C$17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rgbClr val="E2B2B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'3.10'!$A$18:$A$27</c:f>
              <c:strCache>
                <c:ptCount val="10"/>
                <c:pt idx="0">
                  <c:v>zdravotnictví</c:v>
                </c:pt>
                <c:pt idx="1">
                  <c:v>zpracování dřeva a výroba hudebních nástrojů</c:v>
                </c:pt>
                <c:pt idx="2">
                  <c:v>obchod</c:v>
                </c:pt>
                <c:pt idx="3">
                  <c:v>potravinářství a potravinářská chemie</c:v>
                </c:pt>
                <c:pt idx="4">
                  <c:v>osobní a provozní služby</c:v>
                </c:pt>
                <c:pt idx="5">
                  <c:v>stavebnictví, geodézie a kartografie</c:v>
                </c:pt>
                <c:pt idx="6">
                  <c:v>zemědělství a lesnictví</c:v>
                </c:pt>
                <c:pt idx="7">
                  <c:v>elektrotechnika, telekomunikační a výpočetní technika</c:v>
                </c:pt>
                <c:pt idx="8">
                  <c:v>gastronomie, hotelnictví a turismus</c:v>
                </c:pt>
                <c:pt idx="9">
                  <c:v>strojírenství a strojírenská výroba</c:v>
                </c:pt>
              </c:strCache>
            </c:strRef>
          </c:cat>
          <c:val>
            <c:numRef>
              <c:f>'3.10'!$C$18:$C$27</c:f>
              <c:numCache>
                <c:formatCode>0.0</c:formatCode>
                <c:ptCount val="10"/>
                <c:pt idx="0">
                  <c:v>1.37</c:v>
                </c:pt>
                <c:pt idx="1">
                  <c:v>4.016</c:v>
                </c:pt>
                <c:pt idx="2">
                  <c:v>5.0119999999999996</c:v>
                </c:pt>
                <c:pt idx="3">
                  <c:v>6.4429999999999996</c:v>
                </c:pt>
                <c:pt idx="4">
                  <c:v>6.9980000000000002</c:v>
                </c:pt>
                <c:pt idx="5">
                  <c:v>6.5469999999999997</c:v>
                </c:pt>
                <c:pt idx="6">
                  <c:v>9.26</c:v>
                </c:pt>
                <c:pt idx="7">
                  <c:v>8.609</c:v>
                </c:pt>
                <c:pt idx="8">
                  <c:v>14.997</c:v>
                </c:pt>
                <c:pt idx="9">
                  <c:v>20.306000000000001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B2-40D7-A53C-58465B052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95139072"/>
        <c:axId val="193499648"/>
      </c:barChart>
      <c:catAx>
        <c:axId val="195139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3499648"/>
        <c:crosses val="autoZero"/>
        <c:auto val="1"/>
        <c:lblAlgn val="ctr"/>
        <c:lblOffset val="100"/>
        <c:noMultiLvlLbl val="0"/>
      </c:catAx>
      <c:valAx>
        <c:axId val="193499648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5139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0502628974656854"/>
          <c:y val="0.6521525550046986"/>
          <c:w val="0.13967419646314702"/>
          <c:h val="0.1621012590817452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29046676722525"/>
          <c:y val="0"/>
          <c:w val="0.61350566680043728"/>
          <c:h val="0.933282388881717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'3.11'!$B$20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rgbClr val="3078BA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'3.11'!$A$21:$A$33</c:f>
              <c:strCache>
                <c:ptCount val="13"/>
                <c:pt idx="0">
                  <c:v>speciální a interdisciplinární obory</c:v>
                </c:pt>
                <c:pt idx="1">
                  <c:v>zemědělství a lesnictví</c:v>
                </c:pt>
                <c:pt idx="2">
                  <c:v>stavebnictví, geodézie a kartografie</c:v>
                </c:pt>
                <c:pt idx="3">
                  <c:v>umění a užité umění</c:v>
                </c:pt>
                <c:pt idx="4">
                  <c:v>právo, právní a veřejnosprávní činnost</c:v>
                </c:pt>
                <c:pt idx="5">
                  <c:v>strojírenství a strojírenská výroba</c:v>
                </c:pt>
                <c:pt idx="6">
                  <c:v>gastronomie, hotelnictví a turismus</c:v>
                </c:pt>
                <c:pt idx="7">
                  <c:v>pedagogika, učitelství a sociální péče</c:v>
                </c:pt>
                <c:pt idx="8">
                  <c:v>elektrotechnika, telekom. a výp. techn.</c:v>
                </c:pt>
                <c:pt idx="9">
                  <c:v>zdravotnictví</c:v>
                </c:pt>
                <c:pt idx="10">
                  <c:v>obecně odborná příprava</c:v>
                </c:pt>
                <c:pt idx="11">
                  <c:v>informatické obory</c:v>
                </c:pt>
                <c:pt idx="12">
                  <c:v>ekonomika a administrativa</c:v>
                </c:pt>
              </c:strCache>
            </c:strRef>
          </c:cat>
          <c:val>
            <c:numRef>
              <c:f>'3.11'!$B$21:$B$33</c:f>
              <c:numCache>
                <c:formatCode>0.0</c:formatCode>
                <c:ptCount val="13"/>
                <c:pt idx="0">
                  <c:v>5.6219999999999999</c:v>
                </c:pt>
                <c:pt idx="1">
                  <c:v>7.298</c:v>
                </c:pt>
                <c:pt idx="2">
                  <c:v>9.6760000000000002</c:v>
                </c:pt>
                <c:pt idx="3">
                  <c:v>12.576000000000001</c:v>
                </c:pt>
                <c:pt idx="4">
                  <c:v>13.757999999999999</c:v>
                </c:pt>
                <c:pt idx="5">
                  <c:v>14.163</c:v>
                </c:pt>
                <c:pt idx="6">
                  <c:v>14.238</c:v>
                </c:pt>
                <c:pt idx="7">
                  <c:v>15.000999999999999</c:v>
                </c:pt>
                <c:pt idx="8">
                  <c:v>15.898</c:v>
                </c:pt>
                <c:pt idx="9">
                  <c:v>16.73</c:v>
                </c:pt>
                <c:pt idx="10">
                  <c:v>17.777999999999999</c:v>
                </c:pt>
                <c:pt idx="11">
                  <c:v>17.841000000000001</c:v>
                </c:pt>
                <c:pt idx="12">
                  <c:v>32.420999999999999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87-4A36-A10A-0D10BBC07AB5}"/>
            </c:ext>
          </c:extLst>
        </c:ser>
        <c:ser>
          <c:idx val="1"/>
          <c:order val="1"/>
          <c:tx>
            <c:strRef>
              <c:f>'3.11'!$C$20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rgbClr val="44546A">
                <a:lumMod val="20000"/>
                <a:lumOff val="80000"/>
              </a:srgbClr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'3.11'!$A$21:$A$33</c:f>
              <c:strCache>
                <c:ptCount val="13"/>
                <c:pt idx="0">
                  <c:v>speciální a interdisciplinární obory</c:v>
                </c:pt>
                <c:pt idx="1">
                  <c:v>zemědělství a lesnictví</c:v>
                </c:pt>
                <c:pt idx="2">
                  <c:v>stavebnictví, geodézie a kartografie</c:v>
                </c:pt>
                <c:pt idx="3">
                  <c:v>umění a užité umění</c:v>
                </c:pt>
                <c:pt idx="4">
                  <c:v>právo, právní a veřejnosprávní činnost</c:v>
                </c:pt>
                <c:pt idx="5">
                  <c:v>strojírenství a strojírenská výroba</c:v>
                </c:pt>
                <c:pt idx="6">
                  <c:v>gastronomie, hotelnictví a turismus</c:v>
                </c:pt>
                <c:pt idx="7">
                  <c:v>pedagogika, učitelství a sociální péče</c:v>
                </c:pt>
                <c:pt idx="8">
                  <c:v>elektrotechnika, telekom. a výp. techn.</c:v>
                </c:pt>
                <c:pt idx="9">
                  <c:v>zdravotnictví</c:v>
                </c:pt>
                <c:pt idx="10">
                  <c:v>obecně odborná příprava</c:v>
                </c:pt>
                <c:pt idx="11">
                  <c:v>informatické obory</c:v>
                </c:pt>
                <c:pt idx="12">
                  <c:v>ekonomika a administrativa</c:v>
                </c:pt>
              </c:strCache>
            </c:strRef>
          </c:cat>
          <c:val>
            <c:numRef>
              <c:f>'3.11'!$C$21:$C$33</c:f>
              <c:numCache>
                <c:formatCode>0.0</c:formatCode>
                <c:ptCount val="13"/>
                <c:pt idx="0">
                  <c:v>4.1399999999999997</c:v>
                </c:pt>
                <c:pt idx="1">
                  <c:v>6.1890000000000001</c:v>
                </c:pt>
                <c:pt idx="2">
                  <c:v>7.4770000000000003</c:v>
                </c:pt>
                <c:pt idx="3">
                  <c:v>10.407999999999999</c:v>
                </c:pt>
                <c:pt idx="4">
                  <c:v>11.68</c:v>
                </c:pt>
                <c:pt idx="5">
                  <c:v>17.248000000000001</c:v>
                </c:pt>
                <c:pt idx="6">
                  <c:v>13.683</c:v>
                </c:pt>
                <c:pt idx="7">
                  <c:v>12.987</c:v>
                </c:pt>
                <c:pt idx="8">
                  <c:v>12.928000000000001</c:v>
                </c:pt>
                <c:pt idx="9">
                  <c:v>12.441000000000001</c:v>
                </c:pt>
                <c:pt idx="10">
                  <c:v>15.068</c:v>
                </c:pt>
                <c:pt idx="11">
                  <c:v>14.063000000000001</c:v>
                </c:pt>
                <c:pt idx="12">
                  <c:v>27.567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87-4A36-A10A-0D10BBC07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94290176"/>
        <c:axId val="193497344"/>
      </c:barChart>
      <c:catAx>
        <c:axId val="1942901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3497344"/>
        <c:crosses val="autoZero"/>
        <c:auto val="1"/>
        <c:lblAlgn val="ctr"/>
        <c:lblOffset val="100"/>
        <c:noMultiLvlLbl val="0"/>
      </c:catAx>
      <c:valAx>
        <c:axId val="193497344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4290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2668891663267363"/>
          <c:y val="0.80560776214448604"/>
          <c:w val="0.12402856236377047"/>
          <c:h val="0.10026720020653156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615211967761983"/>
          <c:y val="4.3650793650793648E-2"/>
          <c:w val="0.53977259026367286"/>
          <c:h val="0.8891952099737532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List11!$B$23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List11!$A$24:$A$36</c:f>
              <c:strCache>
                <c:ptCount val="13"/>
                <c:pt idx="0">
                  <c:v>obchod</c:v>
                </c:pt>
                <c:pt idx="1">
                  <c:v>potravinářství a potravinářská chemie</c:v>
                </c:pt>
                <c:pt idx="2">
                  <c:v>stavebnictví, geodézie a kartografie</c:v>
                </c:pt>
                <c:pt idx="3">
                  <c:v>zemědělství a lesnictví</c:v>
                </c:pt>
                <c:pt idx="4">
                  <c:v>osobní a provozní služby</c:v>
                </c:pt>
                <c:pt idx="5">
                  <c:v>zpracování dřeva a výroba hudebních nástrojů</c:v>
                </c:pt>
                <c:pt idx="6">
                  <c:v>speciální a interdisciplinární obory</c:v>
                </c:pt>
                <c:pt idx="7">
                  <c:v>pedagogika, učitelství a soc. péče</c:v>
                </c:pt>
                <c:pt idx="8">
                  <c:v>právo, právní a veřejnosprávní činnost</c:v>
                </c:pt>
                <c:pt idx="9">
                  <c:v>gastronomie, hotelnictví a turismus</c:v>
                </c:pt>
                <c:pt idx="10">
                  <c:v>elektrotechnika, telekom. a výpočetní technika</c:v>
                </c:pt>
                <c:pt idx="11">
                  <c:v>strojírenství a strojírenská výroba</c:v>
                </c:pt>
                <c:pt idx="12">
                  <c:v>podnikání v oborech, odvětví</c:v>
                </c:pt>
              </c:strCache>
            </c:strRef>
          </c:cat>
          <c:val>
            <c:numRef>
              <c:f>List11!$B$24:$B$36</c:f>
              <c:numCache>
                <c:formatCode>#,##0</c:formatCode>
                <c:ptCount val="13"/>
                <c:pt idx="0">
                  <c:v>114</c:v>
                </c:pt>
                <c:pt idx="1">
                  <c:v>117</c:v>
                </c:pt>
                <c:pt idx="2">
                  <c:v>194</c:v>
                </c:pt>
                <c:pt idx="3">
                  <c:v>200</c:v>
                </c:pt>
                <c:pt idx="4">
                  <c:v>215</c:v>
                </c:pt>
                <c:pt idx="5">
                  <c:v>226</c:v>
                </c:pt>
                <c:pt idx="6">
                  <c:v>232</c:v>
                </c:pt>
                <c:pt idx="7">
                  <c:v>237</c:v>
                </c:pt>
                <c:pt idx="8">
                  <c:v>332</c:v>
                </c:pt>
                <c:pt idx="9">
                  <c:v>438</c:v>
                </c:pt>
                <c:pt idx="10">
                  <c:v>718</c:v>
                </c:pt>
                <c:pt idx="11">
                  <c:v>1056</c:v>
                </c:pt>
                <c:pt idx="12">
                  <c:v>10232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6F-450F-9763-06978966D432}"/>
            </c:ext>
          </c:extLst>
        </c:ser>
        <c:ser>
          <c:idx val="1"/>
          <c:order val="1"/>
          <c:tx>
            <c:strRef>
              <c:f>List11!$C$23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rgbClr val="D5898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List11!$A$24:$A$36</c:f>
              <c:strCache>
                <c:ptCount val="13"/>
                <c:pt idx="0">
                  <c:v>obchod</c:v>
                </c:pt>
                <c:pt idx="1">
                  <c:v>potravinářství a potravinářská chemie</c:v>
                </c:pt>
                <c:pt idx="2">
                  <c:v>stavebnictví, geodézie a kartografie</c:v>
                </c:pt>
                <c:pt idx="3">
                  <c:v>zemědělství a lesnictví</c:v>
                </c:pt>
                <c:pt idx="4">
                  <c:v>osobní a provozní služby</c:v>
                </c:pt>
                <c:pt idx="5">
                  <c:v>zpracování dřeva a výroba hudebních nástrojů</c:v>
                </c:pt>
                <c:pt idx="6">
                  <c:v>speciální a interdisciplinární obory</c:v>
                </c:pt>
                <c:pt idx="7">
                  <c:v>pedagogika, učitelství a soc. péče</c:v>
                </c:pt>
                <c:pt idx="8">
                  <c:v>právo, právní a veřejnosprávní činnost</c:v>
                </c:pt>
                <c:pt idx="9">
                  <c:v>gastronomie, hotelnictví a turismus</c:v>
                </c:pt>
                <c:pt idx="10">
                  <c:v>elektrotechnika, telekom. a výpočetní technika</c:v>
                </c:pt>
                <c:pt idx="11">
                  <c:v>strojírenství a strojírenská výroba</c:v>
                </c:pt>
                <c:pt idx="12">
                  <c:v>podnikání v oborech, odvětví</c:v>
                </c:pt>
              </c:strCache>
            </c:strRef>
          </c:cat>
          <c:val>
            <c:numRef>
              <c:f>List11!$C$24:$C$36</c:f>
              <c:numCache>
                <c:formatCode>#,##0</c:formatCode>
                <c:ptCount val="13"/>
                <c:pt idx="0">
                  <c:v>81</c:v>
                </c:pt>
                <c:pt idx="1">
                  <c:v>64</c:v>
                </c:pt>
                <c:pt idx="2">
                  <c:v>374</c:v>
                </c:pt>
                <c:pt idx="3">
                  <c:v>151</c:v>
                </c:pt>
                <c:pt idx="4">
                  <c:v>219</c:v>
                </c:pt>
                <c:pt idx="5">
                  <c:v>235</c:v>
                </c:pt>
                <c:pt idx="6">
                  <c:v>144</c:v>
                </c:pt>
                <c:pt idx="7">
                  <c:v>21</c:v>
                </c:pt>
                <c:pt idx="8">
                  <c:v>408</c:v>
                </c:pt>
                <c:pt idx="9">
                  <c:v>628</c:v>
                </c:pt>
                <c:pt idx="10">
                  <c:v>712</c:v>
                </c:pt>
                <c:pt idx="11">
                  <c:v>1421</c:v>
                </c:pt>
                <c:pt idx="12">
                  <c:v>11749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6F-450F-9763-06978966D4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95141120"/>
        <c:axId val="193502528"/>
      </c:barChart>
      <c:catAx>
        <c:axId val="1951411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3502528"/>
        <c:crosses val="autoZero"/>
        <c:auto val="1"/>
        <c:lblAlgn val="ctr"/>
        <c:lblOffset val="100"/>
        <c:noMultiLvlLbl val="0"/>
      </c:catAx>
      <c:valAx>
        <c:axId val="193502528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5141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321003098911682"/>
          <c:y val="0.75023324914574352"/>
          <c:w val="0.13648948087096591"/>
          <c:h val="0.13599143267468924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23965059923065E-2"/>
          <c:y val="4.5105064742306571E-2"/>
          <c:w val="0.88467396436556545"/>
          <c:h val="0.771450958659493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 3.13'!$B$18</c:f>
              <c:strCache>
                <c:ptCount val="1"/>
                <c:pt idx="0">
                  <c:v>počet</c:v>
                </c:pt>
              </c:strCache>
            </c:strRef>
          </c:tx>
          <c:spPr>
            <a:solidFill>
              <a:srgbClr val="A6BFD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'graf 3.13'!$A$19:$A$29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3.13'!$B$19:$B$29</c:f>
              <c:numCache>
                <c:formatCode>#\ ##0_ ;\-#\ ##0\ </c:formatCode>
                <c:ptCount val="11"/>
                <c:pt idx="0">
                  <c:v>19160</c:v>
                </c:pt>
                <c:pt idx="1">
                  <c:v>19876</c:v>
                </c:pt>
                <c:pt idx="2">
                  <c:v>19835</c:v>
                </c:pt>
                <c:pt idx="3">
                  <c:v>20046</c:v>
                </c:pt>
                <c:pt idx="4">
                  <c:v>20335</c:v>
                </c:pt>
                <c:pt idx="5">
                  <c:v>22316</c:v>
                </c:pt>
                <c:pt idx="6">
                  <c:v>22067</c:v>
                </c:pt>
                <c:pt idx="7">
                  <c:v>25052</c:v>
                </c:pt>
                <c:pt idx="8">
                  <c:v>25209</c:v>
                </c:pt>
                <c:pt idx="9">
                  <c:v>24271</c:v>
                </c:pt>
                <c:pt idx="10">
                  <c:v>26910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79-4822-8C2E-2DED6E9DD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194352128"/>
        <c:axId val="194022208"/>
      </c:barChart>
      <c:lineChart>
        <c:grouping val="standard"/>
        <c:varyColors val="0"/>
        <c:ser>
          <c:idx val="1"/>
          <c:order val="1"/>
          <c:tx>
            <c:strRef>
              <c:f>'graf 3.13'!$C$18</c:f>
              <c:strCache>
                <c:ptCount val="1"/>
                <c:pt idx="0">
                  <c:v>podíl v běžných třídách</c:v>
                </c:pt>
              </c:strCache>
            </c:strRef>
          </c:tx>
          <c:spPr>
            <a:ln>
              <a:solidFill>
                <a:srgbClr val="079318"/>
              </a:solidFill>
            </a:ln>
          </c:spPr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79318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'graf 3.13'!$A$19:$A$29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3.13'!$C$19:$C$29</c:f>
              <c:numCache>
                <c:formatCode>0.0%</c:formatCode>
                <c:ptCount val="11"/>
                <c:pt idx="0">
                  <c:v>0.40746346555323593</c:v>
                </c:pt>
                <c:pt idx="1">
                  <c:v>0.44636747836586838</c:v>
                </c:pt>
                <c:pt idx="2">
                  <c:v>0.45283589614318126</c:v>
                </c:pt>
                <c:pt idx="3">
                  <c:v>0.47415943330340216</c:v>
                </c:pt>
                <c:pt idx="4">
                  <c:v>0.51546594541431034</c:v>
                </c:pt>
                <c:pt idx="5">
                  <c:v>0.58186951066499371</c:v>
                </c:pt>
                <c:pt idx="6">
                  <c:v>0.64363076086463955</c:v>
                </c:pt>
                <c:pt idx="7">
                  <c:v>0.68082388631646173</c:v>
                </c:pt>
                <c:pt idx="8">
                  <c:v>0.68701654171129356</c:v>
                </c:pt>
                <c:pt idx="9">
                  <c:v>0.67018252235177789</c:v>
                </c:pt>
                <c:pt idx="10">
                  <c:v>0.69728725380899292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79-4822-8C2E-2DED6E9DD21D}"/>
            </c:ext>
          </c:extLst>
        </c:ser>
        <c:ser>
          <c:idx val="2"/>
          <c:order val="2"/>
          <c:tx>
            <c:strRef>
              <c:f>'graf 3.13'!$D$18</c:f>
              <c:strCache>
                <c:ptCount val="1"/>
                <c:pt idx="0">
                  <c:v>podíl ze všech žáků SŠ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'graf 3.13'!$A$19:$A$29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3.13'!$D$19:$D$29</c:f>
              <c:numCache>
                <c:formatCode>0.0%</c:formatCode>
                <c:ptCount val="11"/>
                <c:pt idx="0">
                  <c:v>4.0700663191390832E-2</c:v>
                </c:pt>
                <c:pt idx="1">
                  <c:v>4.4287776965721316E-2</c:v>
                </c:pt>
                <c:pt idx="2">
                  <c:v>4.5540958162473423E-2</c:v>
                </c:pt>
                <c:pt idx="3">
                  <c:v>4.6934374758549967E-2</c:v>
                </c:pt>
                <c:pt idx="4">
                  <c:v>4.7864064644144153E-2</c:v>
                </c:pt>
                <c:pt idx="5">
                  <c:v>5.2939850783446214E-2</c:v>
                </c:pt>
                <c:pt idx="6">
                  <c:v>5.2438844715242364E-2</c:v>
                </c:pt>
                <c:pt idx="7">
                  <c:v>5.9107489182187535E-2</c:v>
                </c:pt>
                <c:pt idx="8">
                  <c:v>5.8232041135950992E-2</c:v>
                </c:pt>
                <c:pt idx="9">
                  <c:v>5.4388308003961869E-2</c:v>
                </c:pt>
                <c:pt idx="10">
                  <c:v>5.809585492227979E-2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79-4822-8C2E-2DED6E9DD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6188991"/>
        <c:axId val="826186079"/>
      </c:lineChart>
      <c:catAx>
        <c:axId val="194352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022208"/>
        <c:crosses val="autoZero"/>
        <c:auto val="1"/>
        <c:lblAlgn val="ctr"/>
        <c:lblOffset val="100"/>
        <c:noMultiLvlLbl val="0"/>
      </c:catAx>
      <c:valAx>
        <c:axId val="19402220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194352128"/>
        <c:crosses val="autoZero"/>
        <c:crossBetween val="between"/>
      </c:valAx>
      <c:valAx>
        <c:axId val="826186079"/>
        <c:scaling>
          <c:orientation val="minMax"/>
          <c:max val="1"/>
        </c:scaling>
        <c:delete val="0"/>
        <c:axPos val="r"/>
        <c:numFmt formatCode="0\ %" sourceLinked="0"/>
        <c:majorTickMark val="out"/>
        <c:minorTickMark val="none"/>
        <c:tickLblPos val="nextTo"/>
        <c:crossAx val="826188991"/>
        <c:crosses val="max"/>
        <c:crossBetween val="between"/>
      </c:valAx>
      <c:catAx>
        <c:axId val="82618899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26186079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90230249654812"/>
          <c:y val="3.1746127887860173E-2"/>
          <c:w val="0.78929664597612503"/>
          <c:h val="0.91235037927951312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ysClr val="windowText" lastClr="000000">
                  <a:lumMod val="65000"/>
                  <a:lumOff val="35000"/>
                </a:sysClr>
              </a:solidFill>
            </c:spPr>
            <c:extLst>
              <c:ext xmlns:c16="http://schemas.microsoft.com/office/drawing/2014/chart" uri="{C3380CC4-5D6E-409C-BE32-E72D297353CC}">
                <c16:uniqueId val="{00000001-B074-45F6-A7B3-64BC313403BA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B074-45F6-A7B3-64BC313403BA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B074-45F6-A7B3-64BC313403BA}"/>
              </c:ext>
            </c:extLst>
          </c:dPt>
          <c:dPt>
            <c:idx val="19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7-B074-45F6-A7B3-64BC313403BA}"/>
              </c:ext>
            </c:extLst>
          </c:dPt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'3.14'!$A$5:$A$24</c:f>
              <c:strCache>
                <c:ptCount val="20"/>
                <c:pt idx="0">
                  <c:v>církevní</c:v>
                </c:pt>
                <c:pt idx="1">
                  <c:v>soukromý</c:v>
                </c:pt>
                <c:pt idx="2">
                  <c:v>veřejný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Zlínský</c:v>
                </c:pt>
                <c:pt idx="7">
                  <c:v>Vysočina</c:v>
                </c:pt>
                <c:pt idx="8">
                  <c:v>Královéhradecký</c:v>
                </c:pt>
                <c:pt idx="9">
                  <c:v>Pardubický</c:v>
                </c:pt>
                <c:pt idx="10">
                  <c:v>Jihočeský</c:v>
                </c:pt>
                <c:pt idx="11">
                  <c:v>Jihomoravský</c:v>
                </c:pt>
                <c:pt idx="12">
                  <c:v>Ústecký</c:v>
                </c:pt>
                <c:pt idx="13">
                  <c:v>Liberecký</c:v>
                </c:pt>
                <c:pt idx="14">
                  <c:v>Středočeský</c:v>
                </c:pt>
                <c:pt idx="15">
                  <c:v>Plzeňský</c:v>
                </c:pt>
                <c:pt idx="16">
                  <c:v>Karlovarský</c:v>
                </c:pt>
                <c:pt idx="17">
                  <c:v>Praha</c:v>
                </c:pt>
                <c:pt idx="19">
                  <c:v>Česká republika</c:v>
                </c:pt>
              </c:strCache>
            </c:strRef>
          </c:cat>
          <c:val>
            <c:numRef>
              <c:f>'3.14'!$C$5:$C$24</c:f>
              <c:numCache>
                <c:formatCode>0.0%</c:formatCode>
                <c:ptCount val="20"/>
                <c:pt idx="0">
                  <c:v>2.2596326971552033E-2</c:v>
                </c:pt>
                <c:pt idx="1">
                  <c:v>4.3114249914568858E-2</c:v>
                </c:pt>
                <c:pt idx="2">
                  <c:v>2.8410935945110773E-2</c:v>
                </c:pt>
                <c:pt idx="4">
                  <c:v>1.3622183708838822E-2</c:v>
                </c:pt>
                <c:pt idx="5">
                  <c:v>1.3823511887028541E-2</c:v>
                </c:pt>
                <c:pt idx="6">
                  <c:v>1.564315031363742E-2</c:v>
                </c:pt>
                <c:pt idx="7">
                  <c:v>1.6102358777961529E-2</c:v>
                </c:pt>
                <c:pt idx="8">
                  <c:v>2.1577471656710961E-2</c:v>
                </c:pt>
                <c:pt idx="9">
                  <c:v>2.1908127208480566E-2</c:v>
                </c:pt>
                <c:pt idx="10">
                  <c:v>2.2959531271290367E-2</c:v>
                </c:pt>
                <c:pt idx="11">
                  <c:v>2.6131600585604556E-2</c:v>
                </c:pt>
                <c:pt idx="12">
                  <c:v>2.7574741307650415E-2</c:v>
                </c:pt>
                <c:pt idx="13">
                  <c:v>3.1336565096952908E-2</c:v>
                </c:pt>
                <c:pt idx="14">
                  <c:v>3.1357264654427883E-2</c:v>
                </c:pt>
                <c:pt idx="15">
                  <c:v>4.2619667534548371E-2</c:v>
                </c:pt>
                <c:pt idx="16">
                  <c:v>5.1515427323200143E-2</c:v>
                </c:pt>
                <c:pt idx="17">
                  <c:v>6.3254518662719167E-2</c:v>
                </c:pt>
                <c:pt idx="19">
                  <c:v>3.050211472404956E-2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74-45F6-A7B3-64BC313403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33276928"/>
        <c:axId val="309333952"/>
      </c:barChart>
      <c:catAx>
        <c:axId val="2332769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309333952"/>
        <c:crosses val="autoZero"/>
        <c:auto val="1"/>
        <c:lblAlgn val="ctr"/>
        <c:lblOffset val="100"/>
        <c:noMultiLvlLbl val="0"/>
      </c:catAx>
      <c:valAx>
        <c:axId val="309333952"/>
        <c:scaling>
          <c:orientation val="minMax"/>
          <c:max val="8.0000000000000016E-2"/>
        </c:scaling>
        <c:delete val="0"/>
        <c:axPos val="b"/>
        <c:majorGridlines>
          <c:spPr>
            <a:ln>
              <a:noFill/>
            </a:ln>
          </c:spPr>
        </c:majorGridlines>
        <c:numFmt formatCode="0\ %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3327692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307070585642443"/>
          <c:y val="3.8394415357766144E-2"/>
          <c:w val="0.82062717622011294"/>
          <c:h val="0.77805750087690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'3.1.17'!$B$26</c:f>
              <c:strCache>
                <c:ptCount val="1"/>
                <c:pt idx="0">
                  <c:v>Slovensko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'3.1.17'!$A$27:$A$41</c:f>
              <c:strCache>
                <c:ptCount val="15"/>
                <c:pt idx="0">
                  <c:v>Praha</c:v>
                </c:pt>
                <c:pt idx="1">
                  <c:v>ČR</c:v>
                </c:pt>
                <c:pt idx="2">
                  <c:v>Liberecký</c:v>
                </c:pt>
                <c:pt idx="3">
                  <c:v>Karlovarský</c:v>
                </c:pt>
                <c:pt idx="4">
                  <c:v>Středočeský</c:v>
                </c:pt>
                <c:pt idx="5">
                  <c:v>Ústecký</c:v>
                </c:pt>
                <c:pt idx="6">
                  <c:v>Jihočeský</c:v>
                </c:pt>
                <c:pt idx="7">
                  <c:v>Vysočina</c:v>
                </c:pt>
                <c:pt idx="8">
                  <c:v>Moravskoslezský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Pardubický</c:v>
                </c:pt>
                <c:pt idx="12">
                  <c:v>Plzeňský</c:v>
                </c:pt>
                <c:pt idx="13">
                  <c:v>Olomoucký</c:v>
                </c:pt>
                <c:pt idx="14">
                  <c:v>Zlínský</c:v>
                </c:pt>
              </c:strCache>
            </c:strRef>
          </c:cat>
          <c:val>
            <c:numRef>
              <c:f>'3.1.17'!$B$27:$B$41</c:f>
              <c:numCache>
                <c:formatCode>0.0</c:formatCode>
                <c:ptCount val="15"/>
                <c:pt idx="0">
                  <c:v>12.844624919854668</c:v>
                </c:pt>
                <c:pt idx="1">
                  <c:v>14.595130237825597</c:v>
                </c:pt>
                <c:pt idx="2">
                  <c:v>12.338858195211786</c:v>
                </c:pt>
                <c:pt idx="3">
                  <c:v>6.3604240282685502</c:v>
                </c:pt>
                <c:pt idx="4">
                  <c:v>15.324858757062145</c:v>
                </c:pt>
                <c:pt idx="5">
                  <c:v>9.0436590436590443</c:v>
                </c:pt>
                <c:pt idx="6">
                  <c:v>10.534124629080118</c:v>
                </c:pt>
                <c:pt idx="7">
                  <c:v>12.162162162162163</c:v>
                </c:pt>
                <c:pt idx="8">
                  <c:v>22.126436781609197</c:v>
                </c:pt>
                <c:pt idx="9">
                  <c:v>11.487758945386064</c:v>
                </c:pt>
                <c:pt idx="10">
                  <c:v>20.567920184190331</c:v>
                </c:pt>
                <c:pt idx="11">
                  <c:v>17.647058823529413</c:v>
                </c:pt>
                <c:pt idx="12">
                  <c:v>13.157894736842104</c:v>
                </c:pt>
                <c:pt idx="13">
                  <c:v>19.083969465648856</c:v>
                </c:pt>
                <c:pt idx="14">
                  <c:v>36.386138613861384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37-4C4C-90C9-AC4A4C62B862}"/>
            </c:ext>
          </c:extLst>
        </c:ser>
        <c:ser>
          <c:idx val="1"/>
          <c:order val="1"/>
          <c:tx>
            <c:strRef>
              <c:f>'3.1.17'!$C$26</c:f>
              <c:strCache>
                <c:ptCount val="1"/>
                <c:pt idx="0">
                  <c:v>Ukrajina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'3.1.17'!$A$27:$A$41</c:f>
              <c:strCache>
                <c:ptCount val="15"/>
                <c:pt idx="0">
                  <c:v>Praha</c:v>
                </c:pt>
                <c:pt idx="1">
                  <c:v>ČR</c:v>
                </c:pt>
                <c:pt idx="2">
                  <c:v>Liberecký</c:v>
                </c:pt>
                <c:pt idx="3">
                  <c:v>Karlovarský</c:v>
                </c:pt>
                <c:pt idx="4">
                  <c:v>Středočeský</c:v>
                </c:pt>
                <c:pt idx="5">
                  <c:v>Ústecký</c:v>
                </c:pt>
                <c:pt idx="6">
                  <c:v>Jihočeský</c:v>
                </c:pt>
                <c:pt idx="7">
                  <c:v>Vysočina</c:v>
                </c:pt>
                <c:pt idx="8">
                  <c:v>Moravskoslezský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Pardubický</c:v>
                </c:pt>
                <c:pt idx="12">
                  <c:v>Plzeňský</c:v>
                </c:pt>
                <c:pt idx="13">
                  <c:v>Olomoucký</c:v>
                </c:pt>
                <c:pt idx="14">
                  <c:v>Zlínský</c:v>
                </c:pt>
              </c:strCache>
            </c:strRef>
          </c:cat>
          <c:val>
            <c:numRef>
              <c:f>'3.1.17'!$C$27:$C$41</c:f>
              <c:numCache>
                <c:formatCode>0.0</c:formatCode>
                <c:ptCount val="15"/>
                <c:pt idx="0">
                  <c:v>42.87240863432357</c:v>
                </c:pt>
                <c:pt idx="1">
                  <c:v>49.985843714609288</c:v>
                </c:pt>
                <c:pt idx="2">
                  <c:v>54.143646408839771</c:v>
                </c:pt>
                <c:pt idx="3">
                  <c:v>33.745583038869256</c:v>
                </c:pt>
                <c:pt idx="4">
                  <c:v>59.039548022598879</c:v>
                </c:pt>
                <c:pt idx="5">
                  <c:v>52.286902286902283</c:v>
                </c:pt>
                <c:pt idx="6">
                  <c:v>58.605341246290799</c:v>
                </c:pt>
                <c:pt idx="7">
                  <c:v>60</c:v>
                </c:pt>
                <c:pt idx="8">
                  <c:v>50.143678160919535</c:v>
                </c:pt>
                <c:pt idx="9">
                  <c:v>63.088512241054616</c:v>
                </c:pt>
                <c:pt idx="10">
                  <c:v>51.880276285495007</c:v>
                </c:pt>
                <c:pt idx="11">
                  <c:v>57.495256166982919</c:v>
                </c:pt>
                <c:pt idx="12">
                  <c:v>50.281954887218049</c:v>
                </c:pt>
                <c:pt idx="13">
                  <c:v>58.015267175572518</c:v>
                </c:pt>
                <c:pt idx="14">
                  <c:v>46.782178217821787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37-4C4C-90C9-AC4A4C62B862}"/>
            </c:ext>
          </c:extLst>
        </c:ser>
        <c:ser>
          <c:idx val="2"/>
          <c:order val="2"/>
          <c:tx>
            <c:strRef>
              <c:f>'3.1.17'!$D$26</c:f>
              <c:strCache>
                <c:ptCount val="1"/>
                <c:pt idx="0">
                  <c:v>Vietnam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00B05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'3.1.17'!$A$27:$A$41</c:f>
              <c:strCache>
                <c:ptCount val="15"/>
                <c:pt idx="0">
                  <c:v>Praha</c:v>
                </c:pt>
                <c:pt idx="1">
                  <c:v>ČR</c:v>
                </c:pt>
                <c:pt idx="2">
                  <c:v>Liberecký</c:v>
                </c:pt>
                <c:pt idx="3">
                  <c:v>Karlovarský</c:v>
                </c:pt>
                <c:pt idx="4">
                  <c:v>Středočeský</c:v>
                </c:pt>
                <c:pt idx="5">
                  <c:v>Ústecký</c:v>
                </c:pt>
                <c:pt idx="6">
                  <c:v>Jihočeský</c:v>
                </c:pt>
                <c:pt idx="7">
                  <c:v>Vysočina</c:v>
                </c:pt>
                <c:pt idx="8">
                  <c:v>Moravskoslezský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Pardubický</c:v>
                </c:pt>
                <c:pt idx="12">
                  <c:v>Plzeňský</c:v>
                </c:pt>
                <c:pt idx="13">
                  <c:v>Olomoucký</c:v>
                </c:pt>
                <c:pt idx="14">
                  <c:v>Zlínský</c:v>
                </c:pt>
              </c:strCache>
            </c:strRef>
          </c:cat>
          <c:val>
            <c:numRef>
              <c:f>'3.1.17'!$D$27:$D$41</c:f>
              <c:numCache>
                <c:formatCode>0.0</c:formatCode>
                <c:ptCount val="15"/>
                <c:pt idx="0">
                  <c:v>11.647787988886513</c:v>
                </c:pt>
                <c:pt idx="1">
                  <c:v>13.391845979614949</c:v>
                </c:pt>
                <c:pt idx="2">
                  <c:v>11.786372007366483</c:v>
                </c:pt>
                <c:pt idx="3">
                  <c:v>38.869257950530034</c:v>
                </c:pt>
                <c:pt idx="4">
                  <c:v>7.4152542372881349</c:v>
                </c:pt>
                <c:pt idx="5">
                  <c:v>20.997920997921</c:v>
                </c:pt>
                <c:pt idx="6">
                  <c:v>13.501483679525222</c:v>
                </c:pt>
                <c:pt idx="7">
                  <c:v>10.810810810810811</c:v>
                </c:pt>
                <c:pt idx="8">
                  <c:v>10.775862068965516</c:v>
                </c:pt>
                <c:pt idx="9">
                  <c:v>8.662900188323917</c:v>
                </c:pt>
                <c:pt idx="10">
                  <c:v>11.511895625479662</c:v>
                </c:pt>
                <c:pt idx="11">
                  <c:v>9.1081593927893731</c:v>
                </c:pt>
                <c:pt idx="12">
                  <c:v>22.368421052631579</c:v>
                </c:pt>
                <c:pt idx="13">
                  <c:v>11.450381679389313</c:v>
                </c:pt>
                <c:pt idx="14">
                  <c:v>5.6930693069306937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37-4C4C-90C9-AC4A4C62B862}"/>
            </c:ext>
          </c:extLst>
        </c:ser>
        <c:ser>
          <c:idx val="3"/>
          <c:order val="3"/>
          <c:tx>
            <c:strRef>
              <c:f>'3.1.17'!$E$26</c:f>
              <c:strCache>
                <c:ptCount val="1"/>
                <c:pt idx="0">
                  <c:v>jiné státy EU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'3.1.17'!$A$27:$A$41</c:f>
              <c:strCache>
                <c:ptCount val="15"/>
                <c:pt idx="0">
                  <c:v>Praha</c:v>
                </c:pt>
                <c:pt idx="1">
                  <c:v>ČR</c:v>
                </c:pt>
                <c:pt idx="2">
                  <c:v>Liberecký</c:v>
                </c:pt>
                <c:pt idx="3">
                  <c:v>Karlovarský</c:v>
                </c:pt>
                <c:pt idx="4">
                  <c:v>Středočeský</c:v>
                </c:pt>
                <c:pt idx="5">
                  <c:v>Ústecký</c:v>
                </c:pt>
                <c:pt idx="6">
                  <c:v>Jihočeský</c:v>
                </c:pt>
                <c:pt idx="7">
                  <c:v>Vysočina</c:v>
                </c:pt>
                <c:pt idx="8">
                  <c:v>Moravskoslezský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Pardubický</c:v>
                </c:pt>
                <c:pt idx="12">
                  <c:v>Plzeňský</c:v>
                </c:pt>
                <c:pt idx="13">
                  <c:v>Olomoucký</c:v>
                </c:pt>
                <c:pt idx="14">
                  <c:v>Zlínský</c:v>
                </c:pt>
              </c:strCache>
            </c:strRef>
          </c:cat>
          <c:val>
            <c:numRef>
              <c:f>'3.1.17'!$E$27:$E$41</c:f>
              <c:numCache>
                <c:formatCode>0.0</c:formatCode>
                <c:ptCount val="15"/>
                <c:pt idx="0">
                  <c:v>7.7794400512930117</c:v>
                </c:pt>
                <c:pt idx="1">
                  <c:v>6.4623442808607017</c:v>
                </c:pt>
                <c:pt idx="2">
                  <c:v>6.4456721915285451</c:v>
                </c:pt>
                <c:pt idx="3">
                  <c:v>5.4770318021201412</c:v>
                </c:pt>
                <c:pt idx="4">
                  <c:v>7.5564971751412431</c:v>
                </c:pt>
                <c:pt idx="5">
                  <c:v>3.0145530145530146</c:v>
                </c:pt>
                <c:pt idx="6">
                  <c:v>5.0445103857566762</c:v>
                </c:pt>
                <c:pt idx="7">
                  <c:v>4.3243243243243246</c:v>
                </c:pt>
                <c:pt idx="8">
                  <c:v>8.7643678160919549</c:v>
                </c:pt>
                <c:pt idx="9">
                  <c:v>5.6497175141242941</c:v>
                </c:pt>
                <c:pt idx="10">
                  <c:v>4.6815042210283959</c:v>
                </c:pt>
                <c:pt idx="11">
                  <c:v>6.2618595825426944</c:v>
                </c:pt>
                <c:pt idx="12">
                  <c:v>7.9887218045112789</c:v>
                </c:pt>
                <c:pt idx="13">
                  <c:v>3.5623409669211195</c:v>
                </c:pt>
                <c:pt idx="14">
                  <c:v>3.217821782178218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37-4C4C-90C9-AC4A4C62B862}"/>
            </c:ext>
          </c:extLst>
        </c:ser>
        <c:ser>
          <c:idx val="4"/>
          <c:order val="4"/>
          <c:tx>
            <c:strRef>
              <c:f>'3.1.17'!$F$26</c:f>
              <c:strCache>
                <c:ptCount val="1"/>
                <c:pt idx="0">
                  <c:v>jiné státy Evropy (kromě EU)</c:v>
                </c:pt>
              </c:strCache>
            </c:strRef>
          </c:tx>
          <c:spPr>
            <a:solidFill>
              <a:srgbClr val="FFCC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'3.1.17'!$A$27:$A$41</c:f>
              <c:strCache>
                <c:ptCount val="15"/>
                <c:pt idx="0">
                  <c:v>Praha</c:v>
                </c:pt>
                <c:pt idx="1">
                  <c:v>ČR</c:v>
                </c:pt>
                <c:pt idx="2">
                  <c:v>Liberecký</c:v>
                </c:pt>
                <c:pt idx="3">
                  <c:v>Karlovarský</c:v>
                </c:pt>
                <c:pt idx="4">
                  <c:v>Středočeský</c:v>
                </c:pt>
                <c:pt idx="5">
                  <c:v>Ústecký</c:v>
                </c:pt>
                <c:pt idx="6">
                  <c:v>Jihočeský</c:v>
                </c:pt>
                <c:pt idx="7">
                  <c:v>Vysočina</c:v>
                </c:pt>
                <c:pt idx="8">
                  <c:v>Moravskoslezský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Pardubický</c:v>
                </c:pt>
                <c:pt idx="12">
                  <c:v>Plzeňský</c:v>
                </c:pt>
                <c:pt idx="13">
                  <c:v>Olomoucký</c:v>
                </c:pt>
                <c:pt idx="14">
                  <c:v>Zlínský</c:v>
                </c:pt>
              </c:strCache>
            </c:strRef>
          </c:cat>
          <c:val>
            <c:numRef>
              <c:f>'3.1.17'!$F$27:$F$41</c:f>
              <c:numCache>
                <c:formatCode>0.0</c:formatCode>
                <c:ptCount val="15"/>
                <c:pt idx="0">
                  <c:v>15.815345159222055</c:v>
                </c:pt>
                <c:pt idx="1">
                  <c:v>8.9184597961494898</c:v>
                </c:pt>
                <c:pt idx="2">
                  <c:v>4.4198895027624303</c:v>
                </c:pt>
                <c:pt idx="3">
                  <c:v>11.837455830388691</c:v>
                </c:pt>
                <c:pt idx="4">
                  <c:v>6.2146892655367232</c:v>
                </c:pt>
                <c:pt idx="5">
                  <c:v>6.8607068607068609</c:v>
                </c:pt>
                <c:pt idx="6">
                  <c:v>5.9347181008902083</c:v>
                </c:pt>
                <c:pt idx="7">
                  <c:v>4.0540540540540544</c:v>
                </c:pt>
                <c:pt idx="8">
                  <c:v>2.5862068965517242</c:v>
                </c:pt>
                <c:pt idx="9">
                  <c:v>5.6497175141242941</c:v>
                </c:pt>
                <c:pt idx="10">
                  <c:v>6.0629316960859558</c:v>
                </c:pt>
                <c:pt idx="11">
                  <c:v>3.4155597722960152</c:v>
                </c:pt>
                <c:pt idx="12">
                  <c:v>3.3834586466165413</c:v>
                </c:pt>
                <c:pt idx="13">
                  <c:v>4.0712468193384224</c:v>
                </c:pt>
                <c:pt idx="14">
                  <c:v>5.6930693069306937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37-4C4C-90C9-AC4A4C62B862}"/>
            </c:ext>
          </c:extLst>
        </c:ser>
        <c:ser>
          <c:idx val="5"/>
          <c:order val="5"/>
          <c:tx>
            <c:strRef>
              <c:f>'3.1.17'!$G$26</c:f>
              <c:strCache>
                <c:ptCount val="1"/>
                <c:pt idx="0">
                  <c:v>jiné (mimoevropské a nezjištěné)</c:v>
                </c:pt>
              </c:strCache>
            </c:strRef>
          </c:tx>
          <c:spPr>
            <a:solidFill>
              <a:srgbClr val="3C5B1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'3.1.17'!$A$27:$A$41</c:f>
              <c:strCache>
                <c:ptCount val="15"/>
                <c:pt idx="0">
                  <c:v>Praha</c:v>
                </c:pt>
                <c:pt idx="1">
                  <c:v>ČR</c:v>
                </c:pt>
                <c:pt idx="2">
                  <c:v>Liberecký</c:v>
                </c:pt>
                <c:pt idx="3">
                  <c:v>Karlovarský</c:v>
                </c:pt>
                <c:pt idx="4">
                  <c:v>Středočeský</c:v>
                </c:pt>
                <c:pt idx="5">
                  <c:v>Ústecký</c:v>
                </c:pt>
                <c:pt idx="6">
                  <c:v>Jihočeský</c:v>
                </c:pt>
                <c:pt idx="7">
                  <c:v>Vysočina</c:v>
                </c:pt>
                <c:pt idx="8">
                  <c:v>Moravskoslezský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Pardubický</c:v>
                </c:pt>
                <c:pt idx="12">
                  <c:v>Plzeňský</c:v>
                </c:pt>
                <c:pt idx="13">
                  <c:v>Olomoucký</c:v>
                </c:pt>
                <c:pt idx="14">
                  <c:v>Zlínský</c:v>
                </c:pt>
              </c:strCache>
            </c:strRef>
          </c:cat>
          <c:val>
            <c:numRef>
              <c:f>'3.1.17'!$G$27:$G$41</c:f>
              <c:numCache>
                <c:formatCode>0.0</c:formatCode>
                <c:ptCount val="15"/>
                <c:pt idx="0">
                  <c:v>9.0403932464201748</c:v>
                </c:pt>
                <c:pt idx="1">
                  <c:v>6.6463759909399771</c:v>
                </c:pt>
                <c:pt idx="2">
                  <c:v>10.865561694290976</c:v>
                </c:pt>
                <c:pt idx="3">
                  <c:v>3.7102473498233217</c:v>
                </c:pt>
                <c:pt idx="4">
                  <c:v>4.4491525423728815</c:v>
                </c:pt>
                <c:pt idx="5">
                  <c:v>7.7962577962577964</c:v>
                </c:pt>
                <c:pt idx="6">
                  <c:v>6.3798219584569731</c:v>
                </c:pt>
                <c:pt idx="7">
                  <c:v>8.6486486486486491</c:v>
                </c:pt>
                <c:pt idx="8">
                  <c:v>5.6034482758620694</c:v>
                </c:pt>
                <c:pt idx="9">
                  <c:v>5.4613935969868175</c:v>
                </c:pt>
                <c:pt idx="10">
                  <c:v>5.295471987720644</c:v>
                </c:pt>
                <c:pt idx="11">
                  <c:v>6.0721062618595827</c:v>
                </c:pt>
                <c:pt idx="12">
                  <c:v>2.8195488721804511</c:v>
                </c:pt>
                <c:pt idx="13">
                  <c:v>3.8167938931297711</c:v>
                </c:pt>
                <c:pt idx="14">
                  <c:v>2.2277227722772275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937-4C4C-90C9-AC4A4C62B8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717511152"/>
        <c:axId val="717503664"/>
      </c:barChart>
      <c:catAx>
        <c:axId val="71751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17503664"/>
        <c:crosses val="autoZero"/>
        <c:auto val="1"/>
        <c:lblAlgn val="ctr"/>
        <c:lblOffset val="100"/>
        <c:noMultiLvlLbl val="0"/>
      </c:catAx>
      <c:valAx>
        <c:axId val="71750366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1751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31810622908779"/>
          <c:y val="0.89289935532252018"/>
          <c:w val="0.81043248983190075"/>
          <c:h val="8.61581818401732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879992550787718E-2"/>
          <c:y val="3.9033309164478801E-2"/>
          <c:w val="0.91818075451411951"/>
          <c:h val="0.868316349352995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'3.16'!$B$39</c:f>
              <c:strCache>
                <c:ptCount val="1"/>
                <c:pt idx="0">
                  <c:v>Ukrajina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'3.16'!$A$40:$A$50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'3.16'!$B$40:$B$50</c:f>
              <c:numCache>
                <c:formatCode>0.0%</c:formatCode>
                <c:ptCount val="11"/>
                <c:pt idx="0">
                  <c:v>4.6117505108825415E-3</c:v>
                </c:pt>
                <c:pt idx="1">
                  <c:v>4.9042763685627194E-3</c:v>
                </c:pt>
                <c:pt idx="2">
                  <c:v>4.8812743661920087E-3</c:v>
                </c:pt>
                <c:pt idx="3">
                  <c:v>5.3874087757868633E-3</c:v>
                </c:pt>
                <c:pt idx="4">
                  <c:v>6.1104062855273289E-3</c:v>
                </c:pt>
                <c:pt idx="5">
                  <c:v>6.4265126264722973E-3</c:v>
                </c:pt>
                <c:pt idx="6">
                  <c:v>6.6418892907555357E-3</c:v>
                </c:pt>
                <c:pt idx="7">
                  <c:v>6.8634714206843184E-3</c:v>
                </c:pt>
                <c:pt idx="8">
                  <c:v>6.9183610298771559E-3</c:v>
                </c:pt>
                <c:pt idx="9">
                  <c:v>6.9736069592653514E-3</c:v>
                </c:pt>
                <c:pt idx="10">
                  <c:v>1.5246113989637307E-2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47-45B8-8B7F-99306595D06E}"/>
            </c:ext>
          </c:extLst>
        </c:ser>
        <c:ser>
          <c:idx val="1"/>
          <c:order val="1"/>
          <c:tx>
            <c:strRef>
              <c:f>'3.16'!$C$39</c:f>
              <c:strCache>
                <c:ptCount val="1"/>
                <c:pt idx="0">
                  <c:v>Slovensko</c:v>
                </c:pt>
              </c:strCache>
            </c:strRef>
          </c:tx>
          <c:spPr>
            <a:solidFill>
              <a:srgbClr val="5E8BC2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'3.16'!$A$40:$A$50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'3.16'!$C$40:$C$50</c:f>
              <c:numCache>
                <c:formatCode>0.0%</c:formatCode>
                <c:ptCount val="11"/>
                <c:pt idx="0">
                  <c:v>3.3435722266831509E-3</c:v>
                </c:pt>
                <c:pt idx="1">
                  <c:v>3.6809925310611596E-3</c:v>
                </c:pt>
                <c:pt idx="2">
                  <c:v>3.8825187926767109E-3</c:v>
                </c:pt>
                <c:pt idx="3">
                  <c:v>3.9849499071661198E-3</c:v>
                </c:pt>
                <c:pt idx="4">
                  <c:v>4.1779549910674141E-3</c:v>
                </c:pt>
                <c:pt idx="5">
                  <c:v>4.3839776056555212E-3</c:v>
                </c:pt>
                <c:pt idx="6">
                  <c:v>4.3368329000461016E-3</c:v>
                </c:pt>
                <c:pt idx="7">
                  <c:v>4.2610620095413811E-3</c:v>
                </c:pt>
                <c:pt idx="8">
                  <c:v>4.3358142414288555E-3</c:v>
                </c:pt>
                <c:pt idx="9">
                  <c:v>4.4884751733317799E-3</c:v>
                </c:pt>
                <c:pt idx="10">
                  <c:v>4.4516407599309157E-3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47-45B8-8B7F-99306595D06E}"/>
            </c:ext>
          </c:extLst>
        </c:ser>
        <c:ser>
          <c:idx val="2"/>
          <c:order val="2"/>
          <c:tx>
            <c:strRef>
              <c:f>'3.16'!$D$39</c:f>
              <c:strCache>
                <c:ptCount val="1"/>
                <c:pt idx="0">
                  <c:v>Vietnam</c:v>
                </c:pt>
              </c:strCache>
            </c:strRef>
          </c:tx>
          <c:spPr>
            <a:solidFill>
              <a:srgbClr val="56432E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'3.16'!$A$40:$A$50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'3.16'!$D$40:$D$50</c:f>
              <c:numCache>
                <c:formatCode>0.0%</c:formatCode>
                <c:ptCount val="11"/>
                <c:pt idx="0">
                  <c:v>4.9048972499437073E-3</c:v>
                </c:pt>
                <c:pt idx="1">
                  <c:v>4.9778070910354907E-3</c:v>
                </c:pt>
                <c:pt idx="2">
                  <c:v>4.5782037094011597E-3</c:v>
                </c:pt>
                <c:pt idx="3">
                  <c:v>4.212059273203202E-3</c:v>
                </c:pt>
                <c:pt idx="4">
                  <c:v>4.0767425602978944E-3</c:v>
                </c:pt>
                <c:pt idx="5">
                  <c:v>3.9806896224512797E-3</c:v>
                </c:pt>
                <c:pt idx="6">
                  <c:v>3.9518647193296803E-3</c:v>
                </c:pt>
                <c:pt idx="7">
                  <c:v>3.9873725338454786E-3</c:v>
                </c:pt>
                <c:pt idx="8">
                  <c:v>4.0239682517682826E-3</c:v>
                </c:pt>
                <c:pt idx="9">
                  <c:v>4.1142488358647767E-3</c:v>
                </c:pt>
                <c:pt idx="10">
                  <c:v>4.0846286701208979E-3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547-45B8-8B7F-99306595D06E}"/>
            </c:ext>
          </c:extLst>
        </c:ser>
        <c:ser>
          <c:idx val="3"/>
          <c:order val="3"/>
          <c:tx>
            <c:strRef>
              <c:f>'3.16'!$E$39</c:f>
              <c:strCache>
                <c:ptCount val="1"/>
                <c:pt idx="0">
                  <c:v>Rusko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'3.16'!$A$40:$A$50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'3.16'!$E$40:$E$50</c:f>
              <c:numCache>
                <c:formatCode>0.0%</c:formatCode>
                <c:ptCount val="11"/>
                <c:pt idx="0">
                  <c:v>2.1539912565798698E-3</c:v>
                </c:pt>
                <c:pt idx="1">
                  <c:v>2.3128754523253532E-3</c:v>
                </c:pt>
                <c:pt idx="2">
                  <c:v>2.3533895697774266E-3</c:v>
                </c:pt>
                <c:pt idx="3">
                  <c:v>2.378795009213148E-3</c:v>
                </c:pt>
                <c:pt idx="4">
                  <c:v>2.3984992314916593E-3</c:v>
                </c:pt>
                <c:pt idx="5">
                  <c:v>2.4173556169713073E-3</c:v>
                </c:pt>
                <c:pt idx="6">
                  <c:v>2.4452608515876371E-3</c:v>
                </c:pt>
                <c:pt idx="7">
                  <c:v>2.4985961617410425E-3</c:v>
                </c:pt>
                <c:pt idx="8">
                  <c:v>2.4554984222902895E-3</c:v>
                </c:pt>
                <c:pt idx="9">
                  <c:v>2.1691682315452634E-3</c:v>
                </c:pt>
                <c:pt idx="10">
                  <c:v>1.7962003454231434E-3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547-45B8-8B7F-99306595D06E}"/>
            </c:ext>
          </c:extLst>
        </c:ser>
        <c:ser>
          <c:idx val="4"/>
          <c:order val="4"/>
          <c:tx>
            <c:strRef>
              <c:f>'3.16'!$F$39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'3.16'!$A$40:$A$50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'3.16'!$F$40:$F$50</c:f>
              <c:numCache>
                <c:formatCode>0.0%</c:formatCode>
                <c:ptCount val="11"/>
                <c:pt idx="0">
                  <c:v>4.1550363884321744E-3</c:v>
                </c:pt>
                <c:pt idx="1">
                  <c:v>4.5054279042407172E-3</c:v>
                </c:pt>
                <c:pt idx="2">
                  <c:v>4.5942756381703717E-3</c:v>
                </c:pt>
                <c:pt idx="3">
                  <c:v>4.5538939890940678E-3</c:v>
                </c:pt>
                <c:pt idx="4">
                  <c:v>4.5686820493869591E-3</c:v>
                </c:pt>
                <c:pt idx="5">
                  <c:v>4.6045998552907827E-3</c:v>
                </c:pt>
                <c:pt idx="6">
                  <c:v>4.7360591615297973E-3</c:v>
                </c:pt>
                <c:pt idx="7">
                  <c:v>4.7942846087420197E-3</c:v>
                </c:pt>
                <c:pt idx="8">
                  <c:v>4.7908783893039139E-3</c:v>
                </c:pt>
                <c:pt idx="9">
                  <c:v>4.7820299649975126E-3</c:v>
                </c:pt>
                <c:pt idx="10">
                  <c:v>4.9222797927461143E-3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7547-45B8-8B7F-99306595D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311028736"/>
        <c:axId val="309385984"/>
      </c:barChart>
      <c:scatterChart>
        <c:scatterStyle val="lineMarker"/>
        <c:varyColors val="0"/>
        <c:ser>
          <c:idx val="5"/>
          <c:order val="5"/>
          <c:tx>
            <c:strRef>
              <c:f>'3.16'!$G$39</c:f>
              <c:strCache>
                <c:ptCount val="1"/>
                <c:pt idx="0">
                  <c:v>celkem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xVal>
            <c:strRef>
              <c:f>'3.16'!$A$40:$A$50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xVal>
          <c:yVal>
            <c:numRef>
              <c:f>'3.16'!$G$40:$G$50</c:f>
              <c:numCache>
                <c:formatCode>0.0%</c:formatCode>
                <c:ptCount val="11"/>
                <c:pt idx="0">
                  <c:v>1.9169247632521445E-2</c:v>
                </c:pt>
                <c:pt idx="1">
                  <c:v>2.0381379347225441E-2</c:v>
                </c:pt>
                <c:pt idx="2">
                  <c:v>2.0289662076217678E-2</c:v>
                </c:pt>
                <c:pt idx="3">
                  <c:v>2.0517106954463401E-2</c:v>
                </c:pt>
                <c:pt idx="4">
                  <c:v>2.1332285117771257E-2</c:v>
                </c:pt>
                <c:pt idx="5">
                  <c:v>2.181313532684119E-2</c:v>
                </c:pt>
                <c:pt idx="6">
                  <c:v>2.2111906923248752E-2</c:v>
                </c:pt>
                <c:pt idx="7">
                  <c:v>2.240478673455424E-2</c:v>
                </c:pt>
                <c:pt idx="8">
                  <c:v>2.2524520334668497E-2</c:v>
                </c:pt>
                <c:pt idx="9">
                  <c:v>2.2527529165004685E-2</c:v>
                </c:pt>
                <c:pt idx="10">
                  <c:v>3.0500863557858377E-2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21-7547-45B8-8B7F-99306595D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1028736"/>
        <c:axId val="309385984"/>
      </c:scatterChart>
      <c:catAx>
        <c:axId val="311028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9385984"/>
        <c:crosses val="autoZero"/>
        <c:auto val="1"/>
        <c:lblAlgn val="ctr"/>
        <c:lblOffset val="100"/>
        <c:noMultiLvlLbl val="0"/>
      </c:catAx>
      <c:valAx>
        <c:axId val="309385984"/>
        <c:scaling>
          <c:orientation val="minMax"/>
          <c:max val="3.5000000000000003E-2"/>
        </c:scaling>
        <c:delete val="0"/>
        <c:axPos val="l"/>
        <c:majorGridlines>
          <c:spPr>
            <a:ln>
              <a:noFill/>
            </a:ln>
          </c:spPr>
        </c:majorGridlines>
        <c:numFmt formatCode="0.0\ %" sourceLinked="0"/>
        <c:majorTickMark val="out"/>
        <c:minorTickMark val="none"/>
        <c:tickLblPos val="nextTo"/>
        <c:crossAx val="311028736"/>
        <c:crosses val="autoZero"/>
        <c:crossBetween val="between"/>
      </c:valAx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2.9040438352573136E-2"/>
          <c:y val="5.2494898227682302E-2"/>
          <c:w val="0.86945205528722225"/>
          <c:h val="6.1856627296587925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046695495030337E-2"/>
          <c:y val="0.16732308216991834"/>
          <c:w val="0.93688024396540592"/>
          <c:h val="0.749395917422762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'3.2'!$B$4</c:f>
              <c:strCache>
                <c:ptCount val="1"/>
                <c:pt idx="0">
                  <c:v>věk 15–18 let</c:v>
                </c:pt>
              </c:strCache>
            </c:strRef>
          </c:tx>
          <c:spPr>
            <a:solidFill>
              <a:srgbClr val="CC99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'3.2'!$C$3:$E$3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2022</c:v>
                </c:pt>
              </c:numCache>
            </c:numRef>
          </c:cat>
          <c:val>
            <c:numRef>
              <c:f>'3.2'!$C$4:$E$4</c:f>
              <c:numCache>
                <c:formatCode>0.0</c:formatCode>
                <c:ptCount val="3"/>
                <c:pt idx="0">
                  <c:v>367.30099999999999</c:v>
                </c:pt>
                <c:pt idx="1">
                  <c:v>367.30099999999999</c:v>
                </c:pt>
                <c:pt idx="2">
                  <c:v>434.76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3A-44CA-A08D-E6791852AFBC}"/>
            </c:ext>
          </c:extLst>
        </c:ser>
        <c:ser>
          <c:idx val="1"/>
          <c:order val="1"/>
          <c:tx>
            <c:strRef>
              <c:f>'3.2'!$B$5</c:f>
              <c:strCache>
                <c:ptCount val="1"/>
                <c:pt idx="0">
                  <c:v>věk 14–17 let</c:v>
                </c:pt>
              </c:strCache>
            </c:strRef>
          </c:tx>
          <c:spPr>
            <a:solidFill>
              <a:srgbClr val="1C476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'3.2'!$C$3:$E$3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2022</c:v>
                </c:pt>
              </c:numCache>
            </c:numRef>
          </c:cat>
          <c:val>
            <c:numRef>
              <c:f>'3.2'!$C$5:$E$5</c:f>
              <c:numCache>
                <c:formatCode>0.0</c:formatCode>
                <c:ptCount val="3"/>
                <c:pt idx="0">
                  <c:v>370.09399999999999</c:v>
                </c:pt>
                <c:pt idx="1">
                  <c:v>370.09399999999999</c:v>
                </c:pt>
                <c:pt idx="2">
                  <c:v>452.83499999999998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3A-44CA-A08D-E6791852AFBC}"/>
            </c:ext>
          </c:extLst>
        </c:ser>
        <c:ser>
          <c:idx val="2"/>
          <c:order val="2"/>
          <c:tx>
            <c:strRef>
              <c:f>'3.2'!$B$6</c:f>
              <c:strCache>
                <c:ptCount val="1"/>
                <c:pt idx="0">
                  <c:v>věk 13–16 let</c:v>
                </c:pt>
              </c:strCache>
            </c:strRef>
          </c:tx>
          <c:spPr>
            <a:solidFill>
              <a:srgbClr val="5799D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'3.2'!$C$3:$E$3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2022</c:v>
                </c:pt>
              </c:numCache>
            </c:numRef>
          </c:cat>
          <c:val>
            <c:numRef>
              <c:f>'3.2'!$C$6:$E$6</c:f>
              <c:numCache>
                <c:formatCode>0.0</c:formatCode>
                <c:ptCount val="3"/>
                <c:pt idx="0">
                  <c:v>375.63299999999998</c:v>
                </c:pt>
                <c:pt idx="1">
                  <c:v>375.63299999999998</c:v>
                </c:pt>
                <c:pt idx="2">
                  <c:v>470.02300000000002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3A-44CA-A08D-E6791852AFBC}"/>
            </c:ext>
          </c:extLst>
        </c:ser>
        <c:ser>
          <c:idx val="3"/>
          <c:order val="3"/>
          <c:tx>
            <c:strRef>
              <c:f>'3.2'!$B$7</c:f>
              <c:strCache>
                <c:ptCount val="1"/>
                <c:pt idx="0">
                  <c:v>věk 12–15 let</c:v>
                </c:pt>
              </c:strCache>
            </c:strRef>
          </c:tx>
          <c:spPr>
            <a:solidFill>
              <a:srgbClr val="B9D4E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'3.2'!$C$3:$E$3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2022</c:v>
                </c:pt>
              </c:numCache>
            </c:numRef>
          </c:cat>
          <c:val>
            <c:numRef>
              <c:f>'3.2'!$C$7:$E$7</c:f>
              <c:numCache>
                <c:formatCode>0.0</c:formatCode>
                <c:ptCount val="3"/>
                <c:pt idx="0">
                  <c:v>384.75900000000001</c:v>
                </c:pt>
                <c:pt idx="1">
                  <c:v>384.75900000000001</c:v>
                </c:pt>
                <c:pt idx="2">
                  <c:v>482.91500000000002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3A-44CA-A08D-E6791852A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7265039"/>
        <c:axId val="2057265455"/>
      </c:barChart>
      <c:catAx>
        <c:axId val="20572650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057265455"/>
        <c:crosses val="autoZero"/>
        <c:auto val="1"/>
        <c:lblAlgn val="ctr"/>
        <c:lblOffset val="100"/>
        <c:noMultiLvlLbl val="0"/>
      </c:catAx>
      <c:valAx>
        <c:axId val="20572654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tis.</a:t>
                </a:r>
              </a:p>
            </c:rich>
          </c:tx>
          <c:layout>
            <c:manualLayout>
              <c:xMode val="edge"/>
              <c:yMode val="edge"/>
              <c:x val="1.479298438105073E-2"/>
              <c:y val="4.049149098298196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0572650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919311548010463E-2"/>
          <c:y val="2.5315945324858022E-2"/>
          <c:w val="0.8555494279675232"/>
          <c:h val="7.8270441947671521E-2"/>
        </c:manualLayout>
      </c:layout>
      <c:overlay val="0"/>
      <c:spPr>
        <a:noFill/>
        <a:ln>
          <a:solidFill>
            <a:sysClr val="window" lastClr="FFFFFF">
              <a:lumMod val="75000"/>
            </a:sys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96791607673646E-2"/>
          <c:y val="2.4670410822303125E-2"/>
          <c:w val="0.92503208392326353"/>
          <c:h val="0.7336999896289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'3.3'!$C$1</c:f>
              <c:strCache>
                <c:ptCount val="1"/>
                <c:pt idx="0">
                  <c:v>počet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'3.3'!$B$2:$B$15</c:f>
              <c:strCache>
                <c:ptCount val="14"/>
                <c:pt idx="0">
                  <c:v>Praha</c:v>
                </c:pt>
                <c:pt idx="1">
                  <c:v>Moravskoslezský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Ústecký</c:v>
                </c:pt>
                <c:pt idx="5">
                  <c:v>Jihočeský</c:v>
                </c:pt>
                <c:pt idx="6">
                  <c:v>Olomoucký</c:v>
                </c:pt>
                <c:pt idx="7">
                  <c:v>Zlínský</c:v>
                </c:pt>
                <c:pt idx="8">
                  <c:v>Plzeňský</c:v>
                </c:pt>
                <c:pt idx="9">
                  <c:v>Královéhradecký</c:v>
                </c:pt>
                <c:pt idx="10">
                  <c:v>Pardubický</c:v>
                </c:pt>
                <c:pt idx="11">
                  <c:v>Vysočina</c:v>
                </c:pt>
                <c:pt idx="12">
                  <c:v>Liberecký</c:v>
                </c:pt>
                <c:pt idx="13">
                  <c:v>Karlovarský</c:v>
                </c:pt>
              </c:strCache>
            </c:strRef>
          </c:cat>
          <c:val>
            <c:numRef>
              <c:f>'3.3'!$C$2:$C$15</c:f>
              <c:numCache>
                <c:formatCode>#\ ##0_ ;\-#\ ##0\ </c:formatCode>
                <c:ptCount val="14"/>
                <c:pt idx="0">
                  <c:v>73984</c:v>
                </c:pt>
                <c:pt idx="1">
                  <c:v>50349</c:v>
                </c:pt>
                <c:pt idx="2">
                  <c:v>49863</c:v>
                </c:pt>
                <c:pt idx="3">
                  <c:v>45157</c:v>
                </c:pt>
                <c:pt idx="4">
                  <c:v>34888</c:v>
                </c:pt>
                <c:pt idx="5">
                  <c:v>29356</c:v>
                </c:pt>
                <c:pt idx="6">
                  <c:v>28853</c:v>
                </c:pt>
                <c:pt idx="7">
                  <c:v>25826</c:v>
                </c:pt>
                <c:pt idx="8">
                  <c:v>24965</c:v>
                </c:pt>
                <c:pt idx="9">
                  <c:v>24609</c:v>
                </c:pt>
                <c:pt idx="10">
                  <c:v>24057</c:v>
                </c:pt>
                <c:pt idx="11">
                  <c:v>22978</c:v>
                </c:pt>
                <c:pt idx="12">
                  <c:v>17328</c:v>
                </c:pt>
                <c:pt idx="13">
                  <c:v>10987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85-478A-8EC7-69089D79A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axId val="233277440"/>
        <c:axId val="160822912"/>
      </c:barChart>
      <c:lineChart>
        <c:grouping val="standard"/>
        <c:varyColors val="0"/>
        <c:ser>
          <c:idx val="1"/>
          <c:order val="1"/>
          <c:tx>
            <c:strRef>
              <c:f>'3.3'!$D$1</c:f>
              <c:strCache>
                <c:ptCount val="1"/>
                <c:pt idx="0">
                  <c:v>podíl z celkového počtu žáků středních škol v ČR</c:v>
                </c:pt>
              </c:strCache>
            </c:strRef>
          </c:tx>
          <c:marker>
            <c:symbol val="none"/>
          </c:marker>
          <c:dLbls>
            <c:dLbl>
              <c:idx val="13"/>
              <c:layout>
                <c:manualLayout>
                  <c:x val="-3.9395414689883008E-2"/>
                  <c:y val="3.6978748624163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A85-478A-8EC7-69089D79AB06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'3.3'!$B$2:$B$15</c:f>
              <c:strCache>
                <c:ptCount val="14"/>
                <c:pt idx="0">
                  <c:v>Praha</c:v>
                </c:pt>
                <c:pt idx="1">
                  <c:v>Moravskoslezský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Ústecký</c:v>
                </c:pt>
                <c:pt idx="5">
                  <c:v>Jihočeský</c:v>
                </c:pt>
                <c:pt idx="6">
                  <c:v>Olomoucký</c:v>
                </c:pt>
                <c:pt idx="7">
                  <c:v>Zlínský</c:v>
                </c:pt>
                <c:pt idx="8">
                  <c:v>Plzeňský</c:v>
                </c:pt>
                <c:pt idx="9">
                  <c:v>Královéhradecký</c:v>
                </c:pt>
                <c:pt idx="10">
                  <c:v>Pardubický</c:v>
                </c:pt>
                <c:pt idx="11">
                  <c:v>Vysočina</c:v>
                </c:pt>
                <c:pt idx="12">
                  <c:v>Liberecký</c:v>
                </c:pt>
                <c:pt idx="13">
                  <c:v>Karlovarský</c:v>
                </c:pt>
              </c:strCache>
            </c:strRef>
          </c:cat>
          <c:val>
            <c:numRef>
              <c:f>'3.3'!$D$2:$D$15</c:f>
              <c:numCache>
                <c:formatCode>0.0%</c:formatCode>
                <c:ptCount val="14"/>
                <c:pt idx="0">
                  <c:v>0.15972366148531952</c:v>
                </c:pt>
                <c:pt idx="1">
                  <c:v>0.10869818652849741</c:v>
                </c:pt>
                <c:pt idx="2">
                  <c:v>0.10764896373056995</c:v>
                </c:pt>
                <c:pt idx="3">
                  <c:v>9.748920552677029E-2</c:v>
                </c:pt>
                <c:pt idx="4">
                  <c:v>7.5319516407599305E-2</c:v>
                </c:pt>
                <c:pt idx="5">
                  <c:v>6.3376511226252152E-2</c:v>
                </c:pt>
                <c:pt idx="6">
                  <c:v>6.2290587219343697E-2</c:v>
                </c:pt>
                <c:pt idx="7">
                  <c:v>5.5755613126079448E-2</c:v>
                </c:pt>
                <c:pt idx="8">
                  <c:v>5.389680483592401E-2</c:v>
                </c:pt>
                <c:pt idx="9">
                  <c:v>5.3128238341968913E-2</c:v>
                </c:pt>
                <c:pt idx="10">
                  <c:v>5.1936528497409325E-2</c:v>
                </c:pt>
                <c:pt idx="11">
                  <c:v>4.960708117443869E-2</c:v>
                </c:pt>
                <c:pt idx="12">
                  <c:v>3.7409326424870465E-2</c:v>
                </c:pt>
                <c:pt idx="13">
                  <c:v>2.3719775474956822E-2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A85-478A-8EC7-69089D79A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8685167"/>
        <c:axId val="638689327"/>
      </c:lineChart>
      <c:catAx>
        <c:axId val="233277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60822912"/>
        <c:crosses val="autoZero"/>
        <c:auto val="1"/>
        <c:lblAlgn val="ctr"/>
        <c:lblOffset val="100"/>
        <c:noMultiLvlLbl val="0"/>
      </c:catAx>
      <c:valAx>
        <c:axId val="160822912"/>
        <c:scaling>
          <c:orientation val="minMax"/>
          <c:max val="80000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33277440"/>
        <c:crosses val="autoZero"/>
        <c:crossBetween val="between"/>
      </c:valAx>
      <c:valAx>
        <c:axId val="638689327"/>
        <c:scaling>
          <c:orientation val="minMax"/>
          <c:max val="0.30000000000000004"/>
        </c:scaling>
        <c:delete val="0"/>
        <c:axPos val="r"/>
        <c:numFmt formatCode="0\ %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638685167"/>
        <c:crosses val="max"/>
        <c:crossBetween val="between"/>
      </c:valAx>
      <c:catAx>
        <c:axId val="63868516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38689327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sz="800" i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1"/>
        <c:txPr>
          <a:bodyPr/>
          <a:lstStyle/>
          <a:p>
            <a:pPr>
              <a:defRPr sz="800" i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0.6175914288316483"/>
          <c:y val="4.8632218844984802E-2"/>
          <c:w val="0.33474353560694503"/>
          <c:h val="0.17460147268825441"/>
        </c:manualLayout>
      </c:layout>
      <c:overlay val="0"/>
      <c:txPr>
        <a:bodyPr/>
        <a:lstStyle/>
        <a:p>
          <a:pPr>
            <a:defRPr sz="800" i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715441819772528E-2"/>
          <c:y val="7.3041951723247706E-2"/>
          <c:w val="0.4560303731133778"/>
          <c:h val="0.880661933651736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13314D"/>
              </a:solidFill>
            </c:spPr>
            <c:extLst>
              <c:ext xmlns:c16="http://schemas.microsoft.com/office/drawing/2014/chart" uri="{C3380CC4-5D6E-409C-BE32-E72D297353CC}">
                <c16:uniqueId val="{00000001-7B8A-4CF8-8259-E3CBB5B303F3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7B8A-4CF8-8259-E3CBB5B303F3}"/>
              </c:ext>
            </c:extLst>
          </c:dPt>
          <c:dPt>
            <c:idx val="2"/>
            <c:bubble3D val="0"/>
            <c:spPr>
              <a:solidFill>
                <a:srgbClr val="98C0E4"/>
              </a:solidFill>
            </c:spPr>
            <c:extLst>
              <c:ext xmlns:c16="http://schemas.microsoft.com/office/drawing/2014/chart" uri="{C3380CC4-5D6E-409C-BE32-E72D297353CC}">
                <c16:uniqueId val="{00000005-7B8A-4CF8-8259-E3CBB5B303F3}"/>
              </c:ext>
            </c:extLst>
          </c:dPt>
          <c:dPt>
            <c:idx val="3"/>
            <c:bubble3D val="0"/>
            <c:spPr>
              <a:solidFill>
                <a:srgbClr val="276195"/>
              </a:solidFill>
            </c:spPr>
            <c:extLst>
              <c:ext xmlns:c16="http://schemas.microsoft.com/office/drawing/2014/chart" uri="{C3380CC4-5D6E-409C-BE32-E72D297353CC}">
                <c16:uniqueId val="{00000007-7B8A-4CF8-8259-E3CBB5B303F3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9-7B8A-4CF8-8259-E3CBB5B303F3}"/>
              </c:ext>
            </c:extLst>
          </c:dPt>
          <c:dLbls>
            <c:dLbl>
              <c:idx val="0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 b="1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B8A-4CF8-8259-E3CBB5B303F3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'3.4'!$B$16:$B$20</c:f>
              <c:strCache>
                <c:ptCount val="5"/>
                <c:pt idx="0">
                  <c:v>střední vzdělávání s maturitní zkouškou odborné (214 994 žáků, z toho dívky 51,7 %)</c:v>
                </c:pt>
                <c:pt idx="1">
                  <c:v>gymnázia 
(135 929 žáků, z toho dívky 56,6 %)</c:v>
                </c:pt>
                <c:pt idx="2">
                  <c:v>střední vzdělávání s výučním listem 
(95 054 žáků, z toho dívky 35 %)</c:v>
                </c:pt>
                <c:pt idx="3">
                  <c:v>nástavbové studium 
(14 461 žáků, z toho dívky 44,5 %)</c:v>
                </c:pt>
                <c:pt idx="4">
                  <c:v>střední vzdělávání bez výučního listu a bez maturitní zkoušky 
(2 762 žáků, z toho dívky 43,9 %)</c:v>
                </c:pt>
              </c:strCache>
            </c:strRef>
          </c:cat>
          <c:val>
            <c:numRef>
              <c:f>'3.4'!$C$16:$C$20</c:f>
              <c:numCache>
                <c:formatCode>0.0%</c:formatCode>
                <c:ptCount val="5"/>
                <c:pt idx="0">
                  <c:v>0.46414939550949913</c:v>
                </c:pt>
                <c:pt idx="1">
                  <c:v>0.29345639032815196</c:v>
                </c:pt>
                <c:pt idx="2">
                  <c:v>0.20521157167530224</c:v>
                </c:pt>
                <c:pt idx="3">
                  <c:v>3.1219775474956822E-2</c:v>
                </c:pt>
                <c:pt idx="4">
                  <c:v>5.9628670120898102E-3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B8A-4CF8-8259-E3CBB5B303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134045453620621"/>
          <c:y val="2.7190529755209164E-2"/>
          <c:w val="0.39565142729251868"/>
          <c:h val="0.9224085649087678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515796636531548E-2"/>
          <c:y val="3.4756293047261709E-2"/>
          <c:w val="0.88637751772741113"/>
          <c:h val="0.73353555637760048"/>
        </c:manualLayout>
      </c:layout>
      <c:lineChart>
        <c:grouping val="standard"/>
        <c:varyColors val="0"/>
        <c:ser>
          <c:idx val="0"/>
          <c:order val="0"/>
          <c:tx>
            <c:strRef>
              <c:f>'3.5'!$B$28</c:f>
              <c:strCache>
                <c:ptCount val="1"/>
                <c:pt idx="0">
                  <c:v>bez výuč. listu i matur. zkoušky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'3.5'!$A$29:$A$39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'3.5'!$B$29:$B$39</c:f>
              <c:numCache>
                <c:formatCode>#\ ##0.0_ ;\-#\ ##0.0\ </c:formatCode>
                <c:ptCount val="11"/>
                <c:pt idx="0">
                  <c:v>1.9650000000000001</c:v>
                </c:pt>
                <c:pt idx="1">
                  <c:v>1.9650000000000001</c:v>
                </c:pt>
                <c:pt idx="2">
                  <c:v>2.04</c:v>
                </c:pt>
                <c:pt idx="3">
                  <c:v>2.2010000000000001</c:v>
                </c:pt>
                <c:pt idx="4">
                  <c:v>2.4039999999999999</c:v>
                </c:pt>
                <c:pt idx="5">
                  <c:v>2.6120000000000001</c:v>
                </c:pt>
                <c:pt idx="6">
                  <c:v>2.7229999999999999</c:v>
                </c:pt>
                <c:pt idx="7">
                  <c:v>2.7189999999999999</c:v>
                </c:pt>
                <c:pt idx="8">
                  <c:v>2.72</c:v>
                </c:pt>
                <c:pt idx="9">
                  <c:v>2.7629999999999999</c:v>
                </c:pt>
                <c:pt idx="10">
                  <c:v>2.762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7E-4BFF-8290-87B304C4FAD9}"/>
            </c:ext>
          </c:extLst>
        </c:ser>
        <c:ser>
          <c:idx val="1"/>
          <c:order val="1"/>
          <c:tx>
            <c:strRef>
              <c:f>'3.5'!$C$28</c:f>
              <c:strCache>
                <c:ptCount val="1"/>
                <c:pt idx="0">
                  <c:v>s výučním listem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'3.5'!$A$29:$A$39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'3.5'!$C$29:$C$39</c:f>
              <c:numCache>
                <c:formatCode>#\ ##0.0_ ;\-#\ ##0.0\ </c:formatCode>
                <c:ptCount val="11"/>
                <c:pt idx="0">
                  <c:v>100.55800000000001</c:v>
                </c:pt>
                <c:pt idx="1">
                  <c:v>97.491</c:v>
                </c:pt>
                <c:pt idx="2">
                  <c:v>94.759</c:v>
                </c:pt>
                <c:pt idx="3">
                  <c:v>91.840999999999994</c:v>
                </c:pt>
                <c:pt idx="4">
                  <c:v>89.466999999999999</c:v>
                </c:pt>
                <c:pt idx="5">
                  <c:v>87.436999999999998</c:v>
                </c:pt>
                <c:pt idx="6">
                  <c:v>86.59</c:v>
                </c:pt>
                <c:pt idx="7">
                  <c:v>88.783000000000001</c:v>
                </c:pt>
                <c:pt idx="8">
                  <c:v>90.641000000000005</c:v>
                </c:pt>
                <c:pt idx="9">
                  <c:v>91.256</c:v>
                </c:pt>
                <c:pt idx="10">
                  <c:v>95.054000000000002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7E-4BFF-8290-87B304C4FAD9}"/>
            </c:ext>
          </c:extLst>
        </c:ser>
        <c:ser>
          <c:idx val="2"/>
          <c:order val="2"/>
          <c:tx>
            <c:strRef>
              <c:f>'3.5'!$D$28</c:f>
              <c:strCache>
                <c:ptCount val="1"/>
                <c:pt idx="0">
                  <c:v>s maturitní zkouškou odborné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'3.5'!$A$29:$A$39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'3.5'!$D$29:$D$39</c:f>
              <c:numCache>
                <c:formatCode>#\ ##0.0_ ;\-#\ ##0.0\ </c:formatCode>
                <c:ptCount val="11"/>
                <c:pt idx="0">
                  <c:v>207.05199999999999</c:v>
                </c:pt>
                <c:pt idx="1">
                  <c:v>194.32599999999999</c:v>
                </c:pt>
                <c:pt idx="2">
                  <c:v>188.31899999999999</c:v>
                </c:pt>
                <c:pt idx="3">
                  <c:v>184.583</c:v>
                </c:pt>
                <c:pt idx="4">
                  <c:v>185.006</c:v>
                </c:pt>
                <c:pt idx="5">
                  <c:v>185.446</c:v>
                </c:pt>
                <c:pt idx="6">
                  <c:v>186.565</c:v>
                </c:pt>
                <c:pt idx="7">
                  <c:v>188.09100000000001</c:v>
                </c:pt>
                <c:pt idx="8">
                  <c:v>194.208</c:v>
                </c:pt>
                <c:pt idx="9">
                  <c:v>203.96199999999999</c:v>
                </c:pt>
                <c:pt idx="10">
                  <c:v>214.994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7E-4BFF-8290-87B304C4FAD9}"/>
            </c:ext>
          </c:extLst>
        </c:ser>
        <c:ser>
          <c:idx val="3"/>
          <c:order val="3"/>
          <c:tx>
            <c:strRef>
              <c:f>'3.5'!$E$28</c:f>
              <c:strCache>
                <c:ptCount val="1"/>
                <c:pt idx="0">
                  <c:v>gymnázia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'3.5'!$A$29:$A$39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'3.5'!$E$29:$E$39</c:f>
              <c:numCache>
                <c:formatCode>#\ ##0.0_ ;\-#\ ##0.0\ </c:formatCode>
                <c:ptCount val="11"/>
                <c:pt idx="0">
                  <c:v>131.01300000000001</c:v>
                </c:pt>
                <c:pt idx="1">
                  <c:v>128.52699999999999</c:v>
                </c:pt>
                <c:pt idx="2">
                  <c:v>127.666</c:v>
                </c:pt>
                <c:pt idx="3">
                  <c:v>128.04499999999999</c:v>
                </c:pt>
                <c:pt idx="4">
                  <c:v>128.994</c:v>
                </c:pt>
                <c:pt idx="5">
                  <c:v>129.554</c:v>
                </c:pt>
                <c:pt idx="6">
                  <c:v>130.13300000000001</c:v>
                </c:pt>
                <c:pt idx="7">
                  <c:v>130.72499999999999</c:v>
                </c:pt>
                <c:pt idx="8">
                  <c:v>131.79900000000001</c:v>
                </c:pt>
                <c:pt idx="9">
                  <c:v>133.321</c:v>
                </c:pt>
                <c:pt idx="10">
                  <c:v>135.929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47E-4BFF-8290-87B304C4FAD9}"/>
            </c:ext>
          </c:extLst>
        </c:ser>
        <c:ser>
          <c:idx val="4"/>
          <c:order val="4"/>
          <c:tx>
            <c:strRef>
              <c:f>'3.5'!$F$28</c:f>
              <c:strCache>
                <c:ptCount val="1"/>
                <c:pt idx="0">
                  <c:v>nástavbové studium</c:v>
                </c:pt>
              </c:strCache>
            </c:strRef>
          </c:tx>
          <c:spPr>
            <a:ln>
              <a:solidFill>
                <a:schemeClr val="accent4">
                  <a:lumMod val="50000"/>
                </a:schemeClr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'3.5'!$A$29:$A$39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'3.5'!$F$29:$F$39</c:f>
              <c:numCache>
                <c:formatCode>#\ ##0.0_ ;\-#\ ##0.0\ </c:formatCode>
                <c:ptCount val="11"/>
                <c:pt idx="0">
                  <c:v>30.166</c:v>
                </c:pt>
                <c:pt idx="1">
                  <c:v>26.483000000000001</c:v>
                </c:pt>
                <c:pt idx="2">
                  <c:v>22.757999999999999</c:v>
                </c:pt>
                <c:pt idx="3">
                  <c:v>20.437000000000001</c:v>
                </c:pt>
                <c:pt idx="4">
                  <c:v>18.978000000000002</c:v>
                </c:pt>
                <c:pt idx="5">
                  <c:v>16.486000000000001</c:v>
                </c:pt>
                <c:pt idx="6">
                  <c:v>14.803000000000001</c:v>
                </c:pt>
                <c:pt idx="7">
                  <c:v>13.52</c:v>
                </c:pt>
                <c:pt idx="8">
                  <c:v>13.538</c:v>
                </c:pt>
                <c:pt idx="9">
                  <c:v>14.952</c:v>
                </c:pt>
                <c:pt idx="10">
                  <c:v>14.461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47E-4BFF-8290-87B304C4FA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759360"/>
        <c:axId val="191709760"/>
      </c:lineChart>
      <c:catAx>
        <c:axId val="191759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709760"/>
        <c:crosses val="autoZero"/>
        <c:auto val="1"/>
        <c:lblAlgn val="ctr"/>
        <c:lblOffset val="100"/>
        <c:noMultiLvlLbl val="0"/>
      </c:catAx>
      <c:valAx>
        <c:axId val="191709760"/>
        <c:scaling>
          <c:orientation val="minMax"/>
          <c:max val="225"/>
        </c:scaling>
        <c:delete val="0"/>
        <c:axPos val="l"/>
        <c:majorGridlines>
          <c:spPr>
            <a:ln>
              <a:noFill/>
            </a:ln>
          </c:spPr>
        </c:majorGridlines>
        <c:numFmt formatCode="#\ ##0&quot; &quot;" sourceLinked="0"/>
        <c:majorTickMark val="out"/>
        <c:minorTickMark val="none"/>
        <c:tickLblPos val="nextTo"/>
        <c:crossAx val="191759360"/>
        <c:crosses val="autoZero"/>
        <c:crossBetween val="between"/>
        <c:majorUnit val="25"/>
      </c:valAx>
    </c:plotArea>
    <c:legend>
      <c:legendPos val="b"/>
      <c:layout>
        <c:manualLayout>
          <c:xMode val="edge"/>
          <c:yMode val="edge"/>
          <c:x val="1.8156313673075571E-2"/>
          <c:y val="0.88186081121303139"/>
          <c:w val="0.98184368632692443"/>
          <c:h val="0.10439348431961468"/>
        </c:manualLayout>
      </c:layout>
      <c:overlay val="0"/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38953601874149E-2"/>
          <c:y val="4.7196058039914821E-2"/>
          <c:w val="0.85882648966399866"/>
          <c:h val="0.81227590195293387"/>
        </c:manualLayout>
      </c:layout>
      <c:lineChart>
        <c:grouping val="standard"/>
        <c:varyColors val="0"/>
        <c:ser>
          <c:idx val="0"/>
          <c:order val="0"/>
          <c:tx>
            <c:strRef>
              <c:f>'3.6'!$G$1</c:f>
              <c:strCache>
                <c:ptCount val="1"/>
                <c:pt idx="0">
                  <c:v>celkem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'3.6'!$F$2:$F$12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'3.6'!$G$2:$G$12</c:f>
              <c:numCache>
                <c:formatCode>0.0%</c:formatCode>
                <c:ptCount val="11"/>
                <c:pt idx="0">
                  <c:v>0.27830459220739495</c:v>
                </c:pt>
                <c:pt idx="1">
                  <c:v>0.28638433840175403</c:v>
                </c:pt>
                <c:pt idx="2">
                  <c:v>0.2931198368928829</c:v>
                </c:pt>
                <c:pt idx="3">
                  <c:v>0.29979606983730073</c:v>
                </c:pt>
                <c:pt idx="4">
                  <c:v>0.30362316964380287</c:v>
                </c:pt>
                <c:pt idx="5">
                  <c:v>0.30733865515319014</c:v>
                </c:pt>
                <c:pt idx="6">
                  <c:v>0.30924113741462972</c:v>
                </c:pt>
                <c:pt idx="7">
                  <c:v>0.3084315233650593</c:v>
                </c:pt>
                <c:pt idx="8">
                  <c:v>0.30445177475017671</c:v>
                </c:pt>
                <c:pt idx="9">
                  <c:v>0.29875586549364264</c:v>
                </c:pt>
                <c:pt idx="10">
                  <c:v>0.29345639032815196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7A-42D0-865A-7D21FD7FCA4C}"/>
            </c:ext>
          </c:extLst>
        </c:ser>
        <c:ser>
          <c:idx val="1"/>
          <c:order val="1"/>
          <c:tx>
            <c:strRef>
              <c:f>'3.6'!$H$1</c:f>
              <c:strCache>
                <c:ptCount val="1"/>
                <c:pt idx="0">
                  <c:v>dívky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'3.6'!$F$2:$F$12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'3.6'!$H$2:$H$12</c:f>
              <c:numCache>
                <c:formatCode>0.0%</c:formatCode>
                <c:ptCount val="11"/>
                <c:pt idx="0">
                  <c:v>0.32313562351157793</c:v>
                </c:pt>
                <c:pt idx="1">
                  <c:v>0.33205180455554045</c:v>
                </c:pt>
                <c:pt idx="2">
                  <c:v>0.33848400840977172</c:v>
                </c:pt>
                <c:pt idx="3">
                  <c:v>0.346674570243035</c:v>
                </c:pt>
                <c:pt idx="4">
                  <c:v>0.35208842161502063</c:v>
                </c:pt>
                <c:pt idx="5">
                  <c:v>0.35609472404196929</c:v>
                </c:pt>
                <c:pt idx="6">
                  <c:v>0.35769629586957774</c:v>
                </c:pt>
                <c:pt idx="7">
                  <c:v>0.3562988842126335</c:v>
                </c:pt>
                <c:pt idx="8">
                  <c:v>0.35053656171625164</c:v>
                </c:pt>
                <c:pt idx="9">
                  <c:v>0.34303707493310759</c:v>
                </c:pt>
                <c:pt idx="10">
                  <c:v>0.33586480210897535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7A-42D0-865A-7D21FD7FCA4C}"/>
            </c:ext>
          </c:extLst>
        </c:ser>
        <c:ser>
          <c:idx val="2"/>
          <c:order val="2"/>
          <c:tx>
            <c:strRef>
              <c:f>'3.6'!$I$1</c:f>
              <c:strCache>
                <c:ptCount val="1"/>
                <c:pt idx="0">
                  <c:v>chlapci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chemeClr val="accent1">
                  <a:lumMod val="50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'3.6'!$F$2:$F$12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'3.6'!$I$2:$I$12</c:f>
              <c:numCache>
                <c:formatCode>0.0%</c:formatCode>
                <c:ptCount val="11"/>
                <c:pt idx="0">
                  <c:v>0.23466431910121779</c:v>
                </c:pt>
                <c:pt idx="1">
                  <c:v>0.24214562076135496</c:v>
                </c:pt>
                <c:pt idx="2">
                  <c:v>0.24890049602364953</c:v>
                </c:pt>
                <c:pt idx="3">
                  <c:v>0.25407895223648674</c:v>
                </c:pt>
                <c:pt idx="4">
                  <c:v>0.25641561772536559</c:v>
                </c:pt>
                <c:pt idx="5">
                  <c:v>0.25982068409859566</c:v>
                </c:pt>
                <c:pt idx="6">
                  <c:v>0.26174319783911981</c:v>
                </c:pt>
                <c:pt idx="7">
                  <c:v>0.26150884684928821</c:v>
                </c:pt>
                <c:pt idx="8">
                  <c:v>0.25918531814352175</c:v>
                </c:pt>
                <c:pt idx="9">
                  <c:v>0.25535879881265611</c:v>
                </c:pt>
                <c:pt idx="10">
                  <c:v>0.25194801865996824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7A-42D0-865A-7D21FD7FC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515648"/>
        <c:axId val="233830592"/>
      </c:lineChart>
      <c:catAx>
        <c:axId val="19151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233830592"/>
        <c:crosses val="autoZero"/>
        <c:auto val="1"/>
        <c:lblAlgn val="ctr"/>
        <c:lblOffset val="100"/>
        <c:noMultiLvlLbl val="0"/>
      </c:catAx>
      <c:valAx>
        <c:axId val="233830592"/>
        <c:scaling>
          <c:orientation val="minMax"/>
          <c:max val="0.4"/>
          <c:min val="0.15000000000000002"/>
        </c:scaling>
        <c:delete val="0"/>
        <c:axPos val="l"/>
        <c:majorGridlines>
          <c:spPr>
            <a:ln w="9525" cap="flat" cmpd="sng" algn="ctr">
              <a:noFill/>
              <a:prstDash val="sysDot"/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65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191515648"/>
        <c:crosses val="autoZero"/>
        <c:crossBetween val="between"/>
        <c:majorUnit val="5.000000000000001E-2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ln>
      <a:solidFill>
        <a:schemeClr val="bg1">
          <a:lumMod val="85000"/>
        </a:schemeClr>
      </a:solidFill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152900005146413E-2"/>
          <c:y val="2.0063094719023317E-2"/>
          <c:w val="0.88808893006021306"/>
          <c:h val="0.8402596788565402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'3.7'!$B$16</c:f>
              <c:strCache>
                <c:ptCount val="1"/>
                <c:pt idx="0">
                  <c:v>pouze se závěrečnou zkouškou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'3.7'!$A$17:$A$27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'3.7'!$B$17:$B$27</c:f>
              <c:numCache>
                <c:formatCode>0.0%</c:formatCode>
                <c:ptCount val="11"/>
                <c:pt idx="0">
                  <c:v>4.1741546540231206E-3</c:v>
                </c:pt>
                <c:pt idx="1">
                  <c:v>4.3784202926968399E-3</c:v>
                </c:pt>
                <c:pt idx="2">
                  <c:v>4.6838192413131228E-3</c:v>
                </c:pt>
                <c:pt idx="3">
                  <c:v>5.1532754087383259E-3</c:v>
                </c:pt>
                <c:pt idx="4">
                  <c:v>5.6584810132541208E-3</c:v>
                </c:pt>
                <c:pt idx="5">
                  <c:v>6.1964012478204654E-3</c:v>
                </c:pt>
                <c:pt idx="6">
                  <c:v>6.4707923215482372E-3</c:v>
                </c:pt>
                <c:pt idx="7">
                  <c:v>6.4151869346306843E-3</c:v>
                </c:pt>
                <c:pt idx="8">
                  <c:v>6.2831191990870994E-3</c:v>
                </c:pt>
                <c:pt idx="9">
                  <c:v>6.1915411402474821E-3</c:v>
                </c:pt>
                <c:pt idx="10">
                  <c:v>5.9628670120890001E-3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F-4E75-838F-659B129B5C18}"/>
            </c:ext>
          </c:extLst>
        </c:ser>
        <c:ser>
          <c:idx val="1"/>
          <c:order val="1"/>
          <c:tx>
            <c:strRef>
              <c:f>'3.7'!$C$16</c:f>
              <c:strCache>
                <c:ptCount val="1"/>
                <c:pt idx="0">
                  <c:v>s výučním listem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'3.7'!$A$17:$A$27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'3.7'!$C$17:$C$27</c:f>
              <c:numCache>
                <c:formatCode>0.0%</c:formatCode>
                <c:ptCount val="11"/>
                <c:pt idx="0">
                  <c:v>0.2136105056993674</c:v>
                </c:pt>
                <c:pt idx="1">
                  <c:v>0.21722980801796823</c:v>
                </c:pt>
                <c:pt idx="2">
                  <c:v>0.2175656997488187</c:v>
                </c:pt>
                <c:pt idx="3">
                  <c:v>0.21503042563104796</c:v>
                </c:pt>
                <c:pt idx="4">
                  <c:v>0.210585407992016</c:v>
                </c:pt>
                <c:pt idx="5">
                  <c:v>0.20742524345546634</c:v>
                </c:pt>
                <c:pt idx="6">
                  <c:v>0.2057678689397216</c:v>
                </c:pt>
                <c:pt idx="7">
                  <c:v>0.20947390276473557</c:v>
                </c:pt>
                <c:pt idx="8">
                  <c:v>0.20937801739869624</c:v>
                </c:pt>
                <c:pt idx="9">
                  <c:v>0.20449340510113076</c:v>
                </c:pt>
                <c:pt idx="10">
                  <c:v>0.20521157167530224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8F-4E75-838F-659B129B5C18}"/>
            </c:ext>
          </c:extLst>
        </c:ser>
        <c:ser>
          <c:idx val="2"/>
          <c:order val="2"/>
          <c:tx>
            <c:strRef>
              <c:f>'3.7'!$D$16</c:f>
              <c:strCache>
                <c:ptCount val="1"/>
                <c:pt idx="0">
                  <c:v>s maturitní zkouškou odborné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'3.7'!$A$17:$A$27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'3.7'!$D$17:$D$27</c:f>
              <c:numCache>
                <c:formatCode>0.0%</c:formatCode>
                <c:ptCount val="11"/>
                <c:pt idx="0">
                  <c:v>0.4398305696818296</c:v>
                </c:pt>
                <c:pt idx="1">
                  <c:v>0.43299791440132623</c:v>
                </c:pt>
                <c:pt idx="2">
                  <c:v>0.43237850769845387</c:v>
                </c:pt>
                <c:pt idx="3">
                  <c:v>0.43217039289920323</c:v>
                </c:pt>
                <c:pt idx="4">
                  <c:v>0.43546295271967217</c:v>
                </c:pt>
                <c:pt idx="5">
                  <c:v>0.43993025490172821</c:v>
                </c:pt>
                <c:pt idx="6">
                  <c:v>0.44334313972443884</c:v>
                </c:pt>
                <c:pt idx="7">
                  <c:v>0.44378040666481061</c:v>
                </c:pt>
                <c:pt idx="8">
                  <c:v>0.44861471081481891</c:v>
                </c:pt>
                <c:pt idx="9">
                  <c:v>0.45705360624218494</c:v>
                </c:pt>
                <c:pt idx="10">
                  <c:v>0.46414939550949913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8F-4E75-838F-659B129B5C18}"/>
            </c:ext>
          </c:extLst>
        </c:ser>
        <c:ser>
          <c:idx val="3"/>
          <c:order val="3"/>
          <c:tx>
            <c:strRef>
              <c:f>'3.7'!$E$16</c:f>
              <c:strCache>
                <c:ptCount val="1"/>
                <c:pt idx="0">
                  <c:v>gymnázia</c:v>
                </c:pt>
              </c:strCache>
            </c:strRef>
          </c:tx>
          <c:spPr>
            <a:solidFill>
              <a:srgbClr val="276195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'3.7'!$A$17:$A$27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'3.7'!$E$17:$E$27</c:f>
              <c:numCache>
                <c:formatCode>0.0%</c:formatCode>
                <c:ptCount val="11"/>
                <c:pt idx="0">
                  <c:v>0.27830459220739495</c:v>
                </c:pt>
                <c:pt idx="1">
                  <c:v>0.28638433840175403</c:v>
                </c:pt>
                <c:pt idx="2">
                  <c:v>0.2931198368928829</c:v>
                </c:pt>
                <c:pt idx="3">
                  <c:v>0.29979606983730073</c:v>
                </c:pt>
                <c:pt idx="4">
                  <c:v>0.30362316964380287</c:v>
                </c:pt>
                <c:pt idx="5">
                  <c:v>0.30733865515319014</c:v>
                </c:pt>
                <c:pt idx="6">
                  <c:v>0.30924113741462972</c:v>
                </c:pt>
                <c:pt idx="7">
                  <c:v>0.3084315233650593</c:v>
                </c:pt>
                <c:pt idx="8">
                  <c:v>0.30445177475017671</c:v>
                </c:pt>
                <c:pt idx="9">
                  <c:v>0.29875586549364264</c:v>
                </c:pt>
                <c:pt idx="10">
                  <c:v>0.29345639032815196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98F-4E75-838F-659B129B5C18}"/>
            </c:ext>
          </c:extLst>
        </c:ser>
        <c:ser>
          <c:idx val="4"/>
          <c:order val="4"/>
          <c:tx>
            <c:strRef>
              <c:f>'3.7'!$F$16</c:f>
              <c:strCache>
                <c:ptCount val="1"/>
                <c:pt idx="0">
                  <c:v>nástavbové studium</c:v>
                </c:pt>
              </c:strCache>
            </c:strRef>
          </c:tx>
          <c:spPr>
            <a:solidFill>
              <a:srgbClr val="FFD347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'3.7'!$A$17:$A$27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'3.7'!$F$17:$F$27</c:f>
              <c:numCache>
                <c:formatCode>0.0%</c:formatCode>
                <c:ptCount val="11"/>
                <c:pt idx="0">
                  <c:v>6.4080177757384962E-2</c:v>
                </c:pt>
                <c:pt idx="1">
                  <c:v>5.9009518886254657E-2</c:v>
                </c:pt>
                <c:pt idx="2">
                  <c:v>5.2252136418531395E-2</c:v>
                </c:pt>
                <c:pt idx="3">
                  <c:v>4.7849836223709752E-2</c:v>
                </c:pt>
                <c:pt idx="4">
                  <c:v>4.4669988631254869E-2</c:v>
                </c:pt>
                <c:pt idx="5">
                  <c:v>3.9109445241794868E-2</c:v>
                </c:pt>
                <c:pt idx="6">
                  <c:v>3.5177061599661608E-2</c:v>
                </c:pt>
                <c:pt idx="7">
                  <c:v>3.1898980270763828E-2</c:v>
                </c:pt>
                <c:pt idx="8">
                  <c:v>3.1272377837221012E-2</c:v>
                </c:pt>
                <c:pt idx="9">
                  <c:v>3.3505582022794196E-2</c:v>
                </c:pt>
                <c:pt idx="10">
                  <c:v>3.1219775474956822E-2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98F-4E75-838F-659B129B5C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overlap val="100"/>
        <c:axId val="192292864"/>
        <c:axId val="191712640"/>
      </c:barChart>
      <c:catAx>
        <c:axId val="19229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712640"/>
        <c:crosses val="autoZero"/>
        <c:auto val="1"/>
        <c:lblAlgn val="ctr"/>
        <c:lblOffset val="100"/>
        <c:noMultiLvlLbl val="0"/>
      </c:catAx>
      <c:valAx>
        <c:axId val="1917126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\ %" sourceLinked="0"/>
        <c:majorTickMark val="out"/>
        <c:minorTickMark val="none"/>
        <c:tickLblPos val="nextTo"/>
        <c:crossAx val="192292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8518915591577108"/>
          <c:w val="1"/>
          <c:h val="0.11481081081081081"/>
        </c:manualLayout>
      </c:layout>
      <c:overlay val="0"/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89609919449724"/>
          <c:y val="1.2549019607843137E-2"/>
          <c:w val="0.80479039649824335"/>
          <c:h val="0.8789546726506514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'3.8'!$B$18</c:f>
              <c:strCache>
                <c:ptCount val="1"/>
                <c:pt idx="0">
                  <c:v>pouze se závěrečnou zkouškou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087214803478718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FDB-4F89-994C-8B243F7013D6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'3.8'!$A$19:$A$34</c:f>
              <c:strCache>
                <c:ptCount val="16"/>
                <c:pt idx="0">
                  <c:v>Praha</c:v>
                </c:pt>
                <c:pt idx="1">
                  <c:v>Zlínský</c:v>
                </c:pt>
                <c:pt idx="2">
                  <c:v>Jihomoravský</c:v>
                </c:pt>
                <c:pt idx="3">
                  <c:v>Moravskoslezský</c:v>
                </c:pt>
                <c:pt idx="4">
                  <c:v>Plzeňský</c:v>
                </c:pt>
                <c:pt idx="5">
                  <c:v>Královéhradecký</c:v>
                </c:pt>
                <c:pt idx="6">
                  <c:v>Středočeský</c:v>
                </c:pt>
                <c:pt idx="7">
                  <c:v>Pardubický</c:v>
                </c:pt>
                <c:pt idx="8">
                  <c:v>Olomoucký</c:v>
                </c:pt>
                <c:pt idx="9">
                  <c:v>Jihočeský</c:v>
                </c:pt>
                <c:pt idx="10">
                  <c:v>Vysočina</c:v>
                </c:pt>
                <c:pt idx="11">
                  <c:v>Liberecký</c:v>
                </c:pt>
                <c:pt idx="12">
                  <c:v>Karlovarský</c:v>
                </c:pt>
                <c:pt idx="13">
                  <c:v>Ústecký</c:v>
                </c:pt>
                <c:pt idx="15">
                  <c:v>ČR</c:v>
                </c:pt>
              </c:strCache>
            </c:strRef>
          </c:cat>
          <c:val>
            <c:numRef>
              <c:f>'3.8'!$B$19:$B$34</c:f>
              <c:numCache>
                <c:formatCode>0.0%</c:formatCode>
                <c:ptCount val="16"/>
                <c:pt idx="0">
                  <c:v>4.9470155709342564E-3</c:v>
                </c:pt>
                <c:pt idx="1">
                  <c:v>2.8653295128939827E-3</c:v>
                </c:pt>
                <c:pt idx="2">
                  <c:v>4.3719792230712149E-3</c:v>
                </c:pt>
                <c:pt idx="3">
                  <c:v>5.6009056783650124E-3</c:v>
                </c:pt>
                <c:pt idx="4">
                  <c:v>2.9641498097336271E-3</c:v>
                </c:pt>
                <c:pt idx="5">
                  <c:v>7.2737616319232803E-3</c:v>
                </c:pt>
                <c:pt idx="6">
                  <c:v>9.8102176849657868E-3</c:v>
                </c:pt>
                <c:pt idx="7">
                  <c:v>5.1544249075113268E-3</c:v>
                </c:pt>
                <c:pt idx="8">
                  <c:v>1.1506602433022563E-2</c:v>
                </c:pt>
                <c:pt idx="9">
                  <c:v>2.7592315029295543E-3</c:v>
                </c:pt>
                <c:pt idx="10">
                  <c:v>7.1372617286099751E-3</c:v>
                </c:pt>
                <c:pt idx="11">
                  <c:v>3.0009233610341643E-3</c:v>
                </c:pt>
                <c:pt idx="12">
                  <c:v>8.9196322927095652E-3</c:v>
                </c:pt>
                <c:pt idx="13">
                  <c:v>7.882366429717954E-3</c:v>
                </c:pt>
                <c:pt idx="15">
                  <c:v>5.9628670120898102E-3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DB-4F89-994C-8B243F7013D6}"/>
            </c:ext>
          </c:extLst>
        </c:ser>
        <c:ser>
          <c:idx val="1"/>
          <c:order val="1"/>
          <c:tx>
            <c:strRef>
              <c:f>'3.8'!$C$18</c:f>
              <c:strCache>
                <c:ptCount val="1"/>
                <c:pt idx="0">
                  <c:v>s výučním listem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189132706373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FDB-4F89-994C-8B243F7013D6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'3.8'!$A$19:$A$34</c:f>
              <c:strCache>
                <c:ptCount val="16"/>
                <c:pt idx="0">
                  <c:v>Praha</c:v>
                </c:pt>
                <c:pt idx="1">
                  <c:v>Zlínský</c:v>
                </c:pt>
                <c:pt idx="2">
                  <c:v>Jihomoravský</c:v>
                </c:pt>
                <c:pt idx="3">
                  <c:v>Moravskoslezský</c:v>
                </c:pt>
                <c:pt idx="4">
                  <c:v>Plzeňský</c:v>
                </c:pt>
                <c:pt idx="5">
                  <c:v>Královéhradecký</c:v>
                </c:pt>
                <c:pt idx="6">
                  <c:v>Středočeský</c:v>
                </c:pt>
                <c:pt idx="7">
                  <c:v>Pardubický</c:v>
                </c:pt>
                <c:pt idx="8">
                  <c:v>Olomoucký</c:v>
                </c:pt>
                <c:pt idx="9">
                  <c:v>Jihočeský</c:v>
                </c:pt>
                <c:pt idx="10">
                  <c:v>Vysočina</c:v>
                </c:pt>
                <c:pt idx="11">
                  <c:v>Liberecký</c:v>
                </c:pt>
                <c:pt idx="12">
                  <c:v>Karlovarský</c:v>
                </c:pt>
                <c:pt idx="13">
                  <c:v>Ústecký</c:v>
                </c:pt>
                <c:pt idx="15">
                  <c:v>ČR</c:v>
                </c:pt>
              </c:strCache>
            </c:strRef>
          </c:cat>
          <c:val>
            <c:numRef>
              <c:f>'3.8'!$C$19:$C$34</c:f>
              <c:numCache>
                <c:formatCode>0.0%</c:formatCode>
                <c:ptCount val="16"/>
                <c:pt idx="0">
                  <c:v>0.12589208477508651</c:v>
                </c:pt>
                <c:pt idx="1">
                  <c:v>0.19112522264384729</c:v>
                </c:pt>
                <c:pt idx="2">
                  <c:v>0.19926598880933757</c:v>
                </c:pt>
                <c:pt idx="3">
                  <c:v>0.20908061729130667</c:v>
                </c:pt>
                <c:pt idx="4">
                  <c:v>0.21962747846985781</c:v>
                </c:pt>
                <c:pt idx="5">
                  <c:v>0.21963509285220853</c:v>
                </c:pt>
                <c:pt idx="6">
                  <c:v>0.21735279137232322</c:v>
                </c:pt>
                <c:pt idx="7">
                  <c:v>0.22218065427941971</c:v>
                </c:pt>
                <c:pt idx="8">
                  <c:v>0.22056631892697467</c:v>
                </c:pt>
                <c:pt idx="9">
                  <c:v>0.23020847526911023</c:v>
                </c:pt>
                <c:pt idx="10">
                  <c:v>0.2263034206632431</c:v>
                </c:pt>
                <c:pt idx="11">
                  <c:v>0.24313250230840258</c:v>
                </c:pt>
                <c:pt idx="12">
                  <c:v>0.25229817056521342</c:v>
                </c:pt>
                <c:pt idx="13">
                  <c:v>0.25756707177252924</c:v>
                </c:pt>
                <c:pt idx="15">
                  <c:v>0.20521157167530224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DB-4F89-994C-8B243F7013D6}"/>
            </c:ext>
          </c:extLst>
        </c:ser>
        <c:ser>
          <c:idx val="2"/>
          <c:order val="2"/>
          <c:tx>
            <c:strRef>
              <c:f>'3.8'!$D$18</c:f>
              <c:strCache>
                <c:ptCount val="1"/>
                <c:pt idx="0">
                  <c:v>s maturitní zkouškou odborné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'3.8'!$A$19:$A$34</c:f>
              <c:strCache>
                <c:ptCount val="16"/>
                <c:pt idx="0">
                  <c:v>Praha</c:v>
                </c:pt>
                <c:pt idx="1">
                  <c:v>Zlínský</c:v>
                </c:pt>
                <c:pt idx="2">
                  <c:v>Jihomoravský</c:v>
                </c:pt>
                <c:pt idx="3">
                  <c:v>Moravskoslezský</c:v>
                </c:pt>
                <c:pt idx="4">
                  <c:v>Plzeňský</c:v>
                </c:pt>
                <c:pt idx="5">
                  <c:v>Královéhradecký</c:v>
                </c:pt>
                <c:pt idx="6">
                  <c:v>Středočeský</c:v>
                </c:pt>
                <c:pt idx="7">
                  <c:v>Pardubický</c:v>
                </c:pt>
                <c:pt idx="8">
                  <c:v>Olomoucký</c:v>
                </c:pt>
                <c:pt idx="9">
                  <c:v>Jihočeský</c:v>
                </c:pt>
                <c:pt idx="10">
                  <c:v>Vysočina</c:v>
                </c:pt>
                <c:pt idx="11">
                  <c:v>Liberecký</c:v>
                </c:pt>
                <c:pt idx="12">
                  <c:v>Karlovarský</c:v>
                </c:pt>
                <c:pt idx="13">
                  <c:v>Ústecký</c:v>
                </c:pt>
                <c:pt idx="15">
                  <c:v>ČR</c:v>
                </c:pt>
              </c:strCache>
            </c:strRef>
          </c:cat>
          <c:val>
            <c:numRef>
              <c:f>'3.8'!$D$19:$D$34</c:f>
              <c:numCache>
                <c:formatCode>0.0%</c:formatCode>
                <c:ptCount val="16"/>
                <c:pt idx="0">
                  <c:v>0.46920955882352944</c:v>
                </c:pt>
                <c:pt idx="1">
                  <c:v>0.48625416247192754</c:v>
                </c:pt>
                <c:pt idx="2">
                  <c:v>0.44307402282253372</c:v>
                </c:pt>
                <c:pt idx="3">
                  <c:v>0.47174720451250274</c:v>
                </c:pt>
                <c:pt idx="4">
                  <c:v>0.48083316643300622</c:v>
                </c:pt>
                <c:pt idx="5">
                  <c:v>0.4768580600593279</c:v>
                </c:pt>
                <c:pt idx="6">
                  <c:v>0.44170339039351597</c:v>
                </c:pt>
                <c:pt idx="7">
                  <c:v>0.49715259591802802</c:v>
                </c:pt>
                <c:pt idx="8">
                  <c:v>0.44678196374727064</c:v>
                </c:pt>
                <c:pt idx="9">
                  <c:v>0.45585229595312715</c:v>
                </c:pt>
                <c:pt idx="10">
                  <c:v>0.4610932196013578</c:v>
                </c:pt>
                <c:pt idx="11">
                  <c:v>0.48516851338873501</c:v>
                </c:pt>
                <c:pt idx="12">
                  <c:v>0.43533266587785563</c:v>
                </c:pt>
                <c:pt idx="13">
                  <c:v>0.46359779867002981</c:v>
                </c:pt>
                <c:pt idx="15">
                  <c:v>0.46414939550949913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FDB-4F89-994C-8B243F7013D6}"/>
            </c:ext>
          </c:extLst>
        </c:ser>
        <c:ser>
          <c:idx val="3"/>
          <c:order val="3"/>
          <c:tx>
            <c:strRef>
              <c:f>'3.8'!$E$18</c:f>
              <c:strCache>
                <c:ptCount val="1"/>
                <c:pt idx="0">
                  <c:v>gymnázia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'3.8'!$A$19:$A$34</c:f>
              <c:strCache>
                <c:ptCount val="16"/>
                <c:pt idx="0">
                  <c:v>Praha</c:v>
                </c:pt>
                <c:pt idx="1">
                  <c:v>Zlínský</c:v>
                </c:pt>
                <c:pt idx="2">
                  <c:v>Jihomoravský</c:v>
                </c:pt>
                <c:pt idx="3">
                  <c:v>Moravskoslezský</c:v>
                </c:pt>
                <c:pt idx="4">
                  <c:v>Plzeňský</c:v>
                </c:pt>
                <c:pt idx="5">
                  <c:v>Královéhradecký</c:v>
                </c:pt>
                <c:pt idx="6">
                  <c:v>Středočeský</c:v>
                </c:pt>
                <c:pt idx="7">
                  <c:v>Pardubický</c:v>
                </c:pt>
                <c:pt idx="8">
                  <c:v>Olomoucký</c:v>
                </c:pt>
                <c:pt idx="9">
                  <c:v>Jihočeský</c:v>
                </c:pt>
                <c:pt idx="10">
                  <c:v>Vysočina</c:v>
                </c:pt>
                <c:pt idx="11">
                  <c:v>Liberecký</c:v>
                </c:pt>
                <c:pt idx="12">
                  <c:v>Karlovarský</c:v>
                </c:pt>
                <c:pt idx="13">
                  <c:v>Ústecký</c:v>
                </c:pt>
                <c:pt idx="15">
                  <c:v>ČR</c:v>
                </c:pt>
              </c:strCache>
            </c:strRef>
          </c:cat>
          <c:val>
            <c:numRef>
              <c:f>'3.8'!$E$19:$E$34</c:f>
              <c:numCache>
                <c:formatCode>0.0%</c:formatCode>
                <c:ptCount val="16"/>
                <c:pt idx="0">
                  <c:v>0.36976913927335642</c:v>
                </c:pt>
                <c:pt idx="1">
                  <c:v>0.28734608534035466</c:v>
                </c:pt>
                <c:pt idx="2">
                  <c:v>0.3260533862784028</c:v>
                </c:pt>
                <c:pt idx="3">
                  <c:v>0.28000556118294306</c:v>
                </c:pt>
                <c:pt idx="4">
                  <c:v>0.25836170638894451</c:v>
                </c:pt>
                <c:pt idx="5">
                  <c:v>0.27725628834979071</c:v>
                </c:pt>
                <c:pt idx="6">
                  <c:v>0.2962331421485041</c:v>
                </c:pt>
                <c:pt idx="7">
                  <c:v>0.24969863241468179</c:v>
                </c:pt>
                <c:pt idx="8">
                  <c:v>0.28378331542647212</c:v>
                </c:pt>
                <c:pt idx="9">
                  <c:v>0.27238043330153971</c:v>
                </c:pt>
                <c:pt idx="10">
                  <c:v>0.27339194011663331</c:v>
                </c:pt>
                <c:pt idx="11">
                  <c:v>0.23834256694367498</c:v>
                </c:pt>
                <c:pt idx="12">
                  <c:v>0.28451806680622554</c:v>
                </c:pt>
                <c:pt idx="13">
                  <c:v>0.24122907590002293</c:v>
                </c:pt>
                <c:pt idx="15">
                  <c:v>0.29345639032815196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FDB-4F89-994C-8B243F7013D6}"/>
            </c:ext>
          </c:extLst>
        </c:ser>
        <c:ser>
          <c:idx val="4"/>
          <c:order val="4"/>
          <c:tx>
            <c:strRef>
              <c:f>'3.8'!$F$18</c:f>
              <c:strCache>
                <c:ptCount val="1"/>
                <c:pt idx="0">
                  <c:v>nástavbové studium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'3.8'!$A$19:$A$34</c:f>
              <c:strCache>
                <c:ptCount val="16"/>
                <c:pt idx="0">
                  <c:v>Praha</c:v>
                </c:pt>
                <c:pt idx="1">
                  <c:v>Zlínský</c:v>
                </c:pt>
                <c:pt idx="2">
                  <c:v>Jihomoravský</c:v>
                </c:pt>
                <c:pt idx="3">
                  <c:v>Moravskoslezský</c:v>
                </c:pt>
                <c:pt idx="4">
                  <c:v>Plzeňský</c:v>
                </c:pt>
                <c:pt idx="5">
                  <c:v>Královéhradecký</c:v>
                </c:pt>
                <c:pt idx="6">
                  <c:v>Středočeský</c:v>
                </c:pt>
                <c:pt idx="7">
                  <c:v>Pardubický</c:v>
                </c:pt>
                <c:pt idx="8">
                  <c:v>Olomoucký</c:v>
                </c:pt>
                <c:pt idx="9">
                  <c:v>Jihočeský</c:v>
                </c:pt>
                <c:pt idx="10">
                  <c:v>Vysočina</c:v>
                </c:pt>
                <c:pt idx="11">
                  <c:v>Liberecký</c:v>
                </c:pt>
                <c:pt idx="12">
                  <c:v>Karlovarský</c:v>
                </c:pt>
                <c:pt idx="13">
                  <c:v>Ústecký</c:v>
                </c:pt>
                <c:pt idx="15">
                  <c:v>ČR</c:v>
                </c:pt>
              </c:strCache>
            </c:strRef>
          </c:cat>
          <c:val>
            <c:numRef>
              <c:f>'3.8'!$F$19:$F$34</c:f>
              <c:numCache>
                <c:formatCode>0.0%</c:formatCode>
                <c:ptCount val="16"/>
                <c:pt idx="0">
                  <c:v>3.0182201557093426E-2</c:v>
                </c:pt>
                <c:pt idx="1">
                  <c:v>3.2409200030976533E-2</c:v>
                </c:pt>
                <c:pt idx="2">
                  <c:v>2.7234622866654633E-2</c:v>
                </c:pt>
                <c:pt idx="3">
                  <c:v>3.3565711334882523E-2</c:v>
                </c:pt>
                <c:pt idx="4">
                  <c:v>3.8213498898457841E-2</c:v>
                </c:pt>
                <c:pt idx="5">
                  <c:v>1.8976797106749564E-2</c:v>
                </c:pt>
                <c:pt idx="6">
                  <c:v>3.490045840069092E-2</c:v>
                </c:pt>
                <c:pt idx="7">
                  <c:v>2.5813692480359147E-2</c:v>
                </c:pt>
                <c:pt idx="8">
                  <c:v>3.7361799466260011E-2</c:v>
                </c:pt>
                <c:pt idx="9">
                  <c:v>3.8799563973293365E-2</c:v>
                </c:pt>
                <c:pt idx="10">
                  <c:v>3.2074157890155802E-2</c:v>
                </c:pt>
                <c:pt idx="11">
                  <c:v>3.035549399815328E-2</c:v>
                </c:pt>
                <c:pt idx="12">
                  <c:v>1.8931464457995813E-2</c:v>
                </c:pt>
                <c:pt idx="13">
                  <c:v>2.9723687227700069E-2</c:v>
                </c:pt>
                <c:pt idx="15">
                  <c:v>3.1219775474956822E-2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DB-4F89-994C-8B243F701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92422400"/>
        <c:axId val="191714944"/>
      </c:barChart>
      <c:catAx>
        <c:axId val="1924224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1714944"/>
        <c:crosses val="autoZero"/>
        <c:auto val="1"/>
        <c:lblAlgn val="ctr"/>
        <c:lblOffset val="100"/>
        <c:noMultiLvlLbl val="0"/>
      </c:catAx>
      <c:valAx>
        <c:axId val="191714944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0\ %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192422400"/>
        <c:crosses val="autoZero"/>
        <c:crossBetween val="between"/>
        <c:majorUnit val="0.1"/>
      </c:valAx>
    </c:plotArea>
    <c:legend>
      <c:legendPos val="b"/>
      <c:layout>
        <c:manualLayout>
          <c:xMode val="edge"/>
          <c:yMode val="edge"/>
          <c:x val="4.0566109791831577E-3"/>
          <c:y val="0.94170904209492901"/>
          <c:w val="0.98986415882967593"/>
          <c:h val="5.0238885113980045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322653917086662E-2"/>
          <c:y val="2.5480273463840738E-2"/>
          <c:w val="0.8704854616177673"/>
          <c:h val="0.803140096618357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List29!$B$31</c:f>
              <c:strCache>
                <c:ptCount val="1"/>
                <c:pt idx="0">
                  <c:v>čtyřleté gymnázium (1.–4. ročník)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List29!$A$32:$A$42</c:f>
              <c:strCache>
                <c:ptCount val="11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  <c:pt idx="6">
                  <c:v>2016/17</c:v>
                </c:pt>
                <c:pt idx="7">
                  <c:v>2015/16</c:v>
                </c:pt>
                <c:pt idx="8">
                  <c:v>2014/15</c:v>
                </c:pt>
                <c:pt idx="9">
                  <c:v>2013/14</c:v>
                </c:pt>
                <c:pt idx="10">
                  <c:v>2012/13</c:v>
                </c:pt>
              </c:strCache>
            </c:strRef>
          </c:cat>
          <c:val>
            <c:numRef>
              <c:f>List29!$B$32:$B$42</c:f>
              <c:numCache>
                <c:formatCode>0.0%</c:formatCode>
                <c:ptCount val="11"/>
                <c:pt idx="0">
                  <c:v>0.5556394174550866</c:v>
                </c:pt>
                <c:pt idx="1">
                  <c:v>0.54990277261902165</c:v>
                </c:pt>
                <c:pt idx="2">
                  <c:v>0.54699407281964441</c:v>
                </c:pt>
                <c:pt idx="3">
                  <c:v>0.54696894353781478</c:v>
                </c:pt>
                <c:pt idx="4">
                  <c:v>0.54607670953487053</c:v>
                </c:pt>
                <c:pt idx="5">
                  <c:v>0.54569229194855995</c:v>
                </c:pt>
                <c:pt idx="6">
                  <c:v>0.54500747367099878</c:v>
                </c:pt>
                <c:pt idx="7">
                  <c:v>0.5406205535411025</c:v>
                </c:pt>
                <c:pt idx="8">
                  <c:v>0.53777823862850826</c:v>
                </c:pt>
                <c:pt idx="9">
                  <c:v>0.53900960253936359</c:v>
                </c:pt>
                <c:pt idx="10">
                  <c:v>0.54255532303308251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C2-4ACB-9655-AF20C8E88F11}"/>
            </c:ext>
          </c:extLst>
        </c:ser>
        <c:ser>
          <c:idx val="1"/>
          <c:order val="1"/>
          <c:tx>
            <c:strRef>
              <c:f>List29!$C$31</c:f>
              <c:strCache>
                <c:ptCount val="1"/>
                <c:pt idx="0">
                  <c:v>šestileté gymnázium (3.–6. ročník)</c:v>
                </c:pt>
              </c:strCache>
            </c:strRef>
          </c:tx>
          <c:spPr>
            <a:solidFill>
              <a:srgbClr val="F2A16A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List29!$A$32:$A$42</c:f>
              <c:strCache>
                <c:ptCount val="11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  <c:pt idx="6">
                  <c:v>2016/17</c:v>
                </c:pt>
                <c:pt idx="7">
                  <c:v>2015/16</c:v>
                </c:pt>
                <c:pt idx="8">
                  <c:v>2014/15</c:v>
                </c:pt>
                <c:pt idx="9">
                  <c:v>2013/14</c:v>
                </c:pt>
                <c:pt idx="10">
                  <c:v>2012/13</c:v>
                </c:pt>
              </c:strCache>
            </c:strRef>
          </c:cat>
          <c:val>
            <c:numRef>
              <c:f>List29!$C$32:$C$42</c:f>
              <c:numCache>
                <c:formatCode>0.0%</c:formatCode>
                <c:ptCount val="11"/>
                <c:pt idx="0">
                  <c:v>9.3441054533857759E-2</c:v>
                </c:pt>
                <c:pt idx="1">
                  <c:v>9.5555943979549474E-2</c:v>
                </c:pt>
                <c:pt idx="2">
                  <c:v>9.5603636525691871E-2</c:v>
                </c:pt>
                <c:pt idx="3">
                  <c:v>9.5893042809999551E-2</c:v>
                </c:pt>
                <c:pt idx="4">
                  <c:v>9.4238286782618544E-2</c:v>
                </c:pt>
                <c:pt idx="5">
                  <c:v>9.3419900621965507E-2</c:v>
                </c:pt>
                <c:pt idx="6">
                  <c:v>9.3015825926221748E-2</c:v>
                </c:pt>
                <c:pt idx="7">
                  <c:v>9.2692890255657037E-2</c:v>
                </c:pt>
                <c:pt idx="8">
                  <c:v>9.359878335407161E-2</c:v>
                </c:pt>
                <c:pt idx="9">
                  <c:v>9.3559105285392949E-2</c:v>
                </c:pt>
                <c:pt idx="10">
                  <c:v>9.2746783026848925E-2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C2-4ACB-9655-AF20C8E88F11}"/>
            </c:ext>
          </c:extLst>
        </c:ser>
        <c:ser>
          <c:idx val="2"/>
          <c:order val="2"/>
          <c:tx>
            <c:strRef>
              <c:f>List29!$D$31</c:f>
              <c:strCache>
                <c:ptCount val="1"/>
                <c:pt idx="0">
                  <c:v>osmileté gymnázium (5.–8. ročník)</c:v>
                </c:pt>
              </c:strCache>
            </c:strRef>
          </c:tx>
          <c:spPr>
            <a:solidFill>
              <a:srgbClr val="FDD1AD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List29!$A$32:$A$42</c:f>
              <c:strCache>
                <c:ptCount val="11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  <c:pt idx="6">
                  <c:v>2016/17</c:v>
                </c:pt>
                <c:pt idx="7">
                  <c:v>2015/16</c:v>
                </c:pt>
                <c:pt idx="8">
                  <c:v>2014/15</c:v>
                </c:pt>
                <c:pt idx="9">
                  <c:v>2013/14</c:v>
                </c:pt>
                <c:pt idx="10">
                  <c:v>2012/13</c:v>
                </c:pt>
              </c:strCache>
            </c:strRef>
          </c:cat>
          <c:val>
            <c:numRef>
              <c:f>List29!$D$32:$D$42</c:f>
              <c:numCache>
                <c:formatCode>0.0%</c:formatCode>
                <c:ptCount val="11"/>
                <c:pt idx="0">
                  <c:v>0.35091952801105558</c:v>
                </c:pt>
                <c:pt idx="1">
                  <c:v>0.35454128340142893</c:v>
                </c:pt>
                <c:pt idx="2">
                  <c:v>0.35740229065466378</c:v>
                </c:pt>
                <c:pt idx="3">
                  <c:v>0.35713801365218573</c:v>
                </c:pt>
                <c:pt idx="4">
                  <c:v>0.35968500368251088</c:v>
                </c:pt>
                <c:pt idx="5">
                  <c:v>0.36088780742947457</c:v>
                </c:pt>
                <c:pt idx="6">
                  <c:v>0.36197670040277952</c:v>
                </c:pt>
                <c:pt idx="7">
                  <c:v>0.36668655620324048</c:v>
                </c:pt>
                <c:pt idx="8">
                  <c:v>0.36862297801742017</c:v>
                </c:pt>
                <c:pt idx="9">
                  <c:v>0.36743129217524351</c:v>
                </c:pt>
                <c:pt idx="10">
                  <c:v>0.36469789394006857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C2-4ACB-9655-AF20C8E88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100"/>
        <c:axId val="334930384"/>
        <c:axId val="334923728"/>
      </c:barChart>
      <c:catAx>
        <c:axId val="334930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4923728"/>
        <c:crosses val="autoZero"/>
        <c:auto val="1"/>
        <c:lblAlgn val="ctr"/>
        <c:lblOffset val="100"/>
        <c:noMultiLvlLbl val="0"/>
      </c:catAx>
      <c:valAx>
        <c:axId val="33492372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493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430926767956815E-2"/>
          <c:y val="0.90449199284871995"/>
          <c:w val="0.9809796310672434"/>
          <c:h val="7.73312031648217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0.0063</cdr:x>
      <cdr:y>0.74694</cdr:y>
    </cdr:from>
    <cdr:to>
      <cdr:x>0.06151</cdr:x>
      <cdr:y>0.83634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38066" y="1864024"/>
          <a:ext cx="333405" cy="2231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8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tis</a:t>
          </a:r>
          <a:r>
            <a:rPr lang="cs-CZ" sz="800">
              <a:solidFill>
                <a:sysClr val="windowText" lastClr="000000"/>
              </a:solidFill>
            </a:rPr>
            <a:t>.</a:t>
          </a:r>
          <a:r>
            <a:rPr lang="cs-CZ"/>
            <a:t>.</a:t>
          </a:r>
        </a:p>
      </cdr:txBody>
    </cdr:sp>
  </cdr:relSizeAnchor>
  <cdr:relSizeAnchor xmlns:cdr="http://schemas.openxmlformats.org/drawingml/2006/chartDrawing">
    <cdr:from>
      <cdr:x>0.95899</cdr:x>
      <cdr:y>0.77304</cdr:y>
    </cdr:from>
    <cdr:to>
      <cdr:x>1</cdr:x>
      <cdr:y>0.86083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5791197" y="2282586"/>
          <a:ext cx="247653" cy="2592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8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%</a:t>
          </a:r>
          <a:r>
            <a:rPr lang="cs-CZ"/>
            <a:t>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0.01054</cdr:x>
      <cdr:y>0.81753</cdr:y>
    </cdr:from>
    <cdr:to>
      <cdr:x>0.10032</cdr:x>
      <cdr:y>0.88738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64517" y="3021343"/>
          <a:ext cx="549465" cy="2581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8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0.92642</cdr:x>
      <cdr:y>0.30349</cdr:y>
    </cdr:from>
    <cdr:to>
      <cdr:x>1</cdr:x>
      <cdr:y>0.37849</cdr:y>
    </cdr:to>
    <cdr:sp macro="" textlink="">
      <cdr:nvSpPr>
        <cdr:cNvPr id="2" name="TextovéPole 12"/>
        <cdr:cNvSpPr txBox="1"/>
      </cdr:nvSpPr>
      <cdr:spPr>
        <a:xfrm xmlns:a="http://schemas.openxmlformats.org/drawingml/2006/main">
          <a:off x="5338611" y="682213"/>
          <a:ext cx="424014" cy="16859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0" tIns="0" rIns="0" bIns="0" rtlCol="0">
          <a:noAutofit/>
        </a:bodyPr>
        <a:lstStyle xmlns:a="http://schemas.openxmlformats.org/drawingml/2006/main">
          <a:defPPr>
            <a:defRPr lang="en-US"/>
          </a:defPPr>
          <a:lvl1pPr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1pPr>
          <a:lvl2pPr marL="520700" indent="-63500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2pPr>
          <a:lvl3pPr marL="1042988" indent="-1285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3pPr>
          <a:lvl4pPr marL="1563688" indent="-1920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4pPr>
          <a:lvl5pPr marL="2085975" indent="-257175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5pPr>
          <a:lvl6pPr marL="2286000" algn="l" defTabSz="914400" rtl="0" eaLnBrk="1" latinLnBrk="0" hangingPunct="1"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6pPr>
          <a:lvl7pPr marL="2743200" algn="l" defTabSz="914400" rtl="0" eaLnBrk="1" latinLnBrk="0" hangingPunct="1"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7pPr>
          <a:lvl8pPr marL="3200400" algn="l" defTabSz="914400" rtl="0" eaLnBrk="1" latinLnBrk="0" hangingPunct="1"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8pPr>
          <a:lvl9pPr marL="3657600" algn="l" defTabSz="914400" rtl="0" eaLnBrk="1" latinLnBrk="0" hangingPunct="1">
            <a:defRPr sz="2100" kern="1200">
              <a:solidFill>
                <a:schemeClr val="tx1"/>
              </a:solidFill>
              <a:latin typeface="Calibri" pitchFamily="34" charset="0"/>
              <a:ea typeface="+mn-ea"/>
              <a:cs typeface="Arial" charset="0"/>
            </a:defRPr>
          </a:lvl9pPr>
        </a:lstStyle>
        <a:p xmlns:a="http://schemas.openxmlformats.org/drawingml/2006/main">
          <a:r>
            <a:rPr lang="cs-CZ" sz="800" dirty="0" smtClean="0">
              <a:solidFill>
                <a:schemeClr val="tx1">
                  <a:lumMod val="50000"/>
                  <a:lumOff val="50000"/>
                </a:schemeClr>
              </a:solidFill>
              <a:latin typeface="Arial" pitchFamily="34" charset="0"/>
              <a:cs typeface="Arial" pitchFamily="34" charset="0"/>
            </a:rPr>
            <a:t>celkem</a:t>
          </a:r>
          <a:endParaRPr lang="cs-CZ" sz="800" dirty="0">
            <a:solidFill>
              <a:schemeClr val="tx1">
                <a:lumMod val="50000"/>
                <a:lumOff val="50000"/>
              </a:schemeClr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0.92562</cdr:x>
      <cdr:y>0.15221</cdr:y>
    </cdr:from>
    <cdr:to>
      <cdr:x>0.99174</cdr:x>
      <cdr:y>0.2161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5334000" y="342148"/>
          <a:ext cx="381000" cy="143627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0" tIns="0" rIns="0" bIns="0" rtlCol="0">
          <a:noAutofit/>
        </a:bodyPr>
        <a:lstStyle xmlns:a="http://schemas.openxmlformats.org/drawingml/2006/main"/>
        <a:p xmlns:a="http://schemas.openxmlformats.org/drawingml/2006/main">
          <a:r>
            <a:rPr lang="cs-CZ" sz="80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dívky</a:t>
          </a:r>
        </a:p>
      </cdr:txBody>
    </cdr:sp>
  </cdr:relSizeAnchor>
  <cdr:relSizeAnchor xmlns:cdr="http://schemas.openxmlformats.org/drawingml/2006/chartDrawing">
    <cdr:from>
      <cdr:x>0.92231</cdr:x>
      <cdr:y>0.46294</cdr:y>
    </cdr:from>
    <cdr:to>
      <cdr:x>0.98843</cdr:x>
      <cdr:y>0.52684</cdr:y>
    </cdr:to>
    <cdr:sp macro="" textlink="">
      <cdr:nvSpPr>
        <cdr:cNvPr id="4" name="TextovéPole 2"/>
        <cdr:cNvSpPr txBox="1"/>
      </cdr:nvSpPr>
      <cdr:spPr>
        <a:xfrm xmlns:a="http://schemas.openxmlformats.org/drawingml/2006/main">
          <a:off x="5314950" y="1040648"/>
          <a:ext cx="381000" cy="143627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0" tIns="0" rIns="0" bIns="0" rtlCol="0">
          <a:noAutofit/>
        </a:bodyPr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tx2">
                  <a:lumMod val="75000"/>
                </a:schemeClr>
              </a:solidFill>
              <a:latin typeface="Arial" pitchFamily="34" charset="0"/>
              <a:cs typeface="Arial" pitchFamily="34" charset="0"/>
            </a:rPr>
            <a:t>chlapci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0.30772</cdr:x>
      <cdr:y>0.92676</cdr:y>
    </cdr:from>
    <cdr:to>
      <cdr:x>0.36346</cdr:x>
      <cdr:y>0.98523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883269" y="3221998"/>
          <a:ext cx="341136" cy="2032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8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0.25484</cdr:x>
      <cdr:y>0.93017</cdr:y>
    </cdr:from>
    <cdr:to>
      <cdr:x>0.31459</cdr:x>
      <cdr:y>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381163" y="3171824"/>
          <a:ext cx="323828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8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0.03735</cdr:x>
      <cdr:y>0.7115</cdr:y>
    </cdr:from>
    <cdr:to>
      <cdr:x>0.98828</cdr:x>
      <cdr:y>0.76704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228600" y="3083540"/>
          <a:ext cx="5819776" cy="2407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cs-CZ"/>
        </a:p>
      </cdr:txBody>
    </cdr:sp>
  </cdr:relSizeAnchor>
  <cdr:relSizeAnchor xmlns:cdr="http://schemas.openxmlformats.org/drawingml/2006/chartDrawing">
    <cdr:from>
      <cdr:x>0.06277</cdr:x>
      <cdr:y>0.81978</cdr:y>
    </cdr:from>
    <cdr:to>
      <cdr:x>0.14993</cdr:x>
      <cdr:y>0.86813</cdr:y>
    </cdr:to>
    <cdr:sp macro="" textlink="">
      <cdr:nvSpPr>
        <cdr:cNvPr id="4" name="Obdélník 3"/>
        <cdr:cNvSpPr/>
      </cdr:nvSpPr>
      <cdr:spPr>
        <a:xfrm xmlns:a="http://schemas.openxmlformats.org/drawingml/2006/main">
          <a:off x="384175" y="3552825"/>
          <a:ext cx="533400" cy="2095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9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rPr>
            <a:t>%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7DA12-EB2F-4133-994A-6A96F71F8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9</TotalTime>
  <Pages>22</Pages>
  <Words>7372</Words>
  <Characters>43496</Characters>
  <Application>Microsoft Office Word</Application>
  <DocSecurity>0</DocSecurity>
  <Lines>362</Lines>
  <Paragraphs>101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Analýza - celá</vt:lpstr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50767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- celá</dc:title>
  <dc:subject/>
  <dc:creator>hykysova23070</dc:creator>
  <cp:keywords/>
  <dc:description/>
  <cp:lastModifiedBy>Kašparová Vendula</cp:lastModifiedBy>
  <cp:revision>8</cp:revision>
  <cp:lastPrinted>2022-08-30T10:14:00Z</cp:lastPrinted>
  <dcterms:created xsi:type="dcterms:W3CDTF">2023-08-09T07:56:00Z</dcterms:created>
  <dcterms:modified xsi:type="dcterms:W3CDTF">2023-08-22T04:53:00Z</dcterms:modified>
</cp:coreProperties>
</file>