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CEFD" w14:textId="2D804F7A" w:rsidR="0084761E" w:rsidRPr="0085409F" w:rsidRDefault="00886580" w:rsidP="0085409F">
      <w:pPr>
        <w:spacing w:after="240"/>
        <w:rPr>
          <w:rFonts w:ascii="Arial" w:hAnsi="Arial" w:cs="Arial"/>
          <w:b/>
          <w:caps/>
          <w:color w:val="C00000"/>
          <w:sz w:val="20"/>
          <w:szCs w:val="20"/>
          <w:lang w:val="en-GB"/>
        </w:rPr>
      </w:pPr>
      <w:r w:rsidRPr="0085409F">
        <w:rPr>
          <w:rFonts w:ascii="Arial" w:hAnsi="Arial" w:cs="Arial"/>
          <w:b/>
          <w:caps/>
          <w:color w:val="C00000"/>
          <w:sz w:val="20"/>
          <w:szCs w:val="20"/>
          <w:lang w:val="en-GB"/>
        </w:rPr>
        <w:t>Methodological notes</w:t>
      </w:r>
    </w:p>
    <w:p w14:paraId="73B631D2" w14:textId="252A5452" w:rsidR="00BD1DBF" w:rsidRDefault="00BD1DBF" w:rsidP="000C40EF">
      <w:pPr>
        <w:pStyle w:val="Perex"/>
        <w:spacing w:after="160" w:line="288" w:lineRule="auto"/>
        <w:rPr>
          <w:b w:val="0"/>
          <w:szCs w:val="20"/>
          <w:lang w:val="en-GB"/>
        </w:rPr>
      </w:pPr>
      <w:r w:rsidRPr="00BD1DBF">
        <w:rPr>
          <w:b w:val="0"/>
          <w:szCs w:val="20"/>
          <w:lang w:val="en-GB"/>
        </w:rPr>
        <w:t>The</w:t>
      </w:r>
      <w:r>
        <w:rPr>
          <w:b w:val="0"/>
          <w:szCs w:val="20"/>
          <w:lang w:val="en-GB"/>
        </w:rPr>
        <w:t xml:space="preserve"> data on the number of deaths are</w:t>
      </w:r>
      <w:r w:rsidRPr="00BD1DBF">
        <w:rPr>
          <w:b w:val="0"/>
          <w:szCs w:val="20"/>
          <w:lang w:val="en-GB"/>
        </w:rPr>
        <w:t xml:space="preserve"> based on the registration of </w:t>
      </w:r>
      <w:r>
        <w:rPr>
          <w:b w:val="0"/>
          <w:szCs w:val="20"/>
          <w:lang w:val="en-GB"/>
        </w:rPr>
        <w:t>vital</w:t>
      </w:r>
      <w:r w:rsidRPr="00BD1DBF">
        <w:rPr>
          <w:b w:val="0"/>
          <w:szCs w:val="20"/>
          <w:lang w:val="en-GB"/>
        </w:rPr>
        <w:t xml:space="preserve"> events</w:t>
      </w:r>
      <w:r>
        <w:rPr>
          <w:b w:val="0"/>
          <w:szCs w:val="20"/>
          <w:lang w:val="en-GB"/>
        </w:rPr>
        <w:t xml:space="preserve"> –</w:t>
      </w:r>
      <w:r w:rsidR="00187643">
        <w:rPr>
          <w:b w:val="0"/>
          <w:szCs w:val="20"/>
          <w:lang w:val="en-GB"/>
        </w:rPr>
        <w:t xml:space="preserve"> </w:t>
      </w:r>
      <w:r>
        <w:rPr>
          <w:b w:val="0"/>
          <w:szCs w:val="20"/>
          <w:lang w:val="en-GB"/>
        </w:rPr>
        <w:t>statistical report</w:t>
      </w:r>
      <w:r w:rsidR="00187643">
        <w:rPr>
          <w:b w:val="0"/>
          <w:szCs w:val="20"/>
          <w:lang w:val="en-GB"/>
        </w:rPr>
        <w:t>s</w:t>
      </w:r>
      <w:r>
        <w:rPr>
          <w:b w:val="0"/>
          <w:szCs w:val="20"/>
          <w:lang w:val="en-GB"/>
        </w:rPr>
        <w:t xml:space="preserve"> on death</w:t>
      </w:r>
      <w:r w:rsidRPr="00BD1DBF">
        <w:rPr>
          <w:b w:val="0"/>
          <w:szCs w:val="20"/>
          <w:lang w:val="en-GB"/>
        </w:rPr>
        <w:t xml:space="preserve"> </w:t>
      </w:r>
      <w:r w:rsidR="00187643">
        <w:rPr>
          <w:b w:val="0"/>
          <w:szCs w:val="20"/>
          <w:lang w:val="en-GB"/>
        </w:rPr>
        <w:t>are</w:t>
      </w:r>
      <w:r w:rsidRPr="00BD1DBF">
        <w:rPr>
          <w:b w:val="0"/>
          <w:szCs w:val="20"/>
          <w:lang w:val="en-GB"/>
        </w:rPr>
        <w:t xml:space="preserve"> f</w:t>
      </w:r>
      <w:r w:rsidR="00187643">
        <w:rPr>
          <w:b w:val="0"/>
          <w:szCs w:val="20"/>
          <w:lang w:val="en-GB"/>
        </w:rPr>
        <w:t>illed in by the registry offices</w:t>
      </w:r>
      <w:r w:rsidRPr="00BD1DBF">
        <w:rPr>
          <w:b w:val="0"/>
          <w:szCs w:val="20"/>
          <w:lang w:val="en-GB"/>
        </w:rPr>
        <w:t xml:space="preserve"> for each death</w:t>
      </w:r>
      <w:r>
        <w:rPr>
          <w:b w:val="0"/>
          <w:szCs w:val="20"/>
          <w:lang w:val="en-GB"/>
        </w:rPr>
        <w:t xml:space="preserve"> </w:t>
      </w:r>
      <w:r w:rsidR="00B66CBB">
        <w:rPr>
          <w:b w:val="0"/>
          <w:szCs w:val="20"/>
          <w:lang w:val="en-GB"/>
        </w:rPr>
        <w:t>that occurs</w:t>
      </w:r>
      <w:r w:rsidRPr="00BD1DBF">
        <w:rPr>
          <w:b w:val="0"/>
          <w:szCs w:val="20"/>
          <w:lang w:val="en-GB"/>
        </w:rPr>
        <w:t xml:space="preserve"> in the Czech Republic.</w:t>
      </w:r>
      <w:r w:rsidR="00187643">
        <w:rPr>
          <w:b w:val="0"/>
          <w:szCs w:val="20"/>
          <w:lang w:val="en-GB"/>
        </w:rPr>
        <w:t xml:space="preserve"> </w:t>
      </w:r>
      <w:r w:rsidR="00187643" w:rsidRPr="00187643">
        <w:rPr>
          <w:b w:val="0"/>
          <w:szCs w:val="20"/>
          <w:lang w:val="en-GB"/>
        </w:rPr>
        <w:t>The statistics include</w:t>
      </w:r>
      <w:r w:rsidR="00187643">
        <w:rPr>
          <w:b w:val="0"/>
          <w:szCs w:val="20"/>
          <w:lang w:val="en-GB"/>
        </w:rPr>
        <w:t>s</w:t>
      </w:r>
      <w:r w:rsidR="00187643" w:rsidRPr="00187643">
        <w:rPr>
          <w:b w:val="0"/>
          <w:szCs w:val="20"/>
          <w:lang w:val="en-GB"/>
        </w:rPr>
        <w:t xml:space="preserve"> deaths of Czech residents,</w:t>
      </w:r>
      <w:r w:rsidR="00187643">
        <w:rPr>
          <w:b w:val="0"/>
          <w:szCs w:val="20"/>
          <w:lang w:val="en-GB"/>
        </w:rPr>
        <w:t xml:space="preserve"> i.e. </w:t>
      </w:r>
      <w:r w:rsidR="00796C39" w:rsidRPr="00796C39">
        <w:rPr>
          <w:b w:val="0"/>
          <w:szCs w:val="20"/>
          <w:lang w:val="en-GB"/>
        </w:rPr>
        <w:t>citizens of the Czech Republic and foreigners with permanent residence in the Czech Republic, third-country nationals with temporary residence in the territory of the Czech Republic on the basis of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r w:rsidR="00B66CBB" w:rsidRPr="00B66CBB">
        <w:t xml:space="preserve"> </w:t>
      </w:r>
      <w:r w:rsidR="00B66CBB">
        <w:rPr>
          <w:b w:val="0"/>
        </w:rPr>
        <w:t xml:space="preserve">The </w:t>
      </w:r>
      <w:r w:rsidR="00B66CBB">
        <w:rPr>
          <w:b w:val="0"/>
          <w:szCs w:val="20"/>
          <w:lang w:val="en-GB"/>
        </w:rPr>
        <w:t>data also include d</w:t>
      </w:r>
      <w:r w:rsidR="00B66CBB" w:rsidRPr="00B66CBB">
        <w:rPr>
          <w:b w:val="0"/>
          <w:szCs w:val="20"/>
          <w:lang w:val="en-GB"/>
        </w:rPr>
        <w:t>eaths of Czech citizens w</w:t>
      </w:r>
      <w:bookmarkStart w:id="0" w:name="_GoBack"/>
      <w:bookmarkEnd w:id="0"/>
      <w:r w:rsidR="00B66CBB" w:rsidRPr="00B66CBB">
        <w:rPr>
          <w:b w:val="0"/>
          <w:szCs w:val="20"/>
          <w:lang w:val="en-GB"/>
        </w:rPr>
        <w:t>ith permanent residence in the Czech Republic that occur abroad.</w:t>
      </w:r>
    </w:p>
    <w:p w14:paraId="0740B555" w14:textId="3B5FC729" w:rsidR="003116CE" w:rsidRPr="00990CCF" w:rsidRDefault="003116CE" w:rsidP="000C40EF">
      <w:pPr>
        <w:spacing w:line="288" w:lineRule="auto"/>
        <w:rPr>
          <w:rFonts w:ascii="Arial" w:hAnsi="Arial" w:cs="Arial"/>
          <w:sz w:val="20"/>
          <w:szCs w:val="20"/>
          <w:lang w:val="en-GB"/>
        </w:rPr>
      </w:pPr>
      <w:r w:rsidRPr="003116CE">
        <w:rPr>
          <w:rFonts w:ascii="Arial" w:hAnsi="Arial" w:cs="Arial"/>
          <w:sz w:val="20"/>
          <w:szCs w:val="20"/>
          <w:lang w:val="en-GB"/>
        </w:rPr>
        <w:t xml:space="preserve">The Decree on the Programme </w:t>
      </w:r>
      <w:r>
        <w:rPr>
          <w:rFonts w:ascii="Arial" w:hAnsi="Arial" w:cs="Arial"/>
          <w:sz w:val="20"/>
          <w:szCs w:val="20"/>
          <w:lang w:val="en-GB"/>
        </w:rPr>
        <w:t xml:space="preserve">of </w:t>
      </w:r>
      <w:r w:rsidR="00990CCF">
        <w:rPr>
          <w:rFonts w:ascii="Arial" w:hAnsi="Arial" w:cs="Arial"/>
          <w:sz w:val="20"/>
          <w:szCs w:val="20"/>
          <w:lang w:val="en-GB"/>
        </w:rPr>
        <w:t xml:space="preserve">Statistical Surveys </w:t>
      </w:r>
      <w:r w:rsidRPr="003116CE">
        <w:rPr>
          <w:rFonts w:ascii="Arial" w:hAnsi="Arial" w:cs="Arial"/>
          <w:sz w:val="20"/>
          <w:szCs w:val="20"/>
          <w:lang w:val="en-GB"/>
        </w:rPr>
        <w:t xml:space="preserve">sets the deadline for registry offices to </w:t>
      </w:r>
      <w:r w:rsidR="00990CCF">
        <w:rPr>
          <w:rFonts w:ascii="Arial" w:hAnsi="Arial" w:cs="Arial"/>
          <w:sz w:val="20"/>
          <w:szCs w:val="20"/>
          <w:lang w:val="en-GB"/>
        </w:rPr>
        <w:t>fill in</w:t>
      </w:r>
      <w:r w:rsidRPr="003116CE">
        <w:rPr>
          <w:rFonts w:ascii="Arial" w:hAnsi="Arial" w:cs="Arial"/>
          <w:sz w:val="20"/>
          <w:szCs w:val="20"/>
          <w:lang w:val="en-GB"/>
        </w:rPr>
        <w:t xml:space="preserve"> statistical reports and send them to the C</w:t>
      </w:r>
      <w:r w:rsidR="00990CCF">
        <w:rPr>
          <w:rFonts w:ascii="Arial" w:hAnsi="Arial" w:cs="Arial"/>
          <w:sz w:val="20"/>
          <w:szCs w:val="20"/>
          <w:lang w:val="en-GB"/>
        </w:rPr>
        <w:t>zech Statistical Office</w:t>
      </w:r>
      <w:r w:rsidRPr="003116CE">
        <w:rPr>
          <w:rFonts w:ascii="Arial" w:hAnsi="Arial" w:cs="Arial"/>
          <w:sz w:val="20"/>
          <w:szCs w:val="20"/>
          <w:lang w:val="en-GB"/>
        </w:rPr>
        <w:t xml:space="preserve"> on a monthly basis on the 5th calendar day after the end of the calendar month in which th</w:t>
      </w:r>
      <w:r w:rsidR="00990CCF">
        <w:rPr>
          <w:rFonts w:ascii="Arial" w:hAnsi="Arial" w:cs="Arial"/>
          <w:sz w:val="20"/>
          <w:szCs w:val="20"/>
          <w:lang w:val="en-GB"/>
        </w:rPr>
        <w:t>e death occurred. The statistical data</w:t>
      </w:r>
      <w:r w:rsidRPr="003116CE">
        <w:rPr>
          <w:rFonts w:ascii="Arial" w:hAnsi="Arial" w:cs="Arial"/>
          <w:sz w:val="20"/>
          <w:szCs w:val="20"/>
          <w:lang w:val="en-GB"/>
        </w:rPr>
        <w:t xml:space="preserve"> on the number of deaths are updated once a month, usually on the 40th calendar day after the end of the month</w:t>
      </w:r>
      <w:r w:rsidR="00990CCF">
        <w:rPr>
          <w:rFonts w:ascii="Arial" w:hAnsi="Arial" w:cs="Arial"/>
          <w:sz w:val="20"/>
          <w:szCs w:val="20"/>
          <w:lang w:val="en-GB"/>
        </w:rPr>
        <w:t xml:space="preserve"> of event occurrence</w:t>
      </w:r>
      <w:r w:rsidRPr="003116CE">
        <w:rPr>
          <w:rFonts w:ascii="Arial" w:hAnsi="Arial" w:cs="Arial"/>
          <w:sz w:val="20"/>
          <w:szCs w:val="20"/>
          <w:lang w:val="en-GB"/>
        </w:rPr>
        <w:t xml:space="preserve"> </w:t>
      </w:r>
      <w:r w:rsidR="00990CCF">
        <w:rPr>
          <w:rFonts w:ascii="Arial" w:hAnsi="Arial" w:cs="Arial"/>
          <w:sz w:val="20"/>
          <w:szCs w:val="20"/>
          <w:lang w:val="en-GB"/>
        </w:rPr>
        <w:t>–</w:t>
      </w:r>
      <w:r w:rsidRPr="003116CE">
        <w:rPr>
          <w:rFonts w:ascii="Arial" w:hAnsi="Arial" w:cs="Arial"/>
          <w:sz w:val="20"/>
          <w:szCs w:val="20"/>
          <w:lang w:val="en-GB"/>
        </w:rPr>
        <w:t xml:space="preserve"> </w:t>
      </w:r>
      <w:r w:rsidR="00990CCF" w:rsidRPr="00990CCF">
        <w:rPr>
          <w:rFonts w:ascii="Tahoma" w:hAnsi="Tahoma" w:cs="Tahoma"/>
          <w:color w:val="333333"/>
          <w:sz w:val="20"/>
          <w:szCs w:val="20"/>
          <w:shd w:val="clear" w:color="auto" w:fill="FFFFFF"/>
          <w:lang w:val="en-GB"/>
        </w:rPr>
        <w:t xml:space="preserve">for specific dates see </w:t>
      </w:r>
      <w:hyperlink r:id="rId7" w:history="1">
        <w:r w:rsidR="00990CCF" w:rsidRPr="00990CCF">
          <w:rPr>
            <w:rStyle w:val="Hypertextovodkaz"/>
            <w:rFonts w:ascii="Tahoma" w:hAnsi="Tahoma" w:cs="Tahoma"/>
            <w:sz w:val="20"/>
            <w:szCs w:val="20"/>
            <w:shd w:val="clear" w:color="auto" w:fill="FFFFFF"/>
            <w:lang w:val="en-GB"/>
          </w:rPr>
          <w:t>Catalogue of Products</w:t>
        </w:r>
      </w:hyperlink>
      <w:r w:rsidRPr="00990CCF">
        <w:rPr>
          <w:rFonts w:ascii="Arial" w:hAnsi="Arial" w:cs="Arial"/>
          <w:sz w:val="20"/>
          <w:szCs w:val="20"/>
          <w:lang w:val="en-GB"/>
        </w:rPr>
        <w:t xml:space="preserve"> (product 130184)</w:t>
      </w:r>
      <w:r w:rsidR="00990CCF" w:rsidRPr="00990CCF">
        <w:rPr>
          <w:rFonts w:ascii="Arial" w:hAnsi="Arial" w:cs="Arial"/>
          <w:sz w:val="20"/>
          <w:szCs w:val="20"/>
          <w:lang w:val="en-GB"/>
        </w:rPr>
        <w:t>.</w:t>
      </w:r>
      <w:r w:rsidRPr="00990CCF">
        <w:rPr>
          <w:rFonts w:ascii="Arial" w:hAnsi="Arial" w:cs="Arial"/>
          <w:sz w:val="20"/>
          <w:szCs w:val="20"/>
          <w:lang w:val="en-GB"/>
        </w:rPr>
        <w:t xml:space="preserve"> </w:t>
      </w:r>
    </w:p>
    <w:p w14:paraId="1BB3AE14" w14:textId="751178D2" w:rsidR="00B51844" w:rsidRDefault="00B51844" w:rsidP="000C40EF">
      <w:pPr>
        <w:spacing w:line="288" w:lineRule="auto"/>
        <w:rPr>
          <w:rFonts w:ascii="Arial" w:hAnsi="Arial" w:cs="Arial"/>
          <w:sz w:val="20"/>
          <w:szCs w:val="20"/>
          <w:lang w:val="en-GB"/>
        </w:rPr>
      </w:pPr>
      <w:r w:rsidRPr="00B51844">
        <w:rPr>
          <w:rFonts w:ascii="Arial" w:hAnsi="Arial" w:cs="Arial"/>
          <w:sz w:val="20"/>
          <w:szCs w:val="20"/>
          <w:lang w:val="en-GB"/>
        </w:rPr>
        <w:t xml:space="preserve">The data are </w:t>
      </w:r>
      <w:r>
        <w:rPr>
          <w:rFonts w:ascii="Arial" w:hAnsi="Arial" w:cs="Arial"/>
          <w:sz w:val="20"/>
          <w:szCs w:val="20"/>
          <w:lang w:val="en-GB"/>
        </w:rPr>
        <w:t>broken down</w:t>
      </w:r>
      <w:r w:rsidRPr="00B51844">
        <w:rPr>
          <w:rFonts w:ascii="Arial" w:hAnsi="Arial" w:cs="Arial"/>
          <w:sz w:val="20"/>
          <w:szCs w:val="20"/>
          <w:lang w:val="en-GB"/>
        </w:rPr>
        <w:t xml:space="preserve"> by calendar week and calendar month, </w:t>
      </w:r>
      <w:r>
        <w:rPr>
          <w:rFonts w:ascii="Arial" w:hAnsi="Arial" w:cs="Arial"/>
          <w:sz w:val="20"/>
          <w:szCs w:val="20"/>
          <w:lang w:val="en-GB"/>
        </w:rPr>
        <w:t xml:space="preserve">and into </w:t>
      </w:r>
      <w:r w:rsidRPr="00B51844">
        <w:rPr>
          <w:rFonts w:ascii="Arial" w:hAnsi="Arial" w:cs="Arial"/>
          <w:sz w:val="20"/>
          <w:szCs w:val="20"/>
          <w:lang w:val="en-GB"/>
        </w:rPr>
        <w:t xml:space="preserve">broader age groups. At each release of the </w:t>
      </w:r>
      <w:r>
        <w:rPr>
          <w:rFonts w:ascii="Arial" w:hAnsi="Arial" w:cs="Arial"/>
          <w:sz w:val="20"/>
          <w:szCs w:val="20"/>
          <w:lang w:val="en-GB"/>
        </w:rPr>
        <w:t>data sets</w:t>
      </w:r>
      <w:r w:rsidRPr="00B51844">
        <w:rPr>
          <w:rFonts w:ascii="Arial" w:hAnsi="Arial" w:cs="Arial"/>
          <w:sz w:val="20"/>
          <w:szCs w:val="20"/>
          <w:lang w:val="en-GB"/>
        </w:rPr>
        <w:t xml:space="preserve">, data for all calendar weeks and months </w:t>
      </w:r>
      <w:r>
        <w:rPr>
          <w:rFonts w:ascii="Arial" w:hAnsi="Arial" w:cs="Arial"/>
          <w:sz w:val="20"/>
          <w:szCs w:val="20"/>
          <w:lang w:val="en-GB"/>
        </w:rPr>
        <w:t>flagged</w:t>
      </w:r>
      <w:r w:rsidRPr="00B51844">
        <w:rPr>
          <w:rFonts w:ascii="Arial" w:hAnsi="Arial" w:cs="Arial"/>
          <w:sz w:val="20"/>
          <w:szCs w:val="20"/>
          <w:lang w:val="en-GB"/>
        </w:rPr>
        <w:t xml:space="preserve"> as provisional are updated (estimate of completeness of publis</w:t>
      </w:r>
      <w:r>
        <w:rPr>
          <w:rFonts w:ascii="Arial" w:hAnsi="Arial" w:cs="Arial"/>
          <w:sz w:val="20"/>
          <w:szCs w:val="20"/>
          <w:lang w:val="en-GB"/>
        </w:rPr>
        <w:t>hed data: last published week (W) 97-98%, week (W-1) 98-99%, week (W</w:t>
      </w:r>
      <w:r w:rsidRPr="00B51844">
        <w:rPr>
          <w:rFonts w:ascii="Arial" w:hAnsi="Arial" w:cs="Arial"/>
          <w:sz w:val="20"/>
          <w:szCs w:val="20"/>
          <w:lang w:val="en-GB"/>
        </w:rPr>
        <w:t xml:space="preserve">-2) and older 99-99.5%; last published month (M) 98-99%, month (M-1) and older 98.5% and older). The data on the number of deaths </w:t>
      </w:r>
      <w:r w:rsidR="00C03A5C">
        <w:rPr>
          <w:rFonts w:ascii="Arial" w:hAnsi="Arial" w:cs="Arial"/>
          <w:sz w:val="20"/>
          <w:szCs w:val="20"/>
          <w:lang w:val="en-GB"/>
        </w:rPr>
        <w:t>on</w:t>
      </w:r>
      <w:r w:rsidRPr="00B51844">
        <w:rPr>
          <w:rFonts w:ascii="Arial" w:hAnsi="Arial" w:cs="Arial"/>
          <w:sz w:val="20"/>
          <w:szCs w:val="20"/>
          <w:lang w:val="en-GB"/>
        </w:rPr>
        <w:t xml:space="preserve"> each day of </w:t>
      </w:r>
      <w:r w:rsidR="00C03A5C">
        <w:rPr>
          <w:rFonts w:ascii="Arial" w:hAnsi="Arial" w:cs="Arial"/>
          <w:sz w:val="20"/>
          <w:szCs w:val="20"/>
          <w:lang w:val="en-GB"/>
        </w:rPr>
        <w:t xml:space="preserve">calendar </w:t>
      </w:r>
      <w:r w:rsidRPr="00B51844">
        <w:rPr>
          <w:rFonts w:ascii="Arial" w:hAnsi="Arial" w:cs="Arial"/>
          <w:sz w:val="20"/>
          <w:szCs w:val="20"/>
          <w:lang w:val="en-GB"/>
        </w:rPr>
        <w:t xml:space="preserve">year </w:t>
      </w:r>
      <w:r w:rsidRPr="00C03A5C">
        <w:rPr>
          <w:rFonts w:ascii="Arial" w:hAnsi="Arial" w:cs="Arial"/>
          <w:i/>
          <w:sz w:val="20"/>
          <w:szCs w:val="20"/>
          <w:lang w:val="en-GB"/>
        </w:rPr>
        <w:t>t</w:t>
      </w:r>
      <w:r w:rsidRPr="00B51844">
        <w:rPr>
          <w:rFonts w:ascii="Arial" w:hAnsi="Arial" w:cs="Arial"/>
          <w:sz w:val="20"/>
          <w:szCs w:val="20"/>
          <w:lang w:val="en-GB"/>
        </w:rPr>
        <w:t xml:space="preserve"> (the summarised data on the number of deaths in calendar week</w:t>
      </w:r>
      <w:r w:rsidR="00C03A5C">
        <w:rPr>
          <w:rFonts w:ascii="Arial" w:hAnsi="Arial" w:cs="Arial"/>
          <w:sz w:val="20"/>
          <w:szCs w:val="20"/>
          <w:lang w:val="en-GB"/>
        </w:rPr>
        <w:t>s</w:t>
      </w:r>
      <w:r w:rsidRPr="00B51844">
        <w:rPr>
          <w:rFonts w:ascii="Arial" w:hAnsi="Arial" w:cs="Arial"/>
          <w:sz w:val="20"/>
          <w:szCs w:val="20"/>
          <w:lang w:val="en-GB"/>
        </w:rPr>
        <w:t xml:space="preserve"> and month</w:t>
      </w:r>
      <w:r w:rsidR="00C03A5C">
        <w:rPr>
          <w:rFonts w:ascii="Arial" w:hAnsi="Arial" w:cs="Arial"/>
          <w:sz w:val="20"/>
          <w:szCs w:val="20"/>
          <w:lang w:val="en-GB"/>
        </w:rPr>
        <w:t>s</w:t>
      </w:r>
      <w:r w:rsidRPr="00B51844">
        <w:rPr>
          <w:rFonts w:ascii="Arial" w:hAnsi="Arial" w:cs="Arial"/>
          <w:sz w:val="20"/>
          <w:szCs w:val="20"/>
          <w:lang w:val="en-GB"/>
        </w:rPr>
        <w:t xml:space="preserve"> are based</w:t>
      </w:r>
      <w:r w:rsidR="00C03A5C">
        <w:rPr>
          <w:rFonts w:ascii="Arial" w:hAnsi="Arial" w:cs="Arial"/>
          <w:sz w:val="20"/>
          <w:szCs w:val="20"/>
          <w:lang w:val="en-GB"/>
        </w:rPr>
        <w:t xml:space="preserve"> on the daily numbers of deaths</w:t>
      </w:r>
      <w:r w:rsidRPr="00B51844">
        <w:rPr>
          <w:rFonts w:ascii="Arial" w:hAnsi="Arial" w:cs="Arial"/>
          <w:sz w:val="20"/>
          <w:szCs w:val="20"/>
          <w:lang w:val="en-GB"/>
        </w:rPr>
        <w:t xml:space="preserve">) are considered </w:t>
      </w:r>
      <w:r w:rsidR="0085409F">
        <w:rPr>
          <w:rFonts w:ascii="Arial" w:hAnsi="Arial" w:cs="Arial"/>
          <w:sz w:val="20"/>
          <w:szCs w:val="20"/>
          <w:lang w:val="en-GB"/>
        </w:rPr>
        <w:t>to be final</w:t>
      </w:r>
      <w:r w:rsidRPr="00B51844">
        <w:rPr>
          <w:rFonts w:ascii="Arial" w:hAnsi="Arial" w:cs="Arial"/>
          <w:sz w:val="20"/>
          <w:szCs w:val="20"/>
          <w:lang w:val="en-GB"/>
        </w:rPr>
        <w:t xml:space="preserve"> </w:t>
      </w:r>
      <w:r w:rsidR="0085409F">
        <w:rPr>
          <w:rFonts w:ascii="Arial" w:hAnsi="Arial" w:cs="Arial"/>
          <w:sz w:val="20"/>
          <w:szCs w:val="20"/>
          <w:lang w:val="en-GB"/>
        </w:rPr>
        <w:t xml:space="preserve">in </w:t>
      </w:r>
      <w:r w:rsidRPr="00B51844">
        <w:rPr>
          <w:rFonts w:ascii="Arial" w:hAnsi="Arial" w:cs="Arial"/>
          <w:sz w:val="20"/>
          <w:szCs w:val="20"/>
          <w:lang w:val="en-GB"/>
        </w:rPr>
        <w:t xml:space="preserve">May of year </w:t>
      </w:r>
      <w:r w:rsidRPr="00C03A5C">
        <w:rPr>
          <w:rFonts w:ascii="Arial" w:hAnsi="Arial" w:cs="Arial"/>
          <w:i/>
          <w:sz w:val="20"/>
          <w:szCs w:val="20"/>
          <w:lang w:val="en-GB"/>
        </w:rPr>
        <w:t>t</w:t>
      </w:r>
      <w:r w:rsidRPr="00B51844">
        <w:rPr>
          <w:rFonts w:ascii="Arial" w:hAnsi="Arial" w:cs="Arial"/>
          <w:sz w:val="20"/>
          <w:szCs w:val="20"/>
          <w:lang w:val="en-GB"/>
        </w:rPr>
        <w:t>+1.</w:t>
      </w:r>
    </w:p>
    <w:p w14:paraId="633B9C26" w14:textId="2CB8EAE8" w:rsidR="00B51844" w:rsidRDefault="00B51844" w:rsidP="000C40EF">
      <w:pPr>
        <w:spacing w:line="288" w:lineRule="auto"/>
        <w:rPr>
          <w:rFonts w:ascii="Arial" w:hAnsi="Arial" w:cs="Arial"/>
          <w:sz w:val="20"/>
          <w:szCs w:val="20"/>
          <w:lang w:val="en-GB"/>
        </w:rPr>
      </w:pPr>
      <w:r w:rsidRPr="00B51844">
        <w:rPr>
          <w:rFonts w:ascii="Arial" w:hAnsi="Arial" w:cs="Arial"/>
          <w:sz w:val="20"/>
          <w:szCs w:val="20"/>
          <w:lang w:val="en-GB"/>
        </w:rPr>
        <w:t xml:space="preserve">Please note that the sum of the number of deaths for </w:t>
      </w:r>
      <w:r>
        <w:rPr>
          <w:rFonts w:ascii="Arial" w:hAnsi="Arial" w:cs="Arial"/>
          <w:sz w:val="20"/>
          <w:szCs w:val="20"/>
          <w:lang w:val="en-GB"/>
        </w:rPr>
        <w:t>all</w:t>
      </w:r>
      <w:r w:rsidRPr="00B51844">
        <w:rPr>
          <w:rFonts w:ascii="Arial" w:hAnsi="Arial" w:cs="Arial"/>
          <w:sz w:val="20"/>
          <w:szCs w:val="20"/>
          <w:lang w:val="en-GB"/>
        </w:rPr>
        <w:t xml:space="preserve"> calendar week</w:t>
      </w:r>
      <w:r>
        <w:rPr>
          <w:rFonts w:ascii="Arial" w:hAnsi="Arial" w:cs="Arial"/>
          <w:sz w:val="20"/>
          <w:szCs w:val="20"/>
          <w:lang w:val="en-GB"/>
        </w:rPr>
        <w:t>s</w:t>
      </w:r>
      <w:r w:rsidRPr="00B51844">
        <w:rPr>
          <w:rFonts w:ascii="Arial" w:hAnsi="Arial" w:cs="Arial"/>
          <w:sz w:val="20"/>
          <w:szCs w:val="20"/>
          <w:lang w:val="en-GB"/>
        </w:rPr>
        <w:t xml:space="preserve"> of the year does not correspond to the total number of deaths in </w:t>
      </w:r>
      <w:r>
        <w:rPr>
          <w:rFonts w:ascii="Arial" w:hAnsi="Arial" w:cs="Arial"/>
          <w:sz w:val="20"/>
          <w:szCs w:val="20"/>
          <w:lang w:val="en-GB"/>
        </w:rPr>
        <w:t>the</w:t>
      </w:r>
      <w:r w:rsidRPr="00B51844">
        <w:rPr>
          <w:rFonts w:ascii="Arial" w:hAnsi="Arial" w:cs="Arial"/>
          <w:sz w:val="20"/>
          <w:szCs w:val="20"/>
          <w:lang w:val="en-GB"/>
        </w:rPr>
        <w:t xml:space="preserve"> calendar year, as the calendar weeks do not cover the period from 1 January to 31 December of the year (the first or </w:t>
      </w:r>
      <w:r w:rsidR="00851D22">
        <w:rPr>
          <w:rFonts w:ascii="Arial" w:hAnsi="Arial" w:cs="Arial"/>
          <w:sz w:val="20"/>
          <w:szCs w:val="20"/>
          <w:lang w:val="en-GB"/>
        </w:rPr>
        <w:t xml:space="preserve">the </w:t>
      </w:r>
      <w:r w:rsidRPr="00B51844">
        <w:rPr>
          <w:rFonts w:ascii="Arial" w:hAnsi="Arial" w:cs="Arial"/>
          <w:sz w:val="20"/>
          <w:szCs w:val="20"/>
          <w:lang w:val="en-GB"/>
        </w:rPr>
        <w:t xml:space="preserve">last calendar week of the year usually includes </w:t>
      </w:r>
      <w:r w:rsidR="00851D22">
        <w:rPr>
          <w:rFonts w:ascii="Arial" w:hAnsi="Arial" w:cs="Arial"/>
          <w:sz w:val="20"/>
          <w:szCs w:val="20"/>
          <w:lang w:val="en-GB"/>
        </w:rPr>
        <w:t xml:space="preserve">some </w:t>
      </w:r>
      <w:r w:rsidRPr="00B51844">
        <w:rPr>
          <w:rFonts w:ascii="Arial" w:hAnsi="Arial" w:cs="Arial"/>
          <w:sz w:val="20"/>
          <w:szCs w:val="20"/>
          <w:lang w:val="en-GB"/>
        </w:rPr>
        <w:t>days from the previous or</w:t>
      </w:r>
      <w:r w:rsidR="00851D22">
        <w:rPr>
          <w:rFonts w:ascii="Arial" w:hAnsi="Arial" w:cs="Arial"/>
          <w:sz w:val="20"/>
          <w:szCs w:val="20"/>
          <w:lang w:val="en-GB"/>
        </w:rPr>
        <w:t xml:space="preserve"> the</w:t>
      </w:r>
      <w:r w:rsidRPr="00B51844">
        <w:rPr>
          <w:rFonts w:ascii="Arial" w:hAnsi="Arial" w:cs="Arial"/>
          <w:sz w:val="20"/>
          <w:szCs w:val="20"/>
          <w:lang w:val="en-GB"/>
        </w:rPr>
        <w:t xml:space="preserve"> following year</w:t>
      </w:r>
      <w:r w:rsidR="00C03A5C">
        <w:rPr>
          <w:rFonts w:ascii="Arial" w:hAnsi="Arial" w:cs="Arial"/>
          <w:sz w:val="20"/>
          <w:szCs w:val="20"/>
          <w:lang w:val="en-GB"/>
        </w:rPr>
        <w:t>).</w:t>
      </w:r>
      <w:r w:rsidRPr="00B51844">
        <w:rPr>
          <w:rFonts w:ascii="Arial" w:hAnsi="Arial" w:cs="Arial"/>
          <w:sz w:val="20"/>
          <w:szCs w:val="20"/>
          <w:lang w:val="en-GB"/>
        </w:rPr>
        <w:t xml:space="preserve"> </w:t>
      </w:r>
    </w:p>
    <w:p w14:paraId="60F8ACE2" w14:textId="2A1C88B1" w:rsidR="0085409F" w:rsidRDefault="0085409F" w:rsidP="000C40EF">
      <w:pPr>
        <w:spacing w:line="288" w:lineRule="auto"/>
        <w:rPr>
          <w:rFonts w:ascii="Arial" w:hAnsi="Arial" w:cs="Arial"/>
          <w:sz w:val="20"/>
          <w:szCs w:val="20"/>
          <w:lang w:val="en-GB"/>
        </w:rPr>
      </w:pPr>
      <w:r>
        <w:rPr>
          <w:rFonts w:ascii="Arial" w:hAnsi="Arial" w:cs="Arial"/>
          <w:sz w:val="20"/>
          <w:szCs w:val="20"/>
          <w:lang w:val="en-GB"/>
        </w:rPr>
        <w:t>T</w:t>
      </w:r>
      <w:r w:rsidRPr="0085409F">
        <w:rPr>
          <w:rFonts w:ascii="Arial" w:hAnsi="Arial" w:cs="Arial"/>
          <w:sz w:val="20"/>
          <w:szCs w:val="20"/>
          <w:lang w:val="en-GB"/>
        </w:rPr>
        <w:t xml:space="preserve">o ensure comparability with year(s) for which the </w:t>
      </w:r>
      <w:r>
        <w:rPr>
          <w:rFonts w:ascii="Arial" w:hAnsi="Arial" w:cs="Arial"/>
          <w:sz w:val="20"/>
          <w:szCs w:val="20"/>
          <w:lang w:val="en-GB"/>
        </w:rPr>
        <w:t>average</w:t>
      </w:r>
      <w:r w:rsidRPr="0085409F">
        <w:rPr>
          <w:rFonts w:ascii="Arial" w:hAnsi="Arial" w:cs="Arial"/>
          <w:sz w:val="20"/>
          <w:szCs w:val="20"/>
          <w:lang w:val="en-GB"/>
        </w:rPr>
        <w:t xml:space="preserve"> population is not available at the time of data release</w:t>
      </w:r>
      <w:r>
        <w:rPr>
          <w:rFonts w:ascii="Arial" w:hAnsi="Arial" w:cs="Arial"/>
          <w:sz w:val="20"/>
          <w:szCs w:val="20"/>
          <w:lang w:val="en-GB"/>
        </w:rPr>
        <w:t>, t</w:t>
      </w:r>
      <w:r w:rsidRPr="0085409F">
        <w:rPr>
          <w:rFonts w:ascii="Arial" w:hAnsi="Arial" w:cs="Arial"/>
          <w:sz w:val="20"/>
          <w:szCs w:val="20"/>
          <w:lang w:val="en-GB"/>
        </w:rPr>
        <w:t xml:space="preserve">he population at the beginning of the year (1 January) is used </w:t>
      </w:r>
      <w:r>
        <w:rPr>
          <w:rFonts w:ascii="Arial" w:hAnsi="Arial" w:cs="Arial"/>
          <w:sz w:val="20"/>
          <w:szCs w:val="20"/>
          <w:lang w:val="en-GB"/>
        </w:rPr>
        <w:t>in</w:t>
      </w:r>
      <w:r w:rsidRPr="0085409F">
        <w:rPr>
          <w:rFonts w:ascii="Arial" w:hAnsi="Arial" w:cs="Arial"/>
          <w:sz w:val="20"/>
          <w:szCs w:val="20"/>
          <w:lang w:val="en-GB"/>
        </w:rPr>
        <w:t xml:space="preserve"> the indicator of the relative number of deaths in the </w:t>
      </w:r>
      <w:r>
        <w:rPr>
          <w:rFonts w:ascii="Arial" w:hAnsi="Arial" w:cs="Arial"/>
          <w:sz w:val="20"/>
          <w:szCs w:val="20"/>
          <w:lang w:val="en-GB"/>
        </w:rPr>
        <w:t xml:space="preserve">reference </w:t>
      </w:r>
      <w:r w:rsidRPr="0085409F">
        <w:rPr>
          <w:rFonts w:ascii="Arial" w:hAnsi="Arial" w:cs="Arial"/>
          <w:sz w:val="20"/>
          <w:szCs w:val="20"/>
          <w:lang w:val="en-GB"/>
        </w:rPr>
        <w:t>period (per 100</w:t>
      </w:r>
      <w:r>
        <w:rPr>
          <w:rFonts w:ascii="Arial" w:hAnsi="Arial" w:cs="Arial"/>
          <w:sz w:val="20"/>
          <w:szCs w:val="20"/>
          <w:lang w:val="en-GB"/>
        </w:rPr>
        <w:t>,000 population of a given age)</w:t>
      </w:r>
      <w:r w:rsidRPr="0085409F">
        <w:rPr>
          <w:rFonts w:ascii="Arial" w:hAnsi="Arial" w:cs="Arial"/>
          <w:sz w:val="20"/>
          <w:szCs w:val="20"/>
          <w:lang w:val="en-GB"/>
        </w:rPr>
        <w:t>.</w:t>
      </w:r>
    </w:p>
    <w:sectPr w:rsidR="0085409F" w:rsidSect="009C41AB">
      <w:headerReference w:type="even" r:id="rId8"/>
      <w:headerReference w:type="default" r:id="rId9"/>
      <w:footerReference w:type="even" r:id="rId10"/>
      <w:footerReference w:type="default" r:id="rId11"/>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ACE53" w14:textId="77777777" w:rsidR="005402E8" w:rsidRDefault="005402E8" w:rsidP="00DF4C57">
      <w:pPr>
        <w:spacing w:after="0" w:line="240" w:lineRule="auto"/>
      </w:pPr>
      <w:r>
        <w:separator/>
      </w:r>
    </w:p>
  </w:endnote>
  <w:endnote w:type="continuationSeparator" w:id="0">
    <w:p w14:paraId="61E46B5A" w14:textId="77777777" w:rsidR="005402E8" w:rsidRDefault="005402E8" w:rsidP="00DF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B7F2" w14:textId="10E0511E" w:rsidR="009C41AB" w:rsidRDefault="009C41AB" w:rsidP="009C41AB">
    <w:pPr>
      <w:pStyle w:val="Zpat"/>
      <w:jc w:val="right"/>
    </w:pPr>
    <w:r>
      <w:rPr>
        <w:noProof/>
        <w:lang w:eastAsia="cs-CZ"/>
      </w:rPr>
      <w:drawing>
        <wp:inline distT="0" distB="0" distL="0" distR="0" wp14:anchorId="0894B28F" wp14:editId="46078C62">
          <wp:extent cx="512064" cy="271272"/>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064" cy="2712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FEF69" w14:textId="4A702887" w:rsidR="009C41AB" w:rsidRDefault="009C41AB">
    <w:pPr>
      <w:pStyle w:val="Zpat"/>
    </w:pPr>
    <w:r>
      <w:rPr>
        <w:noProof/>
        <w:lang w:eastAsia="cs-CZ"/>
      </w:rPr>
      <w:drawing>
        <wp:inline distT="0" distB="0" distL="0" distR="0" wp14:anchorId="4BCF9BFC" wp14:editId="427E19A8">
          <wp:extent cx="512064" cy="271272"/>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064" cy="2712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6547" w14:textId="77777777" w:rsidR="005402E8" w:rsidRDefault="005402E8" w:rsidP="00DF4C57">
      <w:pPr>
        <w:spacing w:after="0" w:line="240" w:lineRule="auto"/>
      </w:pPr>
      <w:r>
        <w:separator/>
      </w:r>
    </w:p>
  </w:footnote>
  <w:footnote w:type="continuationSeparator" w:id="0">
    <w:p w14:paraId="3CE07BC5" w14:textId="77777777" w:rsidR="005402E8" w:rsidRDefault="005402E8" w:rsidP="00DF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E8EF" w14:textId="12D1EA09" w:rsidR="009C41AB" w:rsidRPr="009C41AB" w:rsidRDefault="009C41AB">
    <w:pPr>
      <w:pStyle w:val="Zhlav"/>
      <w:rPr>
        <w:rFonts w:ascii="Arial" w:hAnsi="Arial" w:cs="Arial"/>
        <w:sz w:val="16"/>
        <w:szCs w:val="16"/>
      </w:rPr>
    </w:pPr>
    <w:r w:rsidRPr="009C41AB">
      <w:rPr>
        <w:rFonts w:ascii="Arial" w:hAnsi="Arial" w:cs="Arial"/>
        <w:sz w:val="16"/>
        <w:szCs w:val="16"/>
      </w:rPr>
      <w:t>Počet zemřelých – týdenní a měsíční časové řady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CC99" w14:textId="51986374" w:rsidR="009C41AB" w:rsidRPr="0085409F" w:rsidRDefault="00886580">
    <w:pPr>
      <w:pStyle w:val="Zhlav"/>
      <w:rPr>
        <w:rFonts w:ascii="Arial" w:hAnsi="Arial" w:cs="Arial"/>
        <w:sz w:val="16"/>
        <w:szCs w:val="16"/>
        <w:lang w:val="en-GB"/>
      </w:rPr>
    </w:pPr>
    <w:r w:rsidRPr="0085409F">
      <w:rPr>
        <w:rFonts w:ascii="Arial" w:hAnsi="Arial" w:cs="Arial"/>
        <w:sz w:val="16"/>
        <w:szCs w:val="16"/>
        <w:lang w:val="en-GB"/>
      </w:rPr>
      <w:t>Number of deaths</w:t>
    </w:r>
    <w:r w:rsidR="009C41AB" w:rsidRPr="0085409F">
      <w:rPr>
        <w:rFonts w:ascii="Arial" w:hAnsi="Arial" w:cs="Arial"/>
        <w:sz w:val="16"/>
        <w:szCs w:val="16"/>
        <w:lang w:val="en-GB"/>
      </w:rPr>
      <w:t xml:space="preserve"> – </w:t>
    </w:r>
    <w:r w:rsidRPr="0085409F">
      <w:rPr>
        <w:rFonts w:ascii="Arial" w:hAnsi="Arial" w:cs="Arial"/>
        <w:sz w:val="16"/>
        <w:szCs w:val="16"/>
        <w:lang w:val="en-GB"/>
      </w:rPr>
      <w:t>weekly and mont</w:t>
    </w:r>
    <w:r w:rsidR="0085409F">
      <w:rPr>
        <w:rFonts w:ascii="Arial" w:hAnsi="Arial" w:cs="Arial"/>
        <w:sz w:val="16"/>
        <w:szCs w:val="16"/>
        <w:lang w:val="en-GB"/>
      </w:rPr>
      <w:t>h</w:t>
    </w:r>
    <w:r w:rsidRPr="0085409F">
      <w:rPr>
        <w:rFonts w:ascii="Arial" w:hAnsi="Arial" w:cs="Arial"/>
        <w:sz w:val="16"/>
        <w:szCs w:val="16"/>
        <w:lang w:val="en-GB"/>
      </w:rPr>
      <w:t>ly time series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1E"/>
    <w:rsid w:val="00061D5D"/>
    <w:rsid w:val="000620D3"/>
    <w:rsid w:val="00094DA9"/>
    <w:rsid w:val="000B3B3F"/>
    <w:rsid w:val="000C40EF"/>
    <w:rsid w:val="000D675B"/>
    <w:rsid w:val="000D78BB"/>
    <w:rsid w:val="00102D0D"/>
    <w:rsid w:val="00142D0E"/>
    <w:rsid w:val="00150935"/>
    <w:rsid w:val="00161F54"/>
    <w:rsid w:val="00172BB6"/>
    <w:rsid w:val="00181165"/>
    <w:rsid w:val="00187643"/>
    <w:rsid w:val="0019301D"/>
    <w:rsid w:val="001B3540"/>
    <w:rsid w:val="001D5AEA"/>
    <w:rsid w:val="001E1A8D"/>
    <w:rsid w:val="00266699"/>
    <w:rsid w:val="00271904"/>
    <w:rsid w:val="0028503B"/>
    <w:rsid w:val="002A0434"/>
    <w:rsid w:val="002C790B"/>
    <w:rsid w:val="002D0FB0"/>
    <w:rsid w:val="002F78DF"/>
    <w:rsid w:val="003116CE"/>
    <w:rsid w:val="00375D13"/>
    <w:rsid w:val="003B0DD4"/>
    <w:rsid w:val="004024D2"/>
    <w:rsid w:val="00452DA4"/>
    <w:rsid w:val="004865C9"/>
    <w:rsid w:val="004A2B07"/>
    <w:rsid w:val="004C3E09"/>
    <w:rsid w:val="00501838"/>
    <w:rsid w:val="005113D1"/>
    <w:rsid w:val="005402E8"/>
    <w:rsid w:val="00554C11"/>
    <w:rsid w:val="00573369"/>
    <w:rsid w:val="00573AD4"/>
    <w:rsid w:val="00623CD9"/>
    <w:rsid w:val="00626899"/>
    <w:rsid w:val="00673113"/>
    <w:rsid w:val="00674A5A"/>
    <w:rsid w:val="006759CA"/>
    <w:rsid w:val="006911FF"/>
    <w:rsid w:val="006E2D3F"/>
    <w:rsid w:val="00713D28"/>
    <w:rsid w:val="00770E00"/>
    <w:rsid w:val="007729A2"/>
    <w:rsid w:val="00796C39"/>
    <w:rsid w:val="007B6F42"/>
    <w:rsid w:val="007D4DE5"/>
    <w:rsid w:val="007D70A2"/>
    <w:rsid w:val="0084761E"/>
    <w:rsid w:val="00851D22"/>
    <w:rsid w:val="0085409F"/>
    <w:rsid w:val="00861050"/>
    <w:rsid w:val="0086481A"/>
    <w:rsid w:val="00886580"/>
    <w:rsid w:val="00892E76"/>
    <w:rsid w:val="008A7385"/>
    <w:rsid w:val="008D1253"/>
    <w:rsid w:val="009307E5"/>
    <w:rsid w:val="0094596E"/>
    <w:rsid w:val="00946D91"/>
    <w:rsid w:val="0096691D"/>
    <w:rsid w:val="00990CCF"/>
    <w:rsid w:val="009C41AB"/>
    <w:rsid w:val="009F768D"/>
    <w:rsid w:val="00A13E9B"/>
    <w:rsid w:val="00AA1607"/>
    <w:rsid w:val="00AC4D61"/>
    <w:rsid w:val="00B03301"/>
    <w:rsid w:val="00B122C8"/>
    <w:rsid w:val="00B51844"/>
    <w:rsid w:val="00B66CBB"/>
    <w:rsid w:val="00B67D8D"/>
    <w:rsid w:val="00B724F0"/>
    <w:rsid w:val="00B77066"/>
    <w:rsid w:val="00B93F88"/>
    <w:rsid w:val="00BD174A"/>
    <w:rsid w:val="00BD1DBF"/>
    <w:rsid w:val="00C03A5C"/>
    <w:rsid w:val="00C34A05"/>
    <w:rsid w:val="00C81443"/>
    <w:rsid w:val="00CF08A4"/>
    <w:rsid w:val="00CF4019"/>
    <w:rsid w:val="00D1050F"/>
    <w:rsid w:val="00D21581"/>
    <w:rsid w:val="00DA2ED4"/>
    <w:rsid w:val="00DB6EEA"/>
    <w:rsid w:val="00DC38D1"/>
    <w:rsid w:val="00DD734B"/>
    <w:rsid w:val="00DF4C57"/>
    <w:rsid w:val="00DF6B4B"/>
    <w:rsid w:val="00E21269"/>
    <w:rsid w:val="00E44B6F"/>
    <w:rsid w:val="00E7126E"/>
    <w:rsid w:val="00E82492"/>
    <w:rsid w:val="00F0456D"/>
    <w:rsid w:val="00F528C8"/>
    <w:rsid w:val="00F61711"/>
    <w:rsid w:val="00F65B0D"/>
    <w:rsid w:val="00F90BFF"/>
    <w:rsid w:val="00FA4AEE"/>
    <w:rsid w:val="00FB4C8C"/>
    <w:rsid w:val="00FF0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8653"/>
  <w15:chartTrackingRefBased/>
  <w15:docId w15:val="{8903A5EF-6B90-43DE-AE02-796A704B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
    <w:name w:val="Perex_"/>
    <w:next w:val="Normln"/>
    <w:qFormat/>
    <w:rsid w:val="00554C11"/>
    <w:pPr>
      <w:autoSpaceDE w:val="0"/>
      <w:autoSpaceDN w:val="0"/>
      <w:adjustRightInd w:val="0"/>
      <w:spacing w:after="280" w:line="276" w:lineRule="auto"/>
    </w:pPr>
    <w:rPr>
      <w:rFonts w:ascii="Arial" w:eastAsia="Calibri" w:hAnsi="Arial" w:cs="Arial"/>
      <w:b/>
      <w:sz w:val="20"/>
      <w:szCs w:val="18"/>
    </w:rPr>
  </w:style>
  <w:style w:type="paragraph" w:styleId="Textbubliny">
    <w:name w:val="Balloon Text"/>
    <w:basedOn w:val="Normln"/>
    <w:link w:val="TextbublinyChar"/>
    <w:uiPriority w:val="99"/>
    <w:semiHidden/>
    <w:unhideWhenUsed/>
    <w:rsid w:val="001509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0935"/>
    <w:rPr>
      <w:rFonts w:ascii="Segoe UI" w:hAnsi="Segoe UI" w:cs="Segoe UI"/>
      <w:sz w:val="18"/>
      <w:szCs w:val="18"/>
    </w:rPr>
  </w:style>
  <w:style w:type="character" w:styleId="Odkaznakoment">
    <w:name w:val="annotation reference"/>
    <w:basedOn w:val="Standardnpsmoodstavce"/>
    <w:uiPriority w:val="99"/>
    <w:semiHidden/>
    <w:unhideWhenUsed/>
    <w:rsid w:val="00C34A05"/>
    <w:rPr>
      <w:sz w:val="16"/>
      <w:szCs w:val="16"/>
    </w:rPr>
  </w:style>
  <w:style w:type="paragraph" w:styleId="Textkomente">
    <w:name w:val="annotation text"/>
    <w:basedOn w:val="Normln"/>
    <w:link w:val="TextkomenteChar"/>
    <w:uiPriority w:val="99"/>
    <w:semiHidden/>
    <w:unhideWhenUsed/>
    <w:rsid w:val="00C34A05"/>
    <w:pPr>
      <w:spacing w:line="240" w:lineRule="auto"/>
    </w:pPr>
    <w:rPr>
      <w:sz w:val="20"/>
      <w:szCs w:val="20"/>
    </w:rPr>
  </w:style>
  <w:style w:type="character" w:customStyle="1" w:styleId="TextkomenteChar">
    <w:name w:val="Text komentáře Char"/>
    <w:basedOn w:val="Standardnpsmoodstavce"/>
    <w:link w:val="Textkomente"/>
    <w:uiPriority w:val="99"/>
    <w:semiHidden/>
    <w:rsid w:val="00C34A05"/>
    <w:rPr>
      <w:sz w:val="20"/>
      <w:szCs w:val="20"/>
    </w:rPr>
  </w:style>
  <w:style w:type="paragraph" w:styleId="Pedmtkomente">
    <w:name w:val="annotation subject"/>
    <w:basedOn w:val="Textkomente"/>
    <w:next w:val="Textkomente"/>
    <w:link w:val="PedmtkomenteChar"/>
    <w:uiPriority w:val="99"/>
    <w:semiHidden/>
    <w:unhideWhenUsed/>
    <w:rsid w:val="00C34A05"/>
    <w:rPr>
      <w:b/>
      <w:bCs/>
    </w:rPr>
  </w:style>
  <w:style w:type="character" w:customStyle="1" w:styleId="PedmtkomenteChar">
    <w:name w:val="Předmět komentáře Char"/>
    <w:basedOn w:val="TextkomenteChar"/>
    <w:link w:val="Pedmtkomente"/>
    <w:uiPriority w:val="99"/>
    <w:semiHidden/>
    <w:rsid w:val="00C34A05"/>
    <w:rPr>
      <w:b/>
      <w:bCs/>
      <w:sz w:val="20"/>
      <w:szCs w:val="20"/>
    </w:rPr>
  </w:style>
  <w:style w:type="paragraph" w:styleId="Textpoznpodarou">
    <w:name w:val="footnote text"/>
    <w:basedOn w:val="Normln"/>
    <w:link w:val="TextpoznpodarouChar"/>
    <w:uiPriority w:val="99"/>
    <w:semiHidden/>
    <w:unhideWhenUsed/>
    <w:rsid w:val="00DF4C5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F4C57"/>
    <w:rPr>
      <w:sz w:val="20"/>
      <w:szCs w:val="20"/>
    </w:rPr>
  </w:style>
  <w:style w:type="character" w:styleId="Znakapoznpodarou">
    <w:name w:val="footnote reference"/>
    <w:basedOn w:val="Standardnpsmoodstavce"/>
    <w:uiPriority w:val="99"/>
    <w:semiHidden/>
    <w:unhideWhenUsed/>
    <w:rsid w:val="00DF4C57"/>
    <w:rPr>
      <w:vertAlign w:val="superscript"/>
    </w:rPr>
  </w:style>
  <w:style w:type="character" w:styleId="Hypertextovodkaz">
    <w:name w:val="Hyperlink"/>
    <w:basedOn w:val="Standardnpsmoodstavce"/>
    <w:uiPriority w:val="99"/>
    <w:unhideWhenUsed/>
    <w:rsid w:val="00DA2ED4"/>
    <w:rPr>
      <w:color w:val="0563C1" w:themeColor="hyperlink"/>
      <w:u w:val="single"/>
    </w:rPr>
  </w:style>
  <w:style w:type="paragraph" w:styleId="Zhlav">
    <w:name w:val="header"/>
    <w:basedOn w:val="Normln"/>
    <w:link w:val="ZhlavChar"/>
    <w:uiPriority w:val="99"/>
    <w:unhideWhenUsed/>
    <w:rsid w:val="009C41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41AB"/>
  </w:style>
  <w:style w:type="paragraph" w:styleId="Zpat">
    <w:name w:val="footer"/>
    <w:basedOn w:val="Normln"/>
    <w:link w:val="ZpatChar"/>
    <w:uiPriority w:val="99"/>
    <w:unhideWhenUsed/>
    <w:rsid w:val="009C41AB"/>
    <w:pPr>
      <w:tabs>
        <w:tab w:val="center" w:pos="4536"/>
        <w:tab w:val="right" w:pos="9072"/>
      </w:tabs>
      <w:spacing w:after="0" w:line="240" w:lineRule="auto"/>
    </w:pPr>
  </w:style>
  <w:style w:type="character" w:customStyle="1" w:styleId="ZpatChar">
    <w:name w:val="Zápatí Char"/>
    <w:basedOn w:val="Standardnpsmoodstavce"/>
    <w:link w:val="Zpat"/>
    <w:uiPriority w:val="99"/>
    <w:rsid w:val="009C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zso.cz/csu/czso/catalogue-of-products?filtr=true&amp;skupiny=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6BA1-B998-40F4-AE97-29A92E53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399</Words>
  <Characters>2357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ČSÚ</dc:creator>
  <cp:keywords/>
  <dc:description/>
  <cp:lastModifiedBy>Štyglerová Terezie</cp:lastModifiedBy>
  <cp:revision>11</cp:revision>
  <dcterms:created xsi:type="dcterms:W3CDTF">2023-02-27T10:18:00Z</dcterms:created>
  <dcterms:modified xsi:type="dcterms:W3CDTF">2023-02-27T12:02:00Z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7dcdf11e85ae0458d4fd9319817f61cc2097252ec786f57e1300d4e198fe2804</vt:lpwstr>
  </property>
</Properties>
</file>