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29754F" w:rsidP="0097104F">
      <w:pPr>
        <w:pStyle w:val="Nadpis1"/>
        <w:rPr>
          <w:spacing w:val="-2"/>
        </w:rPr>
      </w:pPr>
      <w:bookmarkStart w:id="0" w:name="_GoBack"/>
      <w:bookmarkEnd w:id="0"/>
      <w:r>
        <w:rPr>
          <w:rFonts w:cs="Arial"/>
        </w:rPr>
        <w:t>Cenová hladina vzrostla oproti prosinci o 6,0 %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29754F">
        <w:t>leden</w:t>
      </w:r>
      <w:r w:rsidR="00250429">
        <w:t> 20</w:t>
      </w:r>
      <w:r w:rsidR="00D563FA">
        <w:t>2</w:t>
      </w:r>
      <w:r w:rsidR="0029754F">
        <w:t>3</w:t>
      </w:r>
    </w:p>
    <w:p w:rsidR="0078029C" w:rsidRDefault="0029754F" w:rsidP="009C73E7">
      <w:pPr>
        <w:pStyle w:val="Perex"/>
      </w:pPr>
      <w:r w:rsidRPr="001A6012">
        <w:t>Spotřebitelské ceny meziměsíčně vzrostly o </w:t>
      </w:r>
      <w:r>
        <w:t>6,0</w:t>
      </w:r>
      <w:r w:rsidRPr="001A6012">
        <w:t> %. Tento vývoj byl ovlivněn zejména vyššími cenami v oddíle bydlení</w:t>
      </w:r>
      <w:r>
        <w:t>.</w:t>
      </w:r>
      <w:r w:rsidRPr="001A6012">
        <w:t xml:space="preserve"> </w:t>
      </w:r>
      <w:r w:rsidRPr="001A6012">
        <w:rPr>
          <w:spacing w:val="-4"/>
        </w:rPr>
        <w:t>Meziročně vzrostly spotřebitelské ceny v l</w:t>
      </w:r>
      <w:r>
        <w:rPr>
          <w:spacing w:val="-4"/>
        </w:rPr>
        <w:t>ednu</w:t>
      </w:r>
      <w:r w:rsidRPr="001A6012">
        <w:rPr>
          <w:spacing w:val="-4"/>
        </w:rPr>
        <w:t xml:space="preserve"> o 1</w:t>
      </w:r>
      <w:r>
        <w:rPr>
          <w:spacing w:val="-4"/>
        </w:rPr>
        <w:t>7,5</w:t>
      </w:r>
      <w:r w:rsidRPr="001A6012">
        <w:rPr>
          <w:spacing w:val="-4"/>
        </w:rPr>
        <w:t> %, což bylo o 1,</w:t>
      </w:r>
      <w:r>
        <w:rPr>
          <w:spacing w:val="-4"/>
        </w:rPr>
        <w:t>7</w:t>
      </w:r>
      <w:r w:rsidRPr="001A6012">
        <w:t> procentního bodu více než v </w:t>
      </w:r>
      <w:r>
        <w:t>prosinci</w:t>
      </w:r>
      <w:r w:rsidRPr="001A6012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29754F" w:rsidRDefault="0029754F" w:rsidP="0029754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A6012">
        <w:rPr>
          <w:rFonts w:cs="Arial"/>
          <w:szCs w:val="20"/>
        </w:rPr>
        <w:t>Meziměsíčně vzrostly spotřebitelské ceny v l</w:t>
      </w:r>
      <w:r>
        <w:rPr>
          <w:rFonts w:cs="Arial"/>
          <w:szCs w:val="20"/>
        </w:rPr>
        <w:t>ednu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6,0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Výrazný růst cen v oddíle bydlení byl z velké části ovlivněn ukončením Úsporného tarifu, kdy cena elektřiny oproti prosinci vzrostla o 139,8 % (více informací k indexu cen elektřiny: </w:t>
      </w:r>
      <w:hyperlink r:id="rId8" w:history="1">
        <w:r w:rsidRPr="001A6012">
          <w:rPr>
            <w:rStyle w:val="Hypertextovodkaz"/>
            <w:rFonts w:eastAsia="Calibri" w:cs="Arial"/>
            <w:szCs w:val="20"/>
          </w:rPr>
          <w:t>Poznámka</w:t>
        </w:r>
      </w:hyperlink>
      <w:r w:rsidRPr="00701BE6">
        <w:rPr>
          <w:rStyle w:val="Hypertextovodkaz"/>
          <w:rFonts w:eastAsia="Calibri" w:cs="Arial"/>
          <w:color w:val="auto"/>
          <w:szCs w:val="20"/>
        </w:rPr>
        <w:t>)</w:t>
      </w:r>
      <w:r w:rsidRPr="00701BE6">
        <w:rPr>
          <w:rStyle w:val="Hypertextovodkaz"/>
          <w:rFonts w:eastAsia="Calibri" w:cs="Arial"/>
          <w:szCs w:val="20"/>
        </w:rPr>
        <w:t>.</w:t>
      </w:r>
      <w:r>
        <w:rPr>
          <w:rFonts w:cs="Arial"/>
          <w:szCs w:val="20"/>
        </w:rPr>
        <w:t xml:space="preserve"> Ceny tepla a teplé vody byly vyšší o 23,5 %, stočného o 30,3 %, vodného o 16,3 %, zemního plynu o 2,2 % a nájemného z bytu o 1,1 %. </w:t>
      </w:r>
      <w:r>
        <w:rPr>
          <w:rFonts w:eastAsia="Calibri" w:cs="Arial"/>
          <w:szCs w:val="20"/>
        </w:rPr>
        <w:t>V oddíle potraviny a nealkoholické nápoje se zvýšily především ceny nealkoholických nápojů o 7,6 %, ovoce o 9,8 %, zeleniny o 7,3 %, vepřového masa o 7,5 %, sýrů a tvarohů o 3,9 %, pekárenských výrobků a obilovin o 1,5 % a vajec o 8,6 %. Meziměsíční růst cen v oddíle alkoholické nápoje, tabák byl ovlivněn vyššími cenami lihovin o 9,2 %, piva o 8,9 % a vína o 8,5 %. V oddíle rekreace a kultura vzrostly ceny dovolených s komplexními službami o 11,2 % a v oddíle ostatní zboží a služby ceny výrobků a služeb pro osobní péči o 2,5 %. Naopak nižší než v prosinci byly ceny v oddíle doprava, kde klesly ceny pohonných hmot a olejů o 1,7 % a ceny automobilů o 1,1 %. Z potravin byly nižší zejména ceny másla o 7,2 % a ceny polotučného trvanlivého mléka o 7,1 %.</w:t>
      </w:r>
    </w:p>
    <w:p w:rsidR="0029754F" w:rsidRDefault="0029754F" w:rsidP="0029754F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8,7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ceny</w:t>
      </w:r>
      <w:r w:rsidRPr="001A6012">
        <w:rPr>
          <w:rFonts w:cs="Arial"/>
          <w:szCs w:val="20"/>
        </w:rPr>
        <w:t xml:space="preserve"> služeb o </w:t>
      </w:r>
      <w:r>
        <w:rPr>
          <w:rFonts w:cs="Arial"/>
          <w:szCs w:val="20"/>
        </w:rPr>
        <w:t>1,9</w:t>
      </w:r>
      <w:r w:rsidRPr="001A6012">
        <w:rPr>
          <w:rFonts w:cs="Arial"/>
          <w:szCs w:val="20"/>
        </w:rPr>
        <w:t> %.</w:t>
      </w:r>
    </w:p>
    <w:p w:rsidR="00BF4542" w:rsidRPr="00A3469B" w:rsidRDefault="0029754F" w:rsidP="0029754F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D503EF">
        <w:rPr>
          <w:rFonts w:eastAsia="Times New Roman" w:cs="Arial"/>
          <w:i/>
          <w:szCs w:val="20"/>
          <w:lang w:eastAsia="cs-CZ"/>
        </w:rPr>
        <w:t>„</w:t>
      </w:r>
      <w:r w:rsidRPr="00D503EF">
        <w:rPr>
          <w:i/>
        </w:rPr>
        <w:t>Spotřebitelské ceny vzrostly v lednu oproti prosinci o 6,0 % a meziročně o 17,5 %. Tento růst byl významně ovlivněn ukončením Úsporného tarifu pro domácnosti ve formě příspěvku na energie. Ceny elektřiny meziročně vzrostly o 36,4 %, zemního plynu o 87 %, vodného o 16,3 %, stočného o 30,3 % a tepla a teplé vody o 44,7 %</w:t>
      </w:r>
      <w:r w:rsidRPr="00D503EF">
        <w:rPr>
          <w:rFonts w:eastAsia="Times New Roman" w:cs="Arial"/>
          <w:i/>
          <w:szCs w:val="20"/>
          <w:lang w:eastAsia="cs-CZ"/>
        </w:rPr>
        <w:t xml:space="preserve">,“ </w:t>
      </w:r>
      <w:r w:rsidRPr="00D503EF">
        <w:rPr>
          <w:rFonts w:eastAsia="Times New Roman" w:cs="Arial"/>
          <w:szCs w:val="20"/>
          <w:lang w:eastAsia="cs-CZ"/>
        </w:rPr>
        <w:t>uvádí 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29754F" w:rsidRDefault="0029754F" w:rsidP="0029754F">
      <w:pPr>
        <w:jc w:val="both"/>
        <w:rPr>
          <w:rFonts w:cs="Arial"/>
          <w:szCs w:val="20"/>
        </w:rPr>
      </w:pPr>
      <w:r w:rsidRPr="001A6012">
        <w:t>Meziročně vzrostly spotřebitelské ceny v </w:t>
      </w:r>
      <w:r>
        <w:t>lednu</w:t>
      </w:r>
      <w:r w:rsidRPr="001A6012">
        <w:t xml:space="preserve"> o 1</w:t>
      </w:r>
      <w:r>
        <w:t>7,5</w:t>
      </w:r>
      <w:r w:rsidRPr="001A6012">
        <w:t> %, což bylo o </w:t>
      </w:r>
      <w:r>
        <w:t>1,7</w:t>
      </w:r>
      <w:r w:rsidRPr="001A6012">
        <w:t xml:space="preserve"> procentního bodu </w:t>
      </w:r>
      <w:r>
        <w:t>více</w:t>
      </w:r>
      <w:r w:rsidRPr="001A6012">
        <w:t xml:space="preserve"> než v </w:t>
      </w:r>
      <w:r>
        <w:t>prosinci</w:t>
      </w:r>
      <w:r w:rsidRPr="001A6012">
        <w:t xml:space="preserve">. Toto </w:t>
      </w:r>
      <w:r w:rsidRPr="00B22172">
        <w:rPr>
          <w:b/>
        </w:rPr>
        <w:t>z</w:t>
      </w:r>
      <w:r>
        <w:rPr>
          <w:b/>
        </w:rPr>
        <w:t>rychlení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 </w:t>
      </w:r>
      <w:r w:rsidRPr="001A6012">
        <w:rPr>
          <w:rFonts w:cs="Arial"/>
          <w:szCs w:val="20"/>
        </w:rPr>
        <w:t>bylo ovlivněno zejména cenami v</w:t>
      </w:r>
      <w:r>
        <w:rPr>
          <w:rFonts w:cs="Arial"/>
          <w:szCs w:val="20"/>
        </w:rPr>
        <w:t> </w:t>
      </w:r>
      <w:r w:rsidRPr="001A6012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bydlení. Ceny elektřiny přešly z prosincového poklesu o 21,2 % v růst o 36,4 % v lednu. Ceny vodného zrychlily svůj růst na 16,3 % (v prosinci 5,3 %), stočného na 30,3 % (v prosinci 6,4 %) a tepla a teplé vody na 44,7 % (v prosinci 28,8 %). Ceny zemního plynu zmírnily svůj růst na 87,0 % (v prosinci 140,2 %).</w:t>
      </w:r>
    </w:p>
    <w:p w:rsidR="0029754F" w:rsidRDefault="0029754F" w:rsidP="0029754F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 xml:space="preserve"> lednu největší vliv ceny v oddíle bydlení, kde </w:t>
      </w:r>
      <w:r w:rsidRPr="00B3645D">
        <w:rPr>
          <w:rFonts w:cs="Arial"/>
          <w:szCs w:val="20"/>
        </w:rPr>
        <w:t xml:space="preserve">kromě nákladů vlastnického bydlení vzrostly ceny nájemného </w:t>
      </w:r>
      <w:r w:rsidRPr="00637E7E">
        <w:rPr>
          <w:rFonts w:cs="Arial"/>
          <w:szCs w:val="20"/>
        </w:rPr>
        <w:t>z bytu</w:t>
      </w:r>
      <w:r w:rsidRPr="00637E7E">
        <w:rPr>
          <w:rStyle w:val="Znakapoznpodarou"/>
          <w:rFonts w:cs="Arial"/>
          <w:szCs w:val="20"/>
        </w:rPr>
        <w:footnoteReference w:id="2"/>
      </w:r>
      <w:r w:rsidRPr="00637E7E">
        <w:rPr>
          <w:rFonts w:cs="Arial"/>
          <w:szCs w:val="20"/>
          <w:vertAlign w:val="superscript"/>
        </w:rPr>
        <w:t>)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6,1</w:t>
      </w:r>
      <w:r w:rsidRPr="00B3645D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výrobků a služeb pro běžnou údržbu </w:t>
      </w:r>
      <w:r w:rsidRPr="006B773B">
        <w:rPr>
          <w:rFonts w:cs="Arial"/>
          <w:szCs w:val="20"/>
        </w:rPr>
        <w:t>bytu o</w:t>
      </w:r>
      <w:r>
        <w:rPr>
          <w:rFonts w:cs="Arial"/>
          <w:szCs w:val="20"/>
        </w:rPr>
        <w:t> 18,6 % a tuhých paliv o 58,1 %. Další v pořadí vlivu byly ceny v </w:t>
      </w:r>
      <w:r w:rsidRPr="00B3645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potraviny a nealkoholické nápoje, kde byly v</w:t>
      </w:r>
      <w:r w:rsidRPr="000A362A">
        <w:rPr>
          <w:rFonts w:cs="Arial"/>
          <w:szCs w:val="20"/>
        </w:rPr>
        <w:t>yšší zejména</w:t>
      </w:r>
      <w:r w:rsidRPr="00A235D6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 xml:space="preserve">rýže o 35,1 %, </w:t>
      </w:r>
      <w:r w:rsidRPr="00A235D6">
        <w:rPr>
          <w:rFonts w:cs="Arial"/>
          <w:szCs w:val="20"/>
        </w:rPr>
        <w:t xml:space="preserve">mouky </w:t>
      </w:r>
      <w:r>
        <w:rPr>
          <w:rFonts w:cs="Arial"/>
          <w:szCs w:val="20"/>
        </w:rPr>
        <w:t>o 44,2 %, vepřového masa o 36,8 %, drůbežího masa o 32,4 %, polotučného trvanlivého mléka o 39,5 %, vajec o 85,0 %, olejů a tuků o 31,5 % a cukru o 84,7 %. V oddíle stravování a ubytování byly vyšší ceny stravovacích služeb o 23,8 % a ceny ubytovacích služeb o 19,9 %. V oddíle rekreace a kultura vzrostly ceny dovolených s komplexními službami o 19,1 %.</w:t>
      </w:r>
    </w:p>
    <w:p w:rsidR="0029754F" w:rsidRPr="00B3645D" w:rsidRDefault="0029754F" w:rsidP="0029754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 xml:space="preserve">Náklady vlastnického bydlení (imputované nájemné) </w:t>
      </w:r>
      <w:r>
        <w:rPr>
          <w:rFonts w:cs="Arial"/>
          <w:szCs w:val="20"/>
        </w:rPr>
        <w:t>se zvýšily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9,1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prosinci</w:t>
      </w:r>
      <w:r w:rsidRPr="00B3645D">
        <w:rPr>
          <w:rFonts w:cs="Arial"/>
          <w:szCs w:val="20"/>
        </w:rPr>
        <w:t xml:space="preserve"> </w:t>
      </w:r>
      <w:r w:rsidRPr="00C62F3F">
        <w:rPr>
          <w:rFonts w:cs="Arial"/>
          <w:szCs w:val="20"/>
        </w:rPr>
        <w:t>o 1</w:t>
      </w:r>
      <w:r>
        <w:rPr>
          <w:rFonts w:cs="Arial"/>
          <w:szCs w:val="20"/>
        </w:rPr>
        <w:t>0,9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 xml:space="preserve">zejména v důsledku růstu cen stavebních </w:t>
      </w:r>
      <w:r w:rsidRPr="00A6102F">
        <w:rPr>
          <w:rFonts w:cs="Arial"/>
          <w:szCs w:val="20"/>
        </w:rPr>
        <w:t>materiálů a </w:t>
      </w:r>
      <w:r>
        <w:rPr>
          <w:rFonts w:cs="Arial"/>
          <w:szCs w:val="20"/>
        </w:rPr>
        <w:t xml:space="preserve">cen stavebních prací. </w:t>
      </w:r>
      <w:r w:rsidRPr="00A6102F">
        <w:rPr>
          <w:rFonts w:cs="Arial"/>
          <w:szCs w:val="20"/>
        </w:rPr>
        <w:t>Úhrnný index spotř</w:t>
      </w:r>
      <w:r w:rsidRPr="00B3645D">
        <w:rPr>
          <w:rFonts w:cs="Arial"/>
          <w:szCs w:val="20"/>
        </w:rPr>
        <w:t xml:space="preserve">ebitelských cen bez započtení nákladů vlastnického bydlení byl </w:t>
      </w:r>
      <w:r w:rsidRPr="00FC25E9">
        <w:rPr>
          <w:rFonts w:cs="Arial"/>
          <w:szCs w:val="20"/>
        </w:rPr>
        <w:t>11</w:t>
      </w:r>
      <w:r>
        <w:rPr>
          <w:rFonts w:cs="Arial"/>
          <w:szCs w:val="20"/>
        </w:rPr>
        <w:t>8,7</w:t>
      </w:r>
      <w:r w:rsidRPr="00B3645D">
        <w:rPr>
          <w:rFonts w:cs="Arial"/>
          <w:szCs w:val="20"/>
        </w:rPr>
        <w:t xml:space="preserve"> %. (Více informací: </w:t>
      </w:r>
      <w:hyperlink r:id="rId9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29754F" w:rsidRDefault="0029754F" w:rsidP="0029754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lastRenderedPageBreak/>
        <w:t>Ceny zboží úhrnem vzrostly o </w:t>
      </w:r>
      <w:r>
        <w:rPr>
          <w:rFonts w:cs="Arial"/>
          <w:szCs w:val="20"/>
        </w:rPr>
        <w:t>20,8</w:t>
      </w:r>
      <w:r w:rsidRPr="00B3645D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2,2</w:t>
      </w:r>
      <w:r w:rsidRPr="00B3645D">
        <w:rPr>
          <w:rFonts w:cs="Arial"/>
          <w:szCs w:val="20"/>
        </w:rPr>
        <w:t> %.</w:t>
      </w:r>
    </w:p>
    <w:p w:rsidR="0029754F" w:rsidRPr="00D503EF" w:rsidRDefault="0029754F" w:rsidP="0029754F">
      <w:pPr>
        <w:jc w:val="both"/>
        <w:rPr>
          <w:rFonts w:cs="Arial"/>
          <w:iCs/>
          <w:szCs w:val="20"/>
        </w:rPr>
      </w:pPr>
      <w:r w:rsidRPr="00D503EF">
        <w:rPr>
          <w:rFonts w:cs="Arial"/>
          <w:iCs/>
          <w:szCs w:val="20"/>
        </w:rPr>
        <w:t>Podle propočtů ČSÚ by úhrnný index spotřebitelských cen bez započtení vlivu Úsporného tarifu pro domácnosti a odpuštění POZE v lednu vzrostl meziměsíčně o 3,4 % a meziročně o 18,1 % (v prosinci o 19,3 % a v listopadu o 19,8 %).</w:t>
      </w:r>
    </w:p>
    <w:p w:rsidR="00071A61" w:rsidRPr="00071A61" w:rsidRDefault="0029754F" w:rsidP="0029754F">
      <w:pPr>
        <w:jc w:val="both"/>
      </w:pPr>
      <w:r w:rsidRPr="00B3645D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lednu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15,7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prosinci 15,1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071A61" w:rsidRPr="00071A61" w:rsidRDefault="0029754F" w:rsidP="00071A6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vzrostl</w:t>
      </w:r>
      <w:r w:rsidRPr="00B3645D">
        <w:rPr>
          <w:rFonts w:cs="Arial"/>
          <w:sz w:val="20"/>
          <w:szCs w:val="20"/>
        </w:rPr>
        <w:t xml:space="preserve">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>HICP v </w:t>
      </w:r>
      <w:r w:rsidRPr="004B5EC8">
        <w:rPr>
          <w:rFonts w:cs="Arial"/>
          <w:sz w:val="20"/>
          <w:szCs w:val="20"/>
        </w:rPr>
        <w:t xml:space="preserve">Česku </w:t>
      </w:r>
      <w:r w:rsidRPr="004B5EC8">
        <w:rPr>
          <w:rFonts w:cs="Arial"/>
          <w:b/>
          <w:sz w:val="20"/>
          <w:szCs w:val="20"/>
        </w:rPr>
        <w:t>meziměsíčně</w:t>
      </w:r>
      <w:r w:rsidRPr="004B5EC8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6,6</w:t>
      </w:r>
      <w:r w:rsidRPr="004B5EC8">
        <w:rPr>
          <w:rFonts w:cs="Arial"/>
          <w:sz w:val="20"/>
          <w:szCs w:val="20"/>
        </w:rPr>
        <w:t> % a </w:t>
      </w:r>
      <w:r w:rsidRPr="004B5EC8">
        <w:rPr>
          <w:rFonts w:cs="Arial"/>
          <w:b/>
          <w:sz w:val="20"/>
          <w:szCs w:val="20"/>
        </w:rPr>
        <w:t xml:space="preserve">meziročně </w:t>
      </w:r>
      <w:r w:rsidRPr="004B5EC8">
        <w:rPr>
          <w:rFonts w:cs="Arial"/>
          <w:sz w:val="20"/>
          <w:szCs w:val="20"/>
        </w:rPr>
        <w:t>o</w:t>
      </w:r>
      <w:r w:rsidRPr="004B5EC8">
        <w:rPr>
          <w:rFonts w:cs="Arial"/>
          <w:b/>
          <w:sz w:val="20"/>
          <w:szCs w:val="20"/>
        </w:rPr>
        <w:t> </w:t>
      </w:r>
      <w:r w:rsidRPr="004B5EC8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9,1</w:t>
      </w:r>
      <w:r w:rsidRPr="004B5EC8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(v prosinci 16,8 %)</w:t>
      </w:r>
      <w:r w:rsidRPr="00B512BD">
        <w:rPr>
          <w:rFonts w:cs="Arial"/>
          <w:sz w:val="20"/>
          <w:szCs w:val="20"/>
        </w:rPr>
        <w:t>.</w:t>
      </w:r>
      <w:r w:rsidRPr="0008480C">
        <w:rPr>
          <w:rFonts w:cs="Arial"/>
          <w:sz w:val="20"/>
          <w:szCs w:val="20"/>
        </w:rPr>
        <w:t xml:space="preserve"> </w:t>
      </w:r>
      <w:r w:rsidRPr="004B5EC8">
        <w:rPr>
          <w:rFonts w:cs="Arial"/>
          <w:b/>
          <w:sz w:val="20"/>
          <w:szCs w:val="20"/>
        </w:rPr>
        <w:t>Podle bleskových odhadů</w:t>
      </w:r>
      <w:r w:rsidRPr="004B5EC8">
        <w:rPr>
          <w:rFonts w:cs="Arial"/>
          <w:sz w:val="20"/>
          <w:szCs w:val="20"/>
        </w:rPr>
        <w:t xml:space="preserve"> </w:t>
      </w:r>
      <w:proofErr w:type="spellStart"/>
      <w:r w:rsidRPr="004B5EC8">
        <w:rPr>
          <w:rFonts w:cs="Arial"/>
          <w:sz w:val="20"/>
          <w:szCs w:val="20"/>
        </w:rPr>
        <w:t>Eurostatu</w:t>
      </w:r>
      <w:proofErr w:type="spellEnd"/>
      <w:r w:rsidRPr="004B5EC8">
        <w:rPr>
          <w:rFonts w:cs="Arial"/>
          <w:b/>
          <w:sz w:val="20"/>
          <w:szCs w:val="20"/>
        </w:rPr>
        <w:t xml:space="preserve"> </w:t>
      </w:r>
      <w:r w:rsidRPr="00B92E0A">
        <w:rPr>
          <w:rFonts w:cs="Arial"/>
          <w:sz w:val="20"/>
          <w:szCs w:val="20"/>
        </w:rPr>
        <w:t>byla</w:t>
      </w:r>
      <w:r w:rsidRPr="00B92E0A">
        <w:rPr>
          <w:rFonts w:cs="Arial"/>
          <w:b/>
          <w:sz w:val="20"/>
          <w:szCs w:val="20"/>
        </w:rPr>
        <w:t xml:space="preserve"> meziroční</w:t>
      </w:r>
      <w:r w:rsidRPr="00B92E0A">
        <w:rPr>
          <w:rFonts w:cs="Arial"/>
          <w:sz w:val="20"/>
          <w:szCs w:val="20"/>
        </w:rPr>
        <w:t xml:space="preserve"> změna</w:t>
      </w:r>
      <w:r w:rsidRPr="00B3645D">
        <w:rPr>
          <w:rFonts w:cs="Arial"/>
          <w:sz w:val="20"/>
          <w:szCs w:val="20"/>
        </w:rPr>
        <w:t xml:space="preserve"> HICP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>
        <w:rPr>
          <w:rFonts w:cs="Arial"/>
          <w:b/>
          <w:bCs/>
          <w:sz w:val="20"/>
          <w:szCs w:val="20"/>
        </w:rPr>
        <w:t xml:space="preserve"> 2023</w:t>
      </w:r>
      <w:r w:rsidRPr="00B3645D">
        <w:rPr>
          <w:rFonts w:cs="Arial"/>
          <w:b/>
          <w:bCs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8,5</w:t>
      </w:r>
      <w:r w:rsidRPr="00800B2A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prosinci</w:t>
      </w:r>
      <w:r w:rsidRPr="00800B2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9,2</w:t>
      </w:r>
      <w:r w:rsidRPr="00800B2A">
        <w:rPr>
          <w:rFonts w:cs="Arial"/>
          <w:sz w:val="20"/>
          <w:szCs w:val="20"/>
        </w:rPr>
        <w:t> %), na Slovensku 1</w:t>
      </w:r>
      <w:r>
        <w:rPr>
          <w:rFonts w:cs="Arial"/>
          <w:sz w:val="20"/>
          <w:szCs w:val="20"/>
        </w:rPr>
        <w:t>4,9</w:t>
      </w:r>
      <w:r w:rsidRPr="00800B2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.</w:t>
      </w:r>
      <w:r w:rsidRPr="00800B2A">
        <w:rPr>
          <w:rFonts w:cs="Arial"/>
          <w:bCs/>
          <w:sz w:val="20"/>
          <w:szCs w:val="20"/>
        </w:rPr>
        <w:t xml:space="preserve"> Nejvyšší byla v </w:t>
      </w:r>
      <w:r>
        <w:rPr>
          <w:rFonts w:cs="Arial"/>
          <w:bCs/>
          <w:sz w:val="20"/>
          <w:szCs w:val="20"/>
        </w:rPr>
        <w:t>lednu</w:t>
      </w:r>
      <w:r w:rsidRPr="00800B2A">
        <w:rPr>
          <w:rFonts w:cs="Arial"/>
          <w:bCs/>
          <w:sz w:val="20"/>
          <w:szCs w:val="20"/>
        </w:rPr>
        <w:t xml:space="preserve"> v Lotyšsku (2</w:t>
      </w:r>
      <w:r>
        <w:rPr>
          <w:rFonts w:cs="Arial"/>
          <w:bCs/>
          <w:sz w:val="20"/>
          <w:szCs w:val="20"/>
        </w:rPr>
        <w:t>1,6</w:t>
      </w:r>
      <w:r w:rsidRPr="00800B2A">
        <w:rPr>
          <w:rFonts w:cs="Arial"/>
          <w:bCs/>
          <w:sz w:val="20"/>
          <w:szCs w:val="20"/>
        </w:rPr>
        <w:t> %).</w:t>
      </w:r>
      <w:r w:rsidRPr="00B3645D">
        <w:rPr>
          <w:rFonts w:cs="Arial"/>
          <w:bCs/>
          <w:sz w:val="20"/>
          <w:szCs w:val="20"/>
        </w:rPr>
        <w:t xml:space="preserve"> P</w:t>
      </w:r>
      <w:r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B3645D">
        <w:rPr>
          <w:rFonts w:cs="Arial"/>
          <w:b/>
          <w:sz w:val="20"/>
          <w:szCs w:val="20"/>
        </w:rPr>
        <w:t xml:space="preserve"> </w:t>
      </w:r>
      <w:r w:rsidRPr="00F50017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0,4</w:t>
      </w:r>
      <w:r w:rsidRPr="00B3645D">
        <w:rPr>
          <w:rFonts w:cs="Arial"/>
          <w:sz w:val="20"/>
          <w:szCs w:val="20"/>
        </w:rPr>
        <w:t> %, což bylo o 0,</w:t>
      </w:r>
      <w:r>
        <w:rPr>
          <w:rFonts w:cs="Arial"/>
          <w:sz w:val="20"/>
          <w:szCs w:val="20"/>
        </w:rPr>
        <w:t>7</w:t>
      </w:r>
      <w:r w:rsidRPr="00B3645D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méně</w:t>
      </w:r>
      <w:r w:rsidRPr="00B3645D">
        <w:rPr>
          <w:rFonts w:cs="Arial"/>
          <w:sz w:val="20"/>
          <w:szCs w:val="20"/>
        </w:rPr>
        <w:t xml:space="preserve"> než v </w:t>
      </w:r>
      <w:r>
        <w:rPr>
          <w:rFonts w:cs="Arial"/>
          <w:sz w:val="20"/>
          <w:szCs w:val="20"/>
        </w:rPr>
        <w:t>listopadu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>Nejvíce ceny v </w:t>
      </w:r>
      <w:r>
        <w:rPr>
          <w:rFonts w:cs="Arial"/>
          <w:bCs/>
          <w:sz w:val="20"/>
          <w:szCs w:val="20"/>
        </w:rPr>
        <w:t>prosinci</w:t>
      </w:r>
      <w:r w:rsidRPr="00B3645D">
        <w:rPr>
          <w:rFonts w:cs="Arial"/>
          <w:bCs/>
          <w:sz w:val="20"/>
          <w:szCs w:val="20"/>
        </w:rPr>
        <w:t xml:space="preserve"> meziročně vzrostly v </w:t>
      </w:r>
      <w:r>
        <w:rPr>
          <w:rFonts w:cs="Arial"/>
          <w:bCs/>
          <w:sz w:val="20"/>
          <w:szCs w:val="20"/>
        </w:rPr>
        <w:t>Maďarsku</w:t>
      </w:r>
      <w:r w:rsidRPr="00B3645D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25,0</w:t>
      </w:r>
      <w:r w:rsidRPr="00B3645D">
        <w:rPr>
          <w:rFonts w:cs="Arial"/>
          <w:bCs/>
          <w:sz w:val="20"/>
          <w:szCs w:val="20"/>
        </w:rPr>
        <w:t xml:space="preserve"> %) a nejméně </w:t>
      </w:r>
      <w:r>
        <w:rPr>
          <w:rFonts w:cs="Arial"/>
          <w:bCs/>
          <w:sz w:val="20"/>
          <w:szCs w:val="20"/>
        </w:rPr>
        <w:t xml:space="preserve">ve Španělsku </w:t>
      </w:r>
      <w:r w:rsidRPr="00B3645D">
        <w:rPr>
          <w:rFonts w:cs="Arial"/>
          <w:bCs/>
          <w:sz w:val="20"/>
          <w:szCs w:val="20"/>
        </w:rPr>
        <w:t>(o </w:t>
      </w:r>
      <w:r>
        <w:rPr>
          <w:rFonts w:cs="Arial"/>
          <w:bCs/>
          <w:sz w:val="20"/>
          <w:szCs w:val="20"/>
        </w:rPr>
        <w:t>5,5</w:t>
      </w:r>
      <w:r w:rsidRPr="00B3645D">
        <w:rPr>
          <w:rFonts w:cs="Arial"/>
          <w:bCs/>
          <w:sz w:val="20"/>
          <w:szCs w:val="20"/>
        </w:rPr>
        <w:t> %).</w:t>
      </w:r>
    </w:p>
    <w:p w:rsidR="00E9519C" w:rsidRPr="00071A61" w:rsidRDefault="00071A61" w:rsidP="00071A6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071A61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071A61">
        <w:rPr>
          <w:rFonts w:cs="Arial"/>
          <w:sz w:val="20"/>
          <w:szCs w:val="20"/>
        </w:rPr>
        <w:t>Eurostatu</w:t>
      </w:r>
      <w:proofErr w:type="spellEnd"/>
      <w:r w:rsidRPr="00071A61">
        <w:rPr>
          <w:rFonts w:cs="Arial"/>
          <w:sz w:val="20"/>
          <w:szCs w:val="20"/>
        </w:rPr>
        <w:t xml:space="preserve">: </w:t>
      </w:r>
      <w:hyperlink r:id="rId10" w:history="1">
        <w:r w:rsidRPr="00071A61">
          <w:rPr>
            <w:rStyle w:val="Hypertextovodkaz"/>
            <w:rFonts w:cs="Arial"/>
            <w:sz w:val="20"/>
            <w:szCs w:val="20"/>
          </w:rPr>
          <w:t>HICP</w:t>
        </w:r>
      </w:hyperlink>
      <w:r w:rsidRPr="00071A61">
        <w:rPr>
          <w:rFonts w:cs="Arial"/>
          <w:sz w:val="20"/>
          <w:szCs w:val="20"/>
        </w:rPr>
        <w:t>.)</w:t>
      </w:r>
    </w:p>
    <w:sectPr w:rsidR="00E9519C" w:rsidRPr="00071A61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E2" w:rsidRDefault="000603E2" w:rsidP="00E71A58">
      <w:r>
        <w:separator/>
      </w:r>
    </w:p>
  </w:endnote>
  <w:endnote w:type="continuationSeparator" w:id="0">
    <w:p w:rsidR="000603E2" w:rsidRDefault="000603E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3956F4">
      <w:rPr>
        <w:szCs w:val="16"/>
      </w:rPr>
      <w:t>leden</w:t>
    </w:r>
    <w:r w:rsidR="00A16F97">
      <w:rPr>
        <w:rStyle w:val="ZpatChar"/>
        <w:szCs w:val="16"/>
      </w:rPr>
      <w:t xml:space="preserve"> 202</w:t>
    </w:r>
    <w:r w:rsidR="003956F4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3956F4">
      <w:rPr>
        <w:rStyle w:val="ZpatChar"/>
        <w:i/>
        <w:szCs w:val="16"/>
      </w:rPr>
      <w:t>January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3956F4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E2" w:rsidRDefault="000603E2" w:rsidP="00E71A58">
      <w:r>
        <w:separator/>
      </w:r>
    </w:p>
  </w:footnote>
  <w:footnote w:type="continuationSeparator" w:id="0">
    <w:p w:rsidR="000603E2" w:rsidRDefault="000603E2" w:rsidP="00E71A58">
      <w:r>
        <w:continuationSeparator/>
      </w:r>
    </w:p>
  </w:footnote>
  <w:footnote w:id="1">
    <w:p w:rsidR="0029754F" w:rsidRPr="0029754F" w:rsidRDefault="0029754F" w:rsidP="0029754F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29754F">
        <w:rPr>
          <w:rStyle w:val="Znakapoznpodarou"/>
          <w:rFonts w:ascii="Arial" w:hAnsi="Arial" w:cs="Arial"/>
          <w:i/>
          <w:sz w:val="18"/>
          <w:szCs w:val="18"/>
          <w:lang w:val="cs-CZ"/>
        </w:rPr>
        <w:footnoteRef/>
      </w:r>
      <w:r w:rsidRPr="0029754F">
        <w:rPr>
          <w:rFonts w:ascii="Arial" w:hAnsi="Arial" w:cs="Arial"/>
          <w:sz w:val="18"/>
          <w:szCs w:val="18"/>
          <w:vertAlign w:val="superscript"/>
          <w:lang w:val="cs-CZ"/>
        </w:rPr>
        <w:t xml:space="preserve">) </w:t>
      </w:r>
      <w:r w:rsidRPr="0029754F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29754F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29754F" w:rsidRPr="00743BAE" w:rsidRDefault="0029754F" w:rsidP="0029754F">
      <w:pPr>
        <w:pStyle w:val="Textpoznpodarou"/>
        <w:spacing w:line="288" w:lineRule="auto"/>
        <w:jc w:val="both"/>
        <w:rPr>
          <w:i/>
          <w:sz w:val="18"/>
          <w:szCs w:val="18"/>
        </w:rPr>
      </w:pPr>
      <w:r w:rsidRPr="0029754F">
        <w:rPr>
          <w:rStyle w:val="Znakapoznpodarou"/>
          <w:rFonts w:ascii="Arial" w:hAnsi="Arial" w:cs="Arial"/>
          <w:i/>
          <w:sz w:val="18"/>
          <w:szCs w:val="18"/>
          <w:lang w:val="cs-CZ"/>
        </w:rPr>
        <w:footnoteRef/>
      </w:r>
      <w:r w:rsidRPr="0029754F">
        <w:rPr>
          <w:rFonts w:ascii="Arial" w:hAnsi="Arial" w:cs="Arial"/>
          <w:i/>
          <w:sz w:val="18"/>
          <w:szCs w:val="18"/>
          <w:vertAlign w:val="superscript"/>
          <w:lang w:val="cs-CZ"/>
        </w:rPr>
        <w:t>)</w:t>
      </w:r>
      <w:r w:rsidRPr="0029754F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29754F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712B3"/>
    <w:rsid w:val="00071A61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316C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0242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8E373ED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a-ke-spotrebitelskym-cenam-energii-leden-20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e-poznamky-k-indexu-spotrebitelskych-cen-imputovane-najemne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D634-2CC3-4422-AB79-3234E006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469</TotalTime>
  <Pages>2</Pages>
  <Words>706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213</cp:revision>
  <cp:lastPrinted>2017-01-18T13:33:00Z</cp:lastPrinted>
  <dcterms:created xsi:type="dcterms:W3CDTF">2017-02-09T16:27:00Z</dcterms:created>
  <dcterms:modified xsi:type="dcterms:W3CDTF">2023-02-09T13:49:00Z</dcterms:modified>
</cp:coreProperties>
</file>