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CA" w:rsidRDefault="000513C4">
      <w:pPr>
        <w:pStyle w:val="Nadpis1"/>
        <w:spacing w:after="240"/>
        <w:rPr>
          <w:rFonts w:ascii="Arial" w:hAnsi="Arial" w:cs="Arial"/>
          <w:i/>
          <w:sz w:val="24"/>
          <w:lang w:val="en-GB"/>
        </w:rPr>
      </w:pPr>
      <w:bookmarkStart w:id="0" w:name="_GoBack_kopie_1"/>
      <w:bookmarkEnd w:id="0"/>
      <w:r>
        <w:rPr>
          <w:rFonts w:ascii="Arial" w:hAnsi="Arial" w:cs="Arial"/>
          <w:i/>
          <w:sz w:val="24"/>
          <w:szCs w:val="20"/>
          <w:lang w:val="en-GB"/>
        </w:rPr>
        <w:t>COMMENTARY</w:t>
      </w:r>
      <w:bookmarkStart w:id="1" w:name="_GoBack"/>
      <w:bookmarkEnd w:id="1"/>
    </w:p>
    <w:p w:rsidR="00E97BCA" w:rsidRDefault="000513C4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GB"/>
        </w:rPr>
        <w:t xml:space="preserve">In 2021, the consumption of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cereals in terms of flour weight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increased, year-on-year, by 3.0 kg (+2.7%); it rose by 2.5 kg (+2.7%) for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wheat flour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and by 0.5 kg (+43.7%) for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other flours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.  </w:t>
      </w:r>
      <w:r>
        <w:rPr>
          <w:rFonts w:ascii="Arial" w:hAnsi="Arial" w:cs="Arial"/>
          <w:i/>
          <w:sz w:val="20"/>
          <w:szCs w:val="20"/>
          <w:lang w:val="en-GB"/>
        </w:rPr>
        <w:t>The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consumption of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rye flour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-GB"/>
        </w:rPr>
        <w:t>decreased by 0.1 kg (</w:t>
      </w:r>
      <w:r>
        <w:rPr>
          <w:rFonts w:ascii="Arial" w:hAnsi="Arial" w:cs="Arial"/>
          <w:bCs/>
          <w:i/>
          <w:sz w:val="18"/>
          <w:szCs w:val="20"/>
          <w:lang w:val="en-GB"/>
        </w:rPr>
        <w:t>-</w:t>
      </w:r>
      <w:r>
        <w:rPr>
          <w:rFonts w:ascii="Arial" w:hAnsi="Arial" w:cs="Arial"/>
          <w:bCs/>
          <w:i/>
          <w:sz w:val="20"/>
          <w:szCs w:val="20"/>
          <w:lang w:val="en-GB"/>
        </w:rPr>
        <w:t>0</w:t>
      </w:r>
      <w:proofErr w:type="gramStart"/>
      <w:r>
        <w:rPr>
          <w:rFonts w:ascii="Arial" w:hAnsi="Arial" w:cs="Arial"/>
          <w:bCs/>
          <w:i/>
          <w:sz w:val="20"/>
          <w:szCs w:val="20"/>
          <w:lang w:val="en-GB"/>
        </w:rPr>
        <w:t>,8</w:t>
      </w:r>
      <w:proofErr w:type="gramEnd"/>
      <w:r>
        <w:rPr>
          <w:rFonts w:ascii="Arial" w:hAnsi="Arial" w:cs="Arial"/>
          <w:bCs/>
          <w:i/>
          <w:sz w:val="20"/>
          <w:szCs w:val="20"/>
          <w:lang w:val="en-GB"/>
        </w:rPr>
        <w:t xml:space="preserve">%) and that of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groats, barley semolina, and oatmeal </w:t>
      </w:r>
      <w:r>
        <w:rPr>
          <w:rFonts w:ascii="Arial" w:hAnsi="Arial" w:cs="Arial"/>
          <w:bCs/>
          <w:i/>
          <w:sz w:val="20"/>
          <w:szCs w:val="20"/>
          <w:lang w:val="en-GB"/>
        </w:rPr>
        <w:t>by 0.7 kg (</w:t>
      </w:r>
      <w:r>
        <w:rPr>
          <w:rFonts w:ascii="Arial" w:hAnsi="Arial" w:cs="Arial"/>
          <w:bCs/>
          <w:i/>
          <w:sz w:val="18"/>
          <w:szCs w:val="20"/>
          <w:lang w:val="en-GB"/>
        </w:rPr>
        <w:t>-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29.2%).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Rice </w:t>
      </w:r>
      <w:r>
        <w:rPr>
          <w:rFonts w:ascii="Arial" w:hAnsi="Arial" w:cs="Arial"/>
          <w:bCs/>
          <w:i/>
          <w:sz w:val="20"/>
          <w:szCs w:val="20"/>
          <w:lang w:val="en-GB"/>
        </w:rPr>
        <w:t>consumption went up by 0.8 kg (+9.5%).</w:t>
      </w:r>
    </w:p>
    <w:p w:rsidR="00E97BCA" w:rsidRDefault="000513C4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GB"/>
        </w:rPr>
        <w:t xml:space="preserve">The consumption declined for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bread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by 0.7 kg (-1</w:t>
      </w:r>
      <w:proofErr w:type="gramStart"/>
      <w:r>
        <w:rPr>
          <w:rFonts w:ascii="Arial" w:hAnsi="Arial" w:cs="Arial"/>
          <w:bCs/>
          <w:i/>
          <w:sz w:val="20"/>
          <w:szCs w:val="20"/>
          <w:lang w:val="en-GB"/>
        </w:rPr>
        <w:t>,7</w:t>
      </w:r>
      <w:proofErr w:type="gramEnd"/>
      <w:r>
        <w:rPr>
          <w:rFonts w:ascii="Arial" w:hAnsi="Arial" w:cs="Arial"/>
          <w:bCs/>
          <w:i/>
          <w:sz w:val="20"/>
          <w:szCs w:val="20"/>
          <w:lang w:val="en-GB"/>
        </w:rPr>
        <w:t xml:space="preserve">%) and for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preserved bakery products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by 0.1 kg (-1.9%); on the contrary, the consumption of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wheat bakery products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increased by 1.6 kg (+0.3%).</w:t>
      </w:r>
    </w:p>
    <w:p w:rsidR="00E97BCA" w:rsidRDefault="000513C4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GB"/>
        </w:rPr>
        <w:t xml:space="preserve">The total consumption of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meat in terms of carcass weight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went down by 3.1 kg (-3.6%). This decline was observed for all meat types: by 0.6 kg (-1.4%) for </w:t>
      </w:r>
      <w:proofErr w:type="spellStart"/>
      <w:r>
        <w:rPr>
          <w:rFonts w:ascii="Arial" w:hAnsi="Arial" w:cs="Arial"/>
          <w:b/>
          <w:bCs/>
          <w:i/>
          <w:sz w:val="20"/>
          <w:szCs w:val="20"/>
          <w:lang w:val="en-GB"/>
        </w:rPr>
        <w:t>pigmeat</w:t>
      </w:r>
      <w:proofErr w:type="spellEnd"/>
      <w:r>
        <w:rPr>
          <w:rFonts w:ascii="Arial" w:hAnsi="Arial" w:cs="Arial"/>
          <w:bCs/>
          <w:i/>
          <w:sz w:val="20"/>
          <w:szCs w:val="20"/>
          <w:lang w:val="en-GB"/>
        </w:rPr>
        <w:t xml:space="preserve">, by 0.6 kg (-6.6%) for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beef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, and by 1.7 kg (-5.8%) for </w:t>
      </w:r>
      <w:proofErr w:type="spellStart"/>
      <w:r>
        <w:rPr>
          <w:rFonts w:ascii="Arial" w:hAnsi="Arial" w:cs="Arial"/>
          <w:b/>
          <w:bCs/>
          <w:i/>
          <w:sz w:val="20"/>
          <w:szCs w:val="20"/>
          <w:lang w:val="en-GB"/>
        </w:rPr>
        <w:t>poultrymeat</w:t>
      </w:r>
      <w:proofErr w:type="spellEnd"/>
      <w:r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:rsidR="00E97BCA" w:rsidRDefault="000513C4">
      <w:pPr>
        <w:spacing w:before="120" w:after="120"/>
        <w:ind w:firstLine="567"/>
        <w:jc w:val="both"/>
        <w:rPr>
          <w:i/>
          <w:iCs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milk and milk products (excluding butter) in terms of milk equivalent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was lower, y-o-y, by 16.0 kg (-6.1%). The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drinking milk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went up, y-o-y, by 1.1 kg (+1.9%); on the contrary,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cheese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consumption declined by 0.6% (-4.3%) and the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other milk-based products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by 1.5 kg (-4.0%).</w:t>
      </w:r>
    </w:p>
    <w:p w:rsidR="00E97BCA" w:rsidRDefault="000513C4">
      <w:pPr>
        <w:spacing w:before="120" w:after="120"/>
        <w:ind w:firstLine="567"/>
        <w:jc w:val="both"/>
        <w:rPr>
          <w:i/>
          <w:iCs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eggs </w:t>
      </w:r>
      <w:r>
        <w:rPr>
          <w:rFonts w:ascii="Arial" w:hAnsi="Arial" w:cs="Arial"/>
          <w:i/>
          <w:iCs/>
          <w:sz w:val="20"/>
          <w:szCs w:val="20"/>
          <w:lang w:val="en-GB"/>
        </w:rPr>
        <w:t>went down, y-o-y, by 29 pieces (-11.0%) to 234 pieces.</w:t>
      </w:r>
    </w:p>
    <w:p w:rsidR="00E97BCA" w:rsidRDefault="000513C4">
      <w:pPr>
        <w:spacing w:before="120" w:after="120"/>
        <w:ind w:firstLine="567"/>
        <w:jc w:val="both"/>
        <w:rPr>
          <w:i/>
          <w:iCs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A year-on-year decrement in the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fats and oils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(by 0.5 kg; -2.0%) was caused </w:t>
      </w:r>
      <w:proofErr w:type="gramStart"/>
      <w:r>
        <w:rPr>
          <w:rFonts w:ascii="Arial" w:hAnsi="Arial" w:cs="Arial"/>
          <w:i/>
          <w:iCs/>
          <w:sz w:val="20"/>
          <w:szCs w:val="20"/>
          <w:lang w:val="en-GB"/>
        </w:rPr>
        <w:t>mainly</w:t>
      </w:r>
      <w:proofErr w:type="gram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by lower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lard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(by 0.2 kg; -3.8%) and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vegetable edible fats and oils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(by 0.2 kg; -1.4%).</w:t>
      </w:r>
    </w:p>
    <w:p w:rsidR="00E97BCA" w:rsidRDefault="000513C4">
      <w:pPr>
        <w:spacing w:before="120" w:after="120"/>
        <w:ind w:firstLine="567"/>
        <w:jc w:val="both"/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fruit in terms of fresh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declined by 3.2 kg (-3.5%). The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fruits of temperate zone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went down by 0.5 kg (-1</w:t>
      </w:r>
      <w:r w:rsidR="006E27B9">
        <w:rPr>
          <w:rFonts w:ascii="Arial" w:hAnsi="Arial" w:cs="Arial"/>
          <w:i/>
          <w:iCs/>
          <w:sz w:val="20"/>
          <w:szCs w:val="20"/>
          <w:lang w:val="en-GB"/>
        </w:rPr>
        <w:t>.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0%) due to lower consumption of apples, pears, plums, peaches, and grapes. As for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subtropical and tropical fruits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there was a decrease by 2.6 kg (-6.7%), caused mainly by lower consumption of oranges, tangerines, and bananas. </w:t>
      </w:r>
    </w:p>
    <w:p w:rsidR="00E97BCA" w:rsidRDefault="000513C4">
      <w:pPr>
        <w:spacing w:before="120" w:after="120"/>
        <w:ind w:firstLine="567"/>
        <w:jc w:val="both"/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vegetables in terms of fresh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went down, y-o-y, by 9.3 kg (-9.6%). It concern all types of vegetables except cauliflower and spinach, where there was a marginal increase.</w:t>
      </w:r>
    </w:p>
    <w:p w:rsidR="00E97BCA" w:rsidRDefault="000513C4">
      <w:pPr>
        <w:spacing w:before="120" w:after="120"/>
        <w:ind w:firstLine="567"/>
        <w:jc w:val="both"/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potatoes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decreased by 0.9 kg (-1.3%).</w:t>
      </w:r>
    </w:p>
    <w:p w:rsidR="00E97BCA" w:rsidRDefault="000513C4">
      <w:pPr>
        <w:spacing w:before="120" w:after="120"/>
        <w:ind w:firstLine="567"/>
        <w:jc w:val="both"/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Sugar </w:t>
      </w:r>
      <w:r>
        <w:rPr>
          <w:rFonts w:ascii="Arial" w:hAnsi="Arial" w:cs="Arial"/>
          <w:i/>
          <w:iCs/>
          <w:sz w:val="20"/>
          <w:szCs w:val="20"/>
          <w:lang w:val="en-GB"/>
        </w:rPr>
        <w:t>consumption rose by 0.6 kg (+1.6%).</w:t>
      </w:r>
    </w:p>
    <w:p w:rsidR="00E97BCA" w:rsidRDefault="000513C4">
      <w:pPr>
        <w:spacing w:before="120" w:after="120"/>
        <w:ind w:firstLine="567"/>
        <w:jc w:val="both"/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mineral waters and non-alcoholic beverages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was by 6.1 litres (-2.6%) lower. The consumption distinctly declined, y-o-y, for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mineral waters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(by 2.2 litres; -4.1%) and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lemonades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(by 2.3 litres; -2.7%).</w:t>
      </w:r>
    </w:p>
    <w:p w:rsidR="00E97BCA" w:rsidRDefault="000513C4">
      <w:pPr>
        <w:spacing w:before="120" w:after="120"/>
        <w:ind w:firstLine="567"/>
        <w:jc w:val="both"/>
        <w:rPr>
          <w:i/>
          <w:iCs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 consumption of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alcoholic beverages, total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went up by 6.3 litres (+3.8%). Year-on-year,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beer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consumption increased by 7.4 litres (+5.5%), while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wine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and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spirits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consumption went down by 0.8 litres (-4.1%) and by 0.1 litres (-4.7%), respectively.</w:t>
      </w:r>
    </w:p>
    <w:p w:rsidR="00E97BCA" w:rsidRDefault="000513C4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>
        <w:rPr>
          <w:rFonts w:ascii="Arial" w:hAnsi="Arial" w:cs="Arial"/>
          <w:bCs/>
          <w:i/>
          <w:sz w:val="20"/>
          <w:szCs w:val="20"/>
          <w:lang w:val="en-GB"/>
        </w:rPr>
        <w:t>The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consumption of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alcoholic beverages in terms of pure alcohol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remained constant. 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Beer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consumption went up by 0.2 litres (+5.4%) and, on the contrary, the consumption of wine and spirits decreased by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0.1 litres (-4.2%) and by 0.1 litres (-4.9%), respectively.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</w:p>
    <w:p w:rsidR="00E97BCA" w:rsidRDefault="000513C4">
      <w:pPr>
        <w:spacing w:before="120" w:after="120"/>
        <w:ind w:firstLine="567"/>
        <w:jc w:val="both"/>
        <w:rPr>
          <w:i/>
          <w:iCs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In 2022, the </w:t>
      </w:r>
      <w:r w:rsidR="00887D16">
        <w:rPr>
          <w:rFonts w:ascii="Arial" w:hAnsi="Arial" w:cs="Arial"/>
          <w:i/>
          <w:iCs/>
          <w:sz w:val="20"/>
          <w:szCs w:val="20"/>
          <w:lang w:val="en-GB"/>
        </w:rPr>
        <w:t>Czech R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epublic was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self-sufficient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in the production of beef and veal (108.0%), milk and milk products in terms of milk equivalent (126.1%), cheese and curd (101.7%), and sugar (157.8%). As for all other items calculated, we did not achieve self-sufficiency and were dependent on their imports (see Table 3). </w:t>
      </w:r>
    </w:p>
    <w:p w:rsidR="00E97BCA" w:rsidRDefault="00E97BCA">
      <w:pPr>
        <w:spacing w:before="120" w:after="120"/>
        <w:jc w:val="both"/>
      </w:pPr>
    </w:p>
    <w:sectPr w:rsidR="00E97BC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CA"/>
    <w:rsid w:val="000513C4"/>
    <w:rsid w:val="00690274"/>
    <w:rsid w:val="006E27B9"/>
    <w:rsid w:val="00887D16"/>
    <w:rsid w:val="00E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1651"/>
  <w15:docId w15:val="{D5FFA06B-768E-4765-83DF-1C7A1A3D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1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1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7B611E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66FC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66FCF"/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0263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ADEDA-6C80-45D6-96FE-84F3094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ČSÚ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subject/>
  <dc:creator>hnidkova2727</dc:creator>
  <dc:description/>
  <cp:lastModifiedBy>Klémová Lea</cp:lastModifiedBy>
  <cp:revision>5</cp:revision>
  <cp:lastPrinted>2023-11-27T08:19:00Z</cp:lastPrinted>
  <dcterms:created xsi:type="dcterms:W3CDTF">2023-11-27T08:00:00Z</dcterms:created>
  <dcterms:modified xsi:type="dcterms:W3CDTF">2023-11-27T13:48:00Z</dcterms:modified>
  <dc:language>cs-CZ</dc:language>
</cp:coreProperties>
</file>