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AC2F" w14:textId="5182EF0A" w:rsidR="007E5149" w:rsidRPr="00DD6E6B" w:rsidRDefault="007E5149" w:rsidP="007E5149">
      <w:pPr>
        <w:pStyle w:val="Nadpis1"/>
        <w:rPr>
          <w:lang w:val="en-GB"/>
        </w:rPr>
      </w:pPr>
      <w:bookmarkStart w:id="0" w:name="_Toc114134048"/>
      <w:bookmarkStart w:id="1" w:name="_Toc97736119"/>
      <w:bookmarkStart w:id="2" w:name="_Toc74643859"/>
      <w:bookmarkStart w:id="3" w:name="_Toc90395915"/>
      <w:bookmarkStart w:id="4" w:name="_Toc98245446"/>
      <w:bookmarkStart w:id="5" w:name="_Toc74643860"/>
      <w:bookmarkStart w:id="6" w:name="_Toc148437385"/>
      <w:r w:rsidRPr="00DD6E6B">
        <w:rPr>
          <w:lang w:val="en-GB"/>
        </w:rPr>
        <w:t>2. </w:t>
      </w:r>
      <w:r w:rsidR="009C3684" w:rsidRPr="00DD6E6B">
        <w:rPr>
          <w:lang w:val="en-GB"/>
        </w:rPr>
        <w:t>Overall Economic Performance</w:t>
      </w:r>
      <w:bookmarkEnd w:id="6"/>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7E5149" w:rsidRPr="00DD6E6B" w14:paraId="65306B4E" w14:textId="77777777" w:rsidTr="20D21749">
        <w:trPr>
          <w:trHeight w:val="145"/>
        </w:trPr>
        <w:tc>
          <w:tcPr>
            <w:tcW w:w="1806" w:type="dxa"/>
            <w:shd w:val="clear" w:color="auto" w:fill="auto"/>
            <w:tcMar>
              <w:left w:w="0" w:type="dxa"/>
            </w:tcMar>
          </w:tcPr>
          <w:p w14:paraId="0A5B4771" w14:textId="237DB0B4" w:rsidR="007E5149" w:rsidRPr="00DD6E6B" w:rsidRDefault="0034193A" w:rsidP="007E5149">
            <w:pPr>
              <w:pStyle w:val="Marginlie"/>
              <w:rPr>
                <w:lang w:val="en-GB"/>
              </w:rPr>
            </w:pPr>
            <w:r w:rsidRPr="00DD6E6B">
              <w:rPr>
                <w:lang w:val="en-GB"/>
              </w:rPr>
              <w:t xml:space="preserve">The Czech economy </w:t>
            </w:r>
            <w:r w:rsidR="004B1AB1" w:rsidRPr="00DD6E6B">
              <w:rPr>
                <w:lang w:val="en-GB"/>
              </w:rPr>
              <w:t xml:space="preserve">stayed </w:t>
            </w:r>
            <w:r w:rsidR="00751676" w:rsidRPr="00DD6E6B">
              <w:rPr>
                <w:lang w:val="en-GB"/>
              </w:rPr>
              <w:t xml:space="preserve">near the quarter-on-quarter stagnation. </w:t>
            </w:r>
            <w:r w:rsidR="007E5149" w:rsidRPr="00DD6E6B">
              <w:rPr>
                <w:lang w:val="en-GB"/>
              </w:rPr>
              <w:t xml:space="preserve"> </w:t>
            </w:r>
          </w:p>
        </w:tc>
        <w:tc>
          <w:tcPr>
            <w:tcW w:w="223" w:type="dxa"/>
            <w:shd w:val="clear" w:color="auto" w:fill="auto"/>
            <w:tcMar>
              <w:left w:w="0" w:type="dxa"/>
            </w:tcMar>
          </w:tcPr>
          <w:p w14:paraId="6AD06EA6"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5931C3C6" w14:textId="011E2679" w:rsidR="007E5149" w:rsidRPr="00DD6E6B" w:rsidRDefault="00751676" w:rsidP="007E5149">
            <w:pPr>
              <w:rPr>
                <w:spacing w:val="-2"/>
                <w:lang w:val="en-GB"/>
              </w:rPr>
            </w:pPr>
            <w:r w:rsidRPr="00DD6E6B">
              <w:rPr>
                <w:spacing w:val="-2"/>
                <w:lang w:val="en-GB"/>
              </w:rPr>
              <w:t xml:space="preserve">The quarter-on-quarter stagnation of the Gross domestic product </w:t>
            </w:r>
            <w:r w:rsidR="007E5149" w:rsidRPr="00DD6E6B">
              <w:rPr>
                <w:spacing w:val="-2"/>
                <w:lang w:val="en-GB"/>
              </w:rPr>
              <w:t>(</w:t>
            </w:r>
            <w:r w:rsidRPr="00DD6E6B">
              <w:rPr>
                <w:spacing w:val="-2"/>
                <w:lang w:val="en-GB"/>
              </w:rPr>
              <w:t>GDP</w:t>
            </w:r>
            <w:r w:rsidR="007E5149" w:rsidRPr="00DD6E6B">
              <w:rPr>
                <w:spacing w:val="-2"/>
                <w:lang w:val="en-GB"/>
              </w:rPr>
              <w:t>)</w:t>
            </w:r>
            <w:r w:rsidRPr="00DD6E6B">
              <w:rPr>
                <w:spacing w:val="-2"/>
                <w:lang w:val="en-GB"/>
              </w:rPr>
              <w:t xml:space="preserve"> continued in Q2 2023</w:t>
            </w:r>
            <w:r w:rsidR="007E5149" w:rsidRPr="00DD6E6B">
              <w:rPr>
                <w:spacing w:val="-2"/>
                <w:lang w:val="en-GB"/>
              </w:rPr>
              <w:t>,</w:t>
            </w:r>
            <w:r w:rsidRPr="00DD6E6B">
              <w:rPr>
                <w:spacing w:val="-2"/>
                <w:lang w:val="en-GB"/>
              </w:rPr>
              <w:t xml:space="preserve"> when the Czech economy grew only by </w:t>
            </w:r>
            <w:r w:rsidR="007E5149" w:rsidRPr="00DD6E6B">
              <w:rPr>
                <w:spacing w:val="-2"/>
                <w:lang w:val="en-GB"/>
              </w:rPr>
              <w:t>0</w:t>
            </w:r>
            <w:r w:rsidRPr="00DD6E6B">
              <w:rPr>
                <w:spacing w:val="-2"/>
                <w:lang w:val="en-GB"/>
              </w:rPr>
              <w:t>.</w:t>
            </w:r>
            <w:r w:rsidR="007E5149" w:rsidRPr="00DD6E6B">
              <w:rPr>
                <w:spacing w:val="-2"/>
                <w:lang w:val="en-GB"/>
              </w:rPr>
              <w:t>1%</w:t>
            </w:r>
            <w:r w:rsidR="007E5149" w:rsidRPr="00DD6E6B">
              <w:rPr>
                <w:rStyle w:val="Znakapoznpodarou"/>
                <w:rFonts w:cs="Arial"/>
                <w:spacing w:val="-2"/>
                <w:lang w:val="en-GB"/>
              </w:rPr>
              <w:footnoteReference w:id="1"/>
            </w:r>
            <w:r w:rsidR="007E5149" w:rsidRPr="00DD6E6B">
              <w:rPr>
                <w:spacing w:val="-2"/>
                <w:lang w:val="en-GB"/>
              </w:rPr>
              <w:t>.</w:t>
            </w:r>
            <w:r w:rsidR="006E234C" w:rsidRPr="00DD6E6B">
              <w:rPr>
                <w:spacing w:val="-2"/>
                <w:lang w:val="en-GB"/>
              </w:rPr>
              <w:t xml:space="preserve">The quarter-on-quarter pace has thus stayed near zero </w:t>
            </w:r>
            <w:r w:rsidR="009233E7" w:rsidRPr="00DD6E6B">
              <w:rPr>
                <w:spacing w:val="-2"/>
                <w:lang w:val="en-GB"/>
              </w:rPr>
              <w:t xml:space="preserve">for </w:t>
            </w:r>
            <w:r w:rsidR="006E234C" w:rsidRPr="00DD6E6B">
              <w:rPr>
                <w:spacing w:val="-2"/>
                <w:lang w:val="en-GB"/>
              </w:rPr>
              <w:t xml:space="preserve">already five quarters. </w:t>
            </w:r>
            <w:r w:rsidR="009233E7" w:rsidRPr="00DD6E6B">
              <w:rPr>
                <w:spacing w:val="-2"/>
                <w:lang w:val="en-GB"/>
              </w:rPr>
              <w:t xml:space="preserve">The described addition is the result of </w:t>
            </w:r>
            <w:r w:rsidR="008249A7" w:rsidRPr="00DD6E6B">
              <w:rPr>
                <w:spacing w:val="-2"/>
                <w:lang w:val="en-GB"/>
              </w:rPr>
              <w:t xml:space="preserve">effect of two opposing factors. </w:t>
            </w:r>
            <w:r w:rsidR="00DC3A96" w:rsidRPr="00DD6E6B">
              <w:rPr>
                <w:spacing w:val="-2"/>
                <w:lang w:val="en-GB"/>
              </w:rPr>
              <w:t xml:space="preserve">The change of the inventory stock </w:t>
            </w:r>
            <w:r w:rsidR="00175BF1" w:rsidRPr="00DD6E6B">
              <w:rPr>
                <w:spacing w:val="-2"/>
                <w:lang w:val="en-GB"/>
              </w:rPr>
              <w:t xml:space="preserve">had a strongly negative impact on the quarter-on-quarter GDP dynamics. </w:t>
            </w:r>
            <w:r w:rsidR="00162DAF" w:rsidRPr="00DD6E6B">
              <w:rPr>
                <w:spacing w:val="-2"/>
                <w:lang w:val="en-GB"/>
              </w:rPr>
              <w:t>On the other hand</w:t>
            </w:r>
            <w:r w:rsidR="002F06E2">
              <w:rPr>
                <w:spacing w:val="-2"/>
                <w:lang w:val="en-GB"/>
              </w:rPr>
              <w:t>,</w:t>
            </w:r>
            <w:r w:rsidR="00162DAF" w:rsidRPr="00DD6E6B">
              <w:rPr>
                <w:spacing w:val="-2"/>
                <w:lang w:val="en-GB"/>
              </w:rPr>
              <w:t xml:space="preserve"> the positive effect of the foreign demand, government consumption </w:t>
            </w:r>
            <w:r w:rsidR="00C05608" w:rsidRPr="00DD6E6B">
              <w:rPr>
                <w:spacing w:val="-2"/>
                <w:lang w:val="en-GB"/>
              </w:rPr>
              <w:t>continued and the investment activity revived, mainly the activity linked to the investments of businesses.</w:t>
            </w:r>
            <w:r w:rsidR="007E5149" w:rsidRPr="00DD6E6B">
              <w:rPr>
                <w:spacing w:val="-2"/>
                <w:lang w:val="en-GB"/>
              </w:rPr>
              <w:t xml:space="preserve"> </w:t>
            </w:r>
            <w:r w:rsidR="00D40441" w:rsidRPr="00DD6E6B">
              <w:rPr>
                <w:spacing w:val="-2"/>
                <w:lang w:val="en-GB"/>
              </w:rPr>
              <w:t xml:space="preserve">The household consumption also increased </w:t>
            </w:r>
            <w:r w:rsidR="005413E9" w:rsidRPr="00DD6E6B">
              <w:rPr>
                <w:spacing w:val="-2"/>
                <w:lang w:val="en-GB"/>
              </w:rPr>
              <w:t xml:space="preserve">quarter-on-quarter </w:t>
            </w:r>
            <w:r w:rsidR="00D40441" w:rsidRPr="00DD6E6B">
              <w:rPr>
                <w:spacing w:val="-2"/>
                <w:lang w:val="en-GB"/>
              </w:rPr>
              <w:t>following s</w:t>
            </w:r>
            <w:r w:rsidR="005413E9" w:rsidRPr="00DD6E6B">
              <w:rPr>
                <w:spacing w:val="-2"/>
                <w:lang w:val="en-GB"/>
              </w:rPr>
              <w:t xml:space="preserve">ix decreases. </w:t>
            </w:r>
            <w:r w:rsidR="000F0E60" w:rsidRPr="00DD6E6B">
              <w:rPr>
                <w:spacing w:val="-2"/>
                <w:lang w:val="en-GB"/>
              </w:rPr>
              <w:t xml:space="preserve">The GDP </w:t>
            </w:r>
            <w:r w:rsidR="00002275" w:rsidRPr="00DD6E6B">
              <w:rPr>
                <w:spacing w:val="-2"/>
                <w:lang w:val="en-GB"/>
              </w:rPr>
              <w:t xml:space="preserve">lowered by </w:t>
            </w:r>
            <w:r w:rsidR="007E5149" w:rsidRPr="00DD6E6B">
              <w:rPr>
                <w:spacing w:val="-2"/>
                <w:lang w:val="en-GB"/>
              </w:rPr>
              <w:t>0</w:t>
            </w:r>
            <w:r w:rsidR="00002275" w:rsidRPr="00DD6E6B">
              <w:rPr>
                <w:spacing w:val="-2"/>
                <w:lang w:val="en-GB"/>
              </w:rPr>
              <w:t>.</w:t>
            </w:r>
            <w:r w:rsidR="007E5149" w:rsidRPr="00DD6E6B">
              <w:rPr>
                <w:spacing w:val="-2"/>
                <w:lang w:val="en-GB"/>
              </w:rPr>
              <w:t>4%</w:t>
            </w:r>
            <w:r w:rsidR="00002275" w:rsidRPr="00DD6E6B">
              <w:rPr>
                <w:spacing w:val="-2"/>
                <w:lang w:val="en-GB"/>
              </w:rPr>
              <w:t xml:space="preserve"> </w:t>
            </w:r>
            <w:r w:rsidR="000F0E60" w:rsidRPr="00DD6E6B">
              <w:rPr>
                <w:spacing w:val="-2"/>
                <w:lang w:val="en-GB"/>
              </w:rPr>
              <w:t>year-on-year in Q</w:t>
            </w:r>
            <w:r w:rsidR="00033BFC" w:rsidRPr="00DD6E6B">
              <w:rPr>
                <w:spacing w:val="-2"/>
                <w:lang w:val="en-GB"/>
              </w:rPr>
              <w:t>2 and thus decreased for the second time in a row</w:t>
            </w:r>
            <w:r w:rsidR="007E5149" w:rsidRPr="00DD6E6B">
              <w:rPr>
                <w:spacing w:val="-2"/>
                <w:lang w:val="en-GB"/>
              </w:rPr>
              <w:t>.</w:t>
            </w:r>
            <w:r w:rsidR="00CD5CC4" w:rsidRPr="00DD6E6B">
              <w:rPr>
                <w:spacing w:val="-2"/>
                <w:lang w:val="en-GB"/>
              </w:rPr>
              <w:t xml:space="preserve"> Household consumption and inventory stock were shrinking</w:t>
            </w:r>
            <w:r w:rsidR="007E5149" w:rsidRPr="00DD6E6B">
              <w:rPr>
                <w:spacing w:val="-2"/>
                <w:lang w:val="en-GB"/>
              </w:rPr>
              <w:t xml:space="preserve">. </w:t>
            </w:r>
            <w:r w:rsidR="00B532B1" w:rsidRPr="00DD6E6B">
              <w:rPr>
                <w:spacing w:val="-2"/>
                <w:lang w:val="en-GB"/>
              </w:rPr>
              <w:t>The foreign demand, investment activity and government consumption on the contrary had a favourable effect</w:t>
            </w:r>
            <w:r w:rsidR="007E5149" w:rsidRPr="00DD6E6B">
              <w:rPr>
                <w:spacing w:val="-2"/>
                <w:lang w:val="en-GB"/>
              </w:rPr>
              <w:t>.</w:t>
            </w:r>
          </w:p>
        </w:tc>
      </w:tr>
      <w:tr w:rsidR="007E5149" w:rsidRPr="00DD6E6B" w14:paraId="2B26841E" w14:textId="77777777" w:rsidTr="20D21749">
        <w:trPr>
          <w:trHeight w:val="170"/>
        </w:trPr>
        <w:tc>
          <w:tcPr>
            <w:tcW w:w="1806" w:type="dxa"/>
            <w:vMerge w:val="restart"/>
            <w:shd w:val="clear" w:color="auto" w:fill="auto"/>
            <w:tcMar>
              <w:left w:w="0" w:type="dxa"/>
            </w:tcMar>
          </w:tcPr>
          <w:p w14:paraId="0D916A27" w14:textId="77777777" w:rsidR="007E5149" w:rsidRPr="00DD6E6B" w:rsidRDefault="007E5149" w:rsidP="007E5149">
            <w:pPr>
              <w:pStyle w:val="Marginlie"/>
              <w:rPr>
                <w:lang w:val="en-GB"/>
              </w:rPr>
            </w:pPr>
          </w:p>
        </w:tc>
        <w:tc>
          <w:tcPr>
            <w:tcW w:w="223" w:type="dxa"/>
            <w:vMerge w:val="restart"/>
            <w:shd w:val="clear" w:color="auto" w:fill="auto"/>
            <w:tcMar>
              <w:left w:w="0" w:type="dxa"/>
            </w:tcMar>
          </w:tcPr>
          <w:p w14:paraId="1EA21357"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4ACCBAC9" w14:textId="438ABFD7" w:rsidR="007E5149" w:rsidRPr="00DD6E6B" w:rsidRDefault="009C3684" w:rsidP="007E5149">
            <w:pPr>
              <w:spacing w:after="0"/>
              <w:rPr>
                <w:b/>
                <w:szCs w:val="20"/>
                <w:lang w:val="en-GB"/>
              </w:rPr>
            </w:pPr>
            <w:r w:rsidRPr="00DD6E6B">
              <w:rPr>
                <w:rFonts w:cs="Arial"/>
                <w:b/>
                <w:bCs/>
                <w:color w:val="000000"/>
                <w:szCs w:val="20"/>
                <w:lang w:val="en-GB"/>
              </w:rPr>
              <w:t xml:space="preserve">Chart </w:t>
            </w:r>
            <w:r w:rsidR="007E5149" w:rsidRPr="00DD6E6B">
              <w:rPr>
                <w:rFonts w:cs="Arial"/>
                <w:b/>
                <w:bCs/>
                <w:color w:val="000000"/>
                <w:szCs w:val="20"/>
                <w:lang w:val="en-GB"/>
              </w:rPr>
              <w:t xml:space="preserve">1 </w:t>
            </w:r>
            <w:r w:rsidRPr="00DD6E6B">
              <w:rPr>
                <w:rFonts w:cs="Arial"/>
                <w:b/>
                <w:bCs/>
                <w:color w:val="000000"/>
                <w:szCs w:val="20"/>
                <w:lang w:val="en-GB"/>
              </w:rPr>
              <w:t>GD</w:t>
            </w:r>
            <w:r w:rsidR="007E5149" w:rsidRPr="00DD6E6B">
              <w:rPr>
                <w:rFonts w:cs="Arial"/>
                <w:b/>
                <w:szCs w:val="20"/>
                <w:lang w:val="en-GB" w:eastAsia="en-US"/>
              </w:rPr>
              <w:t xml:space="preserve">P </w:t>
            </w:r>
            <w:r w:rsidR="007E5149" w:rsidRPr="00DD6E6B">
              <w:rPr>
                <w:rFonts w:cs="Arial"/>
                <w:bCs/>
                <w:szCs w:val="20"/>
                <w:lang w:val="en-GB" w:eastAsia="en-US"/>
              </w:rPr>
              <w:t>(</w:t>
            </w:r>
            <w:r w:rsidR="002632B0" w:rsidRPr="00DD6E6B">
              <w:rPr>
                <w:rFonts w:cs="Arial"/>
                <w:bCs/>
                <w:szCs w:val="20"/>
                <w:lang w:val="en-GB" w:eastAsia="en-US"/>
              </w:rPr>
              <w:t>volume indices</w:t>
            </w:r>
            <w:r w:rsidR="007E5149" w:rsidRPr="00DD6E6B">
              <w:rPr>
                <w:rFonts w:cs="Arial"/>
                <w:bCs/>
                <w:szCs w:val="20"/>
                <w:lang w:val="en-GB" w:eastAsia="en-US"/>
              </w:rPr>
              <w:t xml:space="preserve">, </w:t>
            </w:r>
            <w:r w:rsidR="00CD1E14" w:rsidRPr="00DD6E6B">
              <w:rPr>
                <w:rFonts w:cs="Arial"/>
                <w:bCs/>
                <w:szCs w:val="20"/>
                <w:lang w:val="en-GB" w:eastAsia="en-US"/>
              </w:rPr>
              <w:t xml:space="preserve">adjusted for seasonal </w:t>
            </w:r>
            <w:r w:rsidR="00E41A3F" w:rsidRPr="00DD6E6B">
              <w:rPr>
                <w:rFonts w:cs="Arial"/>
                <w:bCs/>
                <w:szCs w:val="20"/>
                <w:lang w:val="en-GB" w:eastAsia="en-US"/>
              </w:rPr>
              <w:t>and calendar effects</w:t>
            </w:r>
            <w:r w:rsidR="00AA1756" w:rsidRPr="00DD6E6B">
              <w:rPr>
                <w:rFonts w:cs="Arial"/>
                <w:bCs/>
                <w:szCs w:val="20"/>
                <w:lang w:val="en-GB" w:eastAsia="en-US"/>
              </w:rPr>
              <w:t xml:space="preserve">, in </w:t>
            </w:r>
            <w:r w:rsidR="007E5149" w:rsidRPr="00DD6E6B">
              <w:rPr>
                <w:rFonts w:cs="Arial"/>
                <w:bCs/>
                <w:szCs w:val="20"/>
                <w:lang w:val="en-GB" w:eastAsia="en-US"/>
              </w:rPr>
              <w:t>%)</w:t>
            </w:r>
          </w:p>
        </w:tc>
      </w:tr>
      <w:tr w:rsidR="007E5149" w:rsidRPr="00DD6E6B" w14:paraId="71A158F7" w14:textId="77777777" w:rsidTr="00B545CC">
        <w:tblPrEx>
          <w:tblCellMar>
            <w:left w:w="70" w:type="dxa"/>
            <w:right w:w="70" w:type="dxa"/>
          </w:tblCellMar>
        </w:tblPrEx>
        <w:trPr>
          <w:trHeight w:val="170"/>
        </w:trPr>
        <w:tc>
          <w:tcPr>
            <w:tcW w:w="1806" w:type="dxa"/>
            <w:vMerge/>
          </w:tcPr>
          <w:p w14:paraId="7FA7373B" w14:textId="77777777" w:rsidR="007E5149" w:rsidRPr="00DD6E6B" w:rsidRDefault="007E5149" w:rsidP="007E5149">
            <w:pPr>
              <w:pStyle w:val="Marginlie"/>
              <w:rPr>
                <w:lang w:val="en-GB"/>
              </w:rPr>
            </w:pPr>
          </w:p>
        </w:tc>
        <w:tc>
          <w:tcPr>
            <w:tcW w:w="223" w:type="dxa"/>
            <w:vMerge/>
          </w:tcPr>
          <w:p w14:paraId="4CFEC573" w14:textId="77777777" w:rsidR="007E5149" w:rsidRPr="00DD6E6B" w:rsidRDefault="007E5149" w:rsidP="007E5149">
            <w:pPr>
              <w:pStyle w:val="Textpoznpodarou"/>
              <w:jc w:val="both"/>
              <w:rPr>
                <w:spacing w:val="-4"/>
                <w:lang w:val="en-GB"/>
              </w:rPr>
            </w:pPr>
          </w:p>
        </w:tc>
        <w:tc>
          <w:tcPr>
            <w:tcW w:w="7610" w:type="dxa"/>
            <w:shd w:val="clear" w:color="auto" w:fill="auto"/>
          </w:tcPr>
          <w:p w14:paraId="64E99FB9" w14:textId="22E0F85E" w:rsidR="007E5149" w:rsidRPr="00DD6E6B" w:rsidRDefault="00B545CC" w:rsidP="007E5149">
            <w:pPr>
              <w:spacing w:after="0"/>
              <w:rPr>
                <w:lang w:val="en-GB"/>
              </w:rPr>
            </w:pPr>
            <w:r>
              <w:rPr>
                <w:noProof/>
              </w:rPr>
              <w:drawing>
                <wp:inline distT="0" distB="0" distL="0" distR="0" wp14:anchorId="2BA4E54C" wp14:editId="6FFD6275">
                  <wp:extent cx="4743950" cy="3353175"/>
                  <wp:effectExtent l="0" t="0" r="0" b="0"/>
                  <wp:docPr id="723820190" name="Graf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E5149" w:rsidRPr="00DD6E6B" w14:paraId="26F19BC7" w14:textId="77777777" w:rsidTr="20D21749">
        <w:trPr>
          <w:trHeight w:val="170"/>
        </w:trPr>
        <w:tc>
          <w:tcPr>
            <w:tcW w:w="1806" w:type="dxa"/>
            <w:vMerge/>
            <w:tcMar>
              <w:left w:w="0" w:type="dxa"/>
            </w:tcMar>
          </w:tcPr>
          <w:p w14:paraId="55DEF6FD" w14:textId="77777777" w:rsidR="007E5149" w:rsidRPr="00DD6E6B" w:rsidRDefault="007E5149" w:rsidP="007E5149">
            <w:pPr>
              <w:pStyle w:val="Marginlie"/>
              <w:rPr>
                <w:lang w:val="en-GB"/>
              </w:rPr>
            </w:pPr>
          </w:p>
        </w:tc>
        <w:tc>
          <w:tcPr>
            <w:tcW w:w="223" w:type="dxa"/>
            <w:vMerge/>
            <w:tcMar>
              <w:left w:w="0" w:type="dxa"/>
            </w:tcMar>
          </w:tcPr>
          <w:p w14:paraId="65B61A1B"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1614619E" w14:textId="75AAAD90" w:rsidR="00047ED0" w:rsidRPr="00B545CC" w:rsidRDefault="00047ED0" w:rsidP="00B545CC">
            <w:pPr>
              <w:spacing w:after="220"/>
              <w:rPr>
                <w:sz w:val="14"/>
                <w:szCs w:val="14"/>
                <w:lang w:val="en-GB"/>
              </w:rPr>
            </w:pPr>
            <w:r w:rsidRPr="00DD6E6B">
              <w:rPr>
                <w:sz w:val="14"/>
                <w:szCs w:val="14"/>
                <w:lang w:val="en-GB"/>
              </w:rPr>
              <w:t>Source</w:t>
            </w:r>
            <w:r w:rsidR="007E5149" w:rsidRPr="00DD6E6B">
              <w:rPr>
                <w:sz w:val="14"/>
                <w:szCs w:val="14"/>
                <w:lang w:val="en-GB"/>
              </w:rPr>
              <w:t xml:space="preserve">: </w:t>
            </w:r>
            <w:r w:rsidRPr="00DD6E6B">
              <w:rPr>
                <w:sz w:val="14"/>
                <w:szCs w:val="14"/>
                <w:lang w:val="en-GB"/>
              </w:rPr>
              <w:t>CZSO</w:t>
            </w:r>
            <w:r w:rsidR="007E5149" w:rsidRPr="00DD6E6B">
              <w:rPr>
                <w:sz w:val="14"/>
                <w:szCs w:val="14"/>
                <w:lang w:val="en-GB"/>
              </w:rPr>
              <w:t>, Eurostat</w:t>
            </w:r>
          </w:p>
        </w:tc>
      </w:tr>
      <w:tr w:rsidR="007E5149" w:rsidRPr="00DD6E6B" w14:paraId="1483C43E" w14:textId="77777777" w:rsidTr="20D21749">
        <w:trPr>
          <w:trHeight w:val="145"/>
        </w:trPr>
        <w:tc>
          <w:tcPr>
            <w:tcW w:w="1806" w:type="dxa"/>
            <w:shd w:val="clear" w:color="auto" w:fill="auto"/>
            <w:tcMar>
              <w:left w:w="0" w:type="dxa"/>
            </w:tcMar>
          </w:tcPr>
          <w:p w14:paraId="1DF1EFAC" w14:textId="53215889" w:rsidR="007E5149" w:rsidRPr="00DD6E6B" w:rsidRDefault="00407101" w:rsidP="007E5149">
            <w:pPr>
              <w:pStyle w:val="Marginlie"/>
              <w:rPr>
                <w:lang w:val="en-GB"/>
              </w:rPr>
            </w:pPr>
            <w:r w:rsidRPr="00DD6E6B">
              <w:rPr>
                <w:lang w:val="en-GB"/>
              </w:rPr>
              <w:t xml:space="preserve">Gross domestic product stagnated </w:t>
            </w:r>
            <w:r w:rsidR="00BE4B6B" w:rsidRPr="00DD6E6B">
              <w:rPr>
                <w:lang w:val="en-GB"/>
              </w:rPr>
              <w:t xml:space="preserve">in the EU quarter-on-quarter. </w:t>
            </w:r>
          </w:p>
        </w:tc>
        <w:tc>
          <w:tcPr>
            <w:tcW w:w="223" w:type="dxa"/>
            <w:shd w:val="clear" w:color="auto" w:fill="auto"/>
            <w:tcMar>
              <w:left w:w="0" w:type="dxa"/>
            </w:tcMar>
          </w:tcPr>
          <w:p w14:paraId="65844CCF"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1F838B4D" w14:textId="65E9F937" w:rsidR="007E5149" w:rsidRPr="00DD6E6B" w:rsidRDefault="00BE4B6B" w:rsidP="007E5149">
            <w:pPr>
              <w:rPr>
                <w:lang w:val="en-GB"/>
              </w:rPr>
            </w:pPr>
            <w:r w:rsidRPr="00DD6E6B">
              <w:rPr>
                <w:lang w:val="en-GB"/>
              </w:rPr>
              <w:t xml:space="preserve">The GDP of the whole European Union stagnated quarter-on-quarter in Q2 and the year-on-year growth slowed down to </w:t>
            </w:r>
            <w:r w:rsidR="007E5149" w:rsidRPr="00DD6E6B">
              <w:rPr>
                <w:lang w:val="en-GB"/>
              </w:rPr>
              <w:t>0</w:t>
            </w:r>
            <w:r w:rsidRPr="00DD6E6B">
              <w:rPr>
                <w:lang w:val="en-GB"/>
              </w:rPr>
              <w:t>.</w:t>
            </w:r>
            <w:r w:rsidR="37D604A5" w:rsidRPr="00DD6E6B">
              <w:rPr>
                <w:lang w:val="en-GB"/>
              </w:rPr>
              <w:t>4</w:t>
            </w:r>
            <w:r w:rsidR="007E5149" w:rsidRPr="00DD6E6B">
              <w:rPr>
                <w:lang w:val="en-GB"/>
              </w:rPr>
              <w:t>%</w:t>
            </w:r>
            <w:r w:rsidR="007E5149" w:rsidRPr="00DD6E6B">
              <w:rPr>
                <w:rStyle w:val="Znakapoznpodarou"/>
                <w:spacing w:val="-2"/>
                <w:lang w:val="en-GB"/>
              </w:rPr>
              <w:footnoteReference w:id="2"/>
            </w:r>
            <w:r w:rsidR="007E5149" w:rsidRPr="00DD6E6B">
              <w:rPr>
                <w:lang w:val="en-GB"/>
              </w:rPr>
              <w:t xml:space="preserve">. </w:t>
            </w:r>
            <w:r w:rsidR="00ED17D8" w:rsidRPr="00DD6E6B">
              <w:rPr>
                <w:lang w:val="en-GB"/>
              </w:rPr>
              <w:t xml:space="preserve">The majority of EU economies based on the available data grew year-on-year as well as quarter-on-quarter. </w:t>
            </w:r>
            <w:r w:rsidR="0072420F" w:rsidRPr="00DD6E6B">
              <w:rPr>
                <w:lang w:val="en-GB"/>
              </w:rPr>
              <w:t xml:space="preserve">The GDP increased the most </w:t>
            </w:r>
            <w:r w:rsidR="00A81374" w:rsidRPr="00DD6E6B">
              <w:rPr>
                <w:lang w:val="en-GB"/>
              </w:rPr>
              <w:t>in</w:t>
            </w:r>
            <w:r w:rsidR="0072420F" w:rsidRPr="00DD6E6B">
              <w:rPr>
                <w:lang w:val="en-GB"/>
              </w:rPr>
              <w:t xml:space="preserve"> Malta </w:t>
            </w:r>
            <w:r w:rsidR="1B53A8C8" w:rsidRPr="00DD6E6B">
              <w:rPr>
                <w:lang w:val="en-GB"/>
              </w:rPr>
              <w:t>(3</w:t>
            </w:r>
            <w:r w:rsidR="0072420F" w:rsidRPr="00DD6E6B">
              <w:rPr>
                <w:lang w:val="en-GB"/>
              </w:rPr>
              <w:t>.</w:t>
            </w:r>
            <w:r w:rsidR="1B53A8C8" w:rsidRPr="00DD6E6B">
              <w:rPr>
                <w:lang w:val="en-GB"/>
              </w:rPr>
              <w:t>9%)</w:t>
            </w:r>
            <w:r w:rsidR="08A648BF" w:rsidRPr="00DD6E6B">
              <w:rPr>
                <w:lang w:val="en-GB"/>
              </w:rPr>
              <w:t xml:space="preserve">, </w:t>
            </w:r>
            <w:r w:rsidR="0072420F" w:rsidRPr="00DD6E6B">
              <w:rPr>
                <w:lang w:val="en-GB"/>
              </w:rPr>
              <w:t xml:space="preserve">in Greece </w:t>
            </w:r>
            <w:r w:rsidR="7C941E33" w:rsidRPr="00DD6E6B">
              <w:rPr>
                <w:lang w:val="en-GB"/>
              </w:rPr>
              <w:t>(2</w:t>
            </w:r>
            <w:r w:rsidR="0072420F" w:rsidRPr="00DD6E6B">
              <w:rPr>
                <w:lang w:val="en-GB"/>
              </w:rPr>
              <w:t>.</w:t>
            </w:r>
            <w:r w:rsidR="7C941E33" w:rsidRPr="00DD6E6B">
              <w:rPr>
                <w:lang w:val="en-GB"/>
              </w:rPr>
              <w:t>7%)</w:t>
            </w:r>
            <w:r w:rsidR="08A648BF" w:rsidRPr="00DD6E6B">
              <w:rPr>
                <w:lang w:val="en-GB"/>
              </w:rPr>
              <w:t xml:space="preserve"> a</w:t>
            </w:r>
            <w:r w:rsidR="0072420F" w:rsidRPr="00DD6E6B">
              <w:rPr>
                <w:lang w:val="en-GB"/>
              </w:rPr>
              <w:t xml:space="preserve">nd in Romania </w:t>
            </w:r>
            <w:r w:rsidR="007E5149" w:rsidRPr="00DD6E6B">
              <w:rPr>
                <w:lang w:val="en-GB"/>
              </w:rPr>
              <w:t>(2</w:t>
            </w:r>
            <w:r w:rsidR="0072420F" w:rsidRPr="00DD6E6B">
              <w:rPr>
                <w:lang w:val="en-GB"/>
              </w:rPr>
              <w:t>.</w:t>
            </w:r>
            <w:r w:rsidR="007E5149" w:rsidRPr="00DD6E6B">
              <w:rPr>
                <w:lang w:val="en-GB"/>
              </w:rPr>
              <w:t>7%)</w:t>
            </w:r>
            <w:r w:rsidR="0072420F" w:rsidRPr="00DD6E6B">
              <w:rPr>
                <w:lang w:val="en-GB"/>
              </w:rPr>
              <w:t xml:space="preserve"> year-on-year</w:t>
            </w:r>
            <w:r w:rsidR="60B2C930" w:rsidRPr="00DD6E6B">
              <w:rPr>
                <w:lang w:val="en-GB"/>
              </w:rPr>
              <w:t>.</w:t>
            </w:r>
            <w:r w:rsidR="0072420F" w:rsidRPr="00DD6E6B">
              <w:rPr>
                <w:lang w:val="en-GB"/>
              </w:rPr>
              <w:t xml:space="preserve"> The CR </w:t>
            </w:r>
            <w:r w:rsidR="006B6DFA" w:rsidRPr="00DD6E6B">
              <w:rPr>
                <w:lang w:val="en-GB"/>
              </w:rPr>
              <w:t>was among the minority of countries featuring year-on-year GDP</w:t>
            </w:r>
            <w:r w:rsidR="00A81374" w:rsidRPr="00DD6E6B">
              <w:rPr>
                <w:lang w:val="en-GB"/>
              </w:rPr>
              <w:t xml:space="preserve"> decrease. The GDP dropped the most in Estonia </w:t>
            </w:r>
            <w:r w:rsidR="006033A4">
              <w:rPr>
                <w:lang w:val="en-GB"/>
              </w:rPr>
              <w:t>(</w:t>
            </w:r>
            <w:r w:rsidR="006033A4">
              <w:rPr>
                <w:color w:val="000000"/>
                <w:shd w:val="clear" w:color="auto" w:fill="FFFFFF"/>
              </w:rPr>
              <w:t>–</w:t>
            </w:r>
            <w:r w:rsidR="007E5149" w:rsidRPr="00DD6E6B">
              <w:rPr>
                <w:lang w:val="en-GB"/>
              </w:rPr>
              <w:t>3</w:t>
            </w:r>
            <w:r w:rsidR="00A81374" w:rsidRPr="00DD6E6B">
              <w:rPr>
                <w:lang w:val="en-GB"/>
              </w:rPr>
              <w:t>.</w:t>
            </w:r>
            <w:r w:rsidR="007E5149" w:rsidRPr="00DD6E6B">
              <w:rPr>
                <w:lang w:val="en-GB"/>
              </w:rPr>
              <w:t>0%),</w:t>
            </w:r>
            <w:r w:rsidR="00A81374" w:rsidRPr="00DD6E6B">
              <w:rPr>
                <w:lang w:val="en-GB"/>
              </w:rPr>
              <w:t xml:space="preserve"> Hungary</w:t>
            </w:r>
            <w:r w:rsidR="001602D3" w:rsidRPr="00DD6E6B">
              <w:rPr>
                <w:lang w:val="en-GB"/>
              </w:rPr>
              <w:t xml:space="preserve"> </w:t>
            </w:r>
            <w:r w:rsidR="006033A4">
              <w:rPr>
                <w:lang w:val="en-GB"/>
              </w:rPr>
              <w:t>(</w:t>
            </w:r>
            <w:r w:rsidR="006033A4">
              <w:rPr>
                <w:color w:val="000000"/>
                <w:shd w:val="clear" w:color="auto" w:fill="FFFFFF"/>
              </w:rPr>
              <w:t>–</w:t>
            </w:r>
            <w:r w:rsidR="67F8BB57" w:rsidRPr="00DD6E6B">
              <w:rPr>
                <w:lang w:val="en-GB"/>
              </w:rPr>
              <w:t>2</w:t>
            </w:r>
            <w:r w:rsidR="00A81374" w:rsidRPr="00DD6E6B">
              <w:rPr>
                <w:lang w:val="en-GB"/>
              </w:rPr>
              <w:t>.</w:t>
            </w:r>
            <w:r w:rsidR="67F8BB57" w:rsidRPr="00DD6E6B">
              <w:rPr>
                <w:lang w:val="en-GB"/>
              </w:rPr>
              <w:t>3%) a</w:t>
            </w:r>
            <w:r w:rsidR="00A81374" w:rsidRPr="00DD6E6B">
              <w:rPr>
                <w:lang w:val="en-GB"/>
              </w:rPr>
              <w:t xml:space="preserve">nd in Poland </w:t>
            </w:r>
            <w:r w:rsidR="006033A4">
              <w:rPr>
                <w:lang w:val="en-GB"/>
              </w:rPr>
              <w:t>(</w:t>
            </w:r>
            <w:r w:rsidR="006033A4">
              <w:rPr>
                <w:color w:val="000000"/>
                <w:shd w:val="clear" w:color="auto" w:fill="FFFFFF"/>
              </w:rPr>
              <w:t>–</w:t>
            </w:r>
            <w:r w:rsidR="007E5149" w:rsidRPr="00DD6E6B">
              <w:rPr>
                <w:lang w:val="en-GB"/>
              </w:rPr>
              <w:t>1</w:t>
            </w:r>
            <w:r w:rsidR="00A81374" w:rsidRPr="00DD6E6B">
              <w:rPr>
                <w:lang w:val="en-GB"/>
              </w:rPr>
              <w:t>.</w:t>
            </w:r>
            <w:r w:rsidR="007E5149" w:rsidRPr="00DD6E6B">
              <w:rPr>
                <w:lang w:val="en-GB"/>
              </w:rPr>
              <w:t>4%)</w:t>
            </w:r>
            <w:r w:rsidR="5DD689BF" w:rsidRPr="00DD6E6B">
              <w:rPr>
                <w:lang w:val="en-GB"/>
              </w:rPr>
              <w:t>.</w:t>
            </w:r>
            <w:r w:rsidR="007E5149" w:rsidRPr="00DD6E6B">
              <w:rPr>
                <w:lang w:val="en-GB"/>
              </w:rPr>
              <w:t xml:space="preserve"> </w:t>
            </w:r>
            <w:r w:rsidR="007D1627" w:rsidRPr="00DD6E6B">
              <w:rPr>
                <w:lang w:val="en-GB"/>
              </w:rPr>
              <w:t xml:space="preserve">From the view of the quarter-on-quarter development, the CR </w:t>
            </w:r>
            <w:r w:rsidR="00535DF6" w:rsidRPr="00DD6E6B">
              <w:rPr>
                <w:lang w:val="en-GB"/>
              </w:rPr>
              <w:t xml:space="preserve">ranged </w:t>
            </w:r>
            <w:r w:rsidR="00EC5B17" w:rsidRPr="00DD6E6B">
              <w:rPr>
                <w:lang w:val="en-GB"/>
              </w:rPr>
              <w:t>within the EU average</w:t>
            </w:r>
            <w:r w:rsidR="007E5149" w:rsidRPr="00DD6E6B">
              <w:rPr>
                <w:lang w:val="en-GB"/>
              </w:rPr>
              <w:t xml:space="preserve">. </w:t>
            </w:r>
            <w:r w:rsidR="00FA488C" w:rsidRPr="00DD6E6B">
              <w:rPr>
                <w:lang w:val="en-GB"/>
              </w:rPr>
              <w:t xml:space="preserve">The GDP increased the most quarter-on-quarter in </w:t>
            </w:r>
            <w:r w:rsidR="008332D0" w:rsidRPr="00DD6E6B">
              <w:rPr>
                <w:lang w:val="en-GB"/>
              </w:rPr>
              <w:t xml:space="preserve">Lithuania </w:t>
            </w:r>
            <w:r w:rsidR="007E5149" w:rsidRPr="00DD6E6B">
              <w:rPr>
                <w:lang w:val="en-GB"/>
              </w:rPr>
              <w:t>(2</w:t>
            </w:r>
            <w:r w:rsidR="008332D0" w:rsidRPr="00DD6E6B">
              <w:rPr>
                <w:lang w:val="en-GB"/>
              </w:rPr>
              <w:t>.</w:t>
            </w:r>
            <w:r w:rsidR="007E5149" w:rsidRPr="00DD6E6B">
              <w:rPr>
                <w:lang w:val="en-GB"/>
              </w:rPr>
              <w:t>9%), Slov</w:t>
            </w:r>
            <w:r w:rsidR="008332D0" w:rsidRPr="00DD6E6B">
              <w:rPr>
                <w:lang w:val="en-GB"/>
              </w:rPr>
              <w:t xml:space="preserve">enia </w:t>
            </w:r>
            <w:r w:rsidR="007E5149" w:rsidRPr="00DD6E6B">
              <w:rPr>
                <w:lang w:val="en-GB"/>
              </w:rPr>
              <w:t>(1</w:t>
            </w:r>
            <w:r w:rsidR="008332D0" w:rsidRPr="00DD6E6B">
              <w:rPr>
                <w:lang w:val="en-GB"/>
              </w:rPr>
              <w:t>.</w:t>
            </w:r>
            <w:r w:rsidR="007E5149" w:rsidRPr="00DD6E6B">
              <w:rPr>
                <w:lang w:val="en-GB"/>
              </w:rPr>
              <w:t>4%) a</w:t>
            </w:r>
            <w:r w:rsidR="008332D0" w:rsidRPr="00DD6E6B">
              <w:rPr>
                <w:lang w:val="en-GB"/>
              </w:rPr>
              <w:t xml:space="preserve">nd Greece </w:t>
            </w:r>
            <w:r w:rsidR="53942896" w:rsidRPr="00DD6E6B">
              <w:rPr>
                <w:lang w:val="en-GB"/>
              </w:rPr>
              <w:t>(1</w:t>
            </w:r>
            <w:r w:rsidR="008332D0" w:rsidRPr="00DD6E6B">
              <w:rPr>
                <w:lang w:val="en-GB"/>
              </w:rPr>
              <w:t>.</w:t>
            </w:r>
            <w:r w:rsidR="53942896" w:rsidRPr="00DD6E6B">
              <w:rPr>
                <w:lang w:val="en-GB"/>
              </w:rPr>
              <w:t>3%).</w:t>
            </w:r>
            <w:r w:rsidR="007E5149" w:rsidRPr="00DD6E6B">
              <w:rPr>
                <w:lang w:val="en-GB"/>
              </w:rPr>
              <w:t xml:space="preserve"> </w:t>
            </w:r>
            <w:r w:rsidR="00EC5B17" w:rsidRPr="00DD6E6B">
              <w:rPr>
                <w:lang w:val="en-GB"/>
              </w:rPr>
              <w:t xml:space="preserve">In contrast, the GDP </w:t>
            </w:r>
            <w:r w:rsidR="00654605" w:rsidRPr="00DD6E6B">
              <w:rPr>
                <w:lang w:val="en-GB"/>
              </w:rPr>
              <w:t xml:space="preserve">notably </w:t>
            </w:r>
            <w:r w:rsidR="008318E5" w:rsidRPr="00DD6E6B">
              <w:rPr>
                <w:lang w:val="en-GB"/>
              </w:rPr>
              <w:t xml:space="preserve">fell in Poland </w:t>
            </w:r>
            <w:r w:rsidR="006033A4">
              <w:rPr>
                <w:lang w:val="en-GB"/>
              </w:rPr>
              <w:t>(</w:t>
            </w:r>
            <w:r w:rsidR="006033A4">
              <w:rPr>
                <w:color w:val="000000"/>
                <w:shd w:val="clear" w:color="auto" w:fill="FFFFFF"/>
              </w:rPr>
              <w:t>–</w:t>
            </w:r>
            <w:r w:rsidR="007E5149" w:rsidRPr="00DD6E6B">
              <w:rPr>
                <w:lang w:val="en-GB"/>
              </w:rPr>
              <w:t>2</w:t>
            </w:r>
            <w:r w:rsidR="008318E5" w:rsidRPr="00DD6E6B">
              <w:rPr>
                <w:lang w:val="en-GB"/>
              </w:rPr>
              <w:t>.</w:t>
            </w:r>
            <w:r w:rsidR="007E5149" w:rsidRPr="00DD6E6B">
              <w:rPr>
                <w:lang w:val="en-GB"/>
              </w:rPr>
              <w:t>2%),</w:t>
            </w:r>
            <w:r w:rsidR="008318E5" w:rsidRPr="00DD6E6B">
              <w:rPr>
                <w:lang w:val="en-GB"/>
              </w:rPr>
              <w:t xml:space="preserve"> Sweden </w:t>
            </w:r>
            <w:r w:rsidR="006033A4">
              <w:rPr>
                <w:lang w:val="en-GB"/>
              </w:rPr>
              <w:t>(</w:t>
            </w:r>
            <w:r w:rsidR="006033A4">
              <w:rPr>
                <w:color w:val="000000"/>
                <w:shd w:val="clear" w:color="auto" w:fill="FFFFFF"/>
              </w:rPr>
              <w:t>–</w:t>
            </w:r>
            <w:r w:rsidR="007E5149" w:rsidRPr="00DD6E6B">
              <w:rPr>
                <w:lang w:val="en-GB"/>
              </w:rPr>
              <w:t>0</w:t>
            </w:r>
            <w:r w:rsidR="008318E5" w:rsidRPr="00DD6E6B">
              <w:rPr>
                <w:lang w:val="en-GB"/>
              </w:rPr>
              <w:t>.</w:t>
            </w:r>
            <w:r w:rsidR="007E5149" w:rsidRPr="00DD6E6B">
              <w:rPr>
                <w:lang w:val="en-GB"/>
              </w:rPr>
              <w:t>8%)</w:t>
            </w:r>
            <w:r w:rsidR="008318E5" w:rsidRPr="00DD6E6B">
              <w:rPr>
                <w:lang w:val="en-GB"/>
              </w:rPr>
              <w:t xml:space="preserve"> or in Austria </w:t>
            </w:r>
            <w:r w:rsidR="006033A4">
              <w:rPr>
                <w:lang w:val="en-GB"/>
              </w:rPr>
              <w:t>(</w:t>
            </w:r>
            <w:r w:rsidR="006033A4">
              <w:rPr>
                <w:color w:val="000000"/>
                <w:shd w:val="clear" w:color="auto" w:fill="FFFFFF"/>
              </w:rPr>
              <w:t>–</w:t>
            </w:r>
            <w:r w:rsidR="007E5149" w:rsidRPr="00DD6E6B">
              <w:rPr>
                <w:lang w:val="en-GB"/>
              </w:rPr>
              <w:t>0</w:t>
            </w:r>
            <w:r w:rsidR="008318E5" w:rsidRPr="00DD6E6B">
              <w:rPr>
                <w:lang w:val="en-GB"/>
              </w:rPr>
              <w:t>.</w:t>
            </w:r>
            <w:r w:rsidR="007E5149" w:rsidRPr="00DD6E6B">
              <w:rPr>
                <w:lang w:val="en-GB"/>
              </w:rPr>
              <w:t xml:space="preserve">7%). </w:t>
            </w:r>
            <w:r w:rsidR="00D93E70" w:rsidRPr="00DD6E6B">
              <w:rPr>
                <w:lang w:val="en-GB"/>
              </w:rPr>
              <w:t xml:space="preserve">Depiction of the </w:t>
            </w:r>
            <w:r w:rsidR="00B95DA7" w:rsidRPr="00DD6E6B">
              <w:rPr>
                <w:lang w:val="en-GB"/>
              </w:rPr>
              <w:t xml:space="preserve">area of Central Europe shows an overall slowdown in the region. </w:t>
            </w:r>
            <w:r w:rsidR="00DE45A0" w:rsidRPr="00DD6E6B">
              <w:rPr>
                <w:lang w:val="en-GB"/>
              </w:rPr>
              <w:t xml:space="preserve">Except for Poland, the CR and Austria, the GDP </w:t>
            </w:r>
            <w:r w:rsidR="00243085" w:rsidRPr="00DD6E6B">
              <w:rPr>
                <w:lang w:val="en-GB"/>
              </w:rPr>
              <w:t xml:space="preserve">also mildly decreased in Germany year-on-year </w:t>
            </w:r>
            <w:r w:rsidR="006033A4">
              <w:rPr>
                <w:lang w:val="en-GB"/>
              </w:rPr>
              <w:t>(</w:t>
            </w:r>
            <w:r w:rsidR="006033A4">
              <w:rPr>
                <w:color w:val="000000"/>
                <w:shd w:val="clear" w:color="auto" w:fill="FFFFFF"/>
              </w:rPr>
              <w:t>–</w:t>
            </w:r>
            <w:r w:rsidR="007E5149" w:rsidRPr="00DD6E6B">
              <w:rPr>
                <w:lang w:val="en-GB"/>
              </w:rPr>
              <w:t>0</w:t>
            </w:r>
            <w:r w:rsidR="00243085" w:rsidRPr="00DD6E6B">
              <w:rPr>
                <w:lang w:val="en-GB"/>
              </w:rPr>
              <w:t>.</w:t>
            </w:r>
            <w:r w:rsidR="007E5149" w:rsidRPr="00DD6E6B">
              <w:rPr>
                <w:lang w:val="en-GB"/>
              </w:rPr>
              <w:t>1%,</w:t>
            </w:r>
            <w:r w:rsidR="00243085" w:rsidRPr="00DD6E6B">
              <w:rPr>
                <w:lang w:val="en-GB"/>
              </w:rPr>
              <w:t xml:space="preserve"> the German economy stagnated quarter-on-quarter</w:t>
            </w:r>
            <w:r w:rsidR="007E5149" w:rsidRPr="00DD6E6B">
              <w:rPr>
                <w:lang w:val="en-GB"/>
              </w:rPr>
              <w:t xml:space="preserve">). </w:t>
            </w:r>
            <w:r w:rsidR="00A709DE" w:rsidRPr="00DD6E6B">
              <w:rPr>
                <w:lang w:val="en-GB"/>
              </w:rPr>
              <w:t xml:space="preserve">In contrast, Slovakia attained year-on-year growth of </w:t>
            </w:r>
            <w:r w:rsidR="007E5149" w:rsidRPr="00DD6E6B">
              <w:rPr>
                <w:lang w:val="en-GB"/>
              </w:rPr>
              <w:t>1</w:t>
            </w:r>
            <w:r w:rsidR="00A709DE" w:rsidRPr="00DD6E6B">
              <w:rPr>
                <w:lang w:val="en-GB"/>
              </w:rPr>
              <w:t>.</w:t>
            </w:r>
            <w:r w:rsidR="007E5149" w:rsidRPr="00DD6E6B">
              <w:rPr>
                <w:lang w:val="en-GB"/>
              </w:rPr>
              <w:t>3%</w:t>
            </w:r>
            <w:r w:rsidR="00A709DE" w:rsidRPr="00DD6E6B">
              <w:rPr>
                <w:lang w:val="en-GB"/>
              </w:rPr>
              <w:t xml:space="preserve"> and quarter-on-quarter of </w:t>
            </w:r>
            <w:r w:rsidR="007E5149" w:rsidRPr="00DD6E6B">
              <w:rPr>
                <w:lang w:val="en-GB"/>
              </w:rPr>
              <w:t>0</w:t>
            </w:r>
            <w:r w:rsidR="00A709DE" w:rsidRPr="00DD6E6B">
              <w:rPr>
                <w:lang w:val="en-GB"/>
              </w:rPr>
              <w:t>.</w:t>
            </w:r>
            <w:r w:rsidR="007E5149" w:rsidRPr="00DD6E6B">
              <w:rPr>
                <w:lang w:val="en-GB"/>
              </w:rPr>
              <w:t xml:space="preserve">4%. </w:t>
            </w:r>
            <w:r w:rsidR="006E7F07" w:rsidRPr="00DD6E6B">
              <w:rPr>
                <w:lang w:val="en-GB"/>
              </w:rPr>
              <w:t xml:space="preserve">With respect to the large European economies, the development </w:t>
            </w:r>
            <w:r w:rsidR="004C0A27" w:rsidRPr="00DD6E6B">
              <w:rPr>
                <w:lang w:val="en-GB"/>
              </w:rPr>
              <w:lastRenderedPageBreak/>
              <w:t>varied in Q</w:t>
            </w:r>
            <w:r w:rsidR="007E5149" w:rsidRPr="00DD6E6B">
              <w:rPr>
                <w:lang w:val="en-GB"/>
              </w:rPr>
              <w:t>2.</w:t>
            </w:r>
            <w:r w:rsidR="004C0A27" w:rsidRPr="00DD6E6B">
              <w:rPr>
                <w:lang w:val="en-GB"/>
              </w:rPr>
              <w:t xml:space="preserve"> The GDP grew quarter-on-quarter in France </w:t>
            </w:r>
            <w:r w:rsidR="007E5149" w:rsidRPr="00DD6E6B">
              <w:rPr>
                <w:lang w:val="en-GB"/>
              </w:rPr>
              <w:t>(0</w:t>
            </w:r>
            <w:r w:rsidR="004C0A27" w:rsidRPr="00DD6E6B">
              <w:rPr>
                <w:lang w:val="en-GB"/>
              </w:rPr>
              <w:t>.</w:t>
            </w:r>
            <w:r w:rsidR="007E5149" w:rsidRPr="00DD6E6B">
              <w:rPr>
                <w:lang w:val="en-GB"/>
              </w:rPr>
              <w:t>5%) a</w:t>
            </w:r>
            <w:r w:rsidR="004C0A27" w:rsidRPr="00DD6E6B">
              <w:rPr>
                <w:lang w:val="en-GB"/>
              </w:rPr>
              <w:t xml:space="preserve">nd in Spain </w:t>
            </w:r>
            <w:r w:rsidR="007E5149" w:rsidRPr="00DD6E6B">
              <w:rPr>
                <w:lang w:val="en-GB"/>
              </w:rPr>
              <w:t>(0</w:t>
            </w:r>
            <w:r w:rsidR="004C0A27" w:rsidRPr="00DD6E6B">
              <w:rPr>
                <w:lang w:val="en-GB"/>
              </w:rPr>
              <w:t>.</w:t>
            </w:r>
            <w:r w:rsidR="007E5149" w:rsidRPr="00DD6E6B">
              <w:rPr>
                <w:lang w:val="en-GB"/>
              </w:rPr>
              <w:t xml:space="preserve">4%). </w:t>
            </w:r>
            <w:r w:rsidR="00B33300" w:rsidRPr="00DD6E6B">
              <w:rPr>
                <w:lang w:val="en-GB"/>
              </w:rPr>
              <w:t xml:space="preserve">On the contrary the German economy stagnated </w:t>
            </w:r>
            <w:r w:rsidR="007E5149" w:rsidRPr="00DD6E6B">
              <w:rPr>
                <w:lang w:val="en-GB"/>
              </w:rPr>
              <w:t>(a</w:t>
            </w:r>
            <w:r w:rsidR="00B33300" w:rsidRPr="00DD6E6B">
              <w:rPr>
                <w:lang w:val="en-GB"/>
              </w:rPr>
              <w:t xml:space="preserve">nd </w:t>
            </w:r>
            <w:r w:rsidR="00295430" w:rsidRPr="00DD6E6B">
              <w:rPr>
                <w:lang w:val="en-GB"/>
              </w:rPr>
              <w:t>fell in the two preceding quarters</w:t>
            </w:r>
            <w:r w:rsidR="001602D3" w:rsidRPr="00DD6E6B">
              <w:rPr>
                <w:lang w:val="en-GB"/>
              </w:rPr>
              <w:t>)</w:t>
            </w:r>
            <w:r w:rsidR="00295430" w:rsidRPr="00DD6E6B">
              <w:rPr>
                <w:lang w:val="en-GB"/>
              </w:rPr>
              <w:t xml:space="preserve"> quarter-on-quarter </w:t>
            </w:r>
            <w:r w:rsidR="007E5149" w:rsidRPr="00DD6E6B">
              <w:rPr>
                <w:lang w:val="en-GB"/>
              </w:rPr>
              <w:t>a</w:t>
            </w:r>
            <w:r w:rsidR="00295430" w:rsidRPr="00DD6E6B">
              <w:rPr>
                <w:lang w:val="en-GB"/>
              </w:rPr>
              <w:t xml:space="preserve">nd Italy decreased by </w:t>
            </w:r>
            <w:r w:rsidR="007E5149" w:rsidRPr="00DD6E6B">
              <w:rPr>
                <w:lang w:val="en-GB"/>
              </w:rPr>
              <w:t>0</w:t>
            </w:r>
            <w:r w:rsidR="00295430" w:rsidRPr="00DD6E6B">
              <w:rPr>
                <w:lang w:val="en-GB"/>
              </w:rPr>
              <w:t>.</w:t>
            </w:r>
            <w:r w:rsidR="007E5149" w:rsidRPr="00DD6E6B">
              <w:rPr>
                <w:lang w:val="en-GB"/>
              </w:rPr>
              <w:t>4%.</w:t>
            </w:r>
          </w:p>
        </w:tc>
      </w:tr>
      <w:tr w:rsidR="007E5149" w:rsidRPr="00DD6E6B" w14:paraId="21EAEBF6" w14:textId="77777777" w:rsidTr="20D21749">
        <w:trPr>
          <w:trHeight w:val="145"/>
        </w:trPr>
        <w:tc>
          <w:tcPr>
            <w:tcW w:w="1806" w:type="dxa"/>
            <w:shd w:val="clear" w:color="auto" w:fill="auto"/>
            <w:tcMar>
              <w:left w:w="0" w:type="dxa"/>
            </w:tcMar>
          </w:tcPr>
          <w:p w14:paraId="1E0C4C00" w14:textId="4AD7F3C6" w:rsidR="007E5149" w:rsidRPr="00DD6E6B" w:rsidRDefault="00901DE6" w:rsidP="007E5149">
            <w:pPr>
              <w:pStyle w:val="Marginlie"/>
              <w:rPr>
                <w:lang w:val="en-GB"/>
              </w:rPr>
            </w:pPr>
            <w:r w:rsidRPr="00DD6E6B">
              <w:rPr>
                <w:lang w:val="en-GB"/>
              </w:rPr>
              <w:lastRenderedPageBreak/>
              <w:t xml:space="preserve">Wages and salaries decreased in real terms year-on-year. </w:t>
            </w:r>
          </w:p>
        </w:tc>
        <w:tc>
          <w:tcPr>
            <w:tcW w:w="223" w:type="dxa"/>
            <w:shd w:val="clear" w:color="auto" w:fill="auto"/>
            <w:tcMar>
              <w:left w:w="0" w:type="dxa"/>
            </w:tcMar>
          </w:tcPr>
          <w:p w14:paraId="58CC6ECB"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35C356EF" w14:textId="3263C536" w:rsidR="007E5149" w:rsidRPr="00DD6E6B" w:rsidRDefault="00901DE6" w:rsidP="007E5149">
            <w:pPr>
              <w:rPr>
                <w:lang w:val="en-GB"/>
              </w:rPr>
            </w:pPr>
            <w:r w:rsidRPr="00DD6E6B">
              <w:rPr>
                <w:lang w:val="en-GB"/>
              </w:rPr>
              <w:t>The volume of wages and salaries paid out to employees in Q</w:t>
            </w:r>
            <w:r w:rsidR="007E5149" w:rsidRPr="00DD6E6B">
              <w:rPr>
                <w:lang w:val="en-GB"/>
              </w:rPr>
              <w:t>2</w:t>
            </w:r>
            <w:r w:rsidRPr="00DD6E6B">
              <w:rPr>
                <w:lang w:val="en-GB"/>
              </w:rPr>
              <w:t xml:space="preserve"> went up </w:t>
            </w:r>
            <w:r w:rsidR="002A377D" w:rsidRPr="00DD6E6B">
              <w:rPr>
                <w:lang w:val="en-GB"/>
              </w:rPr>
              <w:t xml:space="preserve">in nominal terms </w:t>
            </w:r>
            <w:r w:rsidRPr="00DD6E6B">
              <w:rPr>
                <w:lang w:val="en-GB"/>
              </w:rPr>
              <w:t>by</w:t>
            </w:r>
            <w:r w:rsidR="002A377D" w:rsidRPr="00DD6E6B">
              <w:rPr>
                <w:lang w:val="en-GB"/>
              </w:rPr>
              <w:t xml:space="preserve"> </w:t>
            </w:r>
            <w:r w:rsidR="007E5149" w:rsidRPr="00DD6E6B">
              <w:rPr>
                <w:lang w:val="en-GB"/>
              </w:rPr>
              <w:t>8</w:t>
            </w:r>
            <w:r w:rsidR="002A377D" w:rsidRPr="00DD6E6B">
              <w:rPr>
                <w:lang w:val="en-GB"/>
              </w:rPr>
              <w:t>.</w:t>
            </w:r>
            <w:r w:rsidR="007E5149" w:rsidRPr="00DD6E6B">
              <w:rPr>
                <w:lang w:val="en-GB"/>
              </w:rPr>
              <w:t>0%</w:t>
            </w:r>
            <w:r w:rsidR="002A377D" w:rsidRPr="00DD6E6B">
              <w:rPr>
                <w:lang w:val="en-GB"/>
              </w:rPr>
              <w:t xml:space="preserve"> year-on-year </w:t>
            </w:r>
            <w:r w:rsidR="00943BA9" w:rsidRPr="00DD6E6B">
              <w:rPr>
                <w:lang w:val="en-GB"/>
              </w:rPr>
              <w:t xml:space="preserve">given the total employment growth of </w:t>
            </w:r>
            <w:r w:rsidR="007E5149" w:rsidRPr="00DD6E6B">
              <w:rPr>
                <w:lang w:val="en-GB"/>
              </w:rPr>
              <w:t>0</w:t>
            </w:r>
            <w:r w:rsidR="00943BA9" w:rsidRPr="00DD6E6B">
              <w:rPr>
                <w:lang w:val="en-GB"/>
              </w:rPr>
              <w:t>.</w:t>
            </w:r>
            <w:r w:rsidR="007E5149" w:rsidRPr="00DD6E6B">
              <w:rPr>
                <w:lang w:val="en-GB"/>
              </w:rPr>
              <w:t>8%</w:t>
            </w:r>
            <w:r w:rsidR="007E5149" w:rsidRPr="00DD6E6B">
              <w:rPr>
                <w:rStyle w:val="Znakapoznpodarou"/>
                <w:spacing w:val="-2"/>
                <w:lang w:val="en-GB"/>
              </w:rPr>
              <w:footnoteReference w:id="3"/>
            </w:r>
            <w:r w:rsidR="007E5149" w:rsidRPr="00DD6E6B">
              <w:rPr>
                <w:lang w:val="en-GB"/>
              </w:rPr>
              <w:t xml:space="preserve">. </w:t>
            </w:r>
            <w:r w:rsidR="003036CE" w:rsidRPr="00DD6E6B">
              <w:rPr>
                <w:lang w:val="en-GB"/>
              </w:rPr>
              <w:t xml:space="preserve">The dynamics thus slightly slowed down compared to the preceding quarter. </w:t>
            </w:r>
            <w:r w:rsidR="006A60DC" w:rsidRPr="00DD6E6B">
              <w:rPr>
                <w:lang w:val="en-GB"/>
              </w:rPr>
              <w:t xml:space="preserve">With the view to the ongoing price growth however the wages and salaries </w:t>
            </w:r>
            <w:r w:rsidR="009A04D4" w:rsidRPr="00DD6E6B">
              <w:rPr>
                <w:lang w:val="en-GB"/>
              </w:rPr>
              <w:t xml:space="preserve">dropped by </w:t>
            </w:r>
            <w:r w:rsidR="007E5149" w:rsidRPr="00DD6E6B">
              <w:rPr>
                <w:lang w:val="en-GB"/>
              </w:rPr>
              <w:t>1</w:t>
            </w:r>
            <w:r w:rsidR="009A04D4" w:rsidRPr="00DD6E6B">
              <w:rPr>
                <w:lang w:val="en-GB"/>
              </w:rPr>
              <w:t>.</w:t>
            </w:r>
            <w:r w:rsidR="007E5149" w:rsidRPr="00DD6E6B">
              <w:rPr>
                <w:lang w:val="en-GB"/>
              </w:rPr>
              <w:t>9%</w:t>
            </w:r>
            <w:r w:rsidR="007E5149" w:rsidRPr="00DD6E6B">
              <w:rPr>
                <w:rStyle w:val="Znakapoznpodarou"/>
                <w:spacing w:val="-2"/>
                <w:lang w:val="en-GB"/>
              </w:rPr>
              <w:footnoteReference w:id="4"/>
            </w:r>
            <w:r w:rsidR="009A04D4" w:rsidRPr="00DD6E6B">
              <w:rPr>
                <w:lang w:val="en-GB"/>
              </w:rPr>
              <w:t xml:space="preserve"> in real terms</w:t>
            </w:r>
            <w:r w:rsidR="007E5149" w:rsidRPr="00DD6E6B">
              <w:rPr>
                <w:lang w:val="en-GB"/>
              </w:rPr>
              <w:t xml:space="preserve">. </w:t>
            </w:r>
            <w:r w:rsidR="009A04D4" w:rsidRPr="00DD6E6B">
              <w:rPr>
                <w:lang w:val="en-GB"/>
              </w:rPr>
              <w:t xml:space="preserve">The wages and salaries rose the most year-on-year in </w:t>
            </w:r>
            <w:r w:rsidR="003C2363" w:rsidRPr="00DD6E6B">
              <w:rPr>
                <w:lang w:val="en-GB"/>
              </w:rPr>
              <w:t xml:space="preserve">the area of real estate </w:t>
            </w:r>
            <w:r w:rsidR="007E5149" w:rsidRPr="00DD6E6B">
              <w:rPr>
                <w:lang w:val="en-GB"/>
              </w:rPr>
              <w:t>(18</w:t>
            </w:r>
            <w:r w:rsidR="003C2363" w:rsidRPr="00DD6E6B">
              <w:rPr>
                <w:lang w:val="en-GB"/>
              </w:rPr>
              <w:t>.</w:t>
            </w:r>
            <w:r w:rsidR="007E5149" w:rsidRPr="00DD6E6B">
              <w:rPr>
                <w:lang w:val="en-GB"/>
              </w:rPr>
              <w:t>2%</w:t>
            </w:r>
            <w:r w:rsidR="003C2363" w:rsidRPr="00DD6E6B">
              <w:rPr>
                <w:lang w:val="en-GB"/>
              </w:rPr>
              <w:t xml:space="preserve"> given the employment growth of </w:t>
            </w:r>
            <w:r w:rsidR="007E5149" w:rsidRPr="00DD6E6B">
              <w:rPr>
                <w:lang w:val="en-GB"/>
              </w:rPr>
              <w:t>0</w:t>
            </w:r>
            <w:r w:rsidR="003C2363" w:rsidRPr="00DD6E6B">
              <w:rPr>
                <w:lang w:val="en-GB"/>
              </w:rPr>
              <w:t>.</w:t>
            </w:r>
            <w:r w:rsidR="007E5149" w:rsidRPr="00DD6E6B">
              <w:rPr>
                <w:lang w:val="en-GB"/>
              </w:rPr>
              <w:t>6%),</w:t>
            </w:r>
            <w:r w:rsidR="003C2363" w:rsidRPr="00DD6E6B">
              <w:rPr>
                <w:lang w:val="en-GB"/>
              </w:rPr>
              <w:t xml:space="preserve"> in financial and insurance </w:t>
            </w:r>
            <w:r w:rsidR="00F42241" w:rsidRPr="00DD6E6B">
              <w:rPr>
                <w:lang w:val="en-GB"/>
              </w:rPr>
              <w:t xml:space="preserve">activities </w:t>
            </w:r>
            <w:r w:rsidR="007E5149" w:rsidRPr="00DD6E6B">
              <w:rPr>
                <w:lang w:val="en-GB"/>
              </w:rPr>
              <w:t>(10</w:t>
            </w:r>
            <w:r w:rsidR="00F42241" w:rsidRPr="00DD6E6B">
              <w:rPr>
                <w:lang w:val="en-GB"/>
              </w:rPr>
              <w:t>.</w:t>
            </w:r>
            <w:r w:rsidR="007E5149" w:rsidRPr="00DD6E6B">
              <w:rPr>
                <w:lang w:val="en-GB"/>
              </w:rPr>
              <w:t>1%,</w:t>
            </w:r>
            <w:r w:rsidR="004D148A" w:rsidRPr="00DD6E6B">
              <w:rPr>
                <w:lang w:val="en-GB"/>
              </w:rPr>
              <w:t xml:space="preserve"> </w:t>
            </w:r>
            <w:r w:rsidR="00F42241" w:rsidRPr="00DD6E6B">
              <w:rPr>
                <w:lang w:val="en-GB"/>
              </w:rPr>
              <w:t xml:space="preserve">employment of </w:t>
            </w:r>
            <w:r w:rsidR="007E5149" w:rsidRPr="00DD6E6B">
              <w:rPr>
                <w:lang w:val="en-GB"/>
              </w:rPr>
              <w:t>1</w:t>
            </w:r>
            <w:r w:rsidR="00F42241" w:rsidRPr="00DD6E6B">
              <w:rPr>
                <w:lang w:val="en-GB"/>
              </w:rPr>
              <w:t>.</w:t>
            </w:r>
            <w:r w:rsidR="007E5149" w:rsidRPr="00DD6E6B">
              <w:rPr>
                <w:lang w:val="en-GB"/>
              </w:rPr>
              <w:t>8%),</w:t>
            </w:r>
            <w:r w:rsidR="00F42241" w:rsidRPr="00DD6E6B">
              <w:rPr>
                <w:lang w:val="en-GB"/>
              </w:rPr>
              <w:t xml:space="preserve"> in professional, scientific, technical and administrative activities </w:t>
            </w:r>
            <w:r w:rsidR="007E5149" w:rsidRPr="00DD6E6B">
              <w:rPr>
                <w:lang w:val="en-GB"/>
              </w:rPr>
              <w:t>(9</w:t>
            </w:r>
            <w:r w:rsidR="00F42241" w:rsidRPr="00DD6E6B">
              <w:rPr>
                <w:lang w:val="en-GB"/>
              </w:rPr>
              <w:t>.</w:t>
            </w:r>
            <w:r w:rsidR="007E5149" w:rsidRPr="00DD6E6B">
              <w:rPr>
                <w:lang w:val="en-GB"/>
              </w:rPr>
              <w:t>6%,</w:t>
            </w:r>
            <w:r w:rsidR="00F42241" w:rsidRPr="00DD6E6B">
              <w:rPr>
                <w:lang w:val="en-GB"/>
              </w:rPr>
              <w:t xml:space="preserve"> employment of </w:t>
            </w:r>
            <w:r w:rsidR="007E5149" w:rsidRPr="00DD6E6B">
              <w:rPr>
                <w:lang w:val="en-GB"/>
              </w:rPr>
              <w:t>1</w:t>
            </w:r>
            <w:r w:rsidR="00F42241" w:rsidRPr="00DD6E6B">
              <w:rPr>
                <w:lang w:val="en-GB"/>
              </w:rPr>
              <w:t>.</w:t>
            </w:r>
            <w:r w:rsidR="007E5149" w:rsidRPr="00DD6E6B">
              <w:rPr>
                <w:lang w:val="en-GB"/>
              </w:rPr>
              <w:t>6%),</w:t>
            </w:r>
            <w:r w:rsidR="00F42241" w:rsidRPr="00DD6E6B">
              <w:rPr>
                <w:lang w:val="en-GB"/>
              </w:rPr>
              <w:t xml:space="preserve"> in public</w:t>
            </w:r>
            <w:r w:rsidR="007B72A4" w:rsidRPr="00DD6E6B">
              <w:rPr>
                <w:lang w:val="en-GB"/>
              </w:rPr>
              <w:t xml:space="preserve"> </w:t>
            </w:r>
            <w:r w:rsidR="007B72A4" w:rsidRPr="00DD6E6B">
              <w:rPr>
                <w:rFonts w:cs="Arial"/>
                <w:szCs w:val="20"/>
                <w:lang w:val="en-GB"/>
              </w:rPr>
              <w:t>administration, education, health and social work</w:t>
            </w:r>
            <w:r w:rsidR="00F42241" w:rsidRPr="00DD6E6B">
              <w:rPr>
                <w:lang w:val="en-GB"/>
              </w:rPr>
              <w:t xml:space="preserve"> </w:t>
            </w:r>
            <w:r w:rsidR="007E5149" w:rsidRPr="00DD6E6B">
              <w:rPr>
                <w:lang w:val="en-GB"/>
              </w:rPr>
              <w:t>(8</w:t>
            </w:r>
            <w:r w:rsidR="006C7E90" w:rsidRPr="00DD6E6B">
              <w:rPr>
                <w:lang w:val="en-GB"/>
              </w:rPr>
              <w:t>.</w:t>
            </w:r>
            <w:r w:rsidR="007E5149" w:rsidRPr="00DD6E6B">
              <w:rPr>
                <w:lang w:val="en-GB"/>
              </w:rPr>
              <w:t xml:space="preserve">3%, </w:t>
            </w:r>
            <w:r w:rsidR="006C7E90" w:rsidRPr="00DD6E6B">
              <w:rPr>
                <w:lang w:val="en-GB"/>
              </w:rPr>
              <w:t xml:space="preserve">employment was by </w:t>
            </w:r>
            <w:r w:rsidR="007E5149" w:rsidRPr="00DD6E6B">
              <w:rPr>
                <w:lang w:val="en-GB"/>
              </w:rPr>
              <w:t>2</w:t>
            </w:r>
            <w:r w:rsidR="006C7E90" w:rsidRPr="00DD6E6B">
              <w:rPr>
                <w:lang w:val="en-GB"/>
              </w:rPr>
              <w:t>.</w:t>
            </w:r>
            <w:r w:rsidR="007E5149" w:rsidRPr="00DD6E6B">
              <w:rPr>
                <w:lang w:val="en-GB"/>
              </w:rPr>
              <w:t>2%</w:t>
            </w:r>
            <w:r w:rsidR="006C7E90" w:rsidRPr="00DD6E6B">
              <w:rPr>
                <w:lang w:val="en-GB"/>
              </w:rPr>
              <w:t xml:space="preserve"> higher</w:t>
            </w:r>
            <w:r w:rsidR="007E5149" w:rsidRPr="00DD6E6B">
              <w:rPr>
                <w:lang w:val="en-GB"/>
              </w:rPr>
              <w:t>),</w:t>
            </w:r>
            <w:r w:rsidR="006C7E90" w:rsidRPr="00DD6E6B">
              <w:rPr>
                <w:lang w:val="en-GB"/>
              </w:rPr>
              <w:t xml:space="preserve"> in information and communication </w:t>
            </w:r>
            <w:r w:rsidR="007E5149" w:rsidRPr="00DD6E6B">
              <w:rPr>
                <w:lang w:val="en-GB"/>
              </w:rPr>
              <w:t>(8</w:t>
            </w:r>
            <w:r w:rsidR="00B51B78" w:rsidRPr="00DD6E6B">
              <w:rPr>
                <w:lang w:val="en-GB"/>
              </w:rPr>
              <w:t>.</w:t>
            </w:r>
            <w:r w:rsidR="007E5149" w:rsidRPr="00DD6E6B">
              <w:rPr>
                <w:lang w:val="en-GB"/>
              </w:rPr>
              <w:t>1%,</w:t>
            </w:r>
            <w:r w:rsidR="00B51B78" w:rsidRPr="00DD6E6B">
              <w:rPr>
                <w:lang w:val="en-GB"/>
              </w:rPr>
              <w:t xml:space="preserve"> employment by </w:t>
            </w:r>
            <w:r w:rsidR="007E5149" w:rsidRPr="00DD6E6B">
              <w:rPr>
                <w:lang w:val="en-GB"/>
              </w:rPr>
              <w:t>2</w:t>
            </w:r>
            <w:r w:rsidR="00B51B78" w:rsidRPr="00DD6E6B">
              <w:rPr>
                <w:lang w:val="en-GB"/>
              </w:rPr>
              <w:t>.</w:t>
            </w:r>
            <w:r w:rsidR="007E5149" w:rsidRPr="00DD6E6B">
              <w:rPr>
                <w:lang w:val="en-GB"/>
              </w:rPr>
              <w:t>6%) a</w:t>
            </w:r>
            <w:r w:rsidR="00B51B78" w:rsidRPr="00DD6E6B">
              <w:rPr>
                <w:lang w:val="en-GB"/>
              </w:rPr>
              <w:t xml:space="preserve">nd in construction </w:t>
            </w:r>
            <w:r w:rsidR="007E5149" w:rsidRPr="00DD6E6B">
              <w:rPr>
                <w:lang w:val="en-GB"/>
              </w:rPr>
              <w:t>(8</w:t>
            </w:r>
            <w:r w:rsidR="00CC6F84" w:rsidRPr="00DD6E6B">
              <w:rPr>
                <w:lang w:val="en-GB"/>
              </w:rPr>
              <w:t>.</w:t>
            </w:r>
            <w:r w:rsidR="007E5149" w:rsidRPr="00DD6E6B">
              <w:rPr>
                <w:lang w:val="en-GB"/>
              </w:rPr>
              <w:t>1%,</w:t>
            </w:r>
            <w:r w:rsidR="00CC6F84" w:rsidRPr="00DD6E6B">
              <w:rPr>
                <w:lang w:val="en-GB"/>
              </w:rPr>
              <w:t xml:space="preserve"> employment by </w:t>
            </w:r>
            <w:r w:rsidR="007E5149" w:rsidRPr="00DD6E6B">
              <w:rPr>
                <w:lang w:val="en-GB"/>
              </w:rPr>
              <w:t>2</w:t>
            </w:r>
            <w:r w:rsidR="00CC6F84" w:rsidRPr="00DD6E6B">
              <w:rPr>
                <w:lang w:val="en-GB"/>
              </w:rPr>
              <w:t>.</w:t>
            </w:r>
            <w:r w:rsidR="007E5149" w:rsidRPr="00DD6E6B">
              <w:rPr>
                <w:lang w:val="en-GB"/>
              </w:rPr>
              <w:t>7%).</w:t>
            </w:r>
            <w:r w:rsidR="00CC6F84" w:rsidRPr="00DD6E6B">
              <w:rPr>
                <w:lang w:val="en-GB"/>
              </w:rPr>
              <w:t xml:space="preserve"> </w:t>
            </w:r>
            <w:r w:rsidR="00443519" w:rsidRPr="00DD6E6B">
              <w:rPr>
                <w:lang w:val="en-GB"/>
              </w:rPr>
              <w:t xml:space="preserve">The year-on-year growth </w:t>
            </w:r>
            <w:r w:rsidR="001221BD" w:rsidRPr="00DD6E6B">
              <w:rPr>
                <w:lang w:val="en-GB"/>
              </w:rPr>
              <w:t xml:space="preserve">of </w:t>
            </w:r>
            <w:r w:rsidR="00064886" w:rsidRPr="00DD6E6B">
              <w:rPr>
                <w:lang w:val="en-GB"/>
              </w:rPr>
              <w:t xml:space="preserve">the volume of wages and salaries was below-average in industry </w:t>
            </w:r>
            <w:r w:rsidR="007E5149" w:rsidRPr="00DD6E6B">
              <w:rPr>
                <w:lang w:val="en-GB"/>
              </w:rPr>
              <w:t>(7</w:t>
            </w:r>
            <w:r w:rsidR="00064886" w:rsidRPr="00DD6E6B">
              <w:rPr>
                <w:lang w:val="en-GB"/>
              </w:rPr>
              <w:t>.</w:t>
            </w:r>
            <w:r w:rsidR="007E5149" w:rsidRPr="00DD6E6B">
              <w:rPr>
                <w:lang w:val="en-GB"/>
              </w:rPr>
              <w:t>8%,</w:t>
            </w:r>
            <w:r w:rsidR="00064886" w:rsidRPr="00DD6E6B">
              <w:rPr>
                <w:lang w:val="en-GB"/>
              </w:rPr>
              <w:t xml:space="preserve"> </w:t>
            </w:r>
            <w:r w:rsidR="00FE7677" w:rsidRPr="00DD6E6B">
              <w:rPr>
                <w:lang w:val="en-GB"/>
              </w:rPr>
              <w:t xml:space="preserve">the only branch where the employment fell year-on-year by </w:t>
            </w:r>
            <w:r w:rsidR="007E5149" w:rsidRPr="00DD6E6B">
              <w:rPr>
                <w:lang w:val="en-GB"/>
              </w:rPr>
              <w:t>0</w:t>
            </w:r>
            <w:r w:rsidR="00FE7677" w:rsidRPr="00DD6E6B">
              <w:rPr>
                <w:lang w:val="en-GB"/>
              </w:rPr>
              <w:t>.</w:t>
            </w:r>
            <w:r w:rsidR="007E5149" w:rsidRPr="00DD6E6B">
              <w:rPr>
                <w:lang w:val="en-GB"/>
              </w:rPr>
              <w:t>6%),</w:t>
            </w:r>
            <w:r w:rsidR="00FE7677" w:rsidRPr="00DD6E6B">
              <w:rPr>
                <w:lang w:val="en-GB"/>
              </w:rPr>
              <w:t xml:space="preserve"> in group trade, transportation, accommodation and </w:t>
            </w:r>
            <w:r w:rsidR="001467FC" w:rsidRPr="00DD6E6B">
              <w:rPr>
                <w:lang w:val="en-GB"/>
              </w:rPr>
              <w:t xml:space="preserve">food service </w:t>
            </w:r>
            <w:r w:rsidR="007E5149" w:rsidRPr="00DD6E6B">
              <w:rPr>
                <w:lang w:val="en-GB"/>
              </w:rPr>
              <w:t>(6</w:t>
            </w:r>
            <w:r w:rsidR="001467FC" w:rsidRPr="00DD6E6B">
              <w:rPr>
                <w:lang w:val="en-GB"/>
              </w:rPr>
              <w:t>.</w:t>
            </w:r>
            <w:r w:rsidR="007E5149" w:rsidRPr="00DD6E6B">
              <w:rPr>
                <w:lang w:val="en-GB"/>
              </w:rPr>
              <w:t>7%,</w:t>
            </w:r>
            <w:r w:rsidR="001467FC" w:rsidRPr="00DD6E6B">
              <w:rPr>
                <w:lang w:val="en-GB"/>
              </w:rPr>
              <w:t xml:space="preserve"> employment by </w:t>
            </w:r>
            <w:r w:rsidR="007E5149" w:rsidRPr="00DD6E6B">
              <w:rPr>
                <w:lang w:val="en-GB"/>
              </w:rPr>
              <w:t>0</w:t>
            </w:r>
            <w:r w:rsidR="001467FC" w:rsidRPr="00DD6E6B">
              <w:rPr>
                <w:lang w:val="en-GB"/>
              </w:rPr>
              <w:t>.</w:t>
            </w:r>
            <w:r w:rsidR="007E5149" w:rsidRPr="00DD6E6B">
              <w:rPr>
                <w:lang w:val="en-GB"/>
              </w:rPr>
              <w:t>2%),</w:t>
            </w:r>
            <w:r w:rsidR="001467FC" w:rsidRPr="00DD6E6B">
              <w:rPr>
                <w:lang w:val="en-GB"/>
              </w:rPr>
              <w:t xml:space="preserve"> in other activities</w:t>
            </w:r>
            <w:r w:rsidR="007E5149" w:rsidRPr="00DD6E6B">
              <w:rPr>
                <w:rStyle w:val="Znakapoznpodarou"/>
                <w:spacing w:val="-2"/>
                <w:lang w:val="en-GB"/>
              </w:rPr>
              <w:footnoteReference w:id="5"/>
            </w:r>
            <w:r w:rsidR="007E5149" w:rsidRPr="00DD6E6B">
              <w:rPr>
                <w:lang w:val="en-GB"/>
              </w:rPr>
              <w:t xml:space="preserve"> (6</w:t>
            </w:r>
            <w:r w:rsidR="001467FC" w:rsidRPr="00DD6E6B">
              <w:rPr>
                <w:lang w:val="en-GB"/>
              </w:rPr>
              <w:t>.</w:t>
            </w:r>
            <w:r w:rsidR="007E5149" w:rsidRPr="00DD6E6B">
              <w:rPr>
                <w:lang w:val="en-GB"/>
              </w:rPr>
              <w:t>4%,</w:t>
            </w:r>
            <w:r w:rsidR="007F1D62" w:rsidRPr="00DD6E6B">
              <w:rPr>
                <w:lang w:val="en-GB"/>
              </w:rPr>
              <w:t xml:space="preserve"> employment grew by </w:t>
            </w:r>
            <w:r w:rsidR="007E5149" w:rsidRPr="00DD6E6B">
              <w:rPr>
                <w:lang w:val="en-GB"/>
              </w:rPr>
              <w:t>1</w:t>
            </w:r>
            <w:r w:rsidR="007F1D62" w:rsidRPr="00DD6E6B">
              <w:rPr>
                <w:lang w:val="en-GB"/>
              </w:rPr>
              <w:t>.</w:t>
            </w:r>
            <w:r w:rsidR="007E5149" w:rsidRPr="00DD6E6B">
              <w:rPr>
                <w:lang w:val="en-GB"/>
              </w:rPr>
              <w:t>0%) a</w:t>
            </w:r>
            <w:r w:rsidR="007F1D62" w:rsidRPr="00DD6E6B">
              <w:rPr>
                <w:lang w:val="en-GB"/>
              </w:rPr>
              <w:t xml:space="preserve">nd in agriculture, forestry and fishing </w:t>
            </w:r>
            <w:r w:rsidR="007E5149" w:rsidRPr="00DD6E6B">
              <w:rPr>
                <w:lang w:val="en-GB"/>
              </w:rPr>
              <w:t>(5</w:t>
            </w:r>
            <w:r w:rsidR="007F1D62" w:rsidRPr="00DD6E6B">
              <w:rPr>
                <w:lang w:val="en-GB"/>
              </w:rPr>
              <w:t>.</w:t>
            </w:r>
            <w:r w:rsidR="007E5149" w:rsidRPr="00DD6E6B">
              <w:rPr>
                <w:lang w:val="en-GB"/>
              </w:rPr>
              <w:t xml:space="preserve">9%, </w:t>
            </w:r>
            <w:r w:rsidR="007F1D62" w:rsidRPr="00DD6E6B">
              <w:rPr>
                <w:lang w:val="en-GB"/>
              </w:rPr>
              <w:t xml:space="preserve">employment by </w:t>
            </w:r>
            <w:r w:rsidR="007E5149" w:rsidRPr="00DD6E6B">
              <w:rPr>
                <w:lang w:val="en-GB"/>
              </w:rPr>
              <w:t>0</w:t>
            </w:r>
            <w:r w:rsidR="007F1D62" w:rsidRPr="00DD6E6B">
              <w:rPr>
                <w:lang w:val="en-GB"/>
              </w:rPr>
              <w:t>.</w:t>
            </w:r>
            <w:r w:rsidR="007E5149" w:rsidRPr="00DD6E6B">
              <w:rPr>
                <w:lang w:val="en-GB"/>
              </w:rPr>
              <w:t xml:space="preserve">7%). </w:t>
            </w:r>
          </w:p>
        </w:tc>
      </w:tr>
      <w:tr w:rsidR="007E5149" w:rsidRPr="00DD6E6B" w14:paraId="529DABB9" w14:textId="77777777" w:rsidTr="20D21749">
        <w:trPr>
          <w:trHeight w:val="145"/>
        </w:trPr>
        <w:tc>
          <w:tcPr>
            <w:tcW w:w="1806" w:type="dxa"/>
            <w:shd w:val="clear" w:color="auto" w:fill="auto"/>
            <w:tcMar>
              <w:left w:w="0" w:type="dxa"/>
            </w:tcMar>
          </w:tcPr>
          <w:p w14:paraId="4C6B0DBD" w14:textId="712C0A05" w:rsidR="007E5149" w:rsidRPr="00DD6E6B" w:rsidRDefault="007E5149" w:rsidP="007E5149">
            <w:pPr>
              <w:pStyle w:val="Marginlie"/>
              <w:rPr>
                <w:lang w:val="en-GB"/>
              </w:rPr>
            </w:pPr>
            <w:r w:rsidRPr="00DD6E6B">
              <w:rPr>
                <w:lang w:val="en-GB"/>
              </w:rPr>
              <w:t>Nom</w:t>
            </w:r>
            <w:r w:rsidR="00D36779" w:rsidRPr="00DD6E6B">
              <w:rPr>
                <w:lang w:val="en-GB"/>
              </w:rPr>
              <w:t>i</w:t>
            </w:r>
            <w:r w:rsidR="009A5A36" w:rsidRPr="00DD6E6B">
              <w:rPr>
                <w:lang w:val="en-GB"/>
              </w:rPr>
              <w:t>nal wages and salaries</w:t>
            </w:r>
            <w:r w:rsidR="00D36779" w:rsidRPr="00DD6E6B">
              <w:rPr>
                <w:lang w:val="en-GB"/>
              </w:rPr>
              <w:t xml:space="preserve"> </w:t>
            </w:r>
            <w:r w:rsidR="0018273F" w:rsidRPr="00DD6E6B">
              <w:rPr>
                <w:lang w:val="en-GB"/>
              </w:rPr>
              <w:t xml:space="preserve">fell quarter-on-quarter in agriculture, forestry and fishing and in other activities. </w:t>
            </w:r>
          </w:p>
        </w:tc>
        <w:tc>
          <w:tcPr>
            <w:tcW w:w="223" w:type="dxa"/>
            <w:shd w:val="clear" w:color="auto" w:fill="auto"/>
            <w:tcMar>
              <w:left w:w="0" w:type="dxa"/>
            </w:tcMar>
          </w:tcPr>
          <w:p w14:paraId="41FAEF8A"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52C45FD7" w14:textId="4B83FCD1" w:rsidR="007E5149" w:rsidRPr="00DD6E6B" w:rsidRDefault="00D12FCD" w:rsidP="007E5149">
            <w:pPr>
              <w:rPr>
                <w:lang w:val="en-GB"/>
              </w:rPr>
            </w:pPr>
            <w:r w:rsidRPr="00DD6E6B">
              <w:rPr>
                <w:lang w:val="en-GB"/>
              </w:rPr>
              <w:t xml:space="preserve">Wages and salaries </w:t>
            </w:r>
            <w:r w:rsidR="001B2EB2" w:rsidRPr="00DD6E6B">
              <w:rPr>
                <w:lang w:val="en-GB"/>
              </w:rPr>
              <w:t xml:space="preserve">increased by </w:t>
            </w:r>
            <w:r w:rsidR="007E5149" w:rsidRPr="00DD6E6B">
              <w:rPr>
                <w:lang w:val="en-GB"/>
              </w:rPr>
              <w:t>1</w:t>
            </w:r>
            <w:r w:rsidR="001B2EB2" w:rsidRPr="00DD6E6B">
              <w:rPr>
                <w:lang w:val="en-GB"/>
              </w:rPr>
              <w:t>.</w:t>
            </w:r>
            <w:r w:rsidR="007E5149" w:rsidRPr="00DD6E6B">
              <w:rPr>
                <w:lang w:val="en-GB"/>
              </w:rPr>
              <w:t>0%</w:t>
            </w:r>
            <w:r w:rsidR="001B2EB2" w:rsidRPr="00DD6E6B">
              <w:rPr>
                <w:lang w:val="en-GB"/>
              </w:rPr>
              <w:t xml:space="preserve"> quarter-on-quarter given the same growth of employment</w:t>
            </w:r>
            <w:r w:rsidR="007E5149" w:rsidRPr="00DD6E6B">
              <w:rPr>
                <w:lang w:val="en-GB"/>
              </w:rPr>
              <w:t xml:space="preserve">. </w:t>
            </w:r>
            <w:r w:rsidRPr="00DD6E6B">
              <w:rPr>
                <w:lang w:val="en-GB"/>
              </w:rPr>
              <w:t xml:space="preserve">In real terms, wages and salaries increased by </w:t>
            </w:r>
            <w:r w:rsidR="007E5149" w:rsidRPr="00DD6E6B">
              <w:rPr>
                <w:lang w:val="en-GB"/>
              </w:rPr>
              <w:t>1</w:t>
            </w:r>
            <w:r w:rsidRPr="00DD6E6B">
              <w:rPr>
                <w:lang w:val="en-GB"/>
              </w:rPr>
              <w:t>.</w:t>
            </w:r>
            <w:r w:rsidR="007E5149" w:rsidRPr="00DD6E6B">
              <w:rPr>
                <w:lang w:val="en-GB"/>
              </w:rPr>
              <w:t>2%</w:t>
            </w:r>
            <w:r w:rsidRPr="00DD6E6B">
              <w:rPr>
                <w:lang w:val="en-GB"/>
              </w:rPr>
              <w:t xml:space="preserve"> quarter-on-quarter</w:t>
            </w:r>
            <w:r w:rsidR="007E5149" w:rsidRPr="00DD6E6B">
              <w:rPr>
                <w:lang w:val="en-GB"/>
              </w:rPr>
              <w:t xml:space="preserve">. </w:t>
            </w:r>
            <w:r w:rsidR="004A7E9A" w:rsidRPr="00DD6E6B">
              <w:rPr>
                <w:lang w:val="en-GB"/>
              </w:rPr>
              <w:t xml:space="preserve">The most significant revival of </w:t>
            </w:r>
            <w:r w:rsidR="009C2C39" w:rsidRPr="00DD6E6B">
              <w:rPr>
                <w:lang w:val="en-GB"/>
              </w:rPr>
              <w:t>the volume of wages and salaries occurred in Q</w:t>
            </w:r>
            <w:r w:rsidR="007E5149" w:rsidRPr="00DD6E6B">
              <w:rPr>
                <w:lang w:val="en-GB"/>
              </w:rPr>
              <w:t>2</w:t>
            </w:r>
            <w:r w:rsidR="009C2C39" w:rsidRPr="00DD6E6B">
              <w:rPr>
                <w:lang w:val="en-GB"/>
              </w:rPr>
              <w:t xml:space="preserve"> in financial and insurance activities </w:t>
            </w:r>
            <w:r w:rsidR="007E5149" w:rsidRPr="00DD6E6B">
              <w:rPr>
                <w:lang w:val="en-GB"/>
              </w:rPr>
              <w:t>(5</w:t>
            </w:r>
            <w:r w:rsidR="009C2C39" w:rsidRPr="00DD6E6B">
              <w:rPr>
                <w:lang w:val="en-GB"/>
              </w:rPr>
              <w:t>.</w:t>
            </w:r>
            <w:r w:rsidR="007E5149" w:rsidRPr="00DD6E6B">
              <w:rPr>
                <w:lang w:val="en-GB"/>
              </w:rPr>
              <w:t xml:space="preserve">4% </w:t>
            </w:r>
            <w:r w:rsidR="00C4362A" w:rsidRPr="00DD6E6B">
              <w:rPr>
                <w:lang w:val="en-GB"/>
              </w:rPr>
              <w:t>accompanied</w:t>
            </w:r>
            <w:r w:rsidR="004C0233" w:rsidRPr="00DD6E6B">
              <w:rPr>
                <w:lang w:val="en-GB"/>
              </w:rPr>
              <w:t xml:space="preserve"> by the employment stagnation</w:t>
            </w:r>
            <w:r w:rsidR="007E5149" w:rsidRPr="00DD6E6B">
              <w:rPr>
                <w:lang w:val="en-GB"/>
              </w:rPr>
              <w:t>),</w:t>
            </w:r>
            <w:r w:rsidR="004C0233" w:rsidRPr="00DD6E6B">
              <w:rPr>
                <w:lang w:val="en-GB"/>
              </w:rPr>
              <w:t xml:space="preserve"> in </w:t>
            </w:r>
            <w:r w:rsidR="00764E6D" w:rsidRPr="00DD6E6B">
              <w:rPr>
                <w:lang w:val="en-GB"/>
              </w:rPr>
              <w:t>p</w:t>
            </w:r>
            <w:r w:rsidR="00764E6D" w:rsidRPr="00DD6E6B">
              <w:rPr>
                <w:rFonts w:cs="Arial"/>
                <w:szCs w:val="20"/>
                <w:lang w:val="en-GB"/>
              </w:rPr>
              <w:t xml:space="preserve">ublic administration, education, health and social work </w:t>
            </w:r>
            <w:r w:rsidR="007E5149" w:rsidRPr="00DD6E6B">
              <w:rPr>
                <w:lang w:val="en-GB"/>
              </w:rPr>
              <w:t>(1</w:t>
            </w:r>
            <w:r w:rsidR="00764E6D" w:rsidRPr="00DD6E6B">
              <w:rPr>
                <w:lang w:val="en-GB"/>
              </w:rPr>
              <w:t>.</w:t>
            </w:r>
            <w:r w:rsidR="007E5149" w:rsidRPr="00DD6E6B">
              <w:rPr>
                <w:lang w:val="en-GB"/>
              </w:rPr>
              <w:t xml:space="preserve">6% </w:t>
            </w:r>
            <w:r w:rsidR="00BB3E48" w:rsidRPr="00DD6E6B">
              <w:rPr>
                <w:lang w:val="en-GB"/>
              </w:rPr>
              <w:t xml:space="preserve">given the employment decrease of </w:t>
            </w:r>
            <w:r w:rsidR="007E5149" w:rsidRPr="00DD6E6B">
              <w:rPr>
                <w:lang w:val="en-GB"/>
              </w:rPr>
              <w:t>0</w:t>
            </w:r>
            <w:r w:rsidR="00BB3E48" w:rsidRPr="00DD6E6B">
              <w:rPr>
                <w:lang w:val="en-GB"/>
              </w:rPr>
              <w:t>.</w:t>
            </w:r>
            <w:r w:rsidR="007E5149" w:rsidRPr="00DD6E6B">
              <w:rPr>
                <w:lang w:val="en-GB"/>
              </w:rPr>
              <w:t>1%), a</w:t>
            </w:r>
            <w:r w:rsidR="00BB3E48" w:rsidRPr="00DD6E6B">
              <w:rPr>
                <w:lang w:val="en-GB"/>
              </w:rPr>
              <w:t xml:space="preserve">nd in information and communication </w:t>
            </w:r>
            <w:r w:rsidR="007E5149" w:rsidRPr="00DD6E6B">
              <w:rPr>
                <w:lang w:val="en-GB"/>
              </w:rPr>
              <w:t>(1</w:t>
            </w:r>
            <w:r w:rsidR="00BB3E48" w:rsidRPr="00DD6E6B">
              <w:rPr>
                <w:lang w:val="en-GB"/>
              </w:rPr>
              <w:t>.</w:t>
            </w:r>
            <w:r w:rsidR="007E5149" w:rsidRPr="00DD6E6B">
              <w:rPr>
                <w:lang w:val="en-GB"/>
              </w:rPr>
              <w:t>4%</w:t>
            </w:r>
            <w:r w:rsidR="00BB3E48" w:rsidRPr="00DD6E6B">
              <w:rPr>
                <w:lang w:val="en-GB"/>
              </w:rPr>
              <w:t xml:space="preserve"> with employment decrease of </w:t>
            </w:r>
            <w:r w:rsidR="007E5149" w:rsidRPr="00DD6E6B">
              <w:rPr>
                <w:lang w:val="en-GB"/>
              </w:rPr>
              <w:t>1</w:t>
            </w:r>
            <w:r w:rsidR="00BB3E48" w:rsidRPr="00DD6E6B">
              <w:rPr>
                <w:lang w:val="en-GB"/>
              </w:rPr>
              <w:t>.</w:t>
            </w:r>
            <w:r w:rsidR="007E5149" w:rsidRPr="00DD6E6B">
              <w:rPr>
                <w:lang w:val="en-GB"/>
              </w:rPr>
              <w:t xml:space="preserve">9%). </w:t>
            </w:r>
            <w:r w:rsidR="00002C8F" w:rsidRPr="00DD6E6B">
              <w:rPr>
                <w:lang w:val="en-GB"/>
              </w:rPr>
              <w:t xml:space="preserve">The addition to the volume of wages and salaries in professional, scientific, technical and administrative activities </w:t>
            </w:r>
            <w:r w:rsidR="007E5149" w:rsidRPr="00DD6E6B">
              <w:rPr>
                <w:lang w:val="en-GB"/>
              </w:rPr>
              <w:t>(1</w:t>
            </w:r>
            <w:r w:rsidR="00002C8F" w:rsidRPr="00DD6E6B">
              <w:rPr>
                <w:lang w:val="en-GB"/>
              </w:rPr>
              <w:t>.</w:t>
            </w:r>
            <w:r w:rsidR="007E5149" w:rsidRPr="00DD6E6B">
              <w:rPr>
                <w:lang w:val="en-GB"/>
              </w:rPr>
              <w:t>1%</w:t>
            </w:r>
            <w:r w:rsidR="00002C8F" w:rsidRPr="00DD6E6B">
              <w:rPr>
                <w:lang w:val="en-GB"/>
              </w:rPr>
              <w:t xml:space="preserve"> </w:t>
            </w:r>
            <w:r w:rsidR="00694F90" w:rsidRPr="00DD6E6B">
              <w:rPr>
                <w:lang w:val="en-GB"/>
              </w:rPr>
              <w:t xml:space="preserve">with the employment growth of </w:t>
            </w:r>
            <w:r w:rsidR="007E5149" w:rsidRPr="00DD6E6B">
              <w:rPr>
                <w:lang w:val="en-GB"/>
              </w:rPr>
              <w:t>0</w:t>
            </w:r>
            <w:r w:rsidR="00694F90" w:rsidRPr="00DD6E6B">
              <w:rPr>
                <w:lang w:val="en-GB"/>
              </w:rPr>
              <w:t>.</w:t>
            </w:r>
            <w:r w:rsidR="007E5149" w:rsidRPr="00DD6E6B">
              <w:rPr>
                <w:lang w:val="en-GB"/>
              </w:rPr>
              <w:t>5%)</w:t>
            </w:r>
            <w:r w:rsidR="003827B3" w:rsidRPr="00DD6E6B">
              <w:rPr>
                <w:lang w:val="en-GB"/>
              </w:rPr>
              <w:t xml:space="preserve"> was also above the total average</w:t>
            </w:r>
            <w:r w:rsidR="007E5149" w:rsidRPr="00DD6E6B">
              <w:rPr>
                <w:lang w:val="en-GB"/>
              </w:rPr>
              <w:t xml:space="preserve">. </w:t>
            </w:r>
            <w:r w:rsidR="0075554A" w:rsidRPr="00DD6E6B">
              <w:rPr>
                <w:lang w:val="en-GB"/>
              </w:rPr>
              <w:t xml:space="preserve">Wages and salaries recorded a milder growth in industry </w:t>
            </w:r>
            <w:r w:rsidR="007E5149" w:rsidRPr="00DD6E6B">
              <w:rPr>
                <w:lang w:val="en-GB"/>
              </w:rPr>
              <w:t>(0</w:t>
            </w:r>
            <w:r w:rsidR="0075554A" w:rsidRPr="00DD6E6B">
              <w:rPr>
                <w:lang w:val="en-GB"/>
              </w:rPr>
              <w:t>.</w:t>
            </w:r>
            <w:r w:rsidR="007E5149" w:rsidRPr="00DD6E6B">
              <w:rPr>
                <w:lang w:val="en-GB"/>
              </w:rPr>
              <w:t>9%</w:t>
            </w:r>
            <w:r w:rsidR="0075554A" w:rsidRPr="00DD6E6B">
              <w:rPr>
                <w:lang w:val="en-GB"/>
              </w:rPr>
              <w:t xml:space="preserve"> given the employment growth of </w:t>
            </w:r>
            <w:r w:rsidR="007E5149" w:rsidRPr="00DD6E6B">
              <w:rPr>
                <w:lang w:val="en-GB"/>
              </w:rPr>
              <w:t>1</w:t>
            </w:r>
            <w:r w:rsidR="0075554A" w:rsidRPr="00DD6E6B">
              <w:rPr>
                <w:lang w:val="en-GB"/>
              </w:rPr>
              <w:t>.</w:t>
            </w:r>
            <w:r w:rsidR="007E5149" w:rsidRPr="00DD6E6B">
              <w:rPr>
                <w:lang w:val="en-GB"/>
              </w:rPr>
              <w:t>2%),</w:t>
            </w:r>
            <w:r w:rsidR="0075554A" w:rsidRPr="00DD6E6B">
              <w:rPr>
                <w:lang w:val="en-GB"/>
              </w:rPr>
              <w:t xml:space="preserve"> in construction </w:t>
            </w:r>
            <w:r w:rsidR="007E5149" w:rsidRPr="00DD6E6B">
              <w:rPr>
                <w:lang w:val="en-GB"/>
              </w:rPr>
              <w:t>(0</w:t>
            </w:r>
            <w:r w:rsidR="0075554A" w:rsidRPr="00DD6E6B">
              <w:rPr>
                <w:lang w:val="en-GB"/>
              </w:rPr>
              <w:t>.</w:t>
            </w:r>
            <w:r w:rsidR="007E5149" w:rsidRPr="00DD6E6B">
              <w:rPr>
                <w:lang w:val="en-GB"/>
              </w:rPr>
              <w:t>3%,</w:t>
            </w:r>
            <w:r w:rsidR="0075554A" w:rsidRPr="00DD6E6B">
              <w:rPr>
                <w:lang w:val="en-GB"/>
              </w:rPr>
              <w:t xml:space="preserve"> employment by </w:t>
            </w:r>
            <w:r w:rsidR="007E5149" w:rsidRPr="00DD6E6B">
              <w:rPr>
                <w:lang w:val="en-GB"/>
              </w:rPr>
              <w:t>0</w:t>
            </w:r>
            <w:r w:rsidR="0075554A" w:rsidRPr="00DD6E6B">
              <w:rPr>
                <w:lang w:val="en-GB"/>
              </w:rPr>
              <w:t>.</w:t>
            </w:r>
            <w:r w:rsidR="007E5149" w:rsidRPr="00DD6E6B">
              <w:rPr>
                <w:lang w:val="en-GB"/>
              </w:rPr>
              <w:t>1%) a</w:t>
            </w:r>
            <w:r w:rsidR="0075554A" w:rsidRPr="00DD6E6B">
              <w:rPr>
                <w:lang w:val="en-GB"/>
              </w:rPr>
              <w:t xml:space="preserve">nd in group trade, transportation, accommodation and food service </w:t>
            </w:r>
            <w:r w:rsidR="007E5149" w:rsidRPr="00DD6E6B">
              <w:rPr>
                <w:lang w:val="en-GB"/>
              </w:rPr>
              <w:t>(0</w:t>
            </w:r>
            <w:r w:rsidR="0075554A" w:rsidRPr="00DD6E6B">
              <w:rPr>
                <w:lang w:val="en-GB"/>
              </w:rPr>
              <w:t>.</w:t>
            </w:r>
            <w:r w:rsidR="007E5149" w:rsidRPr="00DD6E6B">
              <w:rPr>
                <w:lang w:val="en-GB"/>
              </w:rPr>
              <w:t xml:space="preserve">1% </w:t>
            </w:r>
            <w:r w:rsidR="0075554A" w:rsidRPr="00DD6E6B">
              <w:rPr>
                <w:lang w:val="en-GB"/>
              </w:rPr>
              <w:t>accompanied a</w:t>
            </w:r>
            <w:r w:rsidR="002B4EE6" w:rsidRPr="00DD6E6B">
              <w:rPr>
                <w:lang w:val="en-GB"/>
              </w:rPr>
              <w:t xml:space="preserve"> marked employment growth of </w:t>
            </w:r>
            <w:r w:rsidR="007E5149" w:rsidRPr="00DD6E6B">
              <w:rPr>
                <w:lang w:val="en-GB"/>
              </w:rPr>
              <w:t>2</w:t>
            </w:r>
            <w:r w:rsidR="002B4EE6" w:rsidRPr="00DD6E6B">
              <w:rPr>
                <w:lang w:val="en-GB"/>
              </w:rPr>
              <w:t>.</w:t>
            </w:r>
            <w:r w:rsidR="007E5149" w:rsidRPr="00DD6E6B">
              <w:rPr>
                <w:lang w:val="en-GB"/>
              </w:rPr>
              <w:t xml:space="preserve">7%). </w:t>
            </w:r>
            <w:r w:rsidR="002B4EE6" w:rsidRPr="00DD6E6B">
              <w:rPr>
                <w:lang w:val="en-GB"/>
              </w:rPr>
              <w:t xml:space="preserve">Wages and salaries stagnated in real estate activities, where the employment grew by </w:t>
            </w:r>
            <w:r w:rsidR="007E5149" w:rsidRPr="00DD6E6B">
              <w:rPr>
                <w:lang w:val="en-GB"/>
              </w:rPr>
              <w:t>1</w:t>
            </w:r>
            <w:r w:rsidR="002B4EE6" w:rsidRPr="00DD6E6B">
              <w:rPr>
                <w:lang w:val="en-GB"/>
              </w:rPr>
              <w:t>.</w:t>
            </w:r>
            <w:r w:rsidR="007E5149" w:rsidRPr="00DD6E6B">
              <w:rPr>
                <w:lang w:val="en-GB"/>
              </w:rPr>
              <w:t>0%</w:t>
            </w:r>
            <w:r w:rsidR="002B4EE6" w:rsidRPr="00DD6E6B">
              <w:rPr>
                <w:lang w:val="en-GB"/>
              </w:rPr>
              <w:t xml:space="preserve"> and</w:t>
            </w:r>
            <w:r w:rsidR="00F462F4" w:rsidRPr="00DD6E6B">
              <w:rPr>
                <w:lang w:val="en-GB"/>
              </w:rPr>
              <w:t xml:space="preserve"> decreased in agriculture, forestry and fishing </w:t>
            </w:r>
            <w:r w:rsidR="006033A4">
              <w:rPr>
                <w:lang w:val="en-GB"/>
              </w:rPr>
              <w:t>(</w:t>
            </w:r>
            <w:r w:rsidR="006033A4">
              <w:rPr>
                <w:color w:val="000000"/>
                <w:shd w:val="clear" w:color="auto" w:fill="FFFFFF"/>
              </w:rPr>
              <w:t>–</w:t>
            </w:r>
            <w:r w:rsidR="007E5149" w:rsidRPr="00DD6E6B">
              <w:rPr>
                <w:lang w:val="en-GB"/>
              </w:rPr>
              <w:t>0</w:t>
            </w:r>
            <w:r w:rsidR="00F462F4" w:rsidRPr="00DD6E6B">
              <w:rPr>
                <w:lang w:val="en-GB"/>
              </w:rPr>
              <w:t>.</w:t>
            </w:r>
            <w:r w:rsidR="007E5149" w:rsidRPr="00DD6E6B">
              <w:rPr>
                <w:lang w:val="en-GB"/>
              </w:rPr>
              <w:t>3%</w:t>
            </w:r>
            <w:r w:rsidR="00F462F4" w:rsidRPr="00DD6E6B">
              <w:rPr>
                <w:lang w:val="en-GB"/>
              </w:rPr>
              <w:t xml:space="preserve"> </w:t>
            </w:r>
            <w:r w:rsidR="000B382D" w:rsidRPr="00DD6E6B">
              <w:rPr>
                <w:lang w:val="en-GB"/>
              </w:rPr>
              <w:t xml:space="preserve">given the employment </w:t>
            </w:r>
            <w:r w:rsidR="00780FDA" w:rsidRPr="00DD6E6B">
              <w:rPr>
                <w:lang w:val="en-GB"/>
              </w:rPr>
              <w:t xml:space="preserve">growth of </w:t>
            </w:r>
            <w:r w:rsidR="007E5149" w:rsidRPr="00DD6E6B">
              <w:rPr>
                <w:lang w:val="en-GB"/>
              </w:rPr>
              <w:t>0</w:t>
            </w:r>
            <w:r w:rsidR="00780FDA" w:rsidRPr="00DD6E6B">
              <w:rPr>
                <w:lang w:val="en-GB"/>
              </w:rPr>
              <w:t>.</w:t>
            </w:r>
            <w:r w:rsidR="007E5149" w:rsidRPr="00DD6E6B">
              <w:rPr>
                <w:lang w:val="en-GB"/>
              </w:rPr>
              <w:t>8%) a</w:t>
            </w:r>
            <w:r w:rsidR="00780FDA" w:rsidRPr="00DD6E6B">
              <w:rPr>
                <w:lang w:val="en-GB"/>
              </w:rPr>
              <w:t xml:space="preserve">nd in other activities </w:t>
            </w:r>
            <w:r w:rsidR="006033A4">
              <w:rPr>
                <w:lang w:val="en-GB"/>
              </w:rPr>
              <w:t>(</w:t>
            </w:r>
            <w:r w:rsidR="006033A4">
              <w:rPr>
                <w:color w:val="000000"/>
                <w:shd w:val="clear" w:color="auto" w:fill="FFFFFF"/>
              </w:rPr>
              <w:t>–</w:t>
            </w:r>
            <w:r w:rsidR="007E5149" w:rsidRPr="00DD6E6B">
              <w:rPr>
                <w:lang w:val="en-GB"/>
              </w:rPr>
              <w:t>1</w:t>
            </w:r>
            <w:r w:rsidR="00780FDA" w:rsidRPr="00DD6E6B">
              <w:rPr>
                <w:lang w:val="en-GB"/>
              </w:rPr>
              <w:t>.</w:t>
            </w:r>
            <w:r w:rsidR="007E5149" w:rsidRPr="00DD6E6B">
              <w:rPr>
                <w:lang w:val="en-GB"/>
              </w:rPr>
              <w:t xml:space="preserve">8% </w:t>
            </w:r>
            <w:r w:rsidR="00780FDA" w:rsidRPr="00DD6E6B">
              <w:rPr>
                <w:lang w:val="en-GB"/>
              </w:rPr>
              <w:t xml:space="preserve">with employment growth of </w:t>
            </w:r>
            <w:r w:rsidR="007E5149" w:rsidRPr="00DD6E6B">
              <w:rPr>
                <w:lang w:val="en-GB"/>
              </w:rPr>
              <w:t>2</w:t>
            </w:r>
            <w:r w:rsidR="00780FDA" w:rsidRPr="00DD6E6B">
              <w:rPr>
                <w:lang w:val="en-GB"/>
              </w:rPr>
              <w:t>.</w:t>
            </w:r>
            <w:r w:rsidR="007E5149" w:rsidRPr="00DD6E6B">
              <w:rPr>
                <w:lang w:val="en-GB"/>
              </w:rPr>
              <w:t>5%).</w:t>
            </w:r>
          </w:p>
        </w:tc>
      </w:tr>
      <w:tr w:rsidR="007E5149" w:rsidRPr="00DD6E6B" w14:paraId="20280672" w14:textId="77777777" w:rsidTr="20D21749">
        <w:trPr>
          <w:trHeight w:val="145"/>
        </w:trPr>
        <w:tc>
          <w:tcPr>
            <w:tcW w:w="1806" w:type="dxa"/>
            <w:shd w:val="clear" w:color="auto" w:fill="auto"/>
            <w:tcMar>
              <w:left w:w="0" w:type="dxa"/>
            </w:tcMar>
          </w:tcPr>
          <w:p w14:paraId="05D1B246" w14:textId="2A79D8A2" w:rsidR="007E5149" w:rsidRPr="00DD6E6B" w:rsidRDefault="007E5149" w:rsidP="007E5149">
            <w:pPr>
              <w:pStyle w:val="Marginlie"/>
              <w:rPr>
                <w:lang w:val="en-GB"/>
              </w:rPr>
            </w:pPr>
            <w:r w:rsidRPr="00DD6E6B">
              <w:rPr>
                <w:lang w:val="en-GB"/>
              </w:rPr>
              <w:t>Dom</w:t>
            </w:r>
            <w:r w:rsidR="00526711" w:rsidRPr="00DD6E6B">
              <w:rPr>
                <w:lang w:val="en-GB"/>
              </w:rPr>
              <w:t xml:space="preserve">estic consumption </w:t>
            </w:r>
            <w:r w:rsidR="001E7410" w:rsidRPr="00DD6E6B">
              <w:rPr>
                <w:lang w:val="en-GB"/>
              </w:rPr>
              <w:t xml:space="preserve">grew for the first time after six quarters of decreases. </w:t>
            </w:r>
          </w:p>
        </w:tc>
        <w:tc>
          <w:tcPr>
            <w:tcW w:w="223" w:type="dxa"/>
            <w:shd w:val="clear" w:color="auto" w:fill="auto"/>
            <w:tcMar>
              <w:left w:w="0" w:type="dxa"/>
            </w:tcMar>
          </w:tcPr>
          <w:p w14:paraId="58B0E7A4"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15B371F8" w14:textId="03256825" w:rsidR="007E5149" w:rsidRPr="00DD6E6B" w:rsidRDefault="00B63C9F" w:rsidP="007E5149">
            <w:pPr>
              <w:rPr>
                <w:spacing w:val="-2"/>
                <w:lang w:val="en-GB"/>
              </w:rPr>
            </w:pPr>
            <w:r w:rsidRPr="00DD6E6B">
              <w:rPr>
                <w:spacing w:val="-2"/>
                <w:lang w:val="en-GB"/>
              </w:rPr>
              <w:t xml:space="preserve">Consumption </w:t>
            </w:r>
            <w:r w:rsidR="00E953B8" w:rsidRPr="00DD6E6B">
              <w:rPr>
                <w:spacing w:val="-2"/>
                <w:lang w:val="en-GB"/>
              </w:rPr>
              <w:t xml:space="preserve">dropped by </w:t>
            </w:r>
            <w:r w:rsidR="007E5149" w:rsidRPr="00DD6E6B">
              <w:rPr>
                <w:spacing w:val="-2"/>
                <w:lang w:val="en-GB"/>
              </w:rPr>
              <w:t>2</w:t>
            </w:r>
            <w:r w:rsidR="00E953B8" w:rsidRPr="00DD6E6B">
              <w:rPr>
                <w:spacing w:val="-2"/>
                <w:lang w:val="en-GB"/>
              </w:rPr>
              <w:t>.</w:t>
            </w:r>
            <w:r w:rsidR="007E5149" w:rsidRPr="00DD6E6B">
              <w:rPr>
                <w:spacing w:val="-2"/>
                <w:lang w:val="en-GB"/>
              </w:rPr>
              <w:t>0%</w:t>
            </w:r>
            <w:r w:rsidR="00E953B8" w:rsidRPr="00DD6E6B">
              <w:rPr>
                <w:spacing w:val="-2"/>
                <w:lang w:val="en-GB"/>
              </w:rPr>
              <w:t xml:space="preserve"> year-on-year and </w:t>
            </w:r>
            <w:r w:rsidR="000B61FF" w:rsidRPr="00DD6E6B">
              <w:rPr>
                <w:spacing w:val="-2"/>
                <w:lang w:val="en-GB"/>
              </w:rPr>
              <w:t xml:space="preserve">the slump thus moderated. </w:t>
            </w:r>
            <w:r w:rsidR="000045C4" w:rsidRPr="00DD6E6B">
              <w:rPr>
                <w:spacing w:val="-2"/>
                <w:lang w:val="en-GB"/>
              </w:rPr>
              <w:t xml:space="preserve">Consumption contributed in total </w:t>
            </w:r>
            <w:r w:rsidR="006033A4">
              <w:rPr>
                <w:color w:val="000000"/>
                <w:shd w:val="clear" w:color="auto" w:fill="FFFFFF"/>
              </w:rPr>
              <w:t>–</w:t>
            </w:r>
            <w:r w:rsidR="007E5149" w:rsidRPr="00DD6E6B">
              <w:rPr>
                <w:spacing w:val="-2"/>
                <w:lang w:val="en-GB"/>
              </w:rPr>
              <w:t>1</w:t>
            </w:r>
            <w:r w:rsidR="000045C4" w:rsidRPr="00DD6E6B">
              <w:rPr>
                <w:spacing w:val="-2"/>
                <w:lang w:val="en-GB"/>
              </w:rPr>
              <w:t>.</w:t>
            </w:r>
            <w:r w:rsidR="007E5149" w:rsidRPr="00DD6E6B">
              <w:rPr>
                <w:spacing w:val="-2"/>
                <w:lang w:val="en-GB"/>
              </w:rPr>
              <w:t xml:space="preserve">2 p. </w:t>
            </w:r>
            <w:r w:rsidR="000045C4" w:rsidRPr="00DD6E6B">
              <w:rPr>
                <w:spacing w:val="-2"/>
                <w:lang w:val="en-GB"/>
              </w:rPr>
              <w:t>p</w:t>
            </w:r>
            <w:r w:rsidR="007E5149" w:rsidRPr="00DD6E6B">
              <w:rPr>
                <w:spacing w:val="-2"/>
                <w:lang w:val="en-GB"/>
              </w:rPr>
              <w:t>.</w:t>
            </w:r>
            <w:r w:rsidR="007E5149" w:rsidRPr="00DD6E6B">
              <w:rPr>
                <w:rStyle w:val="Znakapoznpodarou"/>
                <w:spacing w:val="-2"/>
                <w:lang w:val="en-GB"/>
              </w:rPr>
              <w:footnoteReference w:id="6"/>
            </w:r>
            <w:r w:rsidR="000045C4" w:rsidRPr="00DD6E6B">
              <w:rPr>
                <w:spacing w:val="-2"/>
                <w:lang w:val="en-GB"/>
              </w:rPr>
              <w:t xml:space="preserve"> in the direction of the year-on-year GDP decrease. The</w:t>
            </w:r>
            <w:r w:rsidR="00DE1FC3" w:rsidRPr="00DD6E6B">
              <w:rPr>
                <w:spacing w:val="-2"/>
                <w:lang w:val="en-GB"/>
              </w:rPr>
              <w:t xml:space="preserve"> decline </w:t>
            </w:r>
            <w:r w:rsidR="006756C1" w:rsidRPr="00DD6E6B">
              <w:rPr>
                <w:spacing w:val="-2"/>
                <w:lang w:val="en-GB"/>
              </w:rPr>
              <w:t xml:space="preserve">can be </w:t>
            </w:r>
            <w:r w:rsidR="00DE1FC3" w:rsidRPr="00DD6E6B">
              <w:rPr>
                <w:spacing w:val="-2"/>
                <w:lang w:val="en-GB"/>
              </w:rPr>
              <w:t>thus</w:t>
            </w:r>
            <w:r w:rsidR="006756C1" w:rsidRPr="00DD6E6B">
              <w:rPr>
                <w:spacing w:val="-2"/>
                <w:lang w:val="en-GB"/>
              </w:rPr>
              <w:t xml:space="preserve"> attributed </w:t>
            </w:r>
            <w:r w:rsidR="005A586B" w:rsidRPr="00DD6E6B">
              <w:rPr>
                <w:spacing w:val="-2"/>
                <w:lang w:val="en-GB"/>
              </w:rPr>
              <w:t xml:space="preserve">solely to the household consumption, which was by </w:t>
            </w:r>
            <w:r w:rsidR="007E5149" w:rsidRPr="00DD6E6B">
              <w:rPr>
                <w:spacing w:val="-2"/>
                <w:lang w:val="en-GB"/>
              </w:rPr>
              <w:t>4</w:t>
            </w:r>
            <w:r w:rsidR="005A586B" w:rsidRPr="00DD6E6B">
              <w:rPr>
                <w:spacing w:val="-2"/>
                <w:lang w:val="en-GB"/>
              </w:rPr>
              <w:t>.</w:t>
            </w:r>
            <w:r w:rsidR="007E5149" w:rsidRPr="00DD6E6B">
              <w:rPr>
                <w:spacing w:val="-2"/>
                <w:lang w:val="en-GB"/>
              </w:rPr>
              <w:t>5%</w:t>
            </w:r>
            <w:r w:rsidR="005A586B" w:rsidRPr="00DD6E6B">
              <w:rPr>
                <w:spacing w:val="-2"/>
                <w:lang w:val="en-GB"/>
              </w:rPr>
              <w:t xml:space="preserve"> lower</w:t>
            </w:r>
            <w:r w:rsidR="007E5149" w:rsidRPr="00DD6E6B">
              <w:rPr>
                <w:spacing w:val="-2"/>
                <w:lang w:val="en-GB"/>
              </w:rPr>
              <w:t xml:space="preserve">. </w:t>
            </w:r>
            <w:r w:rsidR="006B5324" w:rsidRPr="00DD6E6B">
              <w:rPr>
                <w:spacing w:val="-2"/>
                <w:lang w:val="en-GB"/>
              </w:rPr>
              <w:t xml:space="preserve">In contrast, the government consumption </w:t>
            </w:r>
            <w:r w:rsidR="004E7C93" w:rsidRPr="00DD6E6B">
              <w:rPr>
                <w:spacing w:val="-2"/>
                <w:lang w:val="en-GB"/>
              </w:rPr>
              <w:t xml:space="preserve">went up by </w:t>
            </w:r>
            <w:r w:rsidR="007E5149" w:rsidRPr="00DD6E6B">
              <w:rPr>
                <w:spacing w:val="-2"/>
                <w:lang w:val="en-GB"/>
              </w:rPr>
              <w:t>3</w:t>
            </w:r>
            <w:r w:rsidR="004E7C93" w:rsidRPr="00DD6E6B">
              <w:rPr>
                <w:spacing w:val="-2"/>
                <w:lang w:val="en-GB"/>
              </w:rPr>
              <w:t>.</w:t>
            </w:r>
            <w:r w:rsidR="007E5149" w:rsidRPr="00DD6E6B">
              <w:rPr>
                <w:spacing w:val="-2"/>
                <w:lang w:val="en-GB"/>
              </w:rPr>
              <w:t>3%</w:t>
            </w:r>
            <w:r w:rsidR="004E7C93" w:rsidRPr="00DD6E6B">
              <w:rPr>
                <w:spacing w:val="-2"/>
                <w:lang w:val="en-GB"/>
              </w:rPr>
              <w:t xml:space="preserve"> year-on-year</w:t>
            </w:r>
            <w:r w:rsidR="007E5149" w:rsidRPr="00DD6E6B">
              <w:rPr>
                <w:spacing w:val="-2"/>
                <w:lang w:val="en-GB"/>
              </w:rPr>
              <w:t xml:space="preserve">. </w:t>
            </w:r>
            <w:r w:rsidR="00917D0D" w:rsidRPr="00DD6E6B">
              <w:rPr>
                <w:spacing w:val="-2"/>
                <w:lang w:val="en-GB"/>
              </w:rPr>
              <w:t xml:space="preserve">Quarter-on-quarter consumption increase by </w:t>
            </w:r>
            <w:r w:rsidR="007E5149" w:rsidRPr="00DD6E6B">
              <w:rPr>
                <w:spacing w:val="-2"/>
                <w:lang w:val="en-GB"/>
              </w:rPr>
              <w:t>0</w:t>
            </w:r>
            <w:r w:rsidR="00917D0D" w:rsidRPr="00DD6E6B">
              <w:rPr>
                <w:spacing w:val="-2"/>
                <w:lang w:val="en-GB"/>
              </w:rPr>
              <w:t>.</w:t>
            </w:r>
            <w:r w:rsidR="007E5149" w:rsidRPr="00DD6E6B">
              <w:rPr>
                <w:spacing w:val="-2"/>
                <w:lang w:val="en-GB"/>
              </w:rPr>
              <w:t>3%</w:t>
            </w:r>
            <w:r w:rsidR="00917D0D" w:rsidRPr="00DD6E6B">
              <w:rPr>
                <w:spacing w:val="-2"/>
                <w:lang w:val="en-GB"/>
              </w:rPr>
              <w:t xml:space="preserve"> manifested following six quarters of continuous decreases. </w:t>
            </w:r>
            <w:r w:rsidR="005B7910" w:rsidRPr="00DD6E6B">
              <w:rPr>
                <w:spacing w:val="-2"/>
                <w:lang w:val="en-GB"/>
              </w:rPr>
              <w:t xml:space="preserve">Both household </w:t>
            </w:r>
            <w:r w:rsidR="007E5149" w:rsidRPr="00DD6E6B">
              <w:rPr>
                <w:spacing w:val="-2"/>
                <w:lang w:val="en-GB"/>
              </w:rPr>
              <w:t>(0</w:t>
            </w:r>
            <w:r w:rsidR="00F461C3" w:rsidRPr="00DD6E6B">
              <w:rPr>
                <w:spacing w:val="-2"/>
                <w:lang w:val="en-GB"/>
              </w:rPr>
              <w:t>.</w:t>
            </w:r>
            <w:r w:rsidR="007E5149" w:rsidRPr="00DD6E6B">
              <w:rPr>
                <w:spacing w:val="-2"/>
                <w:lang w:val="en-GB"/>
              </w:rPr>
              <w:t xml:space="preserve">2%) </w:t>
            </w:r>
            <w:r w:rsidR="00F461C3" w:rsidRPr="00DD6E6B">
              <w:rPr>
                <w:spacing w:val="-2"/>
                <w:lang w:val="en-GB"/>
              </w:rPr>
              <w:t xml:space="preserve">and government </w:t>
            </w:r>
            <w:r w:rsidR="007E5149" w:rsidRPr="00DD6E6B">
              <w:rPr>
                <w:spacing w:val="-2"/>
                <w:lang w:val="en-GB"/>
              </w:rPr>
              <w:t>(0</w:t>
            </w:r>
            <w:r w:rsidR="00F461C3" w:rsidRPr="00DD6E6B">
              <w:rPr>
                <w:spacing w:val="-2"/>
                <w:lang w:val="en-GB"/>
              </w:rPr>
              <w:t>.</w:t>
            </w:r>
            <w:r w:rsidR="007E5149" w:rsidRPr="00DD6E6B">
              <w:rPr>
                <w:spacing w:val="-2"/>
                <w:lang w:val="en-GB"/>
              </w:rPr>
              <w:t>3%)</w:t>
            </w:r>
            <w:r w:rsidR="00F461C3" w:rsidRPr="00DD6E6B">
              <w:rPr>
                <w:spacing w:val="-2"/>
                <w:lang w:val="en-GB"/>
              </w:rPr>
              <w:t xml:space="preserve"> consumption went up</w:t>
            </w:r>
            <w:r w:rsidR="007E5149" w:rsidRPr="00DD6E6B">
              <w:rPr>
                <w:spacing w:val="-2"/>
                <w:lang w:val="en-GB"/>
              </w:rPr>
              <w:t xml:space="preserve">. </w:t>
            </w:r>
            <w:r w:rsidR="00BF6B0D" w:rsidRPr="00DD6E6B">
              <w:rPr>
                <w:spacing w:val="-2"/>
                <w:lang w:val="en-GB"/>
              </w:rPr>
              <w:t>Expenditures on short-term consumption</w:t>
            </w:r>
            <w:r w:rsidR="007E5149" w:rsidRPr="00DD6E6B">
              <w:rPr>
                <w:rStyle w:val="Znakapoznpodarou"/>
                <w:lang w:val="en-GB"/>
              </w:rPr>
              <w:footnoteReference w:id="7"/>
            </w:r>
            <w:r w:rsidR="007E5149" w:rsidRPr="00DD6E6B">
              <w:rPr>
                <w:spacing w:val="-2"/>
                <w:lang w:val="en-GB"/>
              </w:rPr>
              <w:t xml:space="preserve">, </w:t>
            </w:r>
            <w:r w:rsidR="00592DB2" w:rsidRPr="00DD6E6B">
              <w:rPr>
                <w:spacing w:val="-2"/>
                <w:lang w:val="en-GB"/>
              </w:rPr>
              <w:t xml:space="preserve">which were by </w:t>
            </w:r>
            <w:r w:rsidR="007E5149" w:rsidRPr="00DD6E6B">
              <w:rPr>
                <w:spacing w:val="-2"/>
                <w:lang w:val="en-GB"/>
              </w:rPr>
              <w:t>1</w:t>
            </w:r>
            <w:r w:rsidR="00592DB2" w:rsidRPr="00DD6E6B">
              <w:rPr>
                <w:spacing w:val="-2"/>
                <w:lang w:val="en-GB"/>
              </w:rPr>
              <w:t>.</w:t>
            </w:r>
            <w:r w:rsidR="007E5149" w:rsidRPr="00DD6E6B">
              <w:rPr>
                <w:spacing w:val="-2"/>
                <w:lang w:val="en-GB"/>
              </w:rPr>
              <w:t>0%</w:t>
            </w:r>
            <w:r w:rsidR="00592DB2" w:rsidRPr="00DD6E6B">
              <w:rPr>
                <w:spacing w:val="-2"/>
                <w:lang w:val="en-GB"/>
              </w:rPr>
              <w:t xml:space="preserve"> higher quarter-on-quarter,</w:t>
            </w:r>
            <w:r w:rsidR="00BF6B0D" w:rsidRPr="00DD6E6B">
              <w:rPr>
                <w:spacing w:val="-2"/>
                <w:lang w:val="en-GB"/>
              </w:rPr>
              <w:t xml:space="preserve"> worked the most in the direction of quarter-on-quarter growth of household consumption</w:t>
            </w:r>
            <w:r w:rsidR="007E5149" w:rsidRPr="00DD6E6B">
              <w:rPr>
                <w:spacing w:val="-2"/>
                <w:lang w:val="en-GB"/>
              </w:rPr>
              <w:t xml:space="preserve">. </w:t>
            </w:r>
            <w:r w:rsidR="003D1B0D" w:rsidRPr="00DD6E6B">
              <w:rPr>
                <w:spacing w:val="-2"/>
                <w:lang w:val="en-GB"/>
              </w:rPr>
              <w:t xml:space="preserve">The year-on-year downswing shrank, but the short-term consumption still deeply lagged behind </w:t>
            </w:r>
            <w:r w:rsidR="006033A4">
              <w:rPr>
                <w:spacing w:val="-2"/>
                <w:lang w:val="en-GB"/>
              </w:rPr>
              <w:t>(</w:t>
            </w:r>
            <w:r w:rsidR="006033A4">
              <w:rPr>
                <w:color w:val="000000"/>
                <w:shd w:val="clear" w:color="auto" w:fill="FFFFFF"/>
              </w:rPr>
              <w:t>–</w:t>
            </w:r>
            <w:r w:rsidR="007E5149" w:rsidRPr="00DD6E6B">
              <w:rPr>
                <w:spacing w:val="-2"/>
                <w:lang w:val="en-GB"/>
              </w:rPr>
              <w:t>6</w:t>
            </w:r>
            <w:r w:rsidR="003D1B0D" w:rsidRPr="00DD6E6B">
              <w:rPr>
                <w:spacing w:val="-2"/>
                <w:lang w:val="en-GB"/>
              </w:rPr>
              <w:t>.</w:t>
            </w:r>
            <w:r w:rsidR="007E5149" w:rsidRPr="00DD6E6B">
              <w:rPr>
                <w:spacing w:val="-2"/>
                <w:lang w:val="en-GB"/>
              </w:rPr>
              <w:t xml:space="preserve">1%). </w:t>
            </w:r>
            <w:r w:rsidR="0083349E" w:rsidRPr="00DD6E6B">
              <w:rPr>
                <w:spacing w:val="-2"/>
                <w:lang w:val="en-GB"/>
              </w:rPr>
              <w:t xml:space="preserve">The consumption of services in </w:t>
            </w:r>
            <w:r w:rsidR="008B71F2" w:rsidRPr="00DD6E6B">
              <w:rPr>
                <w:spacing w:val="-2"/>
                <w:lang w:val="en-GB"/>
              </w:rPr>
              <w:t>effect stagnated in Q</w:t>
            </w:r>
            <w:r w:rsidR="007E5149" w:rsidRPr="00DD6E6B">
              <w:rPr>
                <w:spacing w:val="-2"/>
                <w:lang w:val="en-GB"/>
              </w:rPr>
              <w:t>2</w:t>
            </w:r>
            <w:r w:rsidR="008B71F2" w:rsidRPr="00DD6E6B">
              <w:rPr>
                <w:spacing w:val="-2"/>
                <w:lang w:val="en-GB"/>
              </w:rPr>
              <w:t xml:space="preserve"> </w:t>
            </w:r>
            <w:r w:rsidR="007E5149" w:rsidRPr="00DD6E6B">
              <w:rPr>
                <w:spacing w:val="-2"/>
                <w:lang w:val="en-GB"/>
              </w:rPr>
              <w:t>(+0</w:t>
            </w:r>
            <w:r w:rsidR="008B71F2" w:rsidRPr="00DD6E6B">
              <w:rPr>
                <w:spacing w:val="-2"/>
                <w:lang w:val="en-GB"/>
              </w:rPr>
              <w:t>.</w:t>
            </w:r>
            <w:r w:rsidR="007E5149" w:rsidRPr="00DD6E6B">
              <w:rPr>
                <w:spacing w:val="-2"/>
                <w:lang w:val="en-GB"/>
              </w:rPr>
              <w:t>2%</w:t>
            </w:r>
            <w:r w:rsidR="008B71F2" w:rsidRPr="00DD6E6B">
              <w:rPr>
                <w:spacing w:val="-2"/>
                <w:lang w:val="en-GB"/>
              </w:rPr>
              <w:t xml:space="preserve"> </w:t>
            </w:r>
            <w:r w:rsidR="00DD6D61" w:rsidRPr="00DD6E6B">
              <w:rPr>
                <w:spacing w:val="-2"/>
                <w:lang w:val="en-GB"/>
              </w:rPr>
              <w:t>quarter-on-quarter</w:t>
            </w:r>
            <w:r w:rsidR="007E5149" w:rsidRPr="00DD6E6B">
              <w:rPr>
                <w:spacing w:val="-2"/>
                <w:lang w:val="en-GB"/>
              </w:rPr>
              <w:t>) a</w:t>
            </w:r>
            <w:r w:rsidR="00163ACE" w:rsidRPr="00DD6E6B">
              <w:rPr>
                <w:spacing w:val="-2"/>
                <w:lang w:val="en-GB"/>
              </w:rPr>
              <w:t xml:space="preserve">nd it was by </w:t>
            </w:r>
            <w:r w:rsidR="007E5149" w:rsidRPr="00DD6E6B">
              <w:rPr>
                <w:spacing w:val="-2"/>
                <w:lang w:val="en-GB"/>
              </w:rPr>
              <w:t>1</w:t>
            </w:r>
            <w:r w:rsidR="00163ACE" w:rsidRPr="00DD6E6B">
              <w:rPr>
                <w:spacing w:val="-2"/>
                <w:lang w:val="en-GB"/>
              </w:rPr>
              <w:t>.</w:t>
            </w:r>
            <w:r w:rsidR="007E5149" w:rsidRPr="00DD6E6B">
              <w:rPr>
                <w:spacing w:val="-2"/>
                <w:lang w:val="en-GB"/>
              </w:rPr>
              <w:t>6%</w:t>
            </w:r>
            <w:r w:rsidR="00163ACE" w:rsidRPr="00DD6E6B">
              <w:rPr>
                <w:spacing w:val="-2"/>
                <w:lang w:val="en-GB"/>
              </w:rPr>
              <w:t xml:space="preserve"> lower year-on-year</w:t>
            </w:r>
            <w:r w:rsidR="007E5149" w:rsidRPr="00DD6E6B">
              <w:rPr>
                <w:spacing w:val="-2"/>
                <w:lang w:val="en-GB"/>
              </w:rPr>
              <w:t>.</w:t>
            </w:r>
            <w:r w:rsidR="00163ACE" w:rsidRPr="00DD6E6B">
              <w:rPr>
                <w:spacing w:val="-2"/>
                <w:lang w:val="en-GB"/>
              </w:rPr>
              <w:t xml:space="preserve"> It represented the first year-on-year decrease since the beginning of year </w:t>
            </w:r>
            <w:r w:rsidR="007E5149" w:rsidRPr="00DD6E6B">
              <w:rPr>
                <w:spacing w:val="-2"/>
                <w:lang w:val="en-GB"/>
              </w:rPr>
              <w:t xml:space="preserve">2021. </w:t>
            </w:r>
            <w:r w:rsidR="00163ACE" w:rsidRPr="00DD6E6B">
              <w:rPr>
                <w:spacing w:val="-2"/>
                <w:lang w:val="en-GB"/>
              </w:rPr>
              <w:t xml:space="preserve">The consumption of durable goods both medium and long-term </w:t>
            </w:r>
            <w:r w:rsidR="005F2D46" w:rsidRPr="00DD6E6B">
              <w:rPr>
                <w:spacing w:val="-2"/>
                <w:lang w:val="en-GB"/>
              </w:rPr>
              <w:t>durability</w:t>
            </w:r>
            <w:r w:rsidR="007E5149" w:rsidRPr="00DD6E6B">
              <w:rPr>
                <w:spacing w:val="-2"/>
                <w:lang w:val="en-GB"/>
              </w:rPr>
              <w:t>)</w:t>
            </w:r>
            <w:r w:rsidR="00163ACE" w:rsidRPr="00DD6E6B">
              <w:rPr>
                <w:spacing w:val="-2"/>
                <w:lang w:val="en-GB"/>
              </w:rPr>
              <w:t xml:space="preserve"> </w:t>
            </w:r>
            <w:r w:rsidR="00273D2B" w:rsidRPr="00DD6E6B">
              <w:rPr>
                <w:spacing w:val="-2"/>
                <w:lang w:val="en-GB"/>
              </w:rPr>
              <w:t>fell quarter-on-quarter in Q</w:t>
            </w:r>
            <w:r w:rsidR="007E5149" w:rsidRPr="00DD6E6B">
              <w:rPr>
                <w:spacing w:val="-2"/>
                <w:lang w:val="en-GB"/>
              </w:rPr>
              <w:t>2</w:t>
            </w:r>
            <w:r w:rsidR="00273D2B" w:rsidRPr="00DD6E6B">
              <w:rPr>
                <w:spacing w:val="-2"/>
                <w:lang w:val="en-GB"/>
              </w:rPr>
              <w:t xml:space="preserve"> </w:t>
            </w:r>
            <w:r w:rsidR="007E5149" w:rsidRPr="00DD6E6B">
              <w:rPr>
                <w:spacing w:val="-2"/>
                <w:lang w:val="en-GB"/>
              </w:rPr>
              <w:t>2023</w:t>
            </w:r>
            <w:r w:rsidR="00273D2B" w:rsidRPr="00DD6E6B">
              <w:rPr>
                <w:spacing w:val="-2"/>
                <w:lang w:val="en-GB"/>
              </w:rPr>
              <w:t xml:space="preserve"> </w:t>
            </w:r>
            <w:r w:rsidR="007E5149" w:rsidRPr="00DD6E6B">
              <w:rPr>
                <w:spacing w:val="-2"/>
                <w:lang w:val="en-GB"/>
              </w:rPr>
              <w:t>(</w:t>
            </w:r>
            <w:r w:rsidR="00273D2B" w:rsidRPr="00DD6E6B">
              <w:rPr>
                <w:spacing w:val="-2"/>
                <w:lang w:val="en-GB"/>
              </w:rPr>
              <w:t xml:space="preserve">by </w:t>
            </w:r>
            <w:r w:rsidR="007E5149" w:rsidRPr="00DD6E6B">
              <w:rPr>
                <w:spacing w:val="-2"/>
                <w:lang w:val="en-GB"/>
              </w:rPr>
              <w:t>3</w:t>
            </w:r>
            <w:r w:rsidR="00273D2B" w:rsidRPr="00DD6E6B">
              <w:rPr>
                <w:spacing w:val="-2"/>
                <w:lang w:val="en-GB"/>
              </w:rPr>
              <w:t>.</w:t>
            </w:r>
            <w:r w:rsidR="007E5149" w:rsidRPr="00DD6E6B">
              <w:rPr>
                <w:spacing w:val="-2"/>
                <w:lang w:val="en-GB"/>
              </w:rPr>
              <w:t>6%</w:t>
            </w:r>
            <w:r w:rsidR="00273D2B" w:rsidRPr="00DD6E6B">
              <w:rPr>
                <w:spacing w:val="-2"/>
                <w:lang w:val="en-GB"/>
              </w:rPr>
              <w:t xml:space="preserve"> </w:t>
            </w:r>
            <w:r w:rsidR="00273D2B" w:rsidRPr="00DD6E6B">
              <w:rPr>
                <w:spacing w:val="-2"/>
                <w:lang w:val="en-GB"/>
              </w:rPr>
              <w:lastRenderedPageBreak/>
              <w:t>for long</w:t>
            </w:r>
            <w:r w:rsidR="005F2D46" w:rsidRPr="00DD6E6B">
              <w:rPr>
                <w:spacing w:val="-2"/>
                <w:lang w:val="en-GB"/>
              </w:rPr>
              <w:t xml:space="preserve">-term durability and by </w:t>
            </w:r>
            <w:r w:rsidR="007E5149" w:rsidRPr="00DD6E6B">
              <w:rPr>
                <w:spacing w:val="-2"/>
                <w:lang w:val="en-GB"/>
              </w:rPr>
              <w:t>2</w:t>
            </w:r>
            <w:r w:rsidR="005F2D46" w:rsidRPr="00DD6E6B">
              <w:rPr>
                <w:spacing w:val="-2"/>
                <w:lang w:val="en-GB"/>
              </w:rPr>
              <w:t>.</w:t>
            </w:r>
            <w:r w:rsidR="007E5149" w:rsidRPr="00DD6E6B">
              <w:rPr>
                <w:spacing w:val="-2"/>
                <w:lang w:val="en-GB"/>
              </w:rPr>
              <w:t>0%</w:t>
            </w:r>
            <w:r w:rsidR="005F2D46" w:rsidRPr="00DD6E6B">
              <w:rPr>
                <w:spacing w:val="-2"/>
                <w:lang w:val="en-GB"/>
              </w:rPr>
              <w:t xml:space="preserve"> for </w:t>
            </w:r>
            <w:r w:rsidR="00410EDB" w:rsidRPr="00DD6E6B">
              <w:rPr>
                <w:spacing w:val="-2"/>
                <w:lang w:val="en-GB"/>
              </w:rPr>
              <w:t>medium durability</w:t>
            </w:r>
            <w:r w:rsidR="007E5149" w:rsidRPr="00DD6E6B">
              <w:rPr>
                <w:spacing w:val="-2"/>
                <w:lang w:val="en-GB"/>
              </w:rPr>
              <w:t xml:space="preserve">). </w:t>
            </w:r>
            <w:r w:rsidR="00B6329D" w:rsidRPr="00DD6E6B">
              <w:rPr>
                <w:spacing w:val="-2"/>
                <w:lang w:val="en-GB"/>
              </w:rPr>
              <w:t>Expenditure on long</w:t>
            </w:r>
            <w:r w:rsidR="00320454">
              <w:rPr>
                <w:spacing w:val="-2"/>
                <w:lang w:val="en-GB"/>
              </w:rPr>
              <w:t>-</w:t>
            </w:r>
            <w:r w:rsidR="00B6329D" w:rsidRPr="00DD6E6B">
              <w:rPr>
                <w:spacing w:val="-2"/>
                <w:lang w:val="en-GB"/>
              </w:rPr>
              <w:t xml:space="preserve">term durability goods fell by </w:t>
            </w:r>
            <w:r w:rsidR="007E5149" w:rsidRPr="00DD6E6B">
              <w:rPr>
                <w:spacing w:val="-2"/>
                <w:lang w:val="en-GB"/>
              </w:rPr>
              <w:t>3</w:t>
            </w:r>
            <w:r w:rsidR="00B6329D" w:rsidRPr="00DD6E6B">
              <w:rPr>
                <w:spacing w:val="-2"/>
                <w:lang w:val="en-GB"/>
              </w:rPr>
              <w:t>.</w:t>
            </w:r>
            <w:r w:rsidR="007E5149" w:rsidRPr="00DD6E6B">
              <w:rPr>
                <w:spacing w:val="-2"/>
                <w:lang w:val="en-GB"/>
              </w:rPr>
              <w:t>6%</w:t>
            </w:r>
            <w:r w:rsidR="00B6329D" w:rsidRPr="00DD6E6B">
              <w:rPr>
                <w:spacing w:val="-2"/>
                <w:lang w:val="en-GB"/>
              </w:rPr>
              <w:t xml:space="preserve"> year-on-year</w:t>
            </w:r>
            <w:r w:rsidR="007E5149" w:rsidRPr="00DD6E6B">
              <w:rPr>
                <w:spacing w:val="-2"/>
                <w:lang w:val="en-GB"/>
              </w:rPr>
              <w:t xml:space="preserve">, </w:t>
            </w:r>
            <w:r w:rsidR="00DC25C7" w:rsidRPr="00DD6E6B">
              <w:rPr>
                <w:spacing w:val="-2"/>
                <w:lang w:val="en-GB"/>
              </w:rPr>
              <w:t xml:space="preserve">while for the </w:t>
            </w:r>
            <w:r w:rsidR="004F7A3B" w:rsidRPr="00DD6E6B">
              <w:rPr>
                <w:spacing w:val="-2"/>
                <w:lang w:val="en-GB"/>
              </w:rPr>
              <w:t xml:space="preserve">consumption of the </w:t>
            </w:r>
            <w:r w:rsidR="00DC25C7" w:rsidRPr="00DD6E6B">
              <w:rPr>
                <w:spacing w:val="-2"/>
                <w:lang w:val="en-GB"/>
              </w:rPr>
              <w:t>medium durability</w:t>
            </w:r>
            <w:r w:rsidR="004F7A3B" w:rsidRPr="00DD6E6B">
              <w:rPr>
                <w:spacing w:val="-2"/>
                <w:lang w:val="en-GB"/>
              </w:rPr>
              <w:t xml:space="preserve"> goods</w:t>
            </w:r>
            <w:r w:rsidR="00B6329D" w:rsidRPr="00DD6E6B">
              <w:rPr>
                <w:spacing w:val="-2"/>
                <w:lang w:val="en-GB"/>
              </w:rPr>
              <w:t xml:space="preserve"> it reached </w:t>
            </w:r>
            <w:r w:rsidR="007E5149" w:rsidRPr="00DD6E6B">
              <w:rPr>
                <w:spacing w:val="-2"/>
                <w:lang w:val="en-GB"/>
              </w:rPr>
              <w:t>7</w:t>
            </w:r>
            <w:r w:rsidR="00B6329D" w:rsidRPr="00DD6E6B">
              <w:rPr>
                <w:spacing w:val="-2"/>
                <w:lang w:val="en-GB"/>
              </w:rPr>
              <w:t>.</w:t>
            </w:r>
            <w:r w:rsidR="007E5149" w:rsidRPr="00DD6E6B">
              <w:rPr>
                <w:spacing w:val="-2"/>
                <w:lang w:val="en-GB"/>
              </w:rPr>
              <w:t>3%.</w:t>
            </w:r>
          </w:p>
        </w:tc>
      </w:tr>
      <w:tr w:rsidR="007E5149" w:rsidRPr="00DD6E6B" w14:paraId="76D06709" w14:textId="77777777" w:rsidTr="20D21749">
        <w:trPr>
          <w:trHeight w:val="154"/>
        </w:trPr>
        <w:tc>
          <w:tcPr>
            <w:tcW w:w="1806" w:type="dxa"/>
            <w:vMerge w:val="restart"/>
            <w:shd w:val="clear" w:color="auto" w:fill="auto"/>
            <w:tcMar>
              <w:left w:w="0" w:type="dxa"/>
            </w:tcMar>
          </w:tcPr>
          <w:p w14:paraId="28688F5E" w14:textId="77777777" w:rsidR="007E5149" w:rsidRPr="00DD6E6B" w:rsidRDefault="007E5149" w:rsidP="007E5149">
            <w:pPr>
              <w:pStyle w:val="Marginlie"/>
              <w:rPr>
                <w:lang w:val="en-GB"/>
              </w:rPr>
            </w:pPr>
          </w:p>
        </w:tc>
        <w:tc>
          <w:tcPr>
            <w:tcW w:w="223" w:type="dxa"/>
            <w:vMerge w:val="restart"/>
            <w:shd w:val="clear" w:color="auto" w:fill="auto"/>
            <w:tcMar>
              <w:left w:w="0" w:type="dxa"/>
            </w:tcMar>
          </w:tcPr>
          <w:p w14:paraId="4E50C9F6"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0C60C0C8" w14:textId="6AF7FCB7" w:rsidR="007E5149" w:rsidRPr="00DD6E6B" w:rsidRDefault="002E1E2B" w:rsidP="007E5149">
            <w:pPr>
              <w:spacing w:after="0"/>
              <w:rPr>
                <w:lang w:val="en-GB"/>
              </w:rPr>
            </w:pPr>
            <w:r w:rsidRPr="00DD6E6B">
              <w:rPr>
                <w:b/>
                <w:szCs w:val="20"/>
                <w:lang w:val="en-GB"/>
              </w:rPr>
              <w:t xml:space="preserve">Chart </w:t>
            </w:r>
            <w:r w:rsidR="007E5149" w:rsidRPr="00DD6E6B">
              <w:rPr>
                <w:b/>
                <w:szCs w:val="20"/>
                <w:lang w:val="en-GB"/>
              </w:rPr>
              <w:t xml:space="preserve">2 </w:t>
            </w:r>
            <w:r w:rsidR="00F05501" w:rsidRPr="00DD6E6B">
              <w:rPr>
                <w:b/>
                <w:szCs w:val="20"/>
                <w:lang w:val="en-GB"/>
              </w:rPr>
              <w:t>Contribution of expenditure items to real GDP change</w:t>
            </w:r>
            <w:r w:rsidR="00F05501" w:rsidRPr="00DD6E6B">
              <w:rPr>
                <w:rFonts w:cs="Arial"/>
                <w:b/>
                <w:szCs w:val="20"/>
                <w:lang w:val="en-GB" w:eastAsia="en-US"/>
              </w:rPr>
              <w:t xml:space="preserve">* </w:t>
            </w:r>
            <w:r w:rsidR="00F05501" w:rsidRPr="00DD6E6B">
              <w:rPr>
                <w:rFonts w:cs="Arial"/>
                <w:bCs/>
                <w:szCs w:val="20"/>
                <w:lang w:val="en-GB" w:eastAsia="en-US"/>
              </w:rPr>
              <w:t>(volume indices, year-on-year growth, contributions in p.p., GDP in %)</w:t>
            </w:r>
          </w:p>
        </w:tc>
      </w:tr>
      <w:tr w:rsidR="007E5149" w:rsidRPr="00DD6E6B" w14:paraId="5B11E325" w14:textId="77777777" w:rsidTr="00B545CC">
        <w:tblPrEx>
          <w:tblCellMar>
            <w:left w:w="70" w:type="dxa"/>
            <w:right w:w="70" w:type="dxa"/>
          </w:tblCellMar>
        </w:tblPrEx>
        <w:trPr>
          <w:trHeight w:val="154"/>
        </w:trPr>
        <w:tc>
          <w:tcPr>
            <w:tcW w:w="1806" w:type="dxa"/>
            <w:vMerge/>
          </w:tcPr>
          <w:p w14:paraId="340DAED2" w14:textId="77777777" w:rsidR="007E5149" w:rsidRPr="00DD6E6B" w:rsidRDefault="007E5149" w:rsidP="007E5149">
            <w:pPr>
              <w:pStyle w:val="Marginlie"/>
              <w:rPr>
                <w:lang w:val="en-GB"/>
              </w:rPr>
            </w:pPr>
          </w:p>
        </w:tc>
        <w:tc>
          <w:tcPr>
            <w:tcW w:w="223" w:type="dxa"/>
            <w:vMerge/>
          </w:tcPr>
          <w:p w14:paraId="0BF86D28" w14:textId="77777777" w:rsidR="007E5149" w:rsidRPr="00DD6E6B" w:rsidRDefault="007E5149" w:rsidP="007E5149">
            <w:pPr>
              <w:pStyle w:val="Textpoznpodarou"/>
              <w:jc w:val="both"/>
              <w:rPr>
                <w:spacing w:val="-4"/>
                <w:lang w:val="en-GB"/>
              </w:rPr>
            </w:pPr>
          </w:p>
        </w:tc>
        <w:tc>
          <w:tcPr>
            <w:tcW w:w="7610" w:type="dxa"/>
            <w:shd w:val="clear" w:color="auto" w:fill="auto"/>
          </w:tcPr>
          <w:p w14:paraId="54805A37" w14:textId="72D56728" w:rsidR="007E5149" w:rsidRPr="00DD6E6B" w:rsidRDefault="00B545CC" w:rsidP="007E5149">
            <w:pPr>
              <w:spacing w:after="0"/>
              <w:rPr>
                <w:lang w:val="en-GB"/>
              </w:rPr>
            </w:pPr>
            <w:r>
              <w:rPr>
                <w:noProof/>
              </w:rPr>
              <w:drawing>
                <wp:inline distT="0" distB="0" distL="0" distR="0" wp14:anchorId="7FE36443" wp14:editId="518A4C8F">
                  <wp:extent cx="4743950" cy="3283325"/>
                  <wp:effectExtent l="0" t="0" r="0" b="0"/>
                  <wp:docPr id="1962967454" name="Graf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7E5149" w:rsidRPr="00DD6E6B" w14:paraId="52CA5ACB" w14:textId="77777777" w:rsidTr="20D21749">
        <w:trPr>
          <w:trHeight w:val="154"/>
        </w:trPr>
        <w:tc>
          <w:tcPr>
            <w:tcW w:w="1806" w:type="dxa"/>
            <w:vMerge/>
            <w:tcMar>
              <w:left w:w="0" w:type="dxa"/>
            </w:tcMar>
          </w:tcPr>
          <w:p w14:paraId="5843E33F" w14:textId="77777777" w:rsidR="007E5149" w:rsidRPr="00DD6E6B" w:rsidRDefault="007E5149" w:rsidP="007E5149">
            <w:pPr>
              <w:pStyle w:val="Marginlie"/>
              <w:rPr>
                <w:lang w:val="en-GB"/>
              </w:rPr>
            </w:pPr>
          </w:p>
        </w:tc>
        <w:tc>
          <w:tcPr>
            <w:tcW w:w="223" w:type="dxa"/>
            <w:vMerge/>
            <w:tcMar>
              <w:left w:w="0" w:type="dxa"/>
            </w:tcMar>
          </w:tcPr>
          <w:p w14:paraId="3F71DBCD"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0E0A213D" w14:textId="342EF297" w:rsidR="007E5149" w:rsidRPr="00DD6E6B" w:rsidRDefault="00DD58E5" w:rsidP="007E5149">
            <w:pPr>
              <w:spacing w:after="0"/>
              <w:rPr>
                <w:sz w:val="14"/>
                <w:szCs w:val="14"/>
                <w:lang w:val="en-GB"/>
              </w:rPr>
            </w:pPr>
            <w:r w:rsidRPr="00DD6E6B">
              <w:rPr>
                <w:sz w:val="14"/>
                <w:szCs w:val="14"/>
                <w:lang w:val="en-GB"/>
              </w:rPr>
              <w:t>Source</w:t>
            </w:r>
            <w:r w:rsidR="007E5149" w:rsidRPr="00DD6E6B">
              <w:rPr>
                <w:sz w:val="14"/>
                <w:szCs w:val="14"/>
                <w:lang w:val="en-GB"/>
              </w:rPr>
              <w:t xml:space="preserve">: </w:t>
            </w:r>
            <w:r w:rsidRPr="00DD6E6B">
              <w:rPr>
                <w:sz w:val="14"/>
                <w:szCs w:val="14"/>
                <w:lang w:val="en-GB"/>
              </w:rPr>
              <w:t>CZSO</w:t>
            </w:r>
          </w:p>
          <w:p w14:paraId="35A9EBDD" w14:textId="7E3A3957" w:rsidR="00EF7DF6" w:rsidRPr="00DD6E6B" w:rsidRDefault="007E5149" w:rsidP="00B545CC">
            <w:pPr>
              <w:rPr>
                <w:b/>
                <w:bCs/>
                <w:sz w:val="16"/>
                <w:szCs w:val="16"/>
                <w:lang w:val="en-GB"/>
              </w:rPr>
            </w:pPr>
            <w:r w:rsidRPr="00DD6E6B">
              <w:rPr>
                <w:sz w:val="14"/>
                <w:szCs w:val="14"/>
                <w:lang w:val="en-GB"/>
              </w:rPr>
              <w:t xml:space="preserve">* </w:t>
            </w:r>
            <w:r w:rsidR="00470235" w:rsidRPr="00DD6E6B">
              <w:rPr>
                <w:sz w:val="14"/>
                <w:szCs w:val="14"/>
                <w:lang w:val="en-GB"/>
              </w:rPr>
              <w:t>after exclusion of imports for final use</w:t>
            </w:r>
          </w:p>
        </w:tc>
      </w:tr>
      <w:tr w:rsidR="00912242" w:rsidRPr="00DD6E6B" w14:paraId="47B10051" w14:textId="77777777" w:rsidTr="20D21749">
        <w:trPr>
          <w:trHeight w:val="145"/>
        </w:trPr>
        <w:tc>
          <w:tcPr>
            <w:tcW w:w="1806" w:type="dxa"/>
            <w:shd w:val="clear" w:color="auto" w:fill="auto"/>
            <w:tcMar>
              <w:left w:w="0" w:type="dxa"/>
            </w:tcMar>
          </w:tcPr>
          <w:p w14:paraId="2B289813" w14:textId="4E359C48" w:rsidR="00912242" w:rsidRPr="00DD6E6B" w:rsidRDefault="00912242" w:rsidP="00912242">
            <w:pPr>
              <w:pStyle w:val="Marginlie"/>
              <w:rPr>
                <w:lang w:val="en-GB"/>
              </w:rPr>
            </w:pPr>
            <w:r w:rsidRPr="00DD6E6B">
              <w:rPr>
                <w:lang w:val="en-GB"/>
              </w:rPr>
              <w:t xml:space="preserve">Development of investment indirectly indicated a heightened investment activity of businesses. </w:t>
            </w:r>
          </w:p>
        </w:tc>
        <w:tc>
          <w:tcPr>
            <w:tcW w:w="223" w:type="dxa"/>
            <w:shd w:val="clear" w:color="auto" w:fill="auto"/>
            <w:tcMar>
              <w:left w:w="0" w:type="dxa"/>
            </w:tcMar>
          </w:tcPr>
          <w:p w14:paraId="4F5EE7D2" w14:textId="77777777" w:rsidR="00912242" w:rsidRPr="00DD6E6B" w:rsidRDefault="00912242" w:rsidP="00912242">
            <w:pPr>
              <w:pStyle w:val="Textpoznpodarou"/>
              <w:jc w:val="both"/>
              <w:rPr>
                <w:spacing w:val="-4"/>
                <w:lang w:val="en-GB"/>
              </w:rPr>
            </w:pPr>
          </w:p>
        </w:tc>
        <w:tc>
          <w:tcPr>
            <w:tcW w:w="7610" w:type="dxa"/>
            <w:shd w:val="clear" w:color="auto" w:fill="auto"/>
            <w:tcMar>
              <w:left w:w="0" w:type="dxa"/>
            </w:tcMar>
          </w:tcPr>
          <w:p w14:paraId="06F031BE" w14:textId="79B96546" w:rsidR="00912242" w:rsidRPr="00DD6E6B" w:rsidRDefault="00912242" w:rsidP="00912242">
            <w:pPr>
              <w:rPr>
                <w:lang w:val="en-GB"/>
              </w:rPr>
            </w:pPr>
            <w:r w:rsidRPr="00DD6E6B">
              <w:rPr>
                <w:lang w:val="en-GB"/>
              </w:rPr>
              <w:t>Expenditure on gross capital formation were lower by 5.8% year-on-year in Q2, which represents deepening of the dive compared to the previous quarter. Gross capital formation contributed in total −1.7 p.p. to the GDP decrease. Quarter-on-quarter, expenditures on gross capital formation decreased by 1.9%. Expenditures on gross fixed capital formation itself (investment activity) however expanded by 2.5% year-on-year and the quarter-on-quarter revival achieved 3.4%. The total decrease of the gross capital formation was thus caused by the change of the inventory stock</w:t>
            </w:r>
            <w:r>
              <w:rPr>
                <w:lang w:val="en-GB"/>
              </w:rPr>
              <w:t xml:space="preserve"> as</w:t>
            </w:r>
            <w:r w:rsidRPr="00DD6E6B">
              <w:rPr>
                <w:lang w:val="en-GB"/>
              </w:rPr>
              <w:t xml:space="preserve"> the gradual depletion of the inventory stock apparent already at the end of the last year continued</w:t>
            </w:r>
            <w:r w:rsidRPr="00DD6E6B">
              <w:rPr>
                <w:rStyle w:val="Znakapoznpodarou"/>
                <w:lang w:val="en-GB"/>
              </w:rPr>
              <w:footnoteReference w:id="8"/>
            </w:r>
            <w:r w:rsidRPr="00DD6E6B">
              <w:rPr>
                <w:lang w:val="en-GB"/>
              </w:rPr>
              <w:t xml:space="preserve">. Expenditures on ICT and other machinery and equipment (growth of 8.8%) and further raised investment into transport equipment (14.5%) supported for the major part the quarter-on-quarter recovery of the investment activity in Q2. The revival of investment activity of non-financial business, which dominate these items can thus be indirectly derived. These two categories also grew very strongly year-on-year (ICT and machinery by 13.5% and transport equipment by 16.2%). Expenditures on products of intellectual property were also higher year-on-year (2.8%). Nevertheless, in the year-on-year view they lagged behind by 1.5%, which is the result of quarter-on-quarter plunge in the last quarter as well as the high comparative basis of the last year. The adverse situation in the area of investment into buildings continued in Q2. Investments into housing was by 3.0% lower quarter-on-quarter. Decrease thus again followed two revivals. The real level of investments into housing thus due to the effect of caution, weakening purchasing power of households and the interest rate environment hit the level of year 2016. Year-on-year, investments into housing were by 9.1% lower. Investment into other buildings and structures </w:t>
            </w:r>
            <w:r>
              <w:rPr>
                <w:lang w:val="en-GB"/>
              </w:rPr>
              <w:t>(</w:t>
            </w:r>
            <w:r>
              <w:rPr>
                <w:color w:val="000000"/>
                <w:shd w:val="clear" w:color="auto" w:fill="FFFFFF"/>
              </w:rPr>
              <w:t>–</w:t>
            </w:r>
            <w:r w:rsidRPr="00DD6E6B">
              <w:rPr>
                <w:lang w:val="en-GB"/>
              </w:rPr>
              <w:t xml:space="preserve">1.9%), which include government </w:t>
            </w:r>
            <w:r w:rsidRPr="00DD6E6B">
              <w:rPr>
                <w:lang w:val="en-GB"/>
              </w:rPr>
              <w:lastRenderedPageBreak/>
              <w:t>infrastructure investment as well as business investment into buildings for production purposes etc. were also lower for the third time in a row in Q2. Investment fell by 3.0% here year-on-year.</w:t>
            </w:r>
          </w:p>
        </w:tc>
      </w:tr>
      <w:tr w:rsidR="00912242" w:rsidRPr="00DD6E6B" w14:paraId="595C88FA" w14:textId="77777777" w:rsidTr="20D21749">
        <w:trPr>
          <w:trHeight w:val="145"/>
        </w:trPr>
        <w:tc>
          <w:tcPr>
            <w:tcW w:w="1806" w:type="dxa"/>
            <w:shd w:val="clear" w:color="auto" w:fill="auto"/>
            <w:tcMar>
              <w:left w:w="0" w:type="dxa"/>
            </w:tcMar>
          </w:tcPr>
          <w:p w14:paraId="380A11F6" w14:textId="54E4C832" w:rsidR="00912242" w:rsidRPr="00DD6E6B" w:rsidRDefault="00912242" w:rsidP="00912242">
            <w:pPr>
              <w:pStyle w:val="Marginlie"/>
              <w:rPr>
                <w:lang w:val="en-GB"/>
              </w:rPr>
            </w:pPr>
            <w:r w:rsidRPr="00DD6E6B">
              <w:rPr>
                <w:lang w:val="en-GB"/>
              </w:rPr>
              <w:lastRenderedPageBreak/>
              <w:t>Foreign trade balance markedly improved year-on-year.</w:t>
            </w:r>
          </w:p>
        </w:tc>
        <w:tc>
          <w:tcPr>
            <w:tcW w:w="223" w:type="dxa"/>
            <w:shd w:val="clear" w:color="auto" w:fill="auto"/>
            <w:tcMar>
              <w:left w:w="0" w:type="dxa"/>
            </w:tcMar>
          </w:tcPr>
          <w:p w14:paraId="755FD9A3" w14:textId="77777777" w:rsidR="00912242" w:rsidRPr="00DD6E6B" w:rsidRDefault="00912242" w:rsidP="00912242">
            <w:pPr>
              <w:pStyle w:val="Textpoznpodarou"/>
              <w:jc w:val="both"/>
              <w:rPr>
                <w:spacing w:val="-4"/>
                <w:lang w:val="en-GB"/>
              </w:rPr>
            </w:pPr>
          </w:p>
        </w:tc>
        <w:tc>
          <w:tcPr>
            <w:tcW w:w="7610" w:type="dxa"/>
            <w:shd w:val="clear" w:color="auto" w:fill="auto"/>
            <w:tcMar>
              <w:left w:w="0" w:type="dxa"/>
            </w:tcMar>
          </w:tcPr>
          <w:p w14:paraId="792D4928" w14:textId="4D190A10" w:rsidR="00912242" w:rsidRPr="00DD6E6B" w:rsidRDefault="00912242" w:rsidP="00912242">
            <w:pPr>
              <w:rPr>
                <w:lang w:val="en-GB"/>
              </w:rPr>
            </w:pPr>
            <w:r w:rsidRPr="00DD6E6B">
              <w:rPr>
                <w:lang w:val="en-GB"/>
              </w:rPr>
              <w:t>Export of goods and services</w:t>
            </w:r>
            <w:r w:rsidRPr="00DD6E6B">
              <w:rPr>
                <w:rStyle w:val="Znakapoznpodarou"/>
                <w:lang w:val="en-GB"/>
              </w:rPr>
              <w:footnoteReference w:id="9"/>
            </w:r>
            <w:r w:rsidRPr="00DD6E6B">
              <w:rPr>
                <w:lang w:val="en-GB"/>
              </w:rPr>
              <w:t xml:space="preserve"> decreased quarter-on-quarter</w:t>
            </w:r>
            <w:r>
              <w:rPr>
                <w:lang w:val="en-GB"/>
              </w:rPr>
              <w:t xml:space="preserve"> (</w:t>
            </w:r>
            <w:r>
              <w:rPr>
                <w:color w:val="000000"/>
                <w:shd w:val="clear" w:color="auto" w:fill="FFFFFF"/>
              </w:rPr>
              <w:t>–</w:t>
            </w:r>
            <w:r w:rsidRPr="00DD6E6B">
              <w:rPr>
                <w:lang w:val="en-GB"/>
              </w:rPr>
              <w:t xml:space="preserve">0.5%) for the first time since Q3 2021 in Q2. While the export of goods recorded stagnation for the third time in a row, export of services plummeted by 2.9%. The import dynamics has lagged behind export already for more than one year and similarly import experienced larger slump in Q2 </w:t>
            </w:r>
            <w:r>
              <w:rPr>
                <w:lang w:val="en-GB"/>
              </w:rPr>
              <w:t>(</w:t>
            </w:r>
            <w:r>
              <w:rPr>
                <w:color w:val="000000"/>
                <w:shd w:val="clear" w:color="auto" w:fill="FFFFFF"/>
              </w:rPr>
              <w:t>–</w:t>
            </w:r>
            <w:r w:rsidRPr="00DD6E6B">
              <w:rPr>
                <w:lang w:val="en-GB"/>
              </w:rPr>
              <w:t>1.2%), in cases of both goods and service. Falling import is partially linked to the lower domestic consumption demand. At the same time however</w:t>
            </w:r>
            <w:r>
              <w:rPr>
                <w:lang w:val="en-GB"/>
              </w:rPr>
              <w:t>,</w:t>
            </w:r>
            <w:r w:rsidRPr="00DD6E6B">
              <w:rPr>
                <w:lang w:val="en-GB"/>
              </w:rPr>
              <w:t xml:space="preserve"> the cooling in part of the domestic industry cannot be omitted. Year-on-year rise of the export of goods and services nevertheless continued (4.5%) and their import was also slightly higher (0.8%). The balance of foreign trade with goods and services (seasonally adjusted) attained surplus of 100.9 CZK bn in Q2 2023. The positive balance markedly improved by 101.0 bn year-on-year, in effect completely due to the growing surplus of trade with goods. The year-on-year improvement of the balance contributed in total 2.5 p. p. to the GDP growth. Balance of foreign trade with goods and services also improved quarter-on-quarter, for the second time in a row. </w:t>
            </w:r>
          </w:p>
        </w:tc>
      </w:tr>
      <w:tr w:rsidR="00912242" w:rsidRPr="00DD6E6B" w14:paraId="16A3B338" w14:textId="77777777" w:rsidTr="20D21749">
        <w:trPr>
          <w:trHeight w:val="170"/>
        </w:trPr>
        <w:tc>
          <w:tcPr>
            <w:tcW w:w="1806" w:type="dxa"/>
            <w:vMerge w:val="restart"/>
            <w:shd w:val="clear" w:color="auto" w:fill="auto"/>
            <w:tcMar>
              <w:left w:w="0" w:type="dxa"/>
            </w:tcMar>
          </w:tcPr>
          <w:p w14:paraId="4DFFCBFE" w14:textId="77777777" w:rsidR="00912242" w:rsidRPr="00DD6E6B" w:rsidRDefault="00912242" w:rsidP="00912242">
            <w:pPr>
              <w:pStyle w:val="Marginlie"/>
              <w:rPr>
                <w:lang w:val="en-GB"/>
              </w:rPr>
            </w:pPr>
          </w:p>
        </w:tc>
        <w:tc>
          <w:tcPr>
            <w:tcW w:w="223" w:type="dxa"/>
            <w:vMerge w:val="restart"/>
            <w:shd w:val="clear" w:color="auto" w:fill="auto"/>
            <w:tcMar>
              <w:left w:w="0" w:type="dxa"/>
            </w:tcMar>
          </w:tcPr>
          <w:p w14:paraId="69419BB3" w14:textId="77777777" w:rsidR="00912242" w:rsidRPr="00DD6E6B" w:rsidRDefault="00912242" w:rsidP="00912242">
            <w:pPr>
              <w:pStyle w:val="Textpoznpodarou"/>
              <w:jc w:val="both"/>
              <w:rPr>
                <w:spacing w:val="-4"/>
                <w:lang w:val="en-GB"/>
              </w:rPr>
            </w:pPr>
          </w:p>
        </w:tc>
        <w:tc>
          <w:tcPr>
            <w:tcW w:w="7610" w:type="dxa"/>
            <w:shd w:val="clear" w:color="auto" w:fill="auto"/>
            <w:tcMar>
              <w:left w:w="0" w:type="dxa"/>
            </w:tcMar>
          </w:tcPr>
          <w:p w14:paraId="14FF065C" w14:textId="2CA81F0F" w:rsidR="00912242" w:rsidRPr="00DD6E6B" w:rsidRDefault="00912242" w:rsidP="00912242">
            <w:pPr>
              <w:spacing w:after="0"/>
              <w:rPr>
                <w:lang w:val="en-GB"/>
              </w:rPr>
            </w:pPr>
            <w:r w:rsidRPr="00DD6E6B">
              <w:rPr>
                <w:b/>
                <w:szCs w:val="20"/>
                <w:lang w:val="en-GB"/>
              </w:rPr>
              <w:t>Chart 3 Contributions</w:t>
            </w:r>
            <w:r w:rsidRPr="00DD6E6B">
              <w:rPr>
                <w:b/>
                <w:szCs w:val="20"/>
                <w:lang w:val="en-GB" w:eastAsia="en-US"/>
              </w:rPr>
              <w:t xml:space="preserve"> of branches to real change in GVA</w:t>
            </w:r>
            <w:r w:rsidRPr="00DD6E6B">
              <w:rPr>
                <w:rFonts w:cs="Arial"/>
                <w:b/>
                <w:szCs w:val="20"/>
                <w:lang w:val="en-GB" w:eastAsia="en-US"/>
              </w:rPr>
              <w:t xml:space="preserve"> </w:t>
            </w:r>
            <w:r w:rsidRPr="00DD6E6B">
              <w:rPr>
                <w:rFonts w:cs="Arial"/>
                <w:bCs/>
                <w:szCs w:val="20"/>
                <w:lang w:val="en-GB" w:eastAsia="en-US"/>
              </w:rPr>
              <w:t>(volume indices, year-on-year contributions in p.p., GVA in %)</w:t>
            </w:r>
            <w:r w:rsidRPr="00DD6E6B">
              <w:rPr>
                <w:rFonts w:cs="Arial"/>
                <w:szCs w:val="20"/>
                <w:lang w:val="en-GB" w:eastAsia="en-US"/>
              </w:rPr>
              <w:t xml:space="preserve"> </w:t>
            </w:r>
          </w:p>
        </w:tc>
      </w:tr>
      <w:tr w:rsidR="00912242" w:rsidRPr="00DD6E6B" w14:paraId="3532C06E" w14:textId="77777777" w:rsidTr="00B545CC">
        <w:tblPrEx>
          <w:tblCellMar>
            <w:left w:w="70" w:type="dxa"/>
            <w:right w:w="70" w:type="dxa"/>
          </w:tblCellMar>
        </w:tblPrEx>
        <w:trPr>
          <w:trHeight w:val="170"/>
        </w:trPr>
        <w:tc>
          <w:tcPr>
            <w:tcW w:w="1806" w:type="dxa"/>
            <w:vMerge/>
          </w:tcPr>
          <w:p w14:paraId="211F1CE0" w14:textId="77777777" w:rsidR="00912242" w:rsidRPr="00DD6E6B" w:rsidRDefault="00912242" w:rsidP="00912242">
            <w:pPr>
              <w:pStyle w:val="Marginlie"/>
              <w:rPr>
                <w:lang w:val="en-GB"/>
              </w:rPr>
            </w:pPr>
          </w:p>
        </w:tc>
        <w:tc>
          <w:tcPr>
            <w:tcW w:w="223" w:type="dxa"/>
            <w:vMerge/>
          </w:tcPr>
          <w:p w14:paraId="41A37353" w14:textId="77777777" w:rsidR="00912242" w:rsidRPr="00DD6E6B" w:rsidRDefault="00912242" w:rsidP="00912242">
            <w:pPr>
              <w:pStyle w:val="Textpoznpodarou"/>
              <w:jc w:val="both"/>
              <w:rPr>
                <w:spacing w:val="-4"/>
                <w:lang w:val="en-GB"/>
              </w:rPr>
            </w:pPr>
          </w:p>
        </w:tc>
        <w:tc>
          <w:tcPr>
            <w:tcW w:w="7610" w:type="dxa"/>
            <w:shd w:val="clear" w:color="auto" w:fill="auto"/>
          </w:tcPr>
          <w:p w14:paraId="368C089A" w14:textId="1607E5EA" w:rsidR="00912242" w:rsidRPr="00DD6E6B" w:rsidRDefault="00912242" w:rsidP="00912242">
            <w:pPr>
              <w:spacing w:after="0"/>
              <w:rPr>
                <w:lang w:val="en-GB"/>
              </w:rPr>
            </w:pPr>
            <w:r>
              <w:rPr>
                <w:noProof/>
              </w:rPr>
              <w:drawing>
                <wp:inline distT="0" distB="0" distL="0" distR="0" wp14:anchorId="480C104F" wp14:editId="11DA906D">
                  <wp:extent cx="4731250" cy="3315075"/>
                  <wp:effectExtent l="0" t="0" r="0" b="0"/>
                  <wp:docPr id="834964555" name="Graf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912242" w:rsidRPr="00DD6E6B" w14:paraId="1768F2A2" w14:textId="77777777" w:rsidTr="20D21749">
        <w:trPr>
          <w:trHeight w:val="170"/>
        </w:trPr>
        <w:tc>
          <w:tcPr>
            <w:tcW w:w="1806" w:type="dxa"/>
            <w:vMerge/>
            <w:tcMar>
              <w:left w:w="0" w:type="dxa"/>
            </w:tcMar>
          </w:tcPr>
          <w:p w14:paraId="770D168C" w14:textId="77777777" w:rsidR="00912242" w:rsidRPr="00DD6E6B" w:rsidRDefault="00912242" w:rsidP="00912242">
            <w:pPr>
              <w:pStyle w:val="Marginlie"/>
              <w:rPr>
                <w:lang w:val="en-GB"/>
              </w:rPr>
            </w:pPr>
          </w:p>
        </w:tc>
        <w:tc>
          <w:tcPr>
            <w:tcW w:w="223" w:type="dxa"/>
            <w:vMerge/>
            <w:tcMar>
              <w:left w:w="0" w:type="dxa"/>
            </w:tcMar>
          </w:tcPr>
          <w:p w14:paraId="4C26E9DA" w14:textId="77777777" w:rsidR="00912242" w:rsidRPr="00DD6E6B" w:rsidRDefault="00912242" w:rsidP="00912242">
            <w:pPr>
              <w:pStyle w:val="Textpoznpodarou"/>
              <w:jc w:val="both"/>
              <w:rPr>
                <w:spacing w:val="-4"/>
                <w:lang w:val="en-GB"/>
              </w:rPr>
            </w:pPr>
          </w:p>
        </w:tc>
        <w:tc>
          <w:tcPr>
            <w:tcW w:w="7610" w:type="dxa"/>
            <w:shd w:val="clear" w:color="auto" w:fill="auto"/>
            <w:tcMar>
              <w:left w:w="0" w:type="dxa"/>
            </w:tcMar>
          </w:tcPr>
          <w:p w14:paraId="0BE626BE" w14:textId="7D535D2F" w:rsidR="00912242" w:rsidRPr="00B545CC" w:rsidRDefault="00912242" w:rsidP="00912242">
            <w:pPr>
              <w:rPr>
                <w:sz w:val="14"/>
                <w:szCs w:val="14"/>
                <w:lang w:val="en-GB"/>
              </w:rPr>
            </w:pPr>
            <w:r w:rsidRPr="00DD6E6B">
              <w:rPr>
                <w:sz w:val="14"/>
                <w:szCs w:val="14"/>
                <w:lang w:val="en-GB"/>
              </w:rPr>
              <w:t>Source: CZSO</w:t>
            </w:r>
          </w:p>
        </w:tc>
      </w:tr>
      <w:tr w:rsidR="00912242" w:rsidRPr="00DD6E6B" w14:paraId="51D9FB74" w14:textId="77777777" w:rsidTr="20D21749">
        <w:trPr>
          <w:trHeight w:val="145"/>
        </w:trPr>
        <w:tc>
          <w:tcPr>
            <w:tcW w:w="1806" w:type="dxa"/>
            <w:shd w:val="clear" w:color="auto" w:fill="auto"/>
            <w:tcMar>
              <w:left w:w="0" w:type="dxa"/>
            </w:tcMar>
          </w:tcPr>
          <w:p w14:paraId="3030FFC1" w14:textId="3B9B3FD5" w:rsidR="00912242" w:rsidRPr="00DD6E6B" w:rsidRDefault="00912242" w:rsidP="00912242">
            <w:pPr>
              <w:pStyle w:val="Marginlie"/>
              <w:rPr>
                <w:lang w:val="en-GB"/>
              </w:rPr>
            </w:pPr>
            <w:r w:rsidRPr="00DD6E6B">
              <w:rPr>
                <w:lang w:val="en-GB"/>
              </w:rPr>
              <w:t xml:space="preserve">Gross value added fell quarter-on-quarter and increased year-on-year. </w:t>
            </w:r>
          </w:p>
        </w:tc>
        <w:tc>
          <w:tcPr>
            <w:tcW w:w="223" w:type="dxa"/>
            <w:shd w:val="clear" w:color="auto" w:fill="auto"/>
            <w:tcMar>
              <w:left w:w="0" w:type="dxa"/>
            </w:tcMar>
          </w:tcPr>
          <w:p w14:paraId="62D04CDA" w14:textId="77777777" w:rsidR="00912242" w:rsidRPr="00DD6E6B" w:rsidRDefault="00912242" w:rsidP="00912242">
            <w:pPr>
              <w:pStyle w:val="Textpoznpodarou"/>
              <w:jc w:val="both"/>
              <w:rPr>
                <w:spacing w:val="-4"/>
                <w:lang w:val="en-GB"/>
              </w:rPr>
            </w:pPr>
          </w:p>
        </w:tc>
        <w:tc>
          <w:tcPr>
            <w:tcW w:w="7610" w:type="dxa"/>
            <w:shd w:val="clear" w:color="auto" w:fill="auto"/>
            <w:tcMar>
              <w:left w:w="0" w:type="dxa"/>
            </w:tcMar>
          </w:tcPr>
          <w:p w14:paraId="6C213ACF" w14:textId="494CD89A" w:rsidR="00912242" w:rsidRPr="00DD6E6B" w:rsidRDefault="00912242" w:rsidP="00912242">
            <w:pPr>
              <w:rPr>
                <w:lang w:val="en-GB"/>
              </w:rPr>
            </w:pPr>
            <w:r w:rsidRPr="00DD6E6B">
              <w:rPr>
                <w:lang w:val="en-GB"/>
              </w:rPr>
              <w:t>The Gross value added (GVA) decreased by 0.2% quarter-on-quarter in Q2 2023 and it was by 0.6%</w:t>
            </w:r>
            <w:r w:rsidRPr="00DD6E6B">
              <w:rPr>
                <w:rStyle w:val="Znakapoznpodarou"/>
                <w:lang w:val="en-GB"/>
              </w:rPr>
              <w:footnoteReference w:id="10"/>
            </w:r>
            <w:r w:rsidRPr="00DD6E6B">
              <w:rPr>
                <w:lang w:val="en-GB"/>
              </w:rPr>
              <w:t xml:space="preserve"> higher year-on-year. Industry as a total strongly contributed to the GVA growth year-on-year (growth of GVA by 1.5%), but it is evident for a closer look, that good performance in manufacturing stands exclusive behind it (3.8%). It is strongly interconnected to the foreign demand and especially manufacturing of motor vehicles </w:t>
            </w:r>
            <w:r w:rsidRPr="00DD6E6B">
              <w:rPr>
                <w:lang w:val="en-GB"/>
              </w:rPr>
              <w:lastRenderedPageBreak/>
              <w:t xml:space="preserve">and tied sub branches contributed to its favourable development. Development in services was also diverse. In group trade, transportation, accommodation and food service, which is strongly linked to the domestic consumption, the GVA fell by 1.3% year-on-year. The decline also concerned financial and insurance activities </w:t>
            </w:r>
            <w:r>
              <w:rPr>
                <w:lang w:val="en-GB"/>
              </w:rPr>
              <w:t>(</w:t>
            </w:r>
            <w:r>
              <w:rPr>
                <w:color w:val="000000"/>
                <w:shd w:val="clear" w:color="auto" w:fill="FFFFFF"/>
              </w:rPr>
              <w:t>–</w:t>
            </w:r>
            <w:r w:rsidRPr="00DD6E6B">
              <w:rPr>
                <w:lang w:val="en-GB"/>
              </w:rPr>
              <w:t xml:space="preserve">1.1%), real estate activities </w:t>
            </w:r>
            <w:r>
              <w:rPr>
                <w:lang w:val="en-GB"/>
              </w:rPr>
              <w:t>(</w:t>
            </w:r>
            <w:r>
              <w:rPr>
                <w:color w:val="000000"/>
                <w:shd w:val="clear" w:color="auto" w:fill="FFFFFF"/>
              </w:rPr>
              <w:t>–</w:t>
            </w:r>
            <w:r w:rsidRPr="00DD6E6B">
              <w:rPr>
                <w:lang w:val="en-GB"/>
              </w:rPr>
              <w:t xml:space="preserve">0.2%) and other activities </w:t>
            </w:r>
            <w:r>
              <w:rPr>
                <w:lang w:val="en-GB"/>
              </w:rPr>
              <w:t>(</w:t>
            </w:r>
            <w:r>
              <w:rPr>
                <w:color w:val="000000"/>
                <w:shd w:val="clear" w:color="auto" w:fill="FFFFFF"/>
              </w:rPr>
              <w:t>–</w:t>
            </w:r>
            <w:r w:rsidRPr="00DD6E6B">
              <w:rPr>
                <w:lang w:val="en-GB"/>
              </w:rPr>
              <w:t xml:space="preserve">0.4%). On the other side the GVA considerably grew in information and communication (5.6%) and it was also higher in professional, scientific, technical and administrative activities (1.6%) tied to the business sphere. The GVA fell in construction year-on-year </w:t>
            </w:r>
            <w:r>
              <w:rPr>
                <w:lang w:val="en-GB"/>
              </w:rPr>
              <w:t>(</w:t>
            </w:r>
            <w:r>
              <w:rPr>
                <w:color w:val="000000"/>
                <w:shd w:val="clear" w:color="auto" w:fill="FFFFFF"/>
              </w:rPr>
              <w:t>–</w:t>
            </w:r>
            <w:r w:rsidRPr="00DD6E6B">
              <w:rPr>
                <w:lang w:val="en-GB"/>
              </w:rPr>
              <w:t xml:space="preserve">2.7%) for the seventh time in a row. Manufacturing also worked considerably in the direction of the total quarter-on-quarter GVA growth (increase by 1.0%). In total industry nevertheless the GVA rose only by 0.2% quarter-on-quarter. Small quarter-on-quarter increase of GVA by 0.2% occurred in construction. Among services, the GVA grew quarter-on-quarter only in financial and insurance activities (2.5%) and slightly also in professional, scientific, technical and administrative activities (0.3%) and in other activities (0.4%). The GVA decreased in group trade, transportation, accommodation and food service quarter-on-quarter </w:t>
            </w:r>
            <w:r>
              <w:rPr>
                <w:lang w:val="en-GB"/>
              </w:rPr>
              <w:t>(</w:t>
            </w:r>
            <w:r>
              <w:rPr>
                <w:color w:val="000000"/>
                <w:shd w:val="clear" w:color="auto" w:fill="FFFFFF"/>
              </w:rPr>
              <w:t>–</w:t>
            </w:r>
            <w:r w:rsidRPr="00DD6E6B">
              <w:rPr>
                <w:lang w:val="en-GB"/>
              </w:rPr>
              <w:t xml:space="preserve">1.0%) and real estate activities </w:t>
            </w:r>
            <w:r>
              <w:rPr>
                <w:lang w:val="en-GB"/>
              </w:rPr>
              <w:t>(</w:t>
            </w:r>
            <w:r>
              <w:rPr>
                <w:color w:val="000000"/>
                <w:shd w:val="clear" w:color="auto" w:fill="FFFFFF"/>
              </w:rPr>
              <w:t>–</w:t>
            </w:r>
            <w:r w:rsidRPr="00DD6E6B">
              <w:rPr>
                <w:lang w:val="en-GB"/>
              </w:rPr>
              <w:t xml:space="preserve">1.0%). The GVA basically stagnated in case of information and communication </w:t>
            </w:r>
            <w:r>
              <w:rPr>
                <w:lang w:val="en-GB"/>
              </w:rPr>
              <w:t>(</w:t>
            </w:r>
            <w:r>
              <w:rPr>
                <w:color w:val="000000"/>
                <w:shd w:val="clear" w:color="auto" w:fill="FFFFFF"/>
              </w:rPr>
              <w:t>–</w:t>
            </w:r>
            <w:r w:rsidRPr="00DD6E6B">
              <w:rPr>
                <w:lang w:val="en-GB"/>
              </w:rPr>
              <w:t xml:space="preserve">0.1%). </w:t>
            </w:r>
          </w:p>
        </w:tc>
      </w:tr>
    </w:tbl>
    <w:p w14:paraId="699E6E44" w14:textId="77777777" w:rsidR="007E5149" w:rsidRPr="00DD6E6B" w:rsidRDefault="007E5149" w:rsidP="007E5149">
      <w:pPr>
        <w:pStyle w:val="Nadpis11"/>
        <w:rPr>
          <w:sz w:val="2"/>
          <w:szCs w:val="2"/>
          <w:lang w:val="en-GB"/>
        </w:rPr>
      </w:pPr>
    </w:p>
    <w:p w14:paraId="7DF920C2" w14:textId="77777777" w:rsidR="007E5149" w:rsidRPr="00DD6E6B" w:rsidRDefault="007E5149" w:rsidP="007E5149">
      <w:pPr>
        <w:pStyle w:val="Nadpis11"/>
        <w:rPr>
          <w:sz w:val="2"/>
          <w:szCs w:val="2"/>
          <w:lang w:val="en-GB"/>
        </w:rPr>
      </w:pPr>
      <w:bookmarkStart w:id="7" w:name="_GoBack"/>
      <w:bookmarkEnd w:id="0"/>
      <w:bookmarkEnd w:id="1"/>
      <w:bookmarkEnd w:id="2"/>
      <w:bookmarkEnd w:id="3"/>
      <w:bookmarkEnd w:id="4"/>
      <w:bookmarkEnd w:id="5"/>
      <w:bookmarkEnd w:id="7"/>
    </w:p>
    <w:sectPr w:rsidR="007E5149" w:rsidRPr="00DD6E6B" w:rsidSect="00192D4F">
      <w:headerReference w:type="even" r:id="rId15"/>
      <w:headerReference w:type="default" r:id="rId16"/>
      <w:footerReference w:type="even" r:id="rId17"/>
      <w:footerReference w:type="default" r:id="rId18"/>
      <w:pgSz w:w="11906" w:h="16838" w:code="9"/>
      <w:pgMar w:top="1134" w:right="1134" w:bottom="1418" w:left="1134" w:header="680" w:footer="737"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D4505" w14:textId="77777777" w:rsidR="00714227" w:rsidRDefault="00714227" w:rsidP="00E71A58">
      <w:r>
        <w:separator/>
      </w:r>
    </w:p>
  </w:endnote>
  <w:endnote w:type="continuationSeparator" w:id="0">
    <w:p w14:paraId="1DC5A6AC" w14:textId="77777777" w:rsidR="00714227" w:rsidRDefault="0071422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27E0B40" w:rsidR="008C5AA7" w:rsidRPr="00932443" w:rsidRDefault="008C5AA7"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92D4F">
      <w:rPr>
        <w:szCs w:val="16"/>
      </w:rPr>
      <w:t>10</w:t>
    </w:r>
    <w:r w:rsidRPr="00932443">
      <w:rPr>
        <w:szCs w:val="16"/>
      </w:rPr>
      <w:fldChar w:fldCharType="end"/>
    </w:r>
    <w:r w:rsidRPr="00932443">
      <w:rPr>
        <w:szCs w:val="16"/>
      </w:rPr>
      <w:tab/>
    </w:r>
    <w:r w:rsidRPr="002903D4">
      <w:rPr>
        <w:szCs w:val="16"/>
        <w:lang w:val="en-GB"/>
      </w:rPr>
      <w:t>First half of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7761EC9D" w:rsidR="008C5AA7" w:rsidRPr="00932443" w:rsidRDefault="008C5AA7" w:rsidP="00FA6CB6">
    <w:pPr>
      <w:pStyle w:val="Zpat"/>
      <w:rPr>
        <w:szCs w:val="16"/>
      </w:rPr>
    </w:pPr>
    <w:r>
      <w:rPr>
        <w:lang w:eastAsia="cs-CZ"/>
      </w:rPr>
      <w:drawing>
        <wp:anchor distT="0" distB="0" distL="114300" distR="114300" simplePos="0" relativeHeight="251670016" behindDoc="0" locked="0" layoutInCell="1" allowOverlap="1" wp14:anchorId="27A71EB9" wp14:editId="341C5876">
          <wp:simplePos x="0" y="0"/>
          <wp:positionH relativeFrom="margin">
            <wp:posOffset>22860</wp:posOffset>
          </wp:positionH>
          <wp:positionV relativeFrom="paragraph">
            <wp:posOffset>-58420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First half of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92D4F">
      <w:rPr>
        <w:rStyle w:val="ZpatChar"/>
        <w:szCs w:val="16"/>
      </w:rPr>
      <w:t>11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877A" w14:textId="77777777" w:rsidR="00714227" w:rsidRDefault="00714227" w:rsidP="00A21B4D">
      <w:pPr>
        <w:spacing w:after="0"/>
      </w:pPr>
      <w:r>
        <w:separator/>
      </w:r>
    </w:p>
  </w:footnote>
  <w:footnote w:type="continuationSeparator" w:id="0">
    <w:p w14:paraId="7893F757" w14:textId="77777777" w:rsidR="00714227" w:rsidRDefault="00714227" w:rsidP="00E71A58">
      <w:r>
        <w:continuationSeparator/>
      </w:r>
    </w:p>
  </w:footnote>
  <w:footnote w:id="1">
    <w:p w14:paraId="29F53326" w14:textId="49CA86B2" w:rsidR="008C5AA7" w:rsidRPr="00047ED0" w:rsidRDefault="008C5AA7" w:rsidP="004D483B">
      <w:pPr>
        <w:pStyle w:val="Textpoznpodarou"/>
        <w:jc w:val="both"/>
        <w:rPr>
          <w:sz w:val="16"/>
          <w:szCs w:val="16"/>
          <w:lang w:val="en-GB"/>
        </w:rPr>
      </w:pPr>
      <w:r w:rsidRPr="000348AF">
        <w:rPr>
          <w:rStyle w:val="Znakapoznpodarou"/>
          <w:sz w:val="16"/>
          <w:szCs w:val="16"/>
        </w:rPr>
        <w:footnoteRef/>
      </w:r>
      <w:r w:rsidRPr="000348AF">
        <w:rPr>
          <w:sz w:val="16"/>
          <w:szCs w:val="16"/>
        </w:rPr>
        <w:t xml:space="preserve"> </w:t>
      </w:r>
      <w:r w:rsidRPr="00CE719A">
        <w:rPr>
          <w:sz w:val="16"/>
          <w:szCs w:val="16"/>
          <w:lang w:val="en-GB"/>
        </w:rPr>
        <w:t xml:space="preserve">The development of the GDP, gross value added and their components is expressed with the help of the volume indices (i.e. adjusted for changes in prices) and adjusted for seasonal and calendar effects. Data are valid as of </w:t>
      </w:r>
      <w:r>
        <w:rPr>
          <w:sz w:val="16"/>
          <w:szCs w:val="16"/>
          <w:lang w:val="en-GB"/>
        </w:rPr>
        <w:t>29th</w:t>
      </w:r>
      <w:r w:rsidRPr="00CE719A">
        <w:rPr>
          <w:sz w:val="16"/>
          <w:szCs w:val="16"/>
          <w:lang w:val="en-GB"/>
        </w:rPr>
        <w:t xml:space="preserve"> </w:t>
      </w:r>
      <w:r>
        <w:rPr>
          <w:sz w:val="16"/>
          <w:szCs w:val="16"/>
          <w:lang w:val="en-GB"/>
        </w:rPr>
        <w:t xml:space="preserve">August </w:t>
      </w:r>
      <w:r w:rsidRPr="00CE719A">
        <w:rPr>
          <w:sz w:val="16"/>
          <w:szCs w:val="16"/>
          <w:lang w:val="en-GB"/>
        </w:rPr>
        <w:t>202</w:t>
      </w:r>
      <w:r>
        <w:rPr>
          <w:sz w:val="16"/>
          <w:szCs w:val="16"/>
          <w:lang w:val="en-GB"/>
        </w:rPr>
        <w:t>3</w:t>
      </w:r>
      <w:r w:rsidRPr="00CE719A">
        <w:rPr>
          <w:sz w:val="16"/>
          <w:szCs w:val="16"/>
          <w:lang w:val="en-GB"/>
        </w:rPr>
        <w:t>.</w:t>
      </w:r>
    </w:p>
  </w:footnote>
  <w:footnote w:id="2">
    <w:p w14:paraId="3EB80FA6" w14:textId="1F6D0D00" w:rsidR="008C5AA7" w:rsidRPr="00F51B00" w:rsidRDefault="008C5AA7" w:rsidP="00047ED0">
      <w:pPr>
        <w:pStyle w:val="Textpoznpodarou"/>
        <w:jc w:val="both"/>
        <w:rPr>
          <w:sz w:val="16"/>
          <w:szCs w:val="16"/>
        </w:rPr>
      </w:pPr>
      <w:r w:rsidRPr="00047ED0">
        <w:rPr>
          <w:rStyle w:val="Znakapoznpodarou"/>
          <w:sz w:val="16"/>
          <w:szCs w:val="16"/>
          <w:lang w:val="en-GB"/>
        </w:rPr>
        <w:footnoteRef/>
      </w:r>
      <w:r w:rsidRPr="00047ED0">
        <w:rPr>
          <w:sz w:val="16"/>
          <w:szCs w:val="16"/>
          <w:lang w:val="en-GB"/>
        </w:rPr>
        <w:t xml:space="preserve"> Data </w:t>
      </w:r>
      <w:r>
        <w:rPr>
          <w:sz w:val="16"/>
          <w:szCs w:val="16"/>
          <w:lang w:val="en-GB"/>
        </w:rPr>
        <w:t xml:space="preserve">for Luxembourg were not available. </w:t>
      </w:r>
    </w:p>
  </w:footnote>
  <w:footnote w:id="3">
    <w:p w14:paraId="363D1ACA" w14:textId="329AAF26" w:rsidR="008C5AA7" w:rsidRPr="00DF18D0" w:rsidRDefault="008C5AA7" w:rsidP="00DF18D0">
      <w:pPr>
        <w:pStyle w:val="Textpoznpodarou"/>
        <w:jc w:val="both"/>
        <w:rPr>
          <w:lang w:val="en-GB"/>
        </w:rPr>
      </w:pPr>
      <w:r w:rsidRPr="009C6EA8">
        <w:rPr>
          <w:rStyle w:val="Znakapoznpodarou"/>
          <w:sz w:val="16"/>
          <w:szCs w:val="16"/>
        </w:rPr>
        <w:footnoteRef/>
      </w:r>
      <w:r w:rsidRPr="009C6EA8">
        <w:rPr>
          <w:sz w:val="16"/>
          <w:szCs w:val="16"/>
        </w:rPr>
        <w:t xml:space="preserve"> </w:t>
      </w:r>
      <w:r w:rsidRPr="00DF18D0">
        <w:rPr>
          <w:sz w:val="16"/>
          <w:szCs w:val="16"/>
          <w:lang w:val="en-GB"/>
        </w:rPr>
        <w:t xml:space="preserve">Employment data are in the national accounts conception (persons), figure seasonally adjusted.  </w:t>
      </w:r>
    </w:p>
  </w:footnote>
  <w:footnote w:id="4">
    <w:p w14:paraId="613975CC" w14:textId="3737B973" w:rsidR="008C5AA7" w:rsidRPr="0029268D" w:rsidRDefault="008C5AA7" w:rsidP="00DF18D0">
      <w:pPr>
        <w:pStyle w:val="Textpoznpodarou"/>
        <w:jc w:val="both"/>
        <w:rPr>
          <w:sz w:val="16"/>
          <w:szCs w:val="16"/>
          <w:lang w:val="en-GB"/>
        </w:rPr>
      </w:pPr>
      <w:r w:rsidRPr="00DF18D0">
        <w:rPr>
          <w:rStyle w:val="Znakapoznpodarou"/>
          <w:sz w:val="16"/>
          <w:szCs w:val="16"/>
          <w:lang w:val="en-GB"/>
        </w:rPr>
        <w:footnoteRef/>
      </w:r>
      <w:r w:rsidRPr="00DF18D0">
        <w:rPr>
          <w:sz w:val="16"/>
          <w:szCs w:val="16"/>
          <w:lang w:val="en-GB"/>
        </w:rPr>
        <w:t xml:space="preserve"> </w:t>
      </w:r>
      <w:r w:rsidRPr="0029268D">
        <w:rPr>
          <w:sz w:val="16"/>
          <w:szCs w:val="16"/>
          <w:lang w:val="en-GB"/>
        </w:rPr>
        <w:t>Converted into the real expression using the deflator of household consumption.</w:t>
      </w:r>
    </w:p>
  </w:footnote>
  <w:footnote w:id="5">
    <w:p w14:paraId="7468F8B6" w14:textId="38EEAE59" w:rsidR="008C5AA7" w:rsidRPr="0029268D" w:rsidRDefault="008C5AA7" w:rsidP="00DF18D0">
      <w:pPr>
        <w:pStyle w:val="Textpoznpodarou"/>
        <w:jc w:val="both"/>
        <w:rPr>
          <w:sz w:val="16"/>
          <w:szCs w:val="16"/>
          <w:lang w:val="en-GB"/>
        </w:rPr>
      </w:pPr>
      <w:r w:rsidRPr="0029268D">
        <w:rPr>
          <w:rStyle w:val="Znakapoznpodarou"/>
          <w:sz w:val="16"/>
          <w:szCs w:val="16"/>
          <w:lang w:val="en-GB"/>
        </w:rPr>
        <w:footnoteRef/>
      </w:r>
      <w:r w:rsidRPr="0029268D">
        <w:rPr>
          <w:sz w:val="16"/>
          <w:szCs w:val="16"/>
          <w:lang w:val="en-GB"/>
        </w:rPr>
        <w:t xml:space="preserve"> This section contains </w:t>
      </w:r>
      <w:r>
        <w:rPr>
          <w:sz w:val="16"/>
          <w:szCs w:val="16"/>
          <w:lang w:val="en-GB"/>
        </w:rPr>
        <w:t>activities of common interests organisations</w:t>
      </w:r>
      <w:r w:rsidRPr="0029268D">
        <w:rPr>
          <w:sz w:val="16"/>
          <w:szCs w:val="16"/>
          <w:lang w:val="en-GB"/>
        </w:rPr>
        <w:t xml:space="preserve">, </w:t>
      </w:r>
      <w:r>
        <w:rPr>
          <w:sz w:val="16"/>
          <w:szCs w:val="16"/>
          <w:lang w:val="en-GB"/>
        </w:rPr>
        <w:t xml:space="preserve">repairs of computers and personal and household goods </w:t>
      </w:r>
      <w:r w:rsidRPr="0029268D">
        <w:rPr>
          <w:sz w:val="16"/>
          <w:szCs w:val="16"/>
          <w:lang w:val="en-GB"/>
        </w:rPr>
        <w:t>a</w:t>
      </w:r>
      <w:r>
        <w:rPr>
          <w:sz w:val="16"/>
          <w:szCs w:val="16"/>
          <w:lang w:val="en-GB"/>
        </w:rPr>
        <w:t xml:space="preserve">nd a number of other personal services </w:t>
      </w:r>
      <w:r w:rsidRPr="0029268D">
        <w:rPr>
          <w:sz w:val="16"/>
          <w:szCs w:val="16"/>
          <w:lang w:val="en-GB"/>
        </w:rPr>
        <w:t>(</w:t>
      </w:r>
      <w:r>
        <w:rPr>
          <w:sz w:val="16"/>
          <w:szCs w:val="16"/>
          <w:lang w:val="en-GB"/>
        </w:rPr>
        <w:t>beauty</w:t>
      </w:r>
      <w:r w:rsidRPr="0029268D">
        <w:rPr>
          <w:sz w:val="16"/>
          <w:szCs w:val="16"/>
          <w:lang w:val="en-GB"/>
        </w:rPr>
        <w:t xml:space="preserve">, </w:t>
      </w:r>
      <w:r>
        <w:rPr>
          <w:sz w:val="16"/>
          <w:szCs w:val="16"/>
          <w:lang w:val="en-GB"/>
        </w:rPr>
        <w:t>hairdressing treatment etc.</w:t>
      </w:r>
      <w:r w:rsidRPr="0029268D">
        <w:rPr>
          <w:sz w:val="16"/>
          <w:szCs w:val="16"/>
          <w:lang w:val="en-GB"/>
        </w:rPr>
        <w:t>).</w:t>
      </w:r>
    </w:p>
  </w:footnote>
  <w:footnote w:id="6">
    <w:p w14:paraId="7A1A43A4" w14:textId="4EE8A61B" w:rsidR="008C5AA7" w:rsidRPr="00DF18D0" w:rsidRDefault="008C5AA7" w:rsidP="00DF18D0">
      <w:pPr>
        <w:pStyle w:val="Textpoznpodarou"/>
        <w:jc w:val="both"/>
        <w:rPr>
          <w:sz w:val="16"/>
          <w:szCs w:val="16"/>
          <w:lang w:val="en-GB"/>
        </w:rPr>
      </w:pPr>
      <w:r w:rsidRPr="0029268D">
        <w:rPr>
          <w:rStyle w:val="Znakapoznpodarou"/>
          <w:sz w:val="16"/>
          <w:szCs w:val="16"/>
          <w:lang w:val="en-GB"/>
        </w:rPr>
        <w:footnoteRef/>
      </w:r>
      <w:r w:rsidRPr="0029268D">
        <w:rPr>
          <w:sz w:val="16"/>
          <w:szCs w:val="16"/>
          <w:lang w:val="en-GB"/>
        </w:rPr>
        <w:t xml:space="preserve"> Additions to the GDP change after exclusion of imports for final use.</w:t>
      </w:r>
    </w:p>
  </w:footnote>
  <w:footnote w:id="7">
    <w:p w14:paraId="5CA1EF93" w14:textId="32423C82" w:rsidR="008C5AA7" w:rsidRPr="00DF18D0" w:rsidRDefault="008C5AA7" w:rsidP="00DF18D0">
      <w:pPr>
        <w:pStyle w:val="Textpoznpodarou"/>
        <w:jc w:val="both"/>
        <w:rPr>
          <w:sz w:val="16"/>
          <w:szCs w:val="16"/>
          <w:lang w:val="en-GB"/>
        </w:rPr>
      </w:pPr>
      <w:r w:rsidRPr="00DF18D0">
        <w:rPr>
          <w:rStyle w:val="Znakapoznpodarou"/>
          <w:sz w:val="16"/>
          <w:szCs w:val="16"/>
          <w:lang w:val="en-GB"/>
        </w:rPr>
        <w:footnoteRef/>
      </w:r>
      <w:r w:rsidRPr="00DF18D0">
        <w:rPr>
          <w:sz w:val="16"/>
          <w:szCs w:val="16"/>
          <w:lang w:val="en-GB"/>
        </w:rPr>
        <w:t xml:space="preserve"> </w:t>
      </w:r>
      <w:r w:rsidRPr="001C0409">
        <w:rPr>
          <w:sz w:val="16"/>
          <w:szCs w:val="16"/>
          <w:lang w:val="en-GB"/>
        </w:rPr>
        <w:t xml:space="preserve">Data regarding consumption based on durability are in domestic conception. </w:t>
      </w:r>
    </w:p>
  </w:footnote>
  <w:footnote w:id="8">
    <w:p w14:paraId="586F1694" w14:textId="77777777" w:rsidR="008C5AA7" w:rsidRPr="00E559DE" w:rsidRDefault="008C5AA7" w:rsidP="00E559DE">
      <w:pPr>
        <w:pStyle w:val="Textpoznpodarou"/>
        <w:jc w:val="both"/>
        <w:rPr>
          <w:sz w:val="16"/>
          <w:szCs w:val="16"/>
          <w:lang w:val="en-GB"/>
        </w:rPr>
      </w:pPr>
      <w:r w:rsidRPr="004831F6">
        <w:rPr>
          <w:rStyle w:val="Znakapoznpodarou"/>
          <w:sz w:val="16"/>
          <w:szCs w:val="16"/>
        </w:rPr>
        <w:footnoteRef/>
      </w:r>
      <w:r w:rsidRPr="004831F6">
        <w:rPr>
          <w:sz w:val="16"/>
          <w:szCs w:val="16"/>
        </w:rPr>
        <w:t xml:space="preserve"> </w:t>
      </w:r>
      <w:r w:rsidRPr="00E559DE">
        <w:rPr>
          <w:sz w:val="16"/>
          <w:szCs w:val="16"/>
          <w:lang w:val="en-GB"/>
        </w:rPr>
        <w:t>Change of the inventory stock (</w:t>
      </w:r>
      <w:r>
        <w:rPr>
          <w:sz w:val="16"/>
          <w:szCs w:val="16"/>
          <w:lang w:val="en-GB"/>
        </w:rPr>
        <w:t>in current prices and not seasonally adjusted</w:t>
      </w:r>
      <w:r w:rsidRPr="00E559DE">
        <w:rPr>
          <w:sz w:val="16"/>
          <w:szCs w:val="16"/>
          <w:lang w:val="en-GB"/>
        </w:rPr>
        <w:t xml:space="preserve">) </w:t>
      </w:r>
      <w:r>
        <w:rPr>
          <w:sz w:val="16"/>
          <w:szCs w:val="16"/>
          <w:lang w:val="en-GB"/>
        </w:rPr>
        <w:t xml:space="preserve">reached </w:t>
      </w:r>
      <w:r w:rsidRPr="00E559DE">
        <w:rPr>
          <w:sz w:val="16"/>
          <w:szCs w:val="16"/>
          <w:lang w:val="en-GB"/>
        </w:rPr>
        <w:t>108</w:t>
      </w:r>
      <w:r>
        <w:rPr>
          <w:sz w:val="16"/>
          <w:szCs w:val="16"/>
          <w:lang w:val="en-GB"/>
        </w:rPr>
        <w:t>.</w:t>
      </w:r>
      <w:r w:rsidRPr="00E559DE">
        <w:rPr>
          <w:sz w:val="16"/>
          <w:szCs w:val="16"/>
          <w:lang w:val="en-GB"/>
        </w:rPr>
        <w:t>5</w:t>
      </w:r>
      <w:r>
        <w:rPr>
          <w:sz w:val="16"/>
          <w:szCs w:val="16"/>
          <w:lang w:val="en-GB"/>
        </w:rPr>
        <w:t xml:space="preserve"> CZK bn last year in Q2</w:t>
      </w:r>
      <w:r w:rsidRPr="00E559DE">
        <w:rPr>
          <w:sz w:val="16"/>
          <w:szCs w:val="16"/>
          <w:lang w:val="en-GB"/>
        </w:rPr>
        <w:t xml:space="preserve">. </w:t>
      </w:r>
      <w:r>
        <w:rPr>
          <w:sz w:val="16"/>
          <w:szCs w:val="16"/>
          <w:lang w:val="en-GB"/>
        </w:rPr>
        <w:t>Inventory stock were expanding under the influence of rising stock of unfinished production and components for the industrial production, gas distribution as well as inventory stock in retail</w:t>
      </w:r>
      <w:r w:rsidRPr="00E559DE">
        <w:rPr>
          <w:sz w:val="16"/>
          <w:szCs w:val="16"/>
          <w:lang w:val="en-GB"/>
        </w:rPr>
        <w:t xml:space="preserve">. </w:t>
      </w:r>
      <w:r>
        <w:rPr>
          <w:sz w:val="16"/>
          <w:szCs w:val="16"/>
          <w:lang w:val="en-GB"/>
        </w:rPr>
        <w:t xml:space="preserve">The change of inventory stock totalled </w:t>
      </w:r>
      <w:r w:rsidRPr="00E559DE">
        <w:rPr>
          <w:sz w:val="16"/>
          <w:szCs w:val="16"/>
          <w:lang w:val="en-GB"/>
        </w:rPr>
        <w:t>57</w:t>
      </w:r>
      <w:r>
        <w:rPr>
          <w:sz w:val="16"/>
          <w:szCs w:val="16"/>
          <w:lang w:val="en-GB"/>
        </w:rPr>
        <w:t>.</w:t>
      </w:r>
      <w:r w:rsidRPr="00E559DE">
        <w:rPr>
          <w:sz w:val="16"/>
          <w:szCs w:val="16"/>
          <w:lang w:val="en-GB"/>
        </w:rPr>
        <w:t>1</w:t>
      </w:r>
      <w:r>
        <w:rPr>
          <w:sz w:val="16"/>
          <w:szCs w:val="16"/>
          <w:lang w:val="en-GB"/>
        </w:rPr>
        <w:t xml:space="preserve"> CZK bn this year in Q2</w:t>
      </w:r>
      <w:r w:rsidRPr="00E559DE">
        <w:rPr>
          <w:sz w:val="16"/>
          <w:szCs w:val="16"/>
          <w:lang w:val="en-GB"/>
        </w:rPr>
        <w:t>.</w:t>
      </w:r>
    </w:p>
  </w:footnote>
  <w:footnote w:id="9">
    <w:p w14:paraId="4020E4C7" w14:textId="1D5E97BB" w:rsidR="008C5AA7" w:rsidRPr="00167B30" w:rsidRDefault="008C5AA7" w:rsidP="00B6167A">
      <w:pPr>
        <w:pStyle w:val="Textpoznpodarou"/>
        <w:jc w:val="both"/>
        <w:rPr>
          <w:sz w:val="16"/>
          <w:szCs w:val="16"/>
        </w:rPr>
      </w:pPr>
      <w:r w:rsidRPr="00167B30">
        <w:rPr>
          <w:rStyle w:val="Znakapoznpodarou"/>
          <w:sz w:val="16"/>
          <w:szCs w:val="16"/>
        </w:rPr>
        <w:footnoteRef/>
      </w:r>
      <w:r w:rsidRPr="00167B30">
        <w:rPr>
          <w:sz w:val="16"/>
          <w:szCs w:val="16"/>
        </w:rPr>
        <w:t xml:space="preserve"> </w:t>
      </w:r>
      <w:r w:rsidRPr="009011BB">
        <w:rPr>
          <w:sz w:val="16"/>
          <w:szCs w:val="16"/>
          <w:lang w:val="en-GB"/>
        </w:rPr>
        <w:t xml:space="preserve">According to the methodology of quarterly national accounts (export and import in FOB/FOB prices). </w:t>
      </w:r>
      <w:r>
        <w:rPr>
          <w:sz w:val="16"/>
          <w:szCs w:val="16"/>
          <w:lang w:val="en-GB"/>
        </w:rPr>
        <w:t xml:space="preserve">Foreign trade balance in current prices and seasonally adjusted. </w:t>
      </w:r>
    </w:p>
  </w:footnote>
  <w:footnote w:id="10">
    <w:p w14:paraId="48F58860" w14:textId="75B0DD7B" w:rsidR="008C5AA7" w:rsidRPr="00E87D3D" w:rsidRDefault="008C5AA7" w:rsidP="00E87D3D">
      <w:pPr>
        <w:pStyle w:val="Textpoznpodarou"/>
        <w:jc w:val="both"/>
        <w:rPr>
          <w:sz w:val="16"/>
          <w:szCs w:val="16"/>
          <w:lang w:val="en-GB"/>
        </w:rPr>
      </w:pPr>
      <w:r w:rsidRPr="00E87D3D">
        <w:rPr>
          <w:rStyle w:val="Znakapoznpodarou"/>
          <w:sz w:val="16"/>
          <w:szCs w:val="16"/>
        </w:rPr>
        <w:footnoteRef/>
      </w:r>
      <w:r w:rsidRPr="00E87D3D">
        <w:rPr>
          <w:sz w:val="16"/>
          <w:szCs w:val="16"/>
        </w:rPr>
        <w:t xml:space="preserve"> </w:t>
      </w:r>
      <w:r w:rsidRPr="00E87D3D">
        <w:rPr>
          <w:sz w:val="16"/>
          <w:szCs w:val="16"/>
          <w:lang w:val="en-GB"/>
        </w:rPr>
        <w:t xml:space="preserve">Considerable difference between the GDP and GVA dynamics was caused </w:t>
      </w:r>
      <w:r>
        <w:rPr>
          <w:sz w:val="16"/>
          <w:szCs w:val="16"/>
          <w:lang w:val="en-GB"/>
        </w:rPr>
        <w:t xml:space="preserve">by </w:t>
      </w:r>
      <w:r w:rsidRPr="00E87D3D">
        <w:rPr>
          <w:sz w:val="16"/>
          <w:szCs w:val="16"/>
          <w:lang w:val="en-GB"/>
        </w:rPr>
        <w:t>the effect of</w:t>
      </w:r>
      <w:r>
        <w:rPr>
          <w:sz w:val="16"/>
          <w:szCs w:val="16"/>
          <w:lang w:val="en-GB"/>
        </w:rPr>
        <w:t xml:space="preserve"> varying evaluation of the GDP and GVA. Gross value added is evaluated in basic prices, while the GDP is expressed in real prices. Currently these differences reflect the subsidies capturing the electricity price ceilings</w:t>
      </w:r>
      <w:r w:rsidRPr="00E87D3D">
        <w:rPr>
          <w:sz w:val="16"/>
          <w:szCs w:val="16"/>
          <w:lang w:val="en-GB"/>
        </w:rPr>
        <w:t>. T</w:t>
      </w:r>
      <w:r>
        <w:rPr>
          <w:sz w:val="16"/>
          <w:szCs w:val="16"/>
          <w:lang w:val="en-GB"/>
        </w:rPr>
        <w:t>hese were higher year-on-year in Q</w:t>
      </w:r>
      <w:r w:rsidRPr="00E87D3D">
        <w:rPr>
          <w:sz w:val="16"/>
          <w:szCs w:val="16"/>
          <w:lang w:val="en-GB"/>
        </w:rPr>
        <w:t>2</w:t>
      </w:r>
      <w:r>
        <w:rPr>
          <w:sz w:val="16"/>
          <w:szCs w:val="16"/>
          <w:lang w:val="en-GB"/>
        </w:rPr>
        <w:t xml:space="preserve"> </w:t>
      </w:r>
      <w:r w:rsidRPr="00E87D3D">
        <w:rPr>
          <w:sz w:val="16"/>
          <w:szCs w:val="16"/>
          <w:lang w:val="en-GB"/>
        </w:rPr>
        <w:t>(</w:t>
      </w:r>
      <w:r>
        <w:rPr>
          <w:sz w:val="16"/>
          <w:szCs w:val="16"/>
          <w:lang w:val="en-GB"/>
        </w:rPr>
        <w:t>thus they subdued the year-on-year GDP growth compared to the GVA</w:t>
      </w:r>
      <w:r w:rsidRPr="00E87D3D">
        <w:rPr>
          <w:sz w:val="16"/>
          <w:szCs w:val="16"/>
          <w:lang w:val="en-GB"/>
        </w:rPr>
        <w:t xml:space="preserve">), </w:t>
      </w:r>
      <w:r>
        <w:rPr>
          <w:sz w:val="16"/>
          <w:szCs w:val="16"/>
          <w:lang w:val="en-GB"/>
        </w:rPr>
        <w:t xml:space="preserve">but their volume fell quarter-on-quarter </w:t>
      </w:r>
      <w:r w:rsidRPr="00E87D3D">
        <w:rPr>
          <w:sz w:val="16"/>
          <w:szCs w:val="16"/>
          <w:lang w:val="en-GB"/>
        </w:rPr>
        <w:t>(a</w:t>
      </w:r>
      <w:r>
        <w:rPr>
          <w:sz w:val="16"/>
          <w:szCs w:val="16"/>
          <w:lang w:val="en-GB"/>
        </w:rPr>
        <w:t>nd with it the GDP dynamics overtook the GVA</w:t>
      </w:r>
      <w:r w:rsidRPr="00E87D3D">
        <w:rPr>
          <w:sz w:val="16"/>
          <w:szCs w:val="16"/>
          <w:lang w:val="en-GB"/>
        </w:rPr>
        <w:t xml:space="preserve">). </w:t>
      </w:r>
      <w:r>
        <w:rPr>
          <w:sz w:val="16"/>
          <w:szCs w:val="16"/>
          <w:lang w:val="en-GB"/>
        </w:rPr>
        <w:t xml:space="preserve">Falling tax income connected to the slumped consumption also contributed to the year-on-year difference between the GDP and GVA.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1AB3" w14:textId="4DEBDFFB" w:rsidR="008C5AA7" w:rsidRPr="00314B30" w:rsidRDefault="008C5AA7" w:rsidP="00937AE2">
    <w:pPr>
      <w:pStyle w:val="Zhlav"/>
      <w:rPr>
        <w:lang w:val="en-GB"/>
      </w:rPr>
    </w:pPr>
    <w:r w:rsidRPr="00314B30">
      <w:rPr>
        <w:lang w:val="en-GB"/>
      </w:rPr>
      <w:t>The Czech Economy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5385DC29" w:rsidR="008C5AA7" w:rsidRPr="00E37097" w:rsidRDefault="008C5AA7" w:rsidP="00937AE2">
    <w:pPr>
      <w:pStyle w:val="Zhlav"/>
      <w:rPr>
        <w:lang w:val="en-GB"/>
      </w:rPr>
    </w:pPr>
    <w:r w:rsidRPr="00E37097">
      <w:rPr>
        <w:lang w:val="en-GB"/>
      </w:rPr>
      <w:t>The Czech Economy Development</w:t>
    </w:r>
  </w:p>
  <w:p w14:paraId="57266714" w14:textId="77777777" w:rsidR="008C5AA7" w:rsidRPr="006F5416" w:rsidRDefault="008C5AA7"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20"/>
  </w:num>
  <w:num w:numId="16">
    <w:abstractNumId w:val="16"/>
  </w:num>
  <w:num w:numId="17">
    <w:abstractNumId w:val="29"/>
  </w:num>
  <w:num w:numId="18">
    <w:abstractNumId w:val="21"/>
  </w:num>
  <w:num w:numId="19">
    <w:abstractNumId w:val="31"/>
  </w:num>
  <w:num w:numId="20">
    <w:abstractNumId w:val="32"/>
  </w:num>
  <w:num w:numId="21">
    <w:abstractNumId w:val="27"/>
  </w:num>
  <w:num w:numId="22">
    <w:abstractNumId w:val="19"/>
  </w:num>
  <w:num w:numId="23">
    <w:abstractNumId w:val="17"/>
  </w:num>
  <w:num w:numId="24">
    <w:abstractNumId w:val="18"/>
  </w:num>
  <w:num w:numId="25">
    <w:abstractNumId w:val="13"/>
  </w:num>
  <w:num w:numId="26">
    <w:abstractNumId w:val="23"/>
  </w:num>
  <w:num w:numId="27">
    <w:abstractNumId w:val="22"/>
  </w:num>
  <w:num w:numId="28">
    <w:abstractNumId w:val="10"/>
  </w:num>
  <w:num w:numId="29">
    <w:abstractNumId w:val="32"/>
  </w:num>
  <w:num w:numId="30">
    <w:abstractNumId w:val="24"/>
  </w:num>
  <w:num w:numId="31">
    <w:abstractNumId w:val="12"/>
  </w:num>
  <w:num w:numId="32">
    <w:abstractNumId w:val="33"/>
  </w:num>
  <w:num w:numId="33">
    <w:abstractNumId w:val="32"/>
  </w:num>
  <w:num w:numId="34">
    <w:abstractNumId w:val="1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02B"/>
    <w:rsid w:val="000005AF"/>
    <w:rsid w:val="00000994"/>
    <w:rsid w:val="00000B55"/>
    <w:rsid w:val="0000172F"/>
    <w:rsid w:val="000017E7"/>
    <w:rsid w:val="0000209D"/>
    <w:rsid w:val="00002275"/>
    <w:rsid w:val="00002538"/>
    <w:rsid w:val="00002566"/>
    <w:rsid w:val="00002C8F"/>
    <w:rsid w:val="0000370A"/>
    <w:rsid w:val="00003849"/>
    <w:rsid w:val="00003F5C"/>
    <w:rsid w:val="000045C4"/>
    <w:rsid w:val="0000468A"/>
    <w:rsid w:val="00004D5A"/>
    <w:rsid w:val="00004F7F"/>
    <w:rsid w:val="00005219"/>
    <w:rsid w:val="000056D5"/>
    <w:rsid w:val="000056DD"/>
    <w:rsid w:val="0000594E"/>
    <w:rsid w:val="00005D9E"/>
    <w:rsid w:val="0000614B"/>
    <w:rsid w:val="000063D5"/>
    <w:rsid w:val="00006625"/>
    <w:rsid w:val="00006899"/>
    <w:rsid w:val="00006ABD"/>
    <w:rsid w:val="00006B67"/>
    <w:rsid w:val="00006C0B"/>
    <w:rsid w:val="000073A0"/>
    <w:rsid w:val="0000767A"/>
    <w:rsid w:val="0000771A"/>
    <w:rsid w:val="00007ABE"/>
    <w:rsid w:val="00010107"/>
    <w:rsid w:val="00010256"/>
    <w:rsid w:val="000102D9"/>
    <w:rsid w:val="00010702"/>
    <w:rsid w:val="000107F8"/>
    <w:rsid w:val="0001083F"/>
    <w:rsid w:val="00010A2C"/>
    <w:rsid w:val="0001128E"/>
    <w:rsid w:val="00011539"/>
    <w:rsid w:val="00011912"/>
    <w:rsid w:val="000124E7"/>
    <w:rsid w:val="0001261C"/>
    <w:rsid w:val="000129B7"/>
    <w:rsid w:val="0001387D"/>
    <w:rsid w:val="00013C4C"/>
    <w:rsid w:val="0001466D"/>
    <w:rsid w:val="00014731"/>
    <w:rsid w:val="00014898"/>
    <w:rsid w:val="00014B9D"/>
    <w:rsid w:val="00014ED0"/>
    <w:rsid w:val="00015DEB"/>
    <w:rsid w:val="00016420"/>
    <w:rsid w:val="00016423"/>
    <w:rsid w:val="00016BDB"/>
    <w:rsid w:val="00017407"/>
    <w:rsid w:val="0001799A"/>
    <w:rsid w:val="00017B01"/>
    <w:rsid w:val="000200BE"/>
    <w:rsid w:val="000205D1"/>
    <w:rsid w:val="00020782"/>
    <w:rsid w:val="000207D3"/>
    <w:rsid w:val="00020950"/>
    <w:rsid w:val="00020F22"/>
    <w:rsid w:val="0002195D"/>
    <w:rsid w:val="00021F9B"/>
    <w:rsid w:val="000228AE"/>
    <w:rsid w:val="000233D1"/>
    <w:rsid w:val="000234D6"/>
    <w:rsid w:val="00023985"/>
    <w:rsid w:val="00023D29"/>
    <w:rsid w:val="00024348"/>
    <w:rsid w:val="000245D6"/>
    <w:rsid w:val="00024D0A"/>
    <w:rsid w:val="00025664"/>
    <w:rsid w:val="00025A00"/>
    <w:rsid w:val="000260D2"/>
    <w:rsid w:val="00026109"/>
    <w:rsid w:val="0002622B"/>
    <w:rsid w:val="00026389"/>
    <w:rsid w:val="0002669F"/>
    <w:rsid w:val="00026F76"/>
    <w:rsid w:val="000279E5"/>
    <w:rsid w:val="00027C33"/>
    <w:rsid w:val="000305E0"/>
    <w:rsid w:val="00030A12"/>
    <w:rsid w:val="000317F0"/>
    <w:rsid w:val="00031AE0"/>
    <w:rsid w:val="00031BB2"/>
    <w:rsid w:val="000322EF"/>
    <w:rsid w:val="000328F0"/>
    <w:rsid w:val="00033605"/>
    <w:rsid w:val="00033BFC"/>
    <w:rsid w:val="00033FCD"/>
    <w:rsid w:val="000348AF"/>
    <w:rsid w:val="00034B70"/>
    <w:rsid w:val="00034DF7"/>
    <w:rsid w:val="00034E68"/>
    <w:rsid w:val="000350C8"/>
    <w:rsid w:val="00035B6F"/>
    <w:rsid w:val="00035C7C"/>
    <w:rsid w:val="00036098"/>
    <w:rsid w:val="00036195"/>
    <w:rsid w:val="00036817"/>
    <w:rsid w:val="000374B2"/>
    <w:rsid w:val="000376C0"/>
    <w:rsid w:val="000403A7"/>
    <w:rsid w:val="00040632"/>
    <w:rsid w:val="00040E53"/>
    <w:rsid w:val="0004131B"/>
    <w:rsid w:val="00041AFC"/>
    <w:rsid w:val="00041CEC"/>
    <w:rsid w:val="00041D02"/>
    <w:rsid w:val="00042596"/>
    <w:rsid w:val="00042A4A"/>
    <w:rsid w:val="00044183"/>
    <w:rsid w:val="0004428D"/>
    <w:rsid w:val="0004431D"/>
    <w:rsid w:val="00044AAC"/>
    <w:rsid w:val="00045447"/>
    <w:rsid w:val="0004694F"/>
    <w:rsid w:val="0004695D"/>
    <w:rsid w:val="00046F2F"/>
    <w:rsid w:val="00047AD4"/>
    <w:rsid w:val="00047BAF"/>
    <w:rsid w:val="00047C70"/>
    <w:rsid w:val="00047D54"/>
    <w:rsid w:val="00047ED0"/>
    <w:rsid w:val="00050541"/>
    <w:rsid w:val="0005054A"/>
    <w:rsid w:val="00050A87"/>
    <w:rsid w:val="00050AFA"/>
    <w:rsid w:val="00051506"/>
    <w:rsid w:val="000522E4"/>
    <w:rsid w:val="00053713"/>
    <w:rsid w:val="0005434E"/>
    <w:rsid w:val="00055CB6"/>
    <w:rsid w:val="000572DD"/>
    <w:rsid w:val="00057B1E"/>
    <w:rsid w:val="00057D0F"/>
    <w:rsid w:val="00060195"/>
    <w:rsid w:val="0006033F"/>
    <w:rsid w:val="00060425"/>
    <w:rsid w:val="00060821"/>
    <w:rsid w:val="00060F88"/>
    <w:rsid w:val="000610E1"/>
    <w:rsid w:val="0006145F"/>
    <w:rsid w:val="000616AD"/>
    <w:rsid w:val="0006210C"/>
    <w:rsid w:val="000622A6"/>
    <w:rsid w:val="000627BD"/>
    <w:rsid w:val="00062A8F"/>
    <w:rsid w:val="00062C40"/>
    <w:rsid w:val="00062D70"/>
    <w:rsid w:val="00062E83"/>
    <w:rsid w:val="00062EC5"/>
    <w:rsid w:val="00062F22"/>
    <w:rsid w:val="0006375F"/>
    <w:rsid w:val="00063975"/>
    <w:rsid w:val="00063CEA"/>
    <w:rsid w:val="0006444D"/>
    <w:rsid w:val="000645FC"/>
    <w:rsid w:val="00064886"/>
    <w:rsid w:val="00065296"/>
    <w:rsid w:val="0006533F"/>
    <w:rsid w:val="00065348"/>
    <w:rsid w:val="00065406"/>
    <w:rsid w:val="0006551C"/>
    <w:rsid w:val="00065539"/>
    <w:rsid w:val="0006558D"/>
    <w:rsid w:val="00065907"/>
    <w:rsid w:val="00065910"/>
    <w:rsid w:val="00065A75"/>
    <w:rsid w:val="00065BAA"/>
    <w:rsid w:val="000663F0"/>
    <w:rsid w:val="00066558"/>
    <w:rsid w:val="000666B4"/>
    <w:rsid w:val="000671DB"/>
    <w:rsid w:val="00067833"/>
    <w:rsid w:val="00067982"/>
    <w:rsid w:val="00070A87"/>
    <w:rsid w:val="00070F6B"/>
    <w:rsid w:val="000711D6"/>
    <w:rsid w:val="000712B3"/>
    <w:rsid w:val="000715E5"/>
    <w:rsid w:val="00071A7C"/>
    <w:rsid w:val="00071E38"/>
    <w:rsid w:val="00071F50"/>
    <w:rsid w:val="00071FDC"/>
    <w:rsid w:val="000722A6"/>
    <w:rsid w:val="000725A8"/>
    <w:rsid w:val="00072829"/>
    <w:rsid w:val="00072FF5"/>
    <w:rsid w:val="00073065"/>
    <w:rsid w:val="00073A5A"/>
    <w:rsid w:val="00074588"/>
    <w:rsid w:val="0007471C"/>
    <w:rsid w:val="0007474E"/>
    <w:rsid w:val="00074988"/>
    <w:rsid w:val="0007512B"/>
    <w:rsid w:val="000751FF"/>
    <w:rsid w:val="00075551"/>
    <w:rsid w:val="00075DB8"/>
    <w:rsid w:val="000761CA"/>
    <w:rsid w:val="000763FD"/>
    <w:rsid w:val="000767F5"/>
    <w:rsid w:val="00076D90"/>
    <w:rsid w:val="000779E7"/>
    <w:rsid w:val="00077FF0"/>
    <w:rsid w:val="00081206"/>
    <w:rsid w:val="0008185C"/>
    <w:rsid w:val="00081A55"/>
    <w:rsid w:val="0008263E"/>
    <w:rsid w:val="00082C19"/>
    <w:rsid w:val="00082F89"/>
    <w:rsid w:val="00083457"/>
    <w:rsid w:val="000834ED"/>
    <w:rsid w:val="000837CD"/>
    <w:rsid w:val="00083B7F"/>
    <w:rsid w:val="0008454D"/>
    <w:rsid w:val="00084BFF"/>
    <w:rsid w:val="000851B8"/>
    <w:rsid w:val="00085395"/>
    <w:rsid w:val="0008629F"/>
    <w:rsid w:val="00086896"/>
    <w:rsid w:val="00086AC1"/>
    <w:rsid w:val="00086D19"/>
    <w:rsid w:val="00087634"/>
    <w:rsid w:val="00087EB4"/>
    <w:rsid w:val="00087F2B"/>
    <w:rsid w:val="00090694"/>
    <w:rsid w:val="00090EE2"/>
    <w:rsid w:val="00090FC6"/>
    <w:rsid w:val="0009122C"/>
    <w:rsid w:val="000913B1"/>
    <w:rsid w:val="00091F2E"/>
    <w:rsid w:val="0009210B"/>
    <w:rsid w:val="0009290F"/>
    <w:rsid w:val="00093241"/>
    <w:rsid w:val="00093868"/>
    <w:rsid w:val="00094A84"/>
    <w:rsid w:val="00095025"/>
    <w:rsid w:val="00095135"/>
    <w:rsid w:val="00095152"/>
    <w:rsid w:val="00095360"/>
    <w:rsid w:val="0009581D"/>
    <w:rsid w:val="00095CE0"/>
    <w:rsid w:val="000961E8"/>
    <w:rsid w:val="0009626E"/>
    <w:rsid w:val="0009644D"/>
    <w:rsid w:val="00096B52"/>
    <w:rsid w:val="0009709E"/>
    <w:rsid w:val="00097191"/>
    <w:rsid w:val="000974D1"/>
    <w:rsid w:val="00097784"/>
    <w:rsid w:val="0009799E"/>
    <w:rsid w:val="000A01E8"/>
    <w:rsid w:val="000A07CB"/>
    <w:rsid w:val="000A0BC0"/>
    <w:rsid w:val="000A1183"/>
    <w:rsid w:val="000A12ED"/>
    <w:rsid w:val="000A1B1A"/>
    <w:rsid w:val="000A1D49"/>
    <w:rsid w:val="000A212B"/>
    <w:rsid w:val="000A242D"/>
    <w:rsid w:val="000A256D"/>
    <w:rsid w:val="000A2643"/>
    <w:rsid w:val="000A2E5F"/>
    <w:rsid w:val="000A34B6"/>
    <w:rsid w:val="000A385C"/>
    <w:rsid w:val="000A3A2C"/>
    <w:rsid w:val="000A3D9E"/>
    <w:rsid w:val="000A44A7"/>
    <w:rsid w:val="000A4A54"/>
    <w:rsid w:val="000A4E47"/>
    <w:rsid w:val="000A4ED9"/>
    <w:rsid w:val="000A5DB7"/>
    <w:rsid w:val="000A6546"/>
    <w:rsid w:val="000A6753"/>
    <w:rsid w:val="000A6764"/>
    <w:rsid w:val="000A6D94"/>
    <w:rsid w:val="000A6DB7"/>
    <w:rsid w:val="000A70CD"/>
    <w:rsid w:val="000A72BC"/>
    <w:rsid w:val="000A7377"/>
    <w:rsid w:val="000A74A4"/>
    <w:rsid w:val="000A775A"/>
    <w:rsid w:val="000A7D63"/>
    <w:rsid w:val="000A7FF4"/>
    <w:rsid w:val="000B03CC"/>
    <w:rsid w:val="000B311B"/>
    <w:rsid w:val="000B382D"/>
    <w:rsid w:val="000B410B"/>
    <w:rsid w:val="000B4212"/>
    <w:rsid w:val="000B5E32"/>
    <w:rsid w:val="000B617A"/>
    <w:rsid w:val="000B61FF"/>
    <w:rsid w:val="000B67B7"/>
    <w:rsid w:val="000B6A0A"/>
    <w:rsid w:val="000B7BBB"/>
    <w:rsid w:val="000B7F46"/>
    <w:rsid w:val="000C0127"/>
    <w:rsid w:val="000C08B1"/>
    <w:rsid w:val="000C0CA6"/>
    <w:rsid w:val="000C0EA8"/>
    <w:rsid w:val="000C0FFC"/>
    <w:rsid w:val="000C13A2"/>
    <w:rsid w:val="000C18ED"/>
    <w:rsid w:val="000C1948"/>
    <w:rsid w:val="000C1D27"/>
    <w:rsid w:val="000C1D64"/>
    <w:rsid w:val="000C21E7"/>
    <w:rsid w:val="000C23EC"/>
    <w:rsid w:val="000C26A2"/>
    <w:rsid w:val="000C290E"/>
    <w:rsid w:val="000C30C3"/>
    <w:rsid w:val="000C3408"/>
    <w:rsid w:val="000C35AB"/>
    <w:rsid w:val="000C3988"/>
    <w:rsid w:val="000C3F7B"/>
    <w:rsid w:val="000C4769"/>
    <w:rsid w:val="000C4D56"/>
    <w:rsid w:val="000C5DFA"/>
    <w:rsid w:val="000C6AFD"/>
    <w:rsid w:val="000C6C90"/>
    <w:rsid w:val="000C7030"/>
    <w:rsid w:val="000C72B7"/>
    <w:rsid w:val="000C7757"/>
    <w:rsid w:val="000C7A79"/>
    <w:rsid w:val="000C7A83"/>
    <w:rsid w:val="000D0300"/>
    <w:rsid w:val="000D0A26"/>
    <w:rsid w:val="000D13CB"/>
    <w:rsid w:val="000D2196"/>
    <w:rsid w:val="000D2854"/>
    <w:rsid w:val="000D2C2E"/>
    <w:rsid w:val="000D2F4C"/>
    <w:rsid w:val="000D3058"/>
    <w:rsid w:val="000D310A"/>
    <w:rsid w:val="000D3EF4"/>
    <w:rsid w:val="000D4341"/>
    <w:rsid w:val="000D4761"/>
    <w:rsid w:val="000D4DC0"/>
    <w:rsid w:val="000D55BA"/>
    <w:rsid w:val="000D5637"/>
    <w:rsid w:val="000D5A03"/>
    <w:rsid w:val="000D5ED3"/>
    <w:rsid w:val="000D6028"/>
    <w:rsid w:val="000D6F4E"/>
    <w:rsid w:val="000D6FDA"/>
    <w:rsid w:val="000D73BB"/>
    <w:rsid w:val="000D7AC7"/>
    <w:rsid w:val="000D7DC0"/>
    <w:rsid w:val="000E04FD"/>
    <w:rsid w:val="000E0E96"/>
    <w:rsid w:val="000E12B0"/>
    <w:rsid w:val="000E1B49"/>
    <w:rsid w:val="000E1DDC"/>
    <w:rsid w:val="000E298B"/>
    <w:rsid w:val="000E2C7D"/>
    <w:rsid w:val="000E3E56"/>
    <w:rsid w:val="000E440D"/>
    <w:rsid w:val="000E4AC5"/>
    <w:rsid w:val="000E542C"/>
    <w:rsid w:val="000E57A8"/>
    <w:rsid w:val="000E6253"/>
    <w:rsid w:val="000E6AC4"/>
    <w:rsid w:val="000E6E4D"/>
    <w:rsid w:val="000E6EBE"/>
    <w:rsid w:val="000E6FBD"/>
    <w:rsid w:val="000E6FCB"/>
    <w:rsid w:val="000E7F98"/>
    <w:rsid w:val="000F090B"/>
    <w:rsid w:val="000F0D9A"/>
    <w:rsid w:val="000F0E60"/>
    <w:rsid w:val="000F1174"/>
    <w:rsid w:val="000F15F7"/>
    <w:rsid w:val="000F1654"/>
    <w:rsid w:val="000F1AA2"/>
    <w:rsid w:val="000F240E"/>
    <w:rsid w:val="000F378E"/>
    <w:rsid w:val="000F3B04"/>
    <w:rsid w:val="000F3CB6"/>
    <w:rsid w:val="000F3F3B"/>
    <w:rsid w:val="000F4721"/>
    <w:rsid w:val="000F47E8"/>
    <w:rsid w:val="000F5A6A"/>
    <w:rsid w:val="000F656A"/>
    <w:rsid w:val="000F6A76"/>
    <w:rsid w:val="000F6B09"/>
    <w:rsid w:val="000F70E4"/>
    <w:rsid w:val="000F76EA"/>
    <w:rsid w:val="0010034B"/>
    <w:rsid w:val="00100A8B"/>
    <w:rsid w:val="00100F5C"/>
    <w:rsid w:val="00100FBC"/>
    <w:rsid w:val="00101B15"/>
    <w:rsid w:val="00101CDA"/>
    <w:rsid w:val="0010200A"/>
    <w:rsid w:val="00102037"/>
    <w:rsid w:val="001022D3"/>
    <w:rsid w:val="00102815"/>
    <w:rsid w:val="00103DCB"/>
    <w:rsid w:val="00103DE1"/>
    <w:rsid w:val="00104C4C"/>
    <w:rsid w:val="00105015"/>
    <w:rsid w:val="001055D2"/>
    <w:rsid w:val="00105643"/>
    <w:rsid w:val="001057C2"/>
    <w:rsid w:val="00106BCC"/>
    <w:rsid w:val="00107124"/>
    <w:rsid w:val="00107DE1"/>
    <w:rsid w:val="0011038E"/>
    <w:rsid w:val="0011053F"/>
    <w:rsid w:val="00110A76"/>
    <w:rsid w:val="00111573"/>
    <w:rsid w:val="00111BBB"/>
    <w:rsid w:val="00111F64"/>
    <w:rsid w:val="00112370"/>
    <w:rsid w:val="0011239B"/>
    <w:rsid w:val="001125EF"/>
    <w:rsid w:val="00112CAB"/>
    <w:rsid w:val="00114349"/>
    <w:rsid w:val="0011440C"/>
    <w:rsid w:val="00114C33"/>
    <w:rsid w:val="00114D5B"/>
    <w:rsid w:val="00115553"/>
    <w:rsid w:val="00115CD6"/>
    <w:rsid w:val="00116ABE"/>
    <w:rsid w:val="00116D3F"/>
    <w:rsid w:val="00117474"/>
    <w:rsid w:val="00117623"/>
    <w:rsid w:val="00117FEA"/>
    <w:rsid w:val="001200CF"/>
    <w:rsid w:val="001208E3"/>
    <w:rsid w:val="00121609"/>
    <w:rsid w:val="0012192F"/>
    <w:rsid w:val="001221BD"/>
    <w:rsid w:val="0012267A"/>
    <w:rsid w:val="00122994"/>
    <w:rsid w:val="00123204"/>
    <w:rsid w:val="00124104"/>
    <w:rsid w:val="00124253"/>
    <w:rsid w:val="001242E7"/>
    <w:rsid w:val="00124B46"/>
    <w:rsid w:val="001255C8"/>
    <w:rsid w:val="001257BE"/>
    <w:rsid w:val="001257E0"/>
    <w:rsid w:val="00125D69"/>
    <w:rsid w:val="001263D2"/>
    <w:rsid w:val="00127256"/>
    <w:rsid w:val="001273CF"/>
    <w:rsid w:val="0012799C"/>
    <w:rsid w:val="00127BC2"/>
    <w:rsid w:val="00127E15"/>
    <w:rsid w:val="001308F1"/>
    <w:rsid w:val="00130ADC"/>
    <w:rsid w:val="00130D9F"/>
    <w:rsid w:val="001326DA"/>
    <w:rsid w:val="00132C4D"/>
    <w:rsid w:val="00133D0B"/>
    <w:rsid w:val="00133FC1"/>
    <w:rsid w:val="00134659"/>
    <w:rsid w:val="00134EF8"/>
    <w:rsid w:val="00135111"/>
    <w:rsid w:val="00135376"/>
    <w:rsid w:val="00135F90"/>
    <w:rsid w:val="0013645A"/>
    <w:rsid w:val="00136A6F"/>
    <w:rsid w:val="00136C1A"/>
    <w:rsid w:val="0013726F"/>
    <w:rsid w:val="00137812"/>
    <w:rsid w:val="001405FA"/>
    <w:rsid w:val="00140D1A"/>
    <w:rsid w:val="00140F93"/>
    <w:rsid w:val="00141184"/>
    <w:rsid w:val="00141315"/>
    <w:rsid w:val="0014152B"/>
    <w:rsid w:val="00141AA0"/>
    <w:rsid w:val="00141E9E"/>
    <w:rsid w:val="00142062"/>
    <w:rsid w:val="00142217"/>
    <w:rsid w:val="001425C3"/>
    <w:rsid w:val="0014262D"/>
    <w:rsid w:val="00142B29"/>
    <w:rsid w:val="00142E2D"/>
    <w:rsid w:val="00144108"/>
    <w:rsid w:val="00144588"/>
    <w:rsid w:val="001447DD"/>
    <w:rsid w:val="001448D8"/>
    <w:rsid w:val="0014517B"/>
    <w:rsid w:val="00145358"/>
    <w:rsid w:val="001458AC"/>
    <w:rsid w:val="001459BC"/>
    <w:rsid w:val="001467FC"/>
    <w:rsid w:val="0014779E"/>
    <w:rsid w:val="00147B13"/>
    <w:rsid w:val="00150ECA"/>
    <w:rsid w:val="0015108F"/>
    <w:rsid w:val="001515F8"/>
    <w:rsid w:val="00151707"/>
    <w:rsid w:val="0015212E"/>
    <w:rsid w:val="00152C86"/>
    <w:rsid w:val="00152F4F"/>
    <w:rsid w:val="00153264"/>
    <w:rsid w:val="0015329F"/>
    <w:rsid w:val="00154325"/>
    <w:rsid w:val="001544A1"/>
    <w:rsid w:val="001553B8"/>
    <w:rsid w:val="00155488"/>
    <w:rsid w:val="001554C2"/>
    <w:rsid w:val="00155882"/>
    <w:rsid w:val="00156B1D"/>
    <w:rsid w:val="00156D04"/>
    <w:rsid w:val="0015715B"/>
    <w:rsid w:val="001571C0"/>
    <w:rsid w:val="00157291"/>
    <w:rsid w:val="001574FE"/>
    <w:rsid w:val="0015753D"/>
    <w:rsid w:val="00157984"/>
    <w:rsid w:val="00157CC9"/>
    <w:rsid w:val="001602D3"/>
    <w:rsid w:val="00160C21"/>
    <w:rsid w:val="001612F4"/>
    <w:rsid w:val="00161553"/>
    <w:rsid w:val="0016187F"/>
    <w:rsid w:val="0016216F"/>
    <w:rsid w:val="0016256B"/>
    <w:rsid w:val="00162DAF"/>
    <w:rsid w:val="00162F81"/>
    <w:rsid w:val="0016311B"/>
    <w:rsid w:val="00163228"/>
    <w:rsid w:val="00163567"/>
    <w:rsid w:val="00163793"/>
    <w:rsid w:val="00163868"/>
    <w:rsid w:val="00163ACE"/>
    <w:rsid w:val="0016440C"/>
    <w:rsid w:val="001648A3"/>
    <w:rsid w:val="00164CA1"/>
    <w:rsid w:val="00164FC1"/>
    <w:rsid w:val="00165313"/>
    <w:rsid w:val="001659C3"/>
    <w:rsid w:val="001665AB"/>
    <w:rsid w:val="00167485"/>
    <w:rsid w:val="001679F5"/>
    <w:rsid w:val="00167B92"/>
    <w:rsid w:val="00167CB9"/>
    <w:rsid w:val="00167DD8"/>
    <w:rsid w:val="00170145"/>
    <w:rsid w:val="001705AD"/>
    <w:rsid w:val="001705ED"/>
    <w:rsid w:val="001706D6"/>
    <w:rsid w:val="0017141F"/>
    <w:rsid w:val="001714F2"/>
    <w:rsid w:val="001718E1"/>
    <w:rsid w:val="00171BA9"/>
    <w:rsid w:val="00171FEA"/>
    <w:rsid w:val="001729A5"/>
    <w:rsid w:val="00173622"/>
    <w:rsid w:val="00173B07"/>
    <w:rsid w:val="0017456C"/>
    <w:rsid w:val="00174AF8"/>
    <w:rsid w:val="001758F3"/>
    <w:rsid w:val="00175B9F"/>
    <w:rsid w:val="00175BF1"/>
    <w:rsid w:val="001762F4"/>
    <w:rsid w:val="001763F9"/>
    <w:rsid w:val="001777BA"/>
    <w:rsid w:val="001801F7"/>
    <w:rsid w:val="00181029"/>
    <w:rsid w:val="001819CB"/>
    <w:rsid w:val="00181BBC"/>
    <w:rsid w:val="0018253B"/>
    <w:rsid w:val="0018273F"/>
    <w:rsid w:val="0018305A"/>
    <w:rsid w:val="0018385F"/>
    <w:rsid w:val="00183BCF"/>
    <w:rsid w:val="00184017"/>
    <w:rsid w:val="001847BB"/>
    <w:rsid w:val="00184B08"/>
    <w:rsid w:val="00185010"/>
    <w:rsid w:val="001854F2"/>
    <w:rsid w:val="00185C22"/>
    <w:rsid w:val="00185C56"/>
    <w:rsid w:val="001869FD"/>
    <w:rsid w:val="00186BA9"/>
    <w:rsid w:val="00187D50"/>
    <w:rsid w:val="001909EA"/>
    <w:rsid w:val="00190B4D"/>
    <w:rsid w:val="001912A0"/>
    <w:rsid w:val="0019159C"/>
    <w:rsid w:val="001915BE"/>
    <w:rsid w:val="0019196C"/>
    <w:rsid w:val="001926A9"/>
    <w:rsid w:val="00192D4F"/>
    <w:rsid w:val="00192F05"/>
    <w:rsid w:val="00194729"/>
    <w:rsid w:val="00194850"/>
    <w:rsid w:val="00195234"/>
    <w:rsid w:val="0019524B"/>
    <w:rsid w:val="00195EA6"/>
    <w:rsid w:val="00196016"/>
    <w:rsid w:val="00196117"/>
    <w:rsid w:val="001969F0"/>
    <w:rsid w:val="00197A70"/>
    <w:rsid w:val="00197C0F"/>
    <w:rsid w:val="00197D0E"/>
    <w:rsid w:val="001A0487"/>
    <w:rsid w:val="001A0675"/>
    <w:rsid w:val="001A0773"/>
    <w:rsid w:val="001A0A0C"/>
    <w:rsid w:val="001A0A37"/>
    <w:rsid w:val="001A0EAD"/>
    <w:rsid w:val="001A15DD"/>
    <w:rsid w:val="001A164B"/>
    <w:rsid w:val="001A1F68"/>
    <w:rsid w:val="001A21FA"/>
    <w:rsid w:val="001A252C"/>
    <w:rsid w:val="001A3329"/>
    <w:rsid w:val="001A3529"/>
    <w:rsid w:val="001A40EA"/>
    <w:rsid w:val="001A432A"/>
    <w:rsid w:val="001A4D7C"/>
    <w:rsid w:val="001A4EF0"/>
    <w:rsid w:val="001A552F"/>
    <w:rsid w:val="001A5977"/>
    <w:rsid w:val="001A70B1"/>
    <w:rsid w:val="001A71F1"/>
    <w:rsid w:val="001A7672"/>
    <w:rsid w:val="001B045D"/>
    <w:rsid w:val="001B0738"/>
    <w:rsid w:val="001B10F1"/>
    <w:rsid w:val="001B1216"/>
    <w:rsid w:val="001B1235"/>
    <w:rsid w:val="001B158D"/>
    <w:rsid w:val="001B1A66"/>
    <w:rsid w:val="001B1BBB"/>
    <w:rsid w:val="001B2CA9"/>
    <w:rsid w:val="001B2EB2"/>
    <w:rsid w:val="001B2F90"/>
    <w:rsid w:val="001B3110"/>
    <w:rsid w:val="001B3E38"/>
    <w:rsid w:val="001B40F5"/>
    <w:rsid w:val="001B4729"/>
    <w:rsid w:val="001B4A56"/>
    <w:rsid w:val="001B4F0E"/>
    <w:rsid w:val="001B5064"/>
    <w:rsid w:val="001B5F40"/>
    <w:rsid w:val="001B6310"/>
    <w:rsid w:val="001B6C09"/>
    <w:rsid w:val="001B6E12"/>
    <w:rsid w:val="001B718E"/>
    <w:rsid w:val="001B77D2"/>
    <w:rsid w:val="001B78B1"/>
    <w:rsid w:val="001C05CD"/>
    <w:rsid w:val="001C082B"/>
    <w:rsid w:val="001C0C6D"/>
    <w:rsid w:val="001C0F17"/>
    <w:rsid w:val="001C11A6"/>
    <w:rsid w:val="001C1978"/>
    <w:rsid w:val="001C1B24"/>
    <w:rsid w:val="001C1B66"/>
    <w:rsid w:val="001C1BB5"/>
    <w:rsid w:val="001C1C1D"/>
    <w:rsid w:val="001C25F9"/>
    <w:rsid w:val="001C2732"/>
    <w:rsid w:val="001C31A2"/>
    <w:rsid w:val="001C351D"/>
    <w:rsid w:val="001C3794"/>
    <w:rsid w:val="001C3855"/>
    <w:rsid w:val="001C39D0"/>
    <w:rsid w:val="001C4562"/>
    <w:rsid w:val="001C4B8F"/>
    <w:rsid w:val="001C4BB8"/>
    <w:rsid w:val="001C4D8C"/>
    <w:rsid w:val="001C4FD0"/>
    <w:rsid w:val="001C544D"/>
    <w:rsid w:val="001C59ED"/>
    <w:rsid w:val="001C5E46"/>
    <w:rsid w:val="001C5FF5"/>
    <w:rsid w:val="001C65D6"/>
    <w:rsid w:val="001C6B3B"/>
    <w:rsid w:val="001C79A5"/>
    <w:rsid w:val="001C7A26"/>
    <w:rsid w:val="001C7E3F"/>
    <w:rsid w:val="001D0EF1"/>
    <w:rsid w:val="001D127A"/>
    <w:rsid w:val="001D19DE"/>
    <w:rsid w:val="001D1A44"/>
    <w:rsid w:val="001D22C2"/>
    <w:rsid w:val="001D2C99"/>
    <w:rsid w:val="001D3B75"/>
    <w:rsid w:val="001D4044"/>
    <w:rsid w:val="001D452E"/>
    <w:rsid w:val="001D45D0"/>
    <w:rsid w:val="001D4D0E"/>
    <w:rsid w:val="001D5065"/>
    <w:rsid w:val="001D54C1"/>
    <w:rsid w:val="001D556E"/>
    <w:rsid w:val="001D5D52"/>
    <w:rsid w:val="001D5D75"/>
    <w:rsid w:val="001D5DF2"/>
    <w:rsid w:val="001D6175"/>
    <w:rsid w:val="001D681E"/>
    <w:rsid w:val="001D68B2"/>
    <w:rsid w:val="001D6B3F"/>
    <w:rsid w:val="001D6B62"/>
    <w:rsid w:val="001D7B5E"/>
    <w:rsid w:val="001D7EFD"/>
    <w:rsid w:val="001D7F60"/>
    <w:rsid w:val="001E0794"/>
    <w:rsid w:val="001E0804"/>
    <w:rsid w:val="001E085B"/>
    <w:rsid w:val="001E099C"/>
    <w:rsid w:val="001E149B"/>
    <w:rsid w:val="001E15CB"/>
    <w:rsid w:val="001E1979"/>
    <w:rsid w:val="001E1CD5"/>
    <w:rsid w:val="001E1E57"/>
    <w:rsid w:val="001E2053"/>
    <w:rsid w:val="001E3306"/>
    <w:rsid w:val="001E3AC7"/>
    <w:rsid w:val="001E43D7"/>
    <w:rsid w:val="001E504C"/>
    <w:rsid w:val="001E56AC"/>
    <w:rsid w:val="001E5A17"/>
    <w:rsid w:val="001E663C"/>
    <w:rsid w:val="001E7410"/>
    <w:rsid w:val="001E74C5"/>
    <w:rsid w:val="001F0A78"/>
    <w:rsid w:val="001F0B27"/>
    <w:rsid w:val="001F1236"/>
    <w:rsid w:val="001F1282"/>
    <w:rsid w:val="001F2604"/>
    <w:rsid w:val="001F2637"/>
    <w:rsid w:val="001F26DE"/>
    <w:rsid w:val="001F2F90"/>
    <w:rsid w:val="001F363B"/>
    <w:rsid w:val="001F450F"/>
    <w:rsid w:val="001F4597"/>
    <w:rsid w:val="001F4689"/>
    <w:rsid w:val="001F4826"/>
    <w:rsid w:val="001F4933"/>
    <w:rsid w:val="001F4CF2"/>
    <w:rsid w:val="001F4DD2"/>
    <w:rsid w:val="001F59C8"/>
    <w:rsid w:val="001F5BE8"/>
    <w:rsid w:val="001F6360"/>
    <w:rsid w:val="001F6483"/>
    <w:rsid w:val="001F6CD3"/>
    <w:rsid w:val="001F75DA"/>
    <w:rsid w:val="001F7931"/>
    <w:rsid w:val="001F7CE0"/>
    <w:rsid w:val="001F7F06"/>
    <w:rsid w:val="00200085"/>
    <w:rsid w:val="0020044C"/>
    <w:rsid w:val="00200D71"/>
    <w:rsid w:val="00200F46"/>
    <w:rsid w:val="00201633"/>
    <w:rsid w:val="00201CB1"/>
    <w:rsid w:val="00201F53"/>
    <w:rsid w:val="00203332"/>
    <w:rsid w:val="002036E6"/>
    <w:rsid w:val="00203C5D"/>
    <w:rsid w:val="00203CD5"/>
    <w:rsid w:val="00203D8F"/>
    <w:rsid w:val="00203DA4"/>
    <w:rsid w:val="0020461C"/>
    <w:rsid w:val="00204A45"/>
    <w:rsid w:val="00204EA6"/>
    <w:rsid w:val="00204EF3"/>
    <w:rsid w:val="00205052"/>
    <w:rsid w:val="00205186"/>
    <w:rsid w:val="00206516"/>
    <w:rsid w:val="00206747"/>
    <w:rsid w:val="002070CF"/>
    <w:rsid w:val="002071D5"/>
    <w:rsid w:val="002073FD"/>
    <w:rsid w:val="00207AE4"/>
    <w:rsid w:val="00207B00"/>
    <w:rsid w:val="00210806"/>
    <w:rsid w:val="002108D5"/>
    <w:rsid w:val="00210A64"/>
    <w:rsid w:val="00210DCD"/>
    <w:rsid w:val="002111E5"/>
    <w:rsid w:val="00211207"/>
    <w:rsid w:val="0021149E"/>
    <w:rsid w:val="002118B9"/>
    <w:rsid w:val="002120F9"/>
    <w:rsid w:val="00212C92"/>
    <w:rsid w:val="00213691"/>
    <w:rsid w:val="00213FCD"/>
    <w:rsid w:val="002142C0"/>
    <w:rsid w:val="002152FC"/>
    <w:rsid w:val="00215B9B"/>
    <w:rsid w:val="00217418"/>
    <w:rsid w:val="00217BED"/>
    <w:rsid w:val="00217C5B"/>
    <w:rsid w:val="00217D9E"/>
    <w:rsid w:val="00220A43"/>
    <w:rsid w:val="00221139"/>
    <w:rsid w:val="0022139E"/>
    <w:rsid w:val="0022144F"/>
    <w:rsid w:val="00222729"/>
    <w:rsid w:val="0022287B"/>
    <w:rsid w:val="002228DB"/>
    <w:rsid w:val="00223185"/>
    <w:rsid w:val="00223264"/>
    <w:rsid w:val="002233D6"/>
    <w:rsid w:val="002234E7"/>
    <w:rsid w:val="002243AE"/>
    <w:rsid w:val="0022441D"/>
    <w:rsid w:val="00224574"/>
    <w:rsid w:val="00224A24"/>
    <w:rsid w:val="00224E3F"/>
    <w:rsid w:val="00225000"/>
    <w:rsid w:val="0022521D"/>
    <w:rsid w:val="002252E0"/>
    <w:rsid w:val="002255F6"/>
    <w:rsid w:val="00226032"/>
    <w:rsid w:val="002266CC"/>
    <w:rsid w:val="0022699D"/>
    <w:rsid w:val="002270A7"/>
    <w:rsid w:val="0022738D"/>
    <w:rsid w:val="00227605"/>
    <w:rsid w:val="00227850"/>
    <w:rsid w:val="0022794E"/>
    <w:rsid w:val="00227A53"/>
    <w:rsid w:val="00227C6C"/>
    <w:rsid w:val="00227E2E"/>
    <w:rsid w:val="00227F53"/>
    <w:rsid w:val="00230090"/>
    <w:rsid w:val="0023031A"/>
    <w:rsid w:val="00230619"/>
    <w:rsid w:val="00230C6E"/>
    <w:rsid w:val="00230E21"/>
    <w:rsid w:val="00230EF0"/>
    <w:rsid w:val="00231066"/>
    <w:rsid w:val="00231409"/>
    <w:rsid w:val="002316A8"/>
    <w:rsid w:val="00231859"/>
    <w:rsid w:val="002318C6"/>
    <w:rsid w:val="00231FE4"/>
    <w:rsid w:val="002320C9"/>
    <w:rsid w:val="0023288F"/>
    <w:rsid w:val="00233207"/>
    <w:rsid w:val="0023359B"/>
    <w:rsid w:val="00233603"/>
    <w:rsid w:val="002340EF"/>
    <w:rsid w:val="002344DE"/>
    <w:rsid w:val="00234B82"/>
    <w:rsid w:val="00236443"/>
    <w:rsid w:val="0023663C"/>
    <w:rsid w:val="00236700"/>
    <w:rsid w:val="00237C8B"/>
    <w:rsid w:val="00240391"/>
    <w:rsid w:val="00240AF3"/>
    <w:rsid w:val="00240FFF"/>
    <w:rsid w:val="0024175E"/>
    <w:rsid w:val="002418D5"/>
    <w:rsid w:val="00241A9F"/>
    <w:rsid w:val="00241B06"/>
    <w:rsid w:val="002422D6"/>
    <w:rsid w:val="00242A8F"/>
    <w:rsid w:val="00242F0D"/>
    <w:rsid w:val="00243085"/>
    <w:rsid w:val="0024343A"/>
    <w:rsid w:val="002436BA"/>
    <w:rsid w:val="0024376C"/>
    <w:rsid w:val="002438DC"/>
    <w:rsid w:val="00244652"/>
    <w:rsid w:val="00244A15"/>
    <w:rsid w:val="0024527A"/>
    <w:rsid w:val="002452D9"/>
    <w:rsid w:val="002460DA"/>
    <w:rsid w:val="00246D16"/>
    <w:rsid w:val="00247258"/>
    <w:rsid w:val="00247319"/>
    <w:rsid w:val="0024799E"/>
    <w:rsid w:val="00247B13"/>
    <w:rsid w:val="00247E60"/>
    <w:rsid w:val="002512B7"/>
    <w:rsid w:val="00251496"/>
    <w:rsid w:val="00251B08"/>
    <w:rsid w:val="00251C53"/>
    <w:rsid w:val="00252AB9"/>
    <w:rsid w:val="00252CBF"/>
    <w:rsid w:val="002532B1"/>
    <w:rsid w:val="00253C0F"/>
    <w:rsid w:val="00253F48"/>
    <w:rsid w:val="002546EC"/>
    <w:rsid w:val="00254865"/>
    <w:rsid w:val="00254E62"/>
    <w:rsid w:val="00254FC3"/>
    <w:rsid w:val="0025522B"/>
    <w:rsid w:val="002558C1"/>
    <w:rsid w:val="00256207"/>
    <w:rsid w:val="0025637A"/>
    <w:rsid w:val="002575F3"/>
    <w:rsid w:val="002601B4"/>
    <w:rsid w:val="002603E1"/>
    <w:rsid w:val="002605FE"/>
    <w:rsid w:val="0026072D"/>
    <w:rsid w:val="00260887"/>
    <w:rsid w:val="0026120E"/>
    <w:rsid w:val="002617EE"/>
    <w:rsid w:val="0026237D"/>
    <w:rsid w:val="00262582"/>
    <w:rsid w:val="00262588"/>
    <w:rsid w:val="0026291D"/>
    <w:rsid w:val="00262CF3"/>
    <w:rsid w:val="002632B0"/>
    <w:rsid w:val="00263CC7"/>
    <w:rsid w:val="00264309"/>
    <w:rsid w:val="00264713"/>
    <w:rsid w:val="00264992"/>
    <w:rsid w:val="00264B4F"/>
    <w:rsid w:val="00264B85"/>
    <w:rsid w:val="0026564B"/>
    <w:rsid w:val="002658BF"/>
    <w:rsid w:val="00265ABC"/>
    <w:rsid w:val="00265C83"/>
    <w:rsid w:val="00265E85"/>
    <w:rsid w:val="00267B49"/>
    <w:rsid w:val="00267C51"/>
    <w:rsid w:val="002700D9"/>
    <w:rsid w:val="0027025F"/>
    <w:rsid w:val="002704BD"/>
    <w:rsid w:val="002709CC"/>
    <w:rsid w:val="00270D25"/>
    <w:rsid w:val="00271022"/>
    <w:rsid w:val="002710ED"/>
    <w:rsid w:val="00271465"/>
    <w:rsid w:val="002716C7"/>
    <w:rsid w:val="00271A07"/>
    <w:rsid w:val="00271C6A"/>
    <w:rsid w:val="00271E47"/>
    <w:rsid w:val="00271F98"/>
    <w:rsid w:val="002721F5"/>
    <w:rsid w:val="002726A8"/>
    <w:rsid w:val="00272DF4"/>
    <w:rsid w:val="0027306A"/>
    <w:rsid w:val="00273D2B"/>
    <w:rsid w:val="00273FB3"/>
    <w:rsid w:val="00274240"/>
    <w:rsid w:val="002742A7"/>
    <w:rsid w:val="002744DB"/>
    <w:rsid w:val="0027485F"/>
    <w:rsid w:val="00274EA7"/>
    <w:rsid w:val="00275062"/>
    <w:rsid w:val="00275758"/>
    <w:rsid w:val="0027583D"/>
    <w:rsid w:val="002759C7"/>
    <w:rsid w:val="00275DEF"/>
    <w:rsid w:val="00275E43"/>
    <w:rsid w:val="002763A2"/>
    <w:rsid w:val="00276498"/>
    <w:rsid w:val="00276928"/>
    <w:rsid w:val="00276B33"/>
    <w:rsid w:val="00276E20"/>
    <w:rsid w:val="00276F97"/>
    <w:rsid w:val="00277669"/>
    <w:rsid w:val="002803A5"/>
    <w:rsid w:val="00280ACB"/>
    <w:rsid w:val="002812E3"/>
    <w:rsid w:val="00281576"/>
    <w:rsid w:val="00282AD4"/>
    <w:rsid w:val="0028341F"/>
    <w:rsid w:val="00283770"/>
    <w:rsid w:val="002837AE"/>
    <w:rsid w:val="00283C13"/>
    <w:rsid w:val="00283F7B"/>
    <w:rsid w:val="0028431A"/>
    <w:rsid w:val="002853FA"/>
    <w:rsid w:val="00285412"/>
    <w:rsid w:val="00286220"/>
    <w:rsid w:val="00286AAC"/>
    <w:rsid w:val="00286DC2"/>
    <w:rsid w:val="002870F0"/>
    <w:rsid w:val="00287DD1"/>
    <w:rsid w:val="002903D4"/>
    <w:rsid w:val="00290531"/>
    <w:rsid w:val="0029110B"/>
    <w:rsid w:val="00291640"/>
    <w:rsid w:val="00291882"/>
    <w:rsid w:val="00291B77"/>
    <w:rsid w:val="002922DC"/>
    <w:rsid w:val="0029237E"/>
    <w:rsid w:val="0029268D"/>
    <w:rsid w:val="00292997"/>
    <w:rsid w:val="002934D6"/>
    <w:rsid w:val="00293B8C"/>
    <w:rsid w:val="00293D24"/>
    <w:rsid w:val="002944A6"/>
    <w:rsid w:val="0029461A"/>
    <w:rsid w:val="0029509B"/>
    <w:rsid w:val="00295430"/>
    <w:rsid w:val="0029574D"/>
    <w:rsid w:val="0029588F"/>
    <w:rsid w:val="00295E96"/>
    <w:rsid w:val="002971C4"/>
    <w:rsid w:val="00297256"/>
    <w:rsid w:val="00297A5C"/>
    <w:rsid w:val="00297D51"/>
    <w:rsid w:val="002A0122"/>
    <w:rsid w:val="002A016B"/>
    <w:rsid w:val="002A103E"/>
    <w:rsid w:val="002A16D4"/>
    <w:rsid w:val="002A1E4F"/>
    <w:rsid w:val="002A1E96"/>
    <w:rsid w:val="002A230C"/>
    <w:rsid w:val="002A2376"/>
    <w:rsid w:val="002A25B5"/>
    <w:rsid w:val="002A2AF7"/>
    <w:rsid w:val="002A30ED"/>
    <w:rsid w:val="002A3209"/>
    <w:rsid w:val="002A34B5"/>
    <w:rsid w:val="002A377D"/>
    <w:rsid w:val="002A3898"/>
    <w:rsid w:val="002A38F3"/>
    <w:rsid w:val="002A3EA2"/>
    <w:rsid w:val="002A3FAB"/>
    <w:rsid w:val="002A3FBA"/>
    <w:rsid w:val="002A51AC"/>
    <w:rsid w:val="002A532A"/>
    <w:rsid w:val="002A5342"/>
    <w:rsid w:val="002A5846"/>
    <w:rsid w:val="002A5D97"/>
    <w:rsid w:val="002A603E"/>
    <w:rsid w:val="002A63B9"/>
    <w:rsid w:val="002A7089"/>
    <w:rsid w:val="002A7709"/>
    <w:rsid w:val="002A79B3"/>
    <w:rsid w:val="002A7B5E"/>
    <w:rsid w:val="002B0692"/>
    <w:rsid w:val="002B1182"/>
    <w:rsid w:val="002B118D"/>
    <w:rsid w:val="002B1619"/>
    <w:rsid w:val="002B1A42"/>
    <w:rsid w:val="002B1C3B"/>
    <w:rsid w:val="002B1D9D"/>
    <w:rsid w:val="002B20D1"/>
    <w:rsid w:val="002B2379"/>
    <w:rsid w:val="002B3401"/>
    <w:rsid w:val="002B3EF4"/>
    <w:rsid w:val="002B4845"/>
    <w:rsid w:val="002B4C6C"/>
    <w:rsid w:val="002B4EE6"/>
    <w:rsid w:val="002B5567"/>
    <w:rsid w:val="002B5812"/>
    <w:rsid w:val="002B5833"/>
    <w:rsid w:val="002B72AA"/>
    <w:rsid w:val="002B75C0"/>
    <w:rsid w:val="002C0572"/>
    <w:rsid w:val="002C1110"/>
    <w:rsid w:val="002C15ED"/>
    <w:rsid w:val="002C1BC2"/>
    <w:rsid w:val="002C1F09"/>
    <w:rsid w:val="002C22A4"/>
    <w:rsid w:val="002C260B"/>
    <w:rsid w:val="002C27A6"/>
    <w:rsid w:val="002C31E4"/>
    <w:rsid w:val="002C398D"/>
    <w:rsid w:val="002C3A03"/>
    <w:rsid w:val="002C40D2"/>
    <w:rsid w:val="002C43BD"/>
    <w:rsid w:val="002C5245"/>
    <w:rsid w:val="002C564A"/>
    <w:rsid w:val="002C59D8"/>
    <w:rsid w:val="002C5FEB"/>
    <w:rsid w:val="002C6494"/>
    <w:rsid w:val="002C7573"/>
    <w:rsid w:val="002C7B33"/>
    <w:rsid w:val="002D00F7"/>
    <w:rsid w:val="002D0599"/>
    <w:rsid w:val="002D05CB"/>
    <w:rsid w:val="002D0C51"/>
    <w:rsid w:val="002D0E59"/>
    <w:rsid w:val="002D1ED6"/>
    <w:rsid w:val="002D20A4"/>
    <w:rsid w:val="002D24AC"/>
    <w:rsid w:val="002D2C4F"/>
    <w:rsid w:val="002D3800"/>
    <w:rsid w:val="002D3EBB"/>
    <w:rsid w:val="002D455C"/>
    <w:rsid w:val="002D48A1"/>
    <w:rsid w:val="002D55FA"/>
    <w:rsid w:val="002D6066"/>
    <w:rsid w:val="002D67B7"/>
    <w:rsid w:val="002D6A4C"/>
    <w:rsid w:val="002D743D"/>
    <w:rsid w:val="002E02A1"/>
    <w:rsid w:val="002E196A"/>
    <w:rsid w:val="002E1E2B"/>
    <w:rsid w:val="002E1F8A"/>
    <w:rsid w:val="002E20C7"/>
    <w:rsid w:val="002E20CD"/>
    <w:rsid w:val="002E222E"/>
    <w:rsid w:val="002E28D8"/>
    <w:rsid w:val="002E3036"/>
    <w:rsid w:val="002E3638"/>
    <w:rsid w:val="002E37D1"/>
    <w:rsid w:val="002E3BEE"/>
    <w:rsid w:val="002E3C41"/>
    <w:rsid w:val="002E4482"/>
    <w:rsid w:val="002E4DCE"/>
    <w:rsid w:val="002E4E4C"/>
    <w:rsid w:val="002E4EA7"/>
    <w:rsid w:val="002E564B"/>
    <w:rsid w:val="002E5846"/>
    <w:rsid w:val="002E5884"/>
    <w:rsid w:val="002E631B"/>
    <w:rsid w:val="002E792B"/>
    <w:rsid w:val="002E7AEB"/>
    <w:rsid w:val="002E7B79"/>
    <w:rsid w:val="002F06E2"/>
    <w:rsid w:val="002F1B09"/>
    <w:rsid w:val="002F1D56"/>
    <w:rsid w:val="002F1DCB"/>
    <w:rsid w:val="002F1DE4"/>
    <w:rsid w:val="002F333D"/>
    <w:rsid w:val="002F351A"/>
    <w:rsid w:val="002F357F"/>
    <w:rsid w:val="002F3A2C"/>
    <w:rsid w:val="002F428F"/>
    <w:rsid w:val="002F44EF"/>
    <w:rsid w:val="002F4631"/>
    <w:rsid w:val="002F46D6"/>
    <w:rsid w:val="002F498A"/>
    <w:rsid w:val="002F4AD8"/>
    <w:rsid w:val="002F5285"/>
    <w:rsid w:val="002F52CE"/>
    <w:rsid w:val="002F5820"/>
    <w:rsid w:val="002F64BB"/>
    <w:rsid w:val="002F7D9B"/>
    <w:rsid w:val="00300901"/>
    <w:rsid w:val="003009B1"/>
    <w:rsid w:val="00300C31"/>
    <w:rsid w:val="00300D42"/>
    <w:rsid w:val="00300E7D"/>
    <w:rsid w:val="00300FA9"/>
    <w:rsid w:val="00301127"/>
    <w:rsid w:val="00301294"/>
    <w:rsid w:val="003017EC"/>
    <w:rsid w:val="003018D9"/>
    <w:rsid w:val="00302165"/>
    <w:rsid w:val="00302706"/>
    <w:rsid w:val="003036CE"/>
    <w:rsid w:val="00303BB4"/>
    <w:rsid w:val="00303DE8"/>
    <w:rsid w:val="00304771"/>
    <w:rsid w:val="00304F9C"/>
    <w:rsid w:val="003052D4"/>
    <w:rsid w:val="00305863"/>
    <w:rsid w:val="003060D6"/>
    <w:rsid w:val="003060E9"/>
    <w:rsid w:val="00306C5B"/>
    <w:rsid w:val="00307529"/>
    <w:rsid w:val="003077F5"/>
    <w:rsid w:val="00307DB3"/>
    <w:rsid w:val="00307ED2"/>
    <w:rsid w:val="0031010B"/>
    <w:rsid w:val="0031076D"/>
    <w:rsid w:val="003107F8"/>
    <w:rsid w:val="0031169A"/>
    <w:rsid w:val="00311AA6"/>
    <w:rsid w:val="00311C4D"/>
    <w:rsid w:val="003121AB"/>
    <w:rsid w:val="00312A85"/>
    <w:rsid w:val="003136D6"/>
    <w:rsid w:val="00314B30"/>
    <w:rsid w:val="00315067"/>
    <w:rsid w:val="00315169"/>
    <w:rsid w:val="003153C8"/>
    <w:rsid w:val="00315524"/>
    <w:rsid w:val="00315561"/>
    <w:rsid w:val="00316442"/>
    <w:rsid w:val="00316B3D"/>
    <w:rsid w:val="0031701C"/>
    <w:rsid w:val="00320454"/>
    <w:rsid w:val="0032058C"/>
    <w:rsid w:val="0032069E"/>
    <w:rsid w:val="003208D0"/>
    <w:rsid w:val="003209D6"/>
    <w:rsid w:val="00320ACF"/>
    <w:rsid w:val="00320D58"/>
    <w:rsid w:val="003217B9"/>
    <w:rsid w:val="00321924"/>
    <w:rsid w:val="00321AF1"/>
    <w:rsid w:val="00321EB6"/>
    <w:rsid w:val="003220A5"/>
    <w:rsid w:val="003238E0"/>
    <w:rsid w:val="00323A1C"/>
    <w:rsid w:val="00323A2F"/>
    <w:rsid w:val="00323A8E"/>
    <w:rsid w:val="003247E1"/>
    <w:rsid w:val="00324B59"/>
    <w:rsid w:val="0032509D"/>
    <w:rsid w:val="00325967"/>
    <w:rsid w:val="00325E46"/>
    <w:rsid w:val="003260B5"/>
    <w:rsid w:val="0032656E"/>
    <w:rsid w:val="0032788F"/>
    <w:rsid w:val="00330067"/>
    <w:rsid w:val="00330A2C"/>
    <w:rsid w:val="00332190"/>
    <w:rsid w:val="00332761"/>
    <w:rsid w:val="00332A98"/>
    <w:rsid w:val="00332B6A"/>
    <w:rsid w:val="003334BD"/>
    <w:rsid w:val="00333973"/>
    <w:rsid w:val="00333CD0"/>
    <w:rsid w:val="00333F27"/>
    <w:rsid w:val="0033427A"/>
    <w:rsid w:val="0033448D"/>
    <w:rsid w:val="00334AD2"/>
    <w:rsid w:val="00334CB6"/>
    <w:rsid w:val="00335B33"/>
    <w:rsid w:val="0033709C"/>
    <w:rsid w:val="003370C5"/>
    <w:rsid w:val="003373C6"/>
    <w:rsid w:val="0033753A"/>
    <w:rsid w:val="003375E0"/>
    <w:rsid w:val="00337A31"/>
    <w:rsid w:val="00337A36"/>
    <w:rsid w:val="00337B16"/>
    <w:rsid w:val="00337E38"/>
    <w:rsid w:val="00340122"/>
    <w:rsid w:val="003409CA"/>
    <w:rsid w:val="00340BF3"/>
    <w:rsid w:val="00340D3D"/>
    <w:rsid w:val="0034193A"/>
    <w:rsid w:val="00341C6C"/>
    <w:rsid w:val="00341D26"/>
    <w:rsid w:val="00341E9A"/>
    <w:rsid w:val="00341F05"/>
    <w:rsid w:val="00342CDF"/>
    <w:rsid w:val="00342CE7"/>
    <w:rsid w:val="0034335E"/>
    <w:rsid w:val="00343CD0"/>
    <w:rsid w:val="0034464E"/>
    <w:rsid w:val="00344668"/>
    <w:rsid w:val="00344940"/>
    <w:rsid w:val="0034506D"/>
    <w:rsid w:val="0034514C"/>
    <w:rsid w:val="00345489"/>
    <w:rsid w:val="00346234"/>
    <w:rsid w:val="003462D9"/>
    <w:rsid w:val="00346475"/>
    <w:rsid w:val="0034723F"/>
    <w:rsid w:val="00347247"/>
    <w:rsid w:val="003472DE"/>
    <w:rsid w:val="003472E0"/>
    <w:rsid w:val="003474B6"/>
    <w:rsid w:val="00347DD4"/>
    <w:rsid w:val="003512A5"/>
    <w:rsid w:val="00352B43"/>
    <w:rsid w:val="00352C28"/>
    <w:rsid w:val="00353485"/>
    <w:rsid w:val="00353ACC"/>
    <w:rsid w:val="003541BB"/>
    <w:rsid w:val="00354502"/>
    <w:rsid w:val="003546F0"/>
    <w:rsid w:val="00354F89"/>
    <w:rsid w:val="0035506D"/>
    <w:rsid w:val="00357940"/>
    <w:rsid w:val="003579A1"/>
    <w:rsid w:val="0036077F"/>
    <w:rsid w:val="00360A35"/>
    <w:rsid w:val="00360C86"/>
    <w:rsid w:val="00360DEC"/>
    <w:rsid w:val="00360F7A"/>
    <w:rsid w:val="00360FBC"/>
    <w:rsid w:val="00361537"/>
    <w:rsid w:val="00361B2D"/>
    <w:rsid w:val="00361E1B"/>
    <w:rsid w:val="00361FB7"/>
    <w:rsid w:val="0036242A"/>
    <w:rsid w:val="00362C23"/>
    <w:rsid w:val="00362DCA"/>
    <w:rsid w:val="00362E90"/>
    <w:rsid w:val="00363152"/>
    <w:rsid w:val="00364324"/>
    <w:rsid w:val="00364967"/>
    <w:rsid w:val="00364C69"/>
    <w:rsid w:val="00364FA0"/>
    <w:rsid w:val="003650A2"/>
    <w:rsid w:val="003651C5"/>
    <w:rsid w:val="003657F3"/>
    <w:rsid w:val="00365844"/>
    <w:rsid w:val="00365F61"/>
    <w:rsid w:val="0036624C"/>
    <w:rsid w:val="003666B1"/>
    <w:rsid w:val="00367F84"/>
    <w:rsid w:val="0037057F"/>
    <w:rsid w:val="003712BC"/>
    <w:rsid w:val="00371C3E"/>
    <w:rsid w:val="00372164"/>
    <w:rsid w:val="003724CE"/>
    <w:rsid w:val="003738BD"/>
    <w:rsid w:val="00374263"/>
    <w:rsid w:val="003746F0"/>
    <w:rsid w:val="00374A20"/>
    <w:rsid w:val="00374B96"/>
    <w:rsid w:val="00374E21"/>
    <w:rsid w:val="00374E8C"/>
    <w:rsid w:val="0037520A"/>
    <w:rsid w:val="0037537A"/>
    <w:rsid w:val="0037670D"/>
    <w:rsid w:val="00377B2E"/>
    <w:rsid w:val="00380C9B"/>
    <w:rsid w:val="003810F0"/>
    <w:rsid w:val="003815D4"/>
    <w:rsid w:val="003818DC"/>
    <w:rsid w:val="0038214B"/>
    <w:rsid w:val="00382513"/>
    <w:rsid w:val="003827B3"/>
    <w:rsid w:val="00383388"/>
    <w:rsid w:val="0038346A"/>
    <w:rsid w:val="003834F8"/>
    <w:rsid w:val="0038370D"/>
    <w:rsid w:val="003838D0"/>
    <w:rsid w:val="003840C2"/>
    <w:rsid w:val="00384327"/>
    <w:rsid w:val="00384A89"/>
    <w:rsid w:val="00384F9F"/>
    <w:rsid w:val="00385086"/>
    <w:rsid w:val="00385344"/>
    <w:rsid w:val="003856A6"/>
    <w:rsid w:val="00385C7B"/>
    <w:rsid w:val="00385D98"/>
    <w:rsid w:val="00386076"/>
    <w:rsid w:val="00386CDE"/>
    <w:rsid w:val="00390306"/>
    <w:rsid w:val="003908A6"/>
    <w:rsid w:val="0039099B"/>
    <w:rsid w:val="00390A99"/>
    <w:rsid w:val="0039109D"/>
    <w:rsid w:val="00391989"/>
    <w:rsid w:val="00391A6C"/>
    <w:rsid w:val="00391DE6"/>
    <w:rsid w:val="003927F6"/>
    <w:rsid w:val="00392AB8"/>
    <w:rsid w:val="00392C79"/>
    <w:rsid w:val="0039398D"/>
    <w:rsid w:val="00393B3F"/>
    <w:rsid w:val="0039402D"/>
    <w:rsid w:val="00396739"/>
    <w:rsid w:val="003978B1"/>
    <w:rsid w:val="00397C50"/>
    <w:rsid w:val="00397C8B"/>
    <w:rsid w:val="003A0023"/>
    <w:rsid w:val="003A04F6"/>
    <w:rsid w:val="003A07ED"/>
    <w:rsid w:val="003A0837"/>
    <w:rsid w:val="003A17E1"/>
    <w:rsid w:val="003A1FE1"/>
    <w:rsid w:val="003A20E8"/>
    <w:rsid w:val="003A2B4D"/>
    <w:rsid w:val="003A2D12"/>
    <w:rsid w:val="003A2EBA"/>
    <w:rsid w:val="003A30C0"/>
    <w:rsid w:val="003A32DB"/>
    <w:rsid w:val="003A4153"/>
    <w:rsid w:val="003A45E3"/>
    <w:rsid w:val="003A46B8"/>
    <w:rsid w:val="003A478C"/>
    <w:rsid w:val="003A4A38"/>
    <w:rsid w:val="003A4B47"/>
    <w:rsid w:val="003A4E88"/>
    <w:rsid w:val="003A5295"/>
    <w:rsid w:val="003A537D"/>
    <w:rsid w:val="003A5525"/>
    <w:rsid w:val="003A5889"/>
    <w:rsid w:val="003A5C8C"/>
    <w:rsid w:val="003A620D"/>
    <w:rsid w:val="003A6B38"/>
    <w:rsid w:val="003A6B83"/>
    <w:rsid w:val="003A6C97"/>
    <w:rsid w:val="003A722F"/>
    <w:rsid w:val="003A7373"/>
    <w:rsid w:val="003A7D09"/>
    <w:rsid w:val="003A7E41"/>
    <w:rsid w:val="003B0067"/>
    <w:rsid w:val="003B019E"/>
    <w:rsid w:val="003B039F"/>
    <w:rsid w:val="003B0DF4"/>
    <w:rsid w:val="003B1F9D"/>
    <w:rsid w:val="003B2A8D"/>
    <w:rsid w:val="003B2AD1"/>
    <w:rsid w:val="003B2D2E"/>
    <w:rsid w:val="003B376A"/>
    <w:rsid w:val="003B403E"/>
    <w:rsid w:val="003B461F"/>
    <w:rsid w:val="003B483F"/>
    <w:rsid w:val="003B4998"/>
    <w:rsid w:val="003B5A32"/>
    <w:rsid w:val="003B5A37"/>
    <w:rsid w:val="003B5B59"/>
    <w:rsid w:val="003B68B7"/>
    <w:rsid w:val="003B6BAF"/>
    <w:rsid w:val="003B709D"/>
    <w:rsid w:val="003B7B50"/>
    <w:rsid w:val="003C0526"/>
    <w:rsid w:val="003C06D9"/>
    <w:rsid w:val="003C0B07"/>
    <w:rsid w:val="003C1B43"/>
    <w:rsid w:val="003C2363"/>
    <w:rsid w:val="003C2CE7"/>
    <w:rsid w:val="003C2DB8"/>
    <w:rsid w:val="003C3490"/>
    <w:rsid w:val="003C3608"/>
    <w:rsid w:val="003C3A87"/>
    <w:rsid w:val="003C3AE8"/>
    <w:rsid w:val="003C3D2C"/>
    <w:rsid w:val="003C4058"/>
    <w:rsid w:val="003C4E13"/>
    <w:rsid w:val="003C5015"/>
    <w:rsid w:val="003C53DC"/>
    <w:rsid w:val="003C58A5"/>
    <w:rsid w:val="003C6221"/>
    <w:rsid w:val="003C63D7"/>
    <w:rsid w:val="003C658F"/>
    <w:rsid w:val="003C68CC"/>
    <w:rsid w:val="003C6E3A"/>
    <w:rsid w:val="003C7E62"/>
    <w:rsid w:val="003D12B9"/>
    <w:rsid w:val="003D1B0D"/>
    <w:rsid w:val="003D1E2E"/>
    <w:rsid w:val="003D1E7A"/>
    <w:rsid w:val="003D240E"/>
    <w:rsid w:val="003D242B"/>
    <w:rsid w:val="003D2492"/>
    <w:rsid w:val="003D26DF"/>
    <w:rsid w:val="003D29AA"/>
    <w:rsid w:val="003D2A99"/>
    <w:rsid w:val="003D3525"/>
    <w:rsid w:val="003D38BE"/>
    <w:rsid w:val="003D40FC"/>
    <w:rsid w:val="003D4927"/>
    <w:rsid w:val="003D4C3C"/>
    <w:rsid w:val="003D5175"/>
    <w:rsid w:val="003D59D5"/>
    <w:rsid w:val="003D5EBF"/>
    <w:rsid w:val="003D6920"/>
    <w:rsid w:val="003D7396"/>
    <w:rsid w:val="003E0249"/>
    <w:rsid w:val="003E08A4"/>
    <w:rsid w:val="003E105C"/>
    <w:rsid w:val="003E1EF8"/>
    <w:rsid w:val="003E2754"/>
    <w:rsid w:val="003E294B"/>
    <w:rsid w:val="003E2DFB"/>
    <w:rsid w:val="003E41C6"/>
    <w:rsid w:val="003E4466"/>
    <w:rsid w:val="003E4C91"/>
    <w:rsid w:val="003E52D8"/>
    <w:rsid w:val="003E62F1"/>
    <w:rsid w:val="003E64C8"/>
    <w:rsid w:val="003E6DE2"/>
    <w:rsid w:val="003E6ED5"/>
    <w:rsid w:val="003E6F84"/>
    <w:rsid w:val="003E72FF"/>
    <w:rsid w:val="003E7B8A"/>
    <w:rsid w:val="003F0148"/>
    <w:rsid w:val="003F0F37"/>
    <w:rsid w:val="003F139A"/>
    <w:rsid w:val="003F18BB"/>
    <w:rsid w:val="003F1F13"/>
    <w:rsid w:val="003F275B"/>
    <w:rsid w:val="003F2DE7"/>
    <w:rsid w:val="003F313C"/>
    <w:rsid w:val="003F31D2"/>
    <w:rsid w:val="003F33B1"/>
    <w:rsid w:val="003F33B9"/>
    <w:rsid w:val="003F37FC"/>
    <w:rsid w:val="003F3E76"/>
    <w:rsid w:val="003F4318"/>
    <w:rsid w:val="003F4B2C"/>
    <w:rsid w:val="003F551C"/>
    <w:rsid w:val="003F5E2D"/>
    <w:rsid w:val="003F626D"/>
    <w:rsid w:val="003F6380"/>
    <w:rsid w:val="003F72ED"/>
    <w:rsid w:val="003F7793"/>
    <w:rsid w:val="003F7D23"/>
    <w:rsid w:val="00400050"/>
    <w:rsid w:val="004002C8"/>
    <w:rsid w:val="00400468"/>
    <w:rsid w:val="00400885"/>
    <w:rsid w:val="0040099D"/>
    <w:rsid w:val="00401441"/>
    <w:rsid w:val="004016CB"/>
    <w:rsid w:val="00401B23"/>
    <w:rsid w:val="00402ADB"/>
    <w:rsid w:val="00402E33"/>
    <w:rsid w:val="0040368D"/>
    <w:rsid w:val="00403BBF"/>
    <w:rsid w:val="00403D1D"/>
    <w:rsid w:val="00403F57"/>
    <w:rsid w:val="00404244"/>
    <w:rsid w:val="004042F6"/>
    <w:rsid w:val="004046BD"/>
    <w:rsid w:val="00404BAB"/>
    <w:rsid w:val="00405318"/>
    <w:rsid w:val="004059D2"/>
    <w:rsid w:val="00405DCB"/>
    <w:rsid w:val="004060C9"/>
    <w:rsid w:val="004066D0"/>
    <w:rsid w:val="00406C2E"/>
    <w:rsid w:val="00406CDA"/>
    <w:rsid w:val="00406EB0"/>
    <w:rsid w:val="00407101"/>
    <w:rsid w:val="00407711"/>
    <w:rsid w:val="00407C13"/>
    <w:rsid w:val="004103F6"/>
    <w:rsid w:val="00410638"/>
    <w:rsid w:val="00410D14"/>
    <w:rsid w:val="00410EDB"/>
    <w:rsid w:val="004115CE"/>
    <w:rsid w:val="00412511"/>
    <w:rsid w:val="004125C2"/>
    <w:rsid w:val="00412885"/>
    <w:rsid w:val="00412DFA"/>
    <w:rsid w:val="00413465"/>
    <w:rsid w:val="004140A6"/>
    <w:rsid w:val="004149AC"/>
    <w:rsid w:val="0041501E"/>
    <w:rsid w:val="00415452"/>
    <w:rsid w:val="004159C3"/>
    <w:rsid w:val="00415A57"/>
    <w:rsid w:val="00416BAF"/>
    <w:rsid w:val="00416DAC"/>
    <w:rsid w:val="00417106"/>
    <w:rsid w:val="00417997"/>
    <w:rsid w:val="00417B6C"/>
    <w:rsid w:val="00420880"/>
    <w:rsid w:val="00421179"/>
    <w:rsid w:val="004225D2"/>
    <w:rsid w:val="004225D7"/>
    <w:rsid w:val="00423623"/>
    <w:rsid w:val="004241B3"/>
    <w:rsid w:val="0042470E"/>
    <w:rsid w:val="00424E0F"/>
    <w:rsid w:val="00424E7C"/>
    <w:rsid w:val="00425352"/>
    <w:rsid w:val="00425E71"/>
    <w:rsid w:val="00426C99"/>
    <w:rsid w:val="004272BE"/>
    <w:rsid w:val="00430C96"/>
    <w:rsid w:val="0043174F"/>
    <w:rsid w:val="00431BFF"/>
    <w:rsid w:val="00431C82"/>
    <w:rsid w:val="00432199"/>
    <w:rsid w:val="00432A58"/>
    <w:rsid w:val="004331C3"/>
    <w:rsid w:val="004333DF"/>
    <w:rsid w:val="0043369F"/>
    <w:rsid w:val="004337D8"/>
    <w:rsid w:val="00433C17"/>
    <w:rsid w:val="00434171"/>
    <w:rsid w:val="00434617"/>
    <w:rsid w:val="00434DE9"/>
    <w:rsid w:val="00435051"/>
    <w:rsid w:val="00435C69"/>
    <w:rsid w:val="00435EBF"/>
    <w:rsid w:val="004360FB"/>
    <w:rsid w:val="00437CED"/>
    <w:rsid w:val="004401D0"/>
    <w:rsid w:val="004407BF"/>
    <w:rsid w:val="00440900"/>
    <w:rsid w:val="00440AC0"/>
    <w:rsid w:val="00440D2A"/>
    <w:rsid w:val="0044121D"/>
    <w:rsid w:val="00441BF6"/>
    <w:rsid w:val="00441D2B"/>
    <w:rsid w:val="00441F8B"/>
    <w:rsid w:val="00442085"/>
    <w:rsid w:val="00442136"/>
    <w:rsid w:val="0044279E"/>
    <w:rsid w:val="00442882"/>
    <w:rsid w:val="00443519"/>
    <w:rsid w:val="00443C06"/>
    <w:rsid w:val="004441A0"/>
    <w:rsid w:val="00444A2C"/>
    <w:rsid w:val="0044519E"/>
    <w:rsid w:val="00445861"/>
    <w:rsid w:val="00445A8E"/>
    <w:rsid w:val="00446D44"/>
    <w:rsid w:val="00447099"/>
    <w:rsid w:val="0045078A"/>
    <w:rsid w:val="0045086D"/>
    <w:rsid w:val="004509CE"/>
    <w:rsid w:val="00450DAB"/>
    <w:rsid w:val="0045125B"/>
    <w:rsid w:val="004519E2"/>
    <w:rsid w:val="00451E25"/>
    <w:rsid w:val="00451EF1"/>
    <w:rsid w:val="00452985"/>
    <w:rsid w:val="00452E60"/>
    <w:rsid w:val="00452FE9"/>
    <w:rsid w:val="0045321B"/>
    <w:rsid w:val="00453DDF"/>
    <w:rsid w:val="00455833"/>
    <w:rsid w:val="00456065"/>
    <w:rsid w:val="00456FB5"/>
    <w:rsid w:val="00456FE5"/>
    <w:rsid w:val="00457490"/>
    <w:rsid w:val="0045778B"/>
    <w:rsid w:val="0045786C"/>
    <w:rsid w:val="004578E9"/>
    <w:rsid w:val="00457953"/>
    <w:rsid w:val="00457F3C"/>
    <w:rsid w:val="004604D8"/>
    <w:rsid w:val="00460656"/>
    <w:rsid w:val="00460700"/>
    <w:rsid w:val="00460FB3"/>
    <w:rsid w:val="00461ED4"/>
    <w:rsid w:val="00462187"/>
    <w:rsid w:val="00463D3C"/>
    <w:rsid w:val="00464851"/>
    <w:rsid w:val="00464BF5"/>
    <w:rsid w:val="00466595"/>
    <w:rsid w:val="00466A50"/>
    <w:rsid w:val="00466B3E"/>
    <w:rsid w:val="00467174"/>
    <w:rsid w:val="0046746A"/>
    <w:rsid w:val="00467B14"/>
    <w:rsid w:val="00467F8C"/>
    <w:rsid w:val="00467FDC"/>
    <w:rsid w:val="00467FF8"/>
    <w:rsid w:val="00470235"/>
    <w:rsid w:val="004707FE"/>
    <w:rsid w:val="00470ACF"/>
    <w:rsid w:val="00470BB7"/>
    <w:rsid w:val="00470EDC"/>
    <w:rsid w:val="00472418"/>
    <w:rsid w:val="0047276D"/>
    <w:rsid w:val="00472AF6"/>
    <w:rsid w:val="004731E6"/>
    <w:rsid w:val="00473482"/>
    <w:rsid w:val="004734C8"/>
    <w:rsid w:val="00473BF0"/>
    <w:rsid w:val="00474646"/>
    <w:rsid w:val="00474A04"/>
    <w:rsid w:val="00474D39"/>
    <w:rsid w:val="00476240"/>
    <w:rsid w:val="00476439"/>
    <w:rsid w:val="00476450"/>
    <w:rsid w:val="004769BF"/>
    <w:rsid w:val="004769E1"/>
    <w:rsid w:val="00476AEE"/>
    <w:rsid w:val="0047735C"/>
    <w:rsid w:val="00477469"/>
    <w:rsid w:val="004775F8"/>
    <w:rsid w:val="004776BC"/>
    <w:rsid w:val="00477820"/>
    <w:rsid w:val="00477B96"/>
    <w:rsid w:val="00480061"/>
    <w:rsid w:val="00480802"/>
    <w:rsid w:val="004808EA"/>
    <w:rsid w:val="00480BAE"/>
    <w:rsid w:val="00480D7F"/>
    <w:rsid w:val="0048103A"/>
    <w:rsid w:val="0048139F"/>
    <w:rsid w:val="004819D1"/>
    <w:rsid w:val="00481E40"/>
    <w:rsid w:val="00481F13"/>
    <w:rsid w:val="00482047"/>
    <w:rsid w:val="00482405"/>
    <w:rsid w:val="004826A7"/>
    <w:rsid w:val="004828DA"/>
    <w:rsid w:val="0048368C"/>
    <w:rsid w:val="0048372F"/>
    <w:rsid w:val="0048399F"/>
    <w:rsid w:val="00483A0C"/>
    <w:rsid w:val="00483C6A"/>
    <w:rsid w:val="004841CC"/>
    <w:rsid w:val="00484612"/>
    <w:rsid w:val="00484ECE"/>
    <w:rsid w:val="00485366"/>
    <w:rsid w:val="004854F5"/>
    <w:rsid w:val="00485DB6"/>
    <w:rsid w:val="00485E82"/>
    <w:rsid w:val="00486132"/>
    <w:rsid w:val="00486171"/>
    <w:rsid w:val="0048686D"/>
    <w:rsid w:val="00486A4D"/>
    <w:rsid w:val="004873A9"/>
    <w:rsid w:val="00487BA1"/>
    <w:rsid w:val="004915CB"/>
    <w:rsid w:val="00491A2B"/>
    <w:rsid w:val="004924DC"/>
    <w:rsid w:val="00492879"/>
    <w:rsid w:val="00493000"/>
    <w:rsid w:val="004934E3"/>
    <w:rsid w:val="00493E85"/>
    <w:rsid w:val="00494821"/>
    <w:rsid w:val="00495145"/>
    <w:rsid w:val="0049531F"/>
    <w:rsid w:val="004979A5"/>
    <w:rsid w:val="004A0144"/>
    <w:rsid w:val="004A036E"/>
    <w:rsid w:val="004A0389"/>
    <w:rsid w:val="004A046D"/>
    <w:rsid w:val="004A0498"/>
    <w:rsid w:val="004A0620"/>
    <w:rsid w:val="004A06B0"/>
    <w:rsid w:val="004A076F"/>
    <w:rsid w:val="004A07FB"/>
    <w:rsid w:val="004A0D0E"/>
    <w:rsid w:val="004A14E4"/>
    <w:rsid w:val="004A1C12"/>
    <w:rsid w:val="004A1DD6"/>
    <w:rsid w:val="004A204E"/>
    <w:rsid w:val="004A26A5"/>
    <w:rsid w:val="004A27F0"/>
    <w:rsid w:val="004A2BFC"/>
    <w:rsid w:val="004A3212"/>
    <w:rsid w:val="004A37CD"/>
    <w:rsid w:val="004A3BE4"/>
    <w:rsid w:val="004A3E64"/>
    <w:rsid w:val="004A40D9"/>
    <w:rsid w:val="004A49A5"/>
    <w:rsid w:val="004A4C97"/>
    <w:rsid w:val="004A4EB7"/>
    <w:rsid w:val="004A4F8A"/>
    <w:rsid w:val="004A513A"/>
    <w:rsid w:val="004A52AB"/>
    <w:rsid w:val="004A5373"/>
    <w:rsid w:val="004A5494"/>
    <w:rsid w:val="004A5CBF"/>
    <w:rsid w:val="004A5D4E"/>
    <w:rsid w:val="004A61C5"/>
    <w:rsid w:val="004A62A0"/>
    <w:rsid w:val="004A77DF"/>
    <w:rsid w:val="004A7DC0"/>
    <w:rsid w:val="004A7E9A"/>
    <w:rsid w:val="004A7F11"/>
    <w:rsid w:val="004B017D"/>
    <w:rsid w:val="004B059C"/>
    <w:rsid w:val="004B1417"/>
    <w:rsid w:val="004B1627"/>
    <w:rsid w:val="004B1AB1"/>
    <w:rsid w:val="004B1F08"/>
    <w:rsid w:val="004B2B05"/>
    <w:rsid w:val="004B2C28"/>
    <w:rsid w:val="004B305C"/>
    <w:rsid w:val="004B3094"/>
    <w:rsid w:val="004B31B8"/>
    <w:rsid w:val="004B339A"/>
    <w:rsid w:val="004B3DC0"/>
    <w:rsid w:val="004B4958"/>
    <w:rsid w:val="004B4C83"/>
    <w:rsid w:val="004B53BB"/>
    <w:rsid w:val="004B55B7"/>
    <w:rsid w:val="004B564C"/>
    <w:rsid w:val="004B591D"/>
    <w:rsid w:val="004B5BFA"/>
    <w:rsid w:val="004B619E"/>
    <w:rsid w:val="004B6468"/>
    <w:rsid w:val="004B67FA"/>
    <w:rsid w:val="004B6C4C"/>
    <w:rsid w:val="004B6EF8"/>
    <w:rsid w:val="004B7125"/>
    <w:rsid w:val="004B71D4"/>
    <w:rsid w:val="004B74CA"/>
    <w:rsid w:val="004B756A"/>
    <w:rsid w:val="004B7FB1"/>
    <w:rsid w:val="004C0233"/>
    <w:rsid w:val="004C0272"/>
    <w:rsid w:val="004C0970"/>
    <w:rsid w:val="004C0A27"/>
    <w:rsid w:val="004C0B3F"/>
    <w:rsid w:val="004C0CA8"/>
    <w:rsid w:val="004C0F87"/>
    <w:rsid w:val="004C13E4"/>
    <w:rsid w:val="004C25F9"/>
    <w:rsid w:val="004C2794"/>
    <w:rsid w:val="004C2BB6"/>
    <w:rsid w:val="004C2C2D"/>
    <w:rsid w:val="004C3027"/>
    <w:rsid w:val="004C384C"/>
    <w:rsid w:val="004C3867"/>
    <w:rsid w:val="004C3CE4"/>
    <w:rsid w:val="004C3DB0"/>
    <w:rsid w:val="004C4221"/>
    <w:rsid w:val="004C439A"/>
    <w:rsid w:val="004C4720"/>
    <w:rsid w:val="004C4950"/>
    <w:rsid w:val="004C4CD0"/>
    <w:rsid w:val="004C5060"/>
    <w:rsid w:val="004C5165"/>
    <w:rsid w:val="004C589C"/>
    <w:rsid w:val="004C5AE8"/>
    <w:rsid w:val="004C6CC7"/>
    <w:rsid w:val="004C6E0E"/>
    <w:rsid w:val="004C70DC"/>
    <w:rsid w:val="004C74CC"/>
    <w:rsid w:val="004D0211"/>
    <w:rsid w:val="004D0794"/>
    <w:rsid w:val="004D148A"/>
    <w:rsid w:val="004D2D31"/>
    <w:rsid w:val="004D2E03"/>
    <w:rsid w:val="004D3296"/>
    <w:rsid w:val="004D360E"/>
    <w:rsid w:val="004D4056"/>
    <w:rsid w:val="004D483B"/>
    <w:rsid w:val="004D4CB0"/>
    <w:rsid w:val="004D4F03"/>
    <w:rsid w:val="004D5447"/>
    <w:rsid w:val="004D5B0F"/>
    <w:rsid w:val="004D6916"/>
    <w:rsid w:val="004D7385"/>
    <w:rsid w:val="004D7626"/>
    <w:rsid w:val="004D78CD"/>
    <w:rsid w:val="004E07F5"/>
    <w:rsid w:val="004E085C"/>
    <w:rsid w:val="004E12DF"/>
    <w:rsid w:val="004E1368"/>
    <w:rsid w:val="004E13D2"/>
    <w:rsid w:val="004E186A"/>
    <w:rsid w:val="004E18B0"/>
    <w:rsid w:val="004E1A40"/>
    <w:rsid w:val="004E1DB2"/>
    <w:rsid w:val="004E200A"/>
    <w:rsid w:val="004E23FC"/>
    <w:rsid w:val="004E2409"/>
    <w:rsid w:val="004E261D"/>
    <w:rsid w:val="004E3012"/>
    <w:rsid w:val="004E36C5"/>
    <w:rsid w:val="004E3901"/>
    <w:rsid w:val="004E3927"/>
    <w:rsid w:val="004E3B7F"/>
    <w:rsid w:val="004E3BC4"/>
    <w:rsid w:val="004E4882"/>
    <w:rsid w:val="004E50BF"/>
    <w:rsid w:val="004E57BF"/>
    <w:rsid w:val="004E5F41"/>
    <w:rsid w:val="004E6011"/>
    <w:rsid w:val="004E6DE6"/>
    <w:rsid w:val="004E765E"/>
    <w:rsid w:val="004E7815"/>
    <w:rsid w:val="004E79D0"/>
    <w:rsid w:val="004E7C93"/>
    <w:rsid w:val="004F06F5"/>
    <w:rsid w:val="004F0866"/>
    <w:rsid w:val="004F12A4"/>
    <w:rsid w:val="004F1557"/>
    <w:rsid w:val="004F17E7"/>
    <w:rsid w:val="004F253F"/>
    <w:rsid w:val="004F2693"/>
    <w:rsid w:val="004F33A0"/>
    <w:rsid w:val="004F3873"/>
    <w:rsid w:val="004F38A6"/>
    <w:rsid w:val="004F3BD2"/>
    <w:rsid w:val="004F3D8D"/>
    <w:rsid w:val="004F46ED"/>
    <w:rsid w:val="004F49A3"/>
    <w:rsid w:val="004F4C99"/>
    <w:rsid w:val="004F5358"/>
    <w:rsid w:val="004F5FB4"/>
    <w:rsid w:val="004F601B"/>
    <w:rsid w:val="004F6484"/>
    <w:rsid w:val="004F6539"/>
    <w:rsid w:val="004F664A"/>
    <w:rsid w:val="004F72C6"/>
    <w:rsid w:val="004F7A3B"/>
    <w:rsid w:val="004F7B9B"/>
    <w:rsid w:val="00500B90"/>
    <w:rsid w:val="0050155B"/>
    <w:rsid w:val="005036DC"/>
    <w:rsid w:val="00503D54"/>
    <w:rsid w:val="00504215"/>
    <w:rsid w:val="00504513"/>
    <w:rsid w:val="005048E2"/>
    <w:rsid w:val="00504987"/>
    <w:rsid w:val="00504EA4"/>
    <w:rsid w:val="0050586D"/>
    <w:rsid w:val="00505FC8"/>
    <w:rsid w:val="00506603"/>
    <w:rsid w:val="0050668E"/>
    <w:rsid w:val="0050689D"/>
    <w:rsid w:val="005077F5"/>
    <w:rsid w:val="00507E9B"/>
    <w:rsid w:val="005108C0"/>
    <w:rsid w:val="0051094F"/>
    <w:rsid w:val="00511217"/>
    <w:rsid w:val="00511873"/>
    <w:rsid w:val="00511BAF"/>
    <w:rsid w:val="00511EBB"/>
    <w:rsid w:val="00512461"/>
    <w:rsid w:val="00512585"/>
    <w:rsid w:val="005125B8"/>
    <w:rsid w:val="00512A2F"/>
    <w:rsid w:val="005138E7"/>
    <w:rsid w:val="00513B7E"/>
    <w:rsid w:val="00513E9D"/>
    <w:rsid w:val="0051475D"/>
    <w:rsid w:val="00514B11"/>
    <w:rsid w:val="00514BAE"/>
    <w:rsid w:val="00514D48"/>
    <w:rsid w:val="00514DED"/>
    <w:rsid w:val="00515485"/>
    <w:rsid w:val="00515AA7"/>
    <w:rsid w:val="00515BE9"/>
    <w:rsid w:val="00515C74"/>
    <w:rsid w:val="00515CEB"/>
    <w:rsid w:val="0051630F"/>
    <w:rsid w:val="00516FB5"/>
    <w:rsid w:val="00517113"/>
    <w:rsid w:val="005177ED"/>
    <w:rsid w:val="00517C20"/>
    <w:rsid w:val="0052007E"/>
    <w:rsid w:val="0052032E"/>
    <w:rsid w:val="00521CAD"/>
    <w:rsid w:val="0052200D"/>
    <w:rsid w:val="00522425"/>
    <w:rsid w:val="00522A1B"/>
    <w:rsid w:val="00522E01"/>
    <w:rsid w:val="0052337A"/>
    <w:rsid w:val="005235FD"/>
    <w:rsid w:val="00523CBE"/>
    <w:rsid w:val="00524385"/>
    <w:rsid w:val="005246BE"/>
    <w:rsid w:val="00524C43"/>
    <w:rsid w:val="0052504E"/>
    <w:rsid w:val="00525137"/>
    <w:rsid w:val="005251DD"/>
    <w:rsid w:val="00525843"/>
    <w:rsid w:val="00525A38"/>
    <w:rsid w:val="0052635B"/>
    <w:rsid w:val="0052659F"/>
    <w:rsid w:val="00526711"/>
    <w:rsid w:val="00526BE8"/>
    <w:rsid w:val="005271FB"/>
    <w:rsid w:val="0052762C"/>
    <w:rsid w:val="0052792D"/>
    <w:rsid w:val="0053012B"/>
    <w:rsid w:val="005301A6"/>
    <w:rsid w:val="00530A68"/>
    <w:rsid w:val="00530AD4"/>
    <w:rsid w:val="00530CB5"/>
    <w:rsid w:val="0053129F"/>
    <w:rsid w:val="00531C5A"/>
    <w:rsid w:val="005320D6"/>
    <w:rsid w:val="00532C8A"/>
    <w:rsid w:val="00532CE7"/>
    <w:rsid w:val="00532D8B"/>
    <w:rsid w:val="0053324C"/>
    <w:rsid w:val="00533A8D"/>
    <w:rsid w:val="00534A28"/>
    <w:rsid w:val="00535018"/>
    <w:rsid w:val="00535782"/>
    <w:rsid w:val="0053595E"/>
    <w:rsid w:val="00535DF6"/>
    <w:rsid w:val="00535EFB"/>
    <w:rsid w:val="005364EE"/>
    <w:rsid w:val="00536864"/>
    <w:rsid w:val="00537571"/>
    <w:rsid w:val="0053786B"/>
    <w:rsid w:val="00540056"/>
    <w:rsid w:val="005403FA"/>
    <w:rsid w:val="005410E2"/>
    <w:rsid w:val="00541145"/>
    <w:rsid w:val="005413E9"/>
    <w:rsid w:val="00541508"/>
    <w:rsid w:val="0054156A"/>
    <w:rsid w:val="00541AE3"/>
    <w:rsid w:val="00542011"/>
    <w:rsid w:val="00542795"/>
    <w:rsid w:val="00543000"/>
    <w:rsid w:val="00543498"/>
    <w:rsid w:val="00544011"/>
    <w:rsid w:val="00544376"/>
    <w:rsid w:val="00544BE5"/>
    <w:rsid w:val="005453A3"/>
    <w:rsid w:val="00545529"/>
    <w:rsid w:val="005455F6"/>
    <w:rsid w:val="0054582F"/>
    <w:rsid w:val="005459C3"/>
    <w:rsid w:val="00545A09"/>
    <w:rsid w:val="0054603A"/>
    <w:rsid w:val="0054632B"/>
    <w:rsid w:val="005463CF"/>
    <w:rsid w:val="00546982"/>
    <w:rsid w:val="00546FC7"/>
    <w:rsid w:val="00547D48"/>
    <w:rsid w:val="005500F9"/>
    <w:rsid w:val="00550102"/>
    <w:rsid w:val="00550160"/>
    <w:rsid w:val="00550249"/>
    <w:rsid w:val="00550540"/>
    <w:rsid w:val="00551910"/>
    <w:rsid w:val="005519E2"/>
    <w:rsid w:val="00551E16"/>
    <w:rsid w:val="005523A8"/>
    <w:rsid w:val="005525F5"/>
    <w:rsid w:val="00552F2C"/>
    <w:rsid w:val="00553A25"/>
    <w:rsid w:val="00553F4E"/>
    <w:rsid w:val="005547EB"/>
    <w:rsid w:val="00554863"/>
    <w:rsid w:val="005554C7"/>
    <w:rsid w:val="005555E0"/>
    <w:rsid w:val="0055599F"/>
    <w:rsid w:val="00556D68"/>
    <w:rsid w:val="0055707B"/>
    <w:rsid w:val="005570D6"/>
    <w:rsid w:val="0055784A"/>
    <w:rsid w:val="00557E0E"/>
    <w:rsid w:val="00557E45"/>
    <w:rsid w:val="0056056B"/>
    <w:rsid w:val="005605F3"/>
    <w:rsid w:val="00560C41"/>
    <w:rsid w:val="00560C68"/>
    <w:rsid w:val="00560CAC"/>
    <w:rsid w:val="00561639"/>
    <w:rsid w:val="00561F44"/>
    <w:rsid w:val="00562B4D"/>
    <w:rsid w:val="00562DB1"/>
    <w:rsid w:val="005636FF"/>
    <w:rsid w:val="00563EB8"/>
    <w:rsid w:val="005647BF"/>
    <w:rsid w:val="00564AF1"/>
    <w:rsid w:val="00564C19"/>
    <w:rsid w:val="005651B3"/>
    <w:rsid w:val="005655DB"/>
    <w:rsid w:val="00565E88"/>
    <w:rsid w:val="005669F6"/>
    <w:rsid w:val="00567339"/>
    <w:rsid w:val="005678EE"/>
    <w:rsid w:val="00567910"/>
    <w:rsid w:val="00570270"/>
    <w:rsid w:val="00570464"/>
    <w:rsid w:val="00570601"/>
    <w:rsid w:val="00570A34"/>
    <w:rsid w:val="00570BC3"/>
    <w:rsid w:val="0057113A"/>
    <w:rsid w:val="00571766"/>
    <w:rsid w:val="0057182A"/>
    <w:rsid w:val="00571E59"/>
    <w:rsid w:val="00572079"/>
    <w:rsid w:val="005726E2"/>
    <w:rsid w:val="005726EE"/>
    <w:rsid w:val="00572900"/>
    <w:rsid w:val="00573602"/>
    <w:rsid w:val="00573612"/>
    <w:rsid w:val="0057364B"/>
    <w:rsid w:val="00574773"/>
    <w:rsid w:val="005761E8"/>
    <w:rsid w:val="005761EC"/>
    <w:rsid w:val="005766AD"/>
    <w:rsid w:val="00576E34"/>
    <w:rsid w:val="0057727A"/>
    <w:rsid w:val="00577C07"/>
    <w:rsid w:val="00577DB1"/>
    <w:rsid w:val="00577FEB"/>
    <w:rsid w:val="0058035D"/>
    <w:rsid w:val="00580AD3"/>
    <w:rsid w:val="00580DE7"/>
    <w:rsid w:val="005810E1"/>
    <w:rsid w:val="00581680"/>
    <w:rsid w:val="005820CB"/>
    <w:rsid w:val="005820CD"/>
    <w:rsid w:val="0058276F"/>
    <w:rsid w:val="00583BDD"/>
    <w:rsid w:val="00583E52"/>
    <w:rsid w:val="00583FFD"/>
    <w:rsid w:val="00584241"/>
    <w:rsid w:val="00584252"/>
    <w:rsid w:val="005848DD"/>
    <w:rsid w:val="0058519A"/>
    <w:rsid w:val="005856BD"/>
    <w:rsid w:val="00585983"/>
    <w:rsid w:val="00585A37"/>
    <w:rsid w:val="00585BD9"/>
    <w:rsid w:val="0058658B"/>
    <w:rsid w:val="00586BCA"/>
    <w:rsid w:val="00586D16"/>
    <w:rsid w:val="00586E11"/>
    <w:rsid w:val="00587038"/>
    <w:rsid w:val="00590390"/>
    <w:rsid w:val="00590608"/>
    <w:rsid w:val="00590B28"/>
    <w:rsid w:val="005911BE"/>
    <w:rsid w:val="00591273"/>
    <w:rsid w:val="00591E9E"/>
    <w:rsid w:val="005927A4"/>
    <w:rsid w:val="005929EB"/>
    <w:rsid w:val="00592DB2"/>
    <w:rsid w:val="00593152"/>
    <w:rsid w:val="00593389"/>
    <w:rsid w:val="00593A52"/>
    <w:rsid w:val="00593FE6"/>
    <w:rsid w:val="005956A3"/>
    <w:rsid w:val="00595958"/>
    <w:rsid w:val="00595CAB"/>
    <w:rsid w:val="0059622E"/>
    <w:rsid w:val="0059696C"/>
    <w:rsid w:val="00596EAC"/>
    <w:rsid w:val="00597671"/>
    <w:rsid w:val="00597BBF"/>
    <w:rsid w:val="00597BF9"/>
    <w:rsid w:val="00597E2F"/>
    <w:rsid w:val="005A040C"/>
    <w:rsid w:val="005A0463"/>
    <w:rsid w:val="005A05DF"/>
    <w:rsid w:val="005A0948"/>
    <w:rsid w:val="005A0A03"/>
    <w:rsid w:val="005A0BB7"/>
    <w:rsid w:val="005A10F2"/>
    <w:rsid w:val="005A16C0"/>
    <w:rsid w:val="005A1B32"/>
    <w:rsid w:val="005A2156"/>
    <w:rsid w:val="005A21E0"/>
    <w:rsid w:val="005A2401"/>
    <w:rsid w:val="005A28FF"/>
    <w:rsid w:val="005A2C09"/>
    <w:rsid w:val="005A2C72"/>
    <w:rsid w:val="005A3778"/>
    <w:rsid w:val="005A37A5"/>
    <w:rsid w:val="005A37B0"/>
    <w:rsid w:val="005A3DF8"/>
    <w:rsid w:val="005A4787"/>
    <w:rsid w:val="005A5549"/>
    <w:rsid w:val="005A566A"/>
    <w:rsid w:val="005A56E0"/>
    <w:rsid w:val="005A586B"/>
    <w:rsid w:val="005A66B8"/>
    <w:rsid w:val="005A6FEE"/>
    <w:rsid w:val="005A70CA"/>
    <w:rsid w:val="005A7375"/>
    <w:rsid w:val="005A7990"/>
    <w:rsid w:val="005A7ABD"/>
    <w:rsid w:val="005A7CF8"/>
    <w:rsid w:val="005B07B3"/>
    <w:rsid w:val="005B0EDA"/>
    <w:rsid w:val="005B121D"/>
    <w:rsid w:val="005B16DB"/>
    <w:rsid w:val="005B1705"/>
    <w:rsid w:val="005B1B45"/>
    <w:rsid w:val="005B26B0"/>
    <w:rsid w:val="005B39CA"/>
    <w:rsid w:val="005B41C9"/>
    <w:rsid w:val="005B44E6"/>
    <w:rsid w:val="005B4853"/>
    <w:rsid w:val="005B4ECD"/>
    <w:rsid w:val="005B5629"/>
    <w:rsid w:val="005B591B"/>
    <w:rsid w:val="005B6768"/>
    <w:rsid w:val="005B6CA1"/>
    <w:rsid w:val="005B770C"/>
    <w:rsid w:val="005B7910"/>
    <w:rsid w:val="005C06ED"/>
    <w:rsid w:val="005C0CE1"/>
    <w:rsid w:val="005C11B8"/>
    <w:rsid w:val="005C15CC"/>
    <w:rsid w:val="005C216C"/>
    <w:rsid w:val="005C2609"/>
    <w:rsid w:val="005C2B30"/>
    <w:rsid w:val="005C3A0C"/>
    <w:rsid w:val="005C3B1F"/>
    <w:rsid w:val="005C412B"/>
    <w:rsid w:val="005C43EC"/>
    <w:rsid w:val="005C45DD"/>
    <w:rsid w:val="005C460B"/>
    <w:rsid w:val="005C4704"/>
    <w:rsid w:val="005C4CB1"/>
    <w:rsid w:val="005C4EE8"/>
    <w:rsid w:val="005C4F6D"/>
    <w:rsid w:val="005C68DA"/>
    <w:rsid w:val="005C6AE9"/>
    <w:rsid w:val="005C70AB"/>
    <w:rsid w:val="005D015C"/>
    <w:rsid w:val="005D0706"/>
    <w:rsid w:val="005D0B1D"/>
    <w:rsid w:val="005D14DD"/>
    <w:rsid w:val="005D1679"/>
    <w:rsid w:val="005D3F06"/>
    <w:rsid w:val="005D4608"/>
    <w:rsid w:val="005D47A1"/>
    <w:rsid w:val="005D47BF"/>
    <w:rsid w:val="005D4B73"/>
    <w:rsid w:val="005D533D"/>
    <w:rsid w:val="005D5544"/>
    <w:rsid w:val="005D5645"/>
    <w:rsid w:val="005D5802"/>
    <w:rsid w:val="005D5AA9"/>
    <w:rsid w:val="005D5B60"/>
    <w:rsid w:val="005D66E6"/>
    <w:rsid w:val="005D7119"/>
    <w:rsid w:val="005D76C8"/>
    <w:rsid w:val="005D7890"/>
    <w:rsid w:val="005D7AAF"/>
    <w:rsid w:val="005E026B"/>
    <w:rsid w:val="005E0C09"/>
    <w:rsid w:val="005E19C1"/>
    <w:rsid w:val="005E200E"/>
    <w:rsid w:val="005E2194"/>
    <w:rsid w:val="005E24F0"/>
    <w:rsid w:val="005E2E02"/>
    <w:rsid w:val="005E3113"/>
    <w:rsid w:val="005E343F"/>
    <w:rsid w:val="005E36FE"/>
    <w:rsid w:val="005E3F66"/>
    <w:rsid w:val="005E440B"/>
    <w:rsid w:val="005E490F"/>
    <w:rsid w:val="005E4BC9"/>
    <w:rsid w:val="005E4C45"/>
    <w:rsid w:val="005E5314"/>
    <w:rsid w:val="005E5DE7"/>
    <w:rsid w:val="005E61A1"/>
    <w:rsid w:val="005E6F6A"/>
    <w:rsid w:val="005E73E3"/>
    <w:rsid w:val="005E764D"/>
    <w:rsid w:val="005E7724"/>
    <w:rsid w:val="005E7C78"/>
    <w:rsid w:val="005E7FCA"/>
    <w:rsid w:val="005F008C"/>
    <w:rsid w:val="005F04A7"/>
    <w:rsid w:val="005F114F"/>
    <w:rsid w:val="005F121E"/>
    <w:rsid w:val="005F18C5"/>
    <w:rsid w:val="005F216C"/>
    <w:rsid w:val="005F247B"/>
    <w:rsid w:val="005F2A08"/>
    <w:rsid w:val="005F2D46"/>
    <w:rsid w:val="005F36CC"/>
    <w:rsid w:val="005F3825"/>
    <w:rsid w:val="005F3EB1"/>
    <w:rsid w:val="005F413E"/>
    <w:rsid w:val="005F466B"/>
    <w:rsid w:val="005F46D8"/>
    <w:rsid w:val="005F480F"/>
    <w:rsid w:val="005F5271"/>
    <w:rsid w:val="005F5469"/>
    <w:rsid w:val="005F63F3"/>
    <w:rsid w:val="005F66F0"/>
    <w:rsid w:val="005F6A77"/>
    <w:rsid w:val="005F6D7F"/>
    <w:rsid w:val="005F6DFE"/>
    <w:rsid w:val="005F7174"/>
    <w:rsid w:val="005F740B"/>
    <w:rsid w:val="005F7834"/>
    <w:rsid w:val="005F7AD7"/>
    <w:rsid w:val="00600DDA"/>
    <w:rsid w:val="0060120D"/>
    <w:rsid w:val="0060176B"/>
    <w:rsid w:val="006017C1"/>
    <w:rsid w:val="006017FD"/>
    <w:rsid w:val="00601ADE"/>
    <w:rsid w:val="00601EEF"/>
    <w:rsid w:val="0060255A"/>
    <w:rsid w:val="00602583"/>
    <w:rsid w:val="006026D4"/>
    <w:rsid w:val="00602998"/>
    <w:rsid w:val="00602D2B"/>
    <w:rsid w:val="00602EB3"/>
    <w:rsid w:val="006033A4"/>
    <w:rsid w:val="00603C3F"/>
    <w:rsid w:val="00603CF2"/>
    <w:rsid w:val="00603E9E"/>
    <w:rsid w:val="00604307"/>
    <w:rsid w:val="0060487F"/>
    <w:rsid w:val="0060498C"/>
    <w:rsid w:val="00604EAD"/>
    <w:rsid w:val="0060513F"/>
    <w:rsid w:val="0060587A"/>
    <w:rsid w:val="00605AEB"/>
    <w:rsid w:val="00606269"/>
    <w:rsid w:val="006065E2"/>
    <w:rsid w:val="0060694B"/>
    <w:rsid w:val="006070F7"/>
    <w:rsid w:val="00607E1D"/>
    <w:rsid w:val="00610131"/>
    <w:rsid w:val="006104FB"/>
    <w:rsid w:val="006116FF"/>
    <w:rsid w:val="0061176D"/>
    <w:rsid w:val="0061200F"/>
    <w:rsid w:val="00612756"/>
    <w:rsid w:val="00612A2F"/>
    <w:rsid w:val="00612AAE"/>
    <w:rsid w:val="00612ADD"/>
    <w:rsid w:val="00612B07"/>
    <w:rsid w:val="00612C5E"/>
    <w:rsid w:val="00612FD9"/>
    <w:rsid w:val="006131CA"/>
    <w:rsid w:val="006133DA"/>
    <w:rsid w:val="006139E0"/>
    <w:rsid w:val="00613D41"/>
    <w:rsid w:val="006147AA"/>
    <w:rsid w:val="00614D35"/>
    <w:rsid w:val="00614D60"/>
    <w:rsid w:val="006156B4"/>
    <w:rsid w:val="00615DAF"/>
    <w:rsid w:val="00615EBF"/>
    <w:rsid w:val="006160AC"/>
    <w:rsid w:val="00616254"/>
    <w:rsid w:val="00616424"/>
    <w:rsid w:val="0061672A"/>
    <w:rsid w:val="00616E05"/>
    <w:rsid w:val="00617985"/>
    <w:rsid w:val="006201BC"/>
    <w:rsid w:val="006204E0"/>
    <w:rsid w:val="00620641"/>
    <w:rsid w:val="006208EE"/>
    <w:rsid w:val="006209F8"/>
    <w:rsid w:val="00620B77"/>
    <w:rsid w:val="00620CEF"/>
    <w:rsid w:val="00621190"/>
    <w:rsid w:val="0062131B"/>
    <w:rsid w:val="00621533"/>
    <w:rsid w:val="00621E26"/>
    <w:rsid w:val="00621EDD"/>
    <w:rsid w:val="006224EA"/>
    <w:rsid w:val="0062263A"/>
    <w:rsid w:val="0062276B"/>
    <w:rsid w:val="006227DF"/>
    <w:rsid w:val="006234A0"/>
    <w:rsid w:val="006236C8"/>
    <w:rsid w:val="00624093"/>
    <w:rsid w:val="0062415E"/>
    <w:rsid w:val="00624A61"/>
    <w:rsid w:val="006252C0"/>
    <w:rsid w:val="00625A84"/>
    <w:rsid w:val="00626079"/>
    <w:rsid w:val="006268C3"/>
    <w:rsid w:val="006272C4"/>
    <w:rsid w:val="006275B5"/>
    <w:rsid w:val="00627725"/>
    <w:rsid w:val="00631698"/>
    <w:rsid w:val="0063177C"/>
    <w:rsid w:val="00631E44"/>
    <w:rsid w:val="00632280"/>
    <w:rsid w:val="0063385B"/>
    <w:rsid w:val="00634898"/>
    <w:rsid w:val="00634C57"/>
    <w:rsid w:val="00634CE7"/>
    <w:rsid w:val="006350D5"/>
    <w:rsid w:val="006350FD"/>
    <w:rsid w:val="00635EBE"/>
    <w:rsid w:val="0063642C"/>
    <w:rsid w:val="006367CA"/>
    <w:rsid w:val="006369D5"/>
    <w:rsid w:val="00636DDD"/>
    <w:rsid w:val="00636EA3"/>
    <w:rsid w:val="006376B3"/>
    <w:rsid w:val="00637858"/>
    <w:rsid w:val="00637B24"/>
    <w:rsid w:val="00637E46"/>
    <w:rsid w:val="006404A7"/>
    <w:rsid w:val="00640A38"/>
    <w:rsid w:val="00640E6B"/>
    <w:rsid w:val="006413FC"/>
    <w:rsid w:val="00641787"/>
    <w:rsid w:val="0064179B"/>
    <w:rsid w:val="00642338"/>
    <w:rsid w:val="006423CE"/>
    <w:rsid w:val="0064247B"/>
    <w:rsid w:val="00642489"/>
    <w:rsid w:val="00643D34"/>
    <w:rsid w:val="00643DFB"/>
    <w:rsid w:val="00644055"/>
    <w:rsid w:val="00644137"/>
    <w:rsid w:val="006442DB"/>
    <w:rsid w:val="006445A3"/>
    <w:rsid w:val="0064478C"/>
    <w:rsid w:val="00644867"/>
    <w:rsid w:val="0064492A"/>
    <w:rsid w:val="00644938"/>
    <w:rsid w:val="006450A3"/>
    <w:rsid w:val="00645160"/>
    <w:rsid w:val="006451E4"/>
    <w:rsid w:val="006453B2"/>
    <w:rsid w:val="0064574B"/>
    <w:rsid w:val="00645B33"/>
    <w:rsid w:val="00647D36"/>
    <w:rsid w:val="00647EDC"/>
    <w:rsid w:val="006502AB"/>
    <w:rsid w:val="0065070F"/>
    <w:rsid w:val="0065153D"/>
    <w:rsid w:val="006516CB"/>
    <w:rsid w:val="00652444"/>
    <w:rsid w:val="00652E30"/>
    <w:rsid w:val="00653BD0"/>
    <w:rsid w:val="00653D96"/>
    <w:rsid w:val="00654110"/>
    <w:rsid w:val="006544E5"/>
    <w:rsid w:val="00654605"/>
    <w:rsid w:val="00656B48"/>
    <w:rsid w:val="00656C5D"/>
    <w:rsid w:val="00656CFB"/>
    <w:rsid w:val="00656D25"/>
    <w:rsid w:val="00657077"/>
    <w:rsid w:val="00657099"/>
    <w:rsid w:val="006576BB"/>
    <w:rsid w:val="00657E87"/>
    <w:rsid w:val="006607D7"/>
    <w:rsid w:val="00660AA1"/>
    <w:rsid w:val="00660D2D"/>
    <w:rsid w:val="00660D4A"/>
    <w:rsid w:val="0066110B"/>
    <w:rsid w:val="00661C41"/>
    <w:rsid w:val="00661EC9"/>
    <w:rsid w:val="00662469"/>
    <w:rsid w:val="0066294E"/>
    <w:rsid w:val="006633C7"/>
    <w:rsid w:val="006636BD"/>
    <w:rsid w:val="0066411C"/>
    <w:rsid w:val="00664205"/>
    <w:rsid w:val="00664647"/>
    <w:rsid w:val="00664803"/>
    <w:rsid w:val="0066502F"/>
    <w:rsid w:val="006653CC"/>
    <w:rsid w:val="00665501"/>
    <w:rsid w:val="00665982"/>
    <w:rsid w:val="00665BA4"/>
    <w:rsid w:val="006660CE"/>
    <w:rsid w:val="006661C5"/>
    <w:rsid w:val="00666BF3"/>
    <w:rsid w:val="0066701F"/>
    <w:rsid w:val="006674A5"/>
    <w:rsid w:val="00667856"/>
    <w:rsid w:val="00667888"/>
    <w:rsid w:val="00667AF2"/>
    <w:rsid w:val="00667C83"/>
    <w:rsid w:val="006702E9"/>
    <w:rsid w:val="00670489"/>
    <w:rsid w:val="006710C9"/>
    <w:rsid w:val="006712D8"/>
    <w:rsid w:val="00671C2B"/>
    <w:rsid w:val="00671D85"/>
    <w:rsid w:val="00671FFC"/>
    <w:rsid w:val="006721E0"/>
    <w:rsid w:val="00672586"/>
    <w:rsid w:val="006727BC"/>
    <w:rsid w:val="00673231"/>
    <w:rsid w:val="006741CD"/>
    <w:rsid w:val="006745DF"/>
    <w:rsid w:val="00674BAC"/>
    <w:rsid w:val="00674D89"/>
    <w:rsid w:val="00674FE8"/>
    <w:rsid w:val="0067514E"/>
    <w:rsid w:val="006756C1"/>
    <w:rsid w:val="00675CB1"/>
    <w:rsid w:val="00675E37"/>
    <w:rsid w:val="0067635D"/>
    <w:rsid w:val="00676556"/>
    <w:rsid w:val="00676736"/>
    <w:rsid w:val="006769A4"/>
    <w:rsid w:val="006769C6"/>
    <w:rsid w:val="00676A86"/>
    <w:rsid w:val="00676D76"/>
    <w:rsid w:val="00676F9F"/>
    <w:rsid w:val="0067701A"/>
    <w:rsid w:val="00677385"/>
    <w:rsid w:val="00677519"/>
    <w:rsid w:val="00677591"/>
    <w:rsid w:val="00677594"/>
    <w:rsid w:val="00677FA3"/>
    <w:rsid w:val="00677FC7"/>
    <w:rsid w:val="0068032F"/>
    <w:rsid w:val="006807C7"/>
    <w:rsid w:val="006809DE"/>
    <w:rsid w:val="00680D37"/>
    <w:rsid w:val="0068174E"/>
    <w:rsid w:val="00681DCE"/>
    <w:rsid w:val="00682110"/>
    <w:rsid w:val="0068260E"/>
    <w:rsid w:val="0068316D"/>
    <w:rsid w:val="00683FEC"/>
    <w:rsid w:val="006846B3"/>
    <w:rsid w:val="006849F8"/>
    <w:rsid w:val="00684B9B"/>
    <w:rsid w:val="00684D59"/>
    <w:rsid w:val="00684E25"/>
    <w:rsid w:val="006856A4"/>
    <w:rsid w:val="006858A4"/>
    <w:rsid w:val="00685C08"/>
    <w:rsid w:val="00685C8C"/>
    <w:rsid w:val="006862C6"/>
    <w:rsid w:val="00686718"/>
    <w:rsid w:val="00686BFA"/>
    <w:rsid w:val="00686DED"/>
    <w:rsid w:val="006873FF"/>
    <w:rsid w:val="006875A0"/>
    <w:rsid w:val="006878C6"/>
    <w:rsid w:val="00687D27"/>
    <w:rsid w:val="006906C6"/>
    <w:rsid w:val="00690EAD"/>
    <w:rsid w:val="00691943"/>
    <w:rsid w:val="00691DDB"/>
    <w:rsid w:val="00692D4C"/>
    <w:rsid w:val="00693319"/>
    <w:rsid w:val="00693550"/>
    <w:rsid w:val="006935DA"/>
    <w:rsid w:val="00693F2E"/>
    <w:rsid w:val="00694622"/>
    <w:rsid w:val="00694F90"/>
    <w:rsid w:val="00695065"/>
    <w:rsid w:val="00695BEF"/>
    <w:rsid w:val="00696251"/>
    <w:rsid w:val="006966C7"/>
    <w:rsid w:val="006968C1"/>
    <w:rsid w:val="006977F6"/>
    <w:rsid w:val="00697827"/>
    <w:rsid w:val="00697A13"/>
    <w:rsid w:val="00697A4F"/>
    <w:rsid w:val="006A065C"/>
    <w:rsid w:val="006A0DD4"/>
    <w:rsid w:val="006A109C"/>
    <w:rsid w:val="006A231B"/>
    <w:rsid w:val="006A2942"/>
    <w:rsid w:val="006A3CAF"/>
    <w:rsid w:val="006A3DDC"/>
    <w:rsid w:val="006A4E91"/>
    <w:rsid w:val="006A5072"/>
    <w:rsid w:val="006A5F4B"/>
    <w:rsid w:val="006A60DC"/>
    <w:rsid w:val="006A6114"/>
    <w:rsid w:val="006A6151"/>
    <w:rsid w:val="006A6565"/>
    <w:rsid w:val="006A6BEA"/>
    <w:rsid w:val="006A7665"/>
    <w:rsid w:val="006A7691"/>
    <w:rsid w:val="006A7EE2"/>
    <w:rsid w:val="006B0402"/>
    <w:rsid w:val="006B0514"/>
    <w:rsid w:val="006B0F92"/>
    <w:rsid w:val="006B133E"/>
    <w:rsid w:val="006B1AAE"/>
    <w:rsid w:val="006B21A0"/>
    <w:rsid w:val="006B2785"/>
    <w:rsid w:val="006B27C7"/>
    <w:rsid w:val="006B2BC2"/>
    <w:rsid w:val="006B31E5"/>
    <w:rsid w:val="006B344A"/>
    <w:rsid w:val="006B5324"/>
    <w:rsid w:val="006B55A2"/>
    <w:rsid w:val="006B58C9"/>
    <w:rsid w:val="006B60ED"/>
    <w:rsid w:val="006B65B4"/>
    <w:rsid w:val="006B6CC5"/>
    <w:rsid w:val="006B6DFA"/>
    <w:rsid w:val="006B74AC"/>
    <w:rsid w:val="006B78D8"/>
    <w:rsid w:val="006B79AD"/>
    <w:rsid w:val="006B79EA"/>
    <w:rsid w:val="006B7B00"/>
    <w:rsid w:val="006B7EB2"/>
    <w:rsid w:val="006C013D"/>
    <w:rsid w:val="006C03E1"/>
    <w:rsid w:val="006C0C5D"/>
    <w:rsid w:val="006C113F"/>
    <w:rsid w:val="006C123E"/>
    <w:rsid w:val="006C15A1"/>
    <w:rsid w:val="006C1752"/>
    <w:rsid w:val="006C17CA"/>
    <w:rsid w:val="006C1984"/>
    <w:rsid w:val="006C19E6"/>
    <w:rsid w:val="006C1DDC"/>
    <w:rsid w:val="006C28CA"/>
    <w:rsid w:val="006C2BBF"/>
    <w:rsid w:val="006C2DBE"/>
    <w:rsid w:val="006C2FBD"/>
    <w:rsid w:val="006C30B9"/>
    <w:rsid w:val="006C3336"/>
    <w:rsid w:val="006C3495"/>
    <w:rsid w:val="006C3A4A"/>
    <w:rsid w:val="006C40C6"/>
    <w:rsid w:val="006C4355"/>
    <w:rsid w:val="006C4587"/>
    <w:rsid w:val="006C469D"/>
    <w:rsid w:val="006C46B5"/>
    <w:rsid w:val="006C4818"/>
    <w:rsid w:val="006C484F"/>
    <w:rsid w:val="006C52EC"/>
    <w:rsid w:val="006C5506"/>
    <w:rsid w:val="006C56D4"/>
    <w:rsid w:val="006C6272"/>
    <w:rsid w:val="006C6681"/>
    <w:rsid w:val="006C683C"/>
    <w:rsid w:val="006C6847"/>
    <w:rsid w:val="006C6924"/>
    <w:rsid w:val="006C6C1E"/>
    <w:rsid w:val="006C7076"/>
    <w:rsid w:val="006C7981"/>
    <w:rsid w:val="006C7AEC"/>
    <w:rsid w:val="006C7CA6"/>
    <w:rsid w:val="006C7E90"/>
    <w:rsid w:val="006D045E"/>
    <w:rsid w:val="006D0DE1"/>
    <w:rsid w:val="006D15D3"/>
    <w:rsid w:val="006D18B3"/>
    <w:rsid w:val="006D192C"/>
    <w:rsid w:val="006D1E89"/>
    <w:rsid w:val="006D26CE"/>
    <w:rsid w:val="006D2850"/>
    <w:rsid w:val="006D317E"/>
    <w:rsid w:val="006D388D"/>
    <w:rsid w:val="006D3E8A"/>
    <w:rsid w:val="006D4040"/>
    <w:rsid w:val="006D47D9"/>
    <w:rsid w:val="006D57A6"/>
    <w:rsid w:val="006D61F6"/>
    <w:rsid w:val="006D63B1"/>
    <w:rsid w:val="006D665F"/>
    <w:rsid w:val="006D6B1A"/>
    <w:rsid w:val="006E1081"/>
    <w:rsid w:val="006E1332"/>
    <w:rsid w:val="006E19CB"/>
    <w:rsid w:val="006E20A5"/>
    <w:rsid w:val="006E234C"/>
    <w:rsid w:val="006E279A"/>
    <w:rsid w:val="006E2A7F"/>
    <w:rsid w:val="006E313B"/>
    <w:rsid w:val="006E34B2"/>
    <w:rsid w:val="006E3A45"/>
    <w:rsid w:val="006E4078"/>
    <w:rsid w:val="006E483A"/>
    <w:rsid w:val="006E51C4"/>
    <w:rsid w:val="006E53AD"/>
    <w:rsid w:val="006E58CB"/>
    <w:rsid w:val="006E6182"/>
    <w:rsid w:val="006E6A93"/>
    <w:rsid w:val="006E6BD5"/>
    <w:rsid w:val="006E70BA"/>
    <w:rsid w:val="006E7227"/>
    <w:rsid w:val="006E7275"/>
    <w:rsid w:val="006E761A"/>
    <w:rsid w:val="006E7794"/>
    <w:rsid w:val="006E7C3B"/>
    <w:rsid w:val="006E7DB5"/>
    <w:rsid w:val="006E7F07"/>
    <w:rsid w:val="006F0646"/>
    <w:rsid w:val="006F0741"/>
    <w:rsid w:val="006F08B6"/>
    <w:rsid w:val="006F0D61"/>
    <w:rsid w:val="006F0F78"/>
    <w:rsid w:val="006F1C27"/>
    <w:rsid w:val="006F2A65"/>
    <w:rsid w:val="006F2EA1"/>
    <w:rsid w:val="006F3DD6"/>
    <w:rsid w:val="006F40DF"/>
    <w:rsid w:val="006F42BB"/>
    <w:rsid w:val="006F438E"/>
    <w:rsid w:val="006F440B"/>
    <w:rsid w:val="006F4638"/>
    <w:rsid w:val="006F48A3"/>
    <w:rsid w:val="006F4DA4"/>
    <w:rsid w:val="006F5416"/>
    <w:rsid w:val="006F564E"/>
    <w:rsid w:val="006F5929"/>
    <w:rsid w:val="006F624B"/>
    <w:rsid w:val="006F64EC"/>
    <w:rsid w:val="006F674E"/>
    <w:rsid w:val="006F6D87"/>
    <w:rsid w:val="006F6FF2"/>
    <w:rsid w:val="006F79FB"/>
    <w:rsid w:val="0070016C"/>
    <w:rsid w:val="007008A9"/>
    <w:rsid w:val="00700E8A"/>
    <w:rsid w:val="007018A4"/>
    <w:rsid w:val="007032D4"/>
    <w:rsid w:val="0070398A"/>
    <w:rsid w:val="00704D20"/>
    <w:rsid w:val="00705242"/>
    <w:rsid w:val="007055E0"/>
    <w:rsid w:val="007056ED"/>
    <w:rsid w:val="00705F4E"/>
    <w:rsid w:val="0070658E"/>
    <w:rsid w:val="007065C5"/>
    <w:rsid w:val="007068E1"/>
    <w:rsid w:val="00706AA0"/>
    <w:rsid w:val="00706AD4"/>
    <w:rsid w:val="00707150"/>
    <w:rsid w:val="007124D7"/>
    <w:rsid w:val="0071275A"/>
    <w:rsid w:val="00712C20"/>
    <w:rsid w:val="00712CD7"/>
    <w:rsid w:val="00713549"/>
    <w:rsid w:val="007140BE"/>
    <w:rsid w:val="00714227"/>
    <w:rsid w:val="007147AB"/>
    <w:rsid w:val="00715502"/>
    <w:rsid w:val="00715D01"/>
    <w:rsid w:val="00715E4D"/>
    <w:rsid w:val="00715F12"/>
    <w:rsid w:val="0071677A"/>
    <w:rsid w:val="00716974"/>
    <w:rsid w:val="00716F48"/>
    <w:rsid w:val="007170FB"/>
    <w:rsid w:val="00717114"/>
    <w:rsid w:val="00717127"/>
    <w:rsid w:val="0071779F"/>
    <w:rsid w:val="00717A77"/>
    <w:rsid w:val="007201A6"/>
    <w:rsid w:val="00720310"/>
    <w:rsid w:val="0072080A"/>
    <w:rsid w:val="00720D7A"/>
    <w:rsid w:val="007211F5"/>
    <w:rsid w:val="007213C3"/>
    <w:rsid w:val="00721601"/>
    <w:rsid w:val="00722777"/>
    <w:rsid w:val="00723435"/>
    <w:rsid w:val="00723436"/>
    <w:rsid w:val="007240E2"/>
    <w:rsid w:val="0072420F"/>
    <w:rsid w:val="0072454C"/>
    <w:rsid w:val="0072583E"/>
    <w:rsid w:val="00725BB5"/>
    <w:rsid w:val="00725E58"/>
    <w:rsid w:val="00726AB2"/>
    <w:rsid w:val="007278B8"/>
    <w:rsid w:val="00727C02"/>
    <w:rsid w:val="0073008E"/>
    <w:rsid w:val="00730A8B"/>
    <w:rsid w:val="00730AE8"/>
    <w:rsid w:val="00730F1B"/>
    <w:rsid w:val="0073131F"/>
    <w:rsid w:val="0073136D"/>
    <w:rsid w:val="0073186D"/>
    <w:rsid w:val="00731921"/>
    <w:rsid w:val="007320DE"/>
    <w:rsid w:val="00732344"/>
    <w:rsid w:val="0073261D"/>
    <w:rsid w:val="0073263E"/>
    <w:rsid w:val="0073333D"/>
    <w:rsid w:val="007343C9"/>
    <w:rsid w:val="007343D9"/>
    <w:rsid w:val="00734A46"/>
    <w:rsid w:val="00734F71"/>
    <w:rsid w:val="00735448"/>
    <w:rsid w:val="00736143"/>
    <w:rsid w:val="00736F07"/>
    <w:rsid w:val="007377BD"/>
    <w:rsid w:val="00737A53"/>
    <w:rsid w:val="00737DEC"/>
    <w:rsid w:val="0074004D"/>
    <w:rsid w:val="0074121F"/>
    <w:rsid w:val="007413E4"/>
    <w:rsid w:val="00741493"/>
    <w:rsid w:val="00741F2A"/>
    <w:rsid w:val="007434E5"/>
    <w:rsid w:val="00743884"/>
    <w:rsid w:val="007445B4"/>
    <w:rsid w:val="007448A7"/>
    <w:rsid w:val="0074499B"/>
    <w:rsid w:val="007449D6"/>
    <w:rsid w:val="0074501E"/>
    <w:rsid w:val="007450BF"/>
    <w:rsid w:val="0074598E"/>
    <w:rsid w:val="0074599A"/>
    <w:rsid w:val="007463DA"/>
    <w:rsid w:val="00746EE5"/>
    <w:rsid w:val="00746F45"/>
    <w:rsid w:val="007471A1"/>
    <w:rsid w:val="007477BD"/>
    <w:rsid w:val="007477DA"/>
    <w:rsid w:val="007479D0"/>
    <w:rsid w:val="00747EE9"/>
    <w:rsid w:val="007507E8"/>
    <w:rsid w:val="00750B95"/>
    <w:rsid w:val="00751676"/>
    <w:rsid w:val="007520B6"/>
    <w:rsid w:val="00752180"/>
    <w:rsid w:val="00752323"/>
    <w:rsid w:val="0075325D"/>
    <w:rsid w:val="00753270"/>
    <w:rsid w:val="007532B7"/>
    <w:rsid w:val="00753CAB"/>
    <w:rsid w:val="007548B1"/>
    <w:rsid w:val="00754A70"/>
    <w:rsid w:val="00754BC9"/>
    <w:rsid w:val="00755202"/>
    <w:rsid w:val="0075554A"/>
    <w:rsid w:val="00755D3A"/>
    <w:rsid w:val="00756F00"/>
    <w:rsid w:val="00757241"/>
    <w:rsid w:val="0075751D"/>
    <w:rsid w:val="0075763E"/>
    <w:rsid w:val="007578D3"/>
    <w:rsid w:val="00757CC1"/>
    <w:rsid w:val="007602CF"/>
    <w:rsid w:val="00760391"/>
    <w:rsid w:val="007609C6"/>
    <w:rsid w:val="007615F3"/>
    <w:rsid w:val="0076175D"/>
    <w:rsid w:val="00761CB5"/>
    <w:rsid w:val="00762978"/>
    <w:rsid w:val="007629D5"/>
    <w:rsid w:val="00763534"/>
    <w:rsid w:val="007635F8"/>
    <w:rsid w:val="00763A88"/>
    <w:rsid w:val="00763B36"/>
    <w:rsid w:val="00763B85"/>
    <w:rsid w:val="00763C57"/>
    <w:rsid w:val="00763D45"/>
    <w:rsid w:val="00764423"/>
    <w:rsid w:val="007644A2"/>
    <w:rsid w:val="00764974"/>
    <w:rsid w:val="00764D18"/>
    <w:rsid w:val="00764E6D"/>
    <w:rsid w:val="007651DB"/>
    <w:rsid w:val="0076521E"/>
    <w:rsid w:val="00765222"/>
    <w:rsid w:val="0076579C"/>
    <w:rsid w:val="00765887"/>
    <w:rsid w:val="00765928"/>
    <w:rsid w:val="00765964"/>
    <w:rsid w:val="00765BCC"/>
    <w:rsid w:val="0076600D"/>
    <w:rsid w:val="007661E9"/>
    <w:rsid w:val="00766460"/>
    <w:rsid w:val="0076692D"/>
    <w:rsid w:val="00766A34"/>
    <w:rsid w:val="00767062"/>
    <w:rsid w:val="00767601"/>
    <w:rsid w:val="00767629"/>
    <w:rsid w:val="00767777"/>
    <w:rsid w:val="0076789E"/>
    <w:rsid w:val="00767933"/>
    <w:rsid w:val="00770AB9"/>
    <w:rsid w:val="00770CFC"/>
    <w:rsid w:val="0077130E"/>
    <w:rsid w:val="007713A6"/>
    <w:rsid w:val="007715EE"/>
    <w:rsid w:val="007718D7"/>
    <w:rsid w:val="00771972"/>
    <w:rsid w:val="00771AC5"/>
    <w:rsid w:val="00772279"/>
    <w:rsid w:val="00772DAB"/>
    <w:rsid w:val="00772FF9"/>
    <w:rsid w:val="0077348B"/>
    <w:rsid w:val="00773E63"/>
    <w:rsid w:val="007743DB"/>
    <w:rsid w:val="00774430"/>
    <w:rsid w:val="00774D2C"/>
    <w:rsid w:val="00775327"/>
    <w:rsid w:val="00775E00"/>
    <w:rsid w:val="0077605B"/>
    <w:rsid w:val="00776169"/>
    <w:rsid w:val="007763D0"/>
    <w:rsid w:val="00776527"/>
    <w:rsid w:val="00776858"/>
    <w:rsid w:val="00776ED7"/>
    <w:rsid w:val="00777040"/>
    <w:rsid w:val="00777815"/>
    <w:rsid w:val="00777CE6"/>
    <w:rsid w:val="00777D57"/>
    <w:rsid w:val="0078042D"/>
    <w:rsid w:val="00780BF0"/>
    <w:rsid w:val="00780EF1"/>
    <w:rsid w:val="00780FDA"/>
    <w:rsid w:val="00781A91"/>
    <w:rsid w:val="00781AD3"/>
    <w:rsid w:val="00781F36"/>
    <w:rsid w:val="00783576"/>
    <w:rsid w:val="00784980"/>
    <w:rsid w:val="0078539D"/>
    <w:rsid w:val="007853FD"/>
    <w:rsid w:val="00785778"/>
    <w:rsid w:val="0078653D"/>
    <w:rsid w:val="00786C87"/>
    <w:rsid w:val="0078755E"/>
    <w:rsid w:val="007877C9"/>
    <w:rsid w:val="007903EA"/>
    <w:rsid w:val="00790408"/>
    <w:rsid w:val="00790764"/>
    <w:rsid w:val="00790781"/>
    <w:rsid w:val="0079085F"/>
    <w:rsid w:val="00790B2B"/>
    <w:rsid w:val="00790E96"/>
    <w:rsid w:val="00791005"/>
    <w:rsid w:val="00791D9E"/>
    <w:rsid w:val="007923FF"/>
    <w:rsid w:val="00792596"/>
    <w:rsid w:val="00793684"/>
    <w:rsid w:val="00793776"/>
    <w:rsid w:val="00793C8D"/>
    <w:rsid w:val="00793D78"/>
    <w:rsid w:val="0079420B"/>
    <w:rsid w:val="0079453C"/>
    <w:rsid w:val="00794677"/>
    <w:rsid w:val="0079495C"/>
    <w:rsid w:val="00794FFF"/>
    <w:rsid w:val="0079505F"/>
    <w:rsid w:val="00795759"/>
    <w:rsid w:val="00795C85"/>
    <w:rsid w:val="00796993"/>
    <w:rsid w:val="00796F41"/>
    <w:rsid w:val="00797767"/>
    <w:rsid w:val="007A0358"/>
    <w:rsid w:val="007A0AB6"/>
    <w:rsid w:val="007A0B5E"/>
    <w:rsid w:val="007A170B"/>
    <w:rsid w:val="007A1D5E"/>
    <w:rsid w:val="007A20EB"/>
    <w:rsid w:val="007A22D4"/>
    <w:rsid w:val="007A282C"/>
    <w:rsid w:val="007A293C"/>
    <w:rsid w:val="007A2A3A"/>
    <w:rsid w:val="007A3108"/>
    <w:rsid w:val="007A33E2"/>
    <w:rsid w:val="007A3AEA"/>
    <w:rsid w:val="007A3C7D"/>
    <w:rsid w:val="007A3CAF"/>
    <w:rsid w:val="007A3DF9"/>
    <w:rsid w:val="007A4664"/>
    <w:rsid w:val="007A4782"/>
    <w:rsid w:val="007A516D"/>
    <w:rsid w:val="007A5E65"/>
    <w:rsid w:val="007A65E1"/>
    <w:rsid w:val="007A6A6E"/>
    <w:rsid w:val="007A6AAA"/>
    <w:rsid w:val="007A7033"/>
    <w:rsid w:val="007A74C1"/>
    <w:rsid w:val="007A775D"/>
    <w:rsid w:val="007B04B0"/>
    <w:rsid w:val="007B0834"/>
    <w:rsid w:val="007B0D2A"/>
    <w:rsid w:val="007B0E83"/>
    <w:rsid w:val="007B112A"/>
    <w:rsid w:val="007B11FA"/>
    <w:rsid w:val="007B1396"/>
    <w:rsid w:val="007B168D"/>
    <w:rsid w:val="007B16D6"/>
    <w:rsid w:val="007B1D1B"/>
    <w:rsid w:val="007B2011"/>
    <w:rsid w:val="007B2CFE"/>
    <w:rsid w:val="007B309B"/>
    <w:rsid w:val="007B3D5E"/>
    <w:rsid w:val="007B3DCB"/>
    <w:rsid w:val="007B4C01"/>
    <w:rsid w:val="007B4EA5"/>
    <w:rsid w:val="007B530A"/>
    <w:rsid w:val="007B54AE"/>
    <w:rsid w:val="007B5725"/>
    <w:rsid w:val="007B5B4F"/>
    <w:rsid w:val="007B5C1F"/>
    <w:rsid w:val="007B5D71"/>
    <w:rsid w:val="007B6689"/>
    <w:rsid w:val="007B6747"/>
    <w:rsid w:val="007B6F72"/>
    <w:rsid w:val="007B72A4"/>
    <w:rsid w:val="007B72F7"/>
    <w:rsid w:val="007B74AA"/>
    <w:rsid w:val="007C091B"/>
    <w:rsid w:val="007C10BD"/>
    <w:rsid w:val="007C162D"/>
    <w:rsid w:val="007C1A03"/>
    <w:rsid w:val="007C1B8B"/>
    <w:rsid w:val="007C1F0C"/>
    <w:rsid w:val="007C1FFB"/>
    <w:rsid w:val="007C2D94"/>
    <w:rsid w:val="007C382F"/>
    <w:rsid w:val="007C3BF7"/>
    <w:rsid w:val="007C4281"/>
    <w:rsid w:val="007C43A7"/>
    <w:rsid w:val="007C4A6B"/>
    <w:rsid w:val="007C4B3E"/>
    <w:rsid w:val="007C5055"/>
    <w:rsid w:val="007C5F92"/>
    <w:rsid w:val="007C6002"/>
    <w:rsid w:val="007C6227"/>
    <w:rsid w:val="007C64F7"/>
    <w:rsid w:val="007C6A5C"/>
    <w:rsid w:val="007C6BBD"/>
    <w:rsid w:val="007C6D89"/>
    <w:rsid w:val="007C6F5E"/>
    <w:rsid w:val="007D0382"/>
    <w:rsid w:val="007D0F6B"/>
    <w:rsid w:val="007D1467"/>
    <w:rsid w:val="007D14FE"/>
    <w:rsid w:val="007D1627"/>
    <w:rsid w:val="007D1A1F"/>
    <w:rsid w:val="007D1A29"/>
    <w:rsid w:val="007D213B"/>
    <w:rsid w:val="007D2783"/>
    <w:rsid w:val="007D2E18"/>
    <w:rsid w:val="007D3EF3"/>
    <w:rsid w:val="007D40DF"/>
    <w:rsid w:val="007D42E5"/>
    <w:rsid w:val="007D4458"/>
    <w:rsid w:val="007D58BD"/>
    <w:rsid w:val="007D61BF"/>
    <w:rsid w:val="007D6851"/>
    <w:rsid w:val="007D6861"/>
    <w:rsid w:val="007D6AF9"/>
    <w:rsid w:val="007D7763"/>
    <w:rsid w:val="007E0535"/>
    <w:rsid w:val="007E07F2"/>
    <w:rsid w:val="007E0D4A"/>
    <w:rsid w:val="007E0F2A"/>
    <w:rsid w:val="007E1443"/>
    <w:rsid w:val="007E15E3"/>
    <w:rsid w:val="007E1788"/>
    <w:rsid w:val="007E1EE3"/>
    <w:rsid w:val="007E29B4"/>
    <w:rsid w:val="007E2F12"/>
    <w:rsid w:val="007E3627"/>
    <w:rsid w:val="007E435A"/>
    <w:rsid w:val="007E445C"/>
    <w:rsid w:val="007E49F7"/>
    <w:rsid w:val="007E4AF6"/>
    <w:rsid w:val="007E4C70"/>
    <w:rsid w:val="007E4FF4"/>
    <w:rsid w:val="007E5149"/>
    <w:rsid w:val="007E5815"/>
    <w:rsid w:val="007E5B5F"/>
    <w:rsid w:val="007E5FFD"/>
    <w:rsid w:val="007E69C6"/>
    <w:rsid w:val="007E6F9A"/>
    <w:rsid w:val="007E713A"/>
    <w:rsid w:val="007E78B6"/>
    <w:rsid w:val="007E7978"/>
    <w:rsid w:val="007E7E61"/>
    <w:rsid w:val="007F0845"/>
    <w:rsid w:val="007F0873"/>
    <w:rsid w:val="007F0DFD"/>
    <w:rsid w:val="007F0E1D"/>
    <w:rsid w:val="007F1D62"/>
    <w:rsid w:val="007F20F3"/>
    <w:rsid w:val="007F2353"/>
    <w:rsid w:val="007F2390"/>
    <w:rsid w:val="007F2456"/>
    <w:rsid w:val="007F2CAC"/>
    <w:rsid w:val="007F3AB3"/>
    <w:rsid w:val="007F3CB6"/>
    <w:rsid w:val="007F452F"/>
    <w:rsid w:val="007F4740"/>
    <w:rsid w:val="007F5691"/>
    <w:rsid w:val="007F595A"/>
    <w:rsid w:val="007F5C38"/>
    <w:rsid w:val="007F708D"/>
    <w:rsid w:val="007F7E3F"/>
    <w:rsid w:val="007F7E65"/>
    <w:rsid w:val="008006B3"/>
    <w:rsid w:val="00800B63"/>
    <w:rsid w:val="0080158A"/>
    <w:rsid w:val="008015FF"/>
    <w:rsid w:val="00801AD3"/>
    <w:rsid w:val="00801D2D"/>
    <w:rsid w:val="00801E13"/>
    <w:rsid w:val="00803008"/>
    <w:rsid w:val="00803069"/>
    <w:rsid w:val="0080346B"/>
    <w:rsid w:val="008037A0"/>
    <w:rsid w:val="00803B5C"/>
    <w:rsid w:val="00803BDB"/>
    <w:rsid w:val="00804155"/>
    <w:rsid w:val="00804C9F"/>
    <w:rsid w:val="0080524F"/>
    <w:rsid w:val="0080559E"/>
    <w:rsid w:val="00805920"/>
    <w:rsid w:val="00805928"/>
    <w:rsid w:val="00805AF3"/>
    <w:rsid w:val="008065B0"/>
    <w:rsid w:val="00806C9C"/>
    <w:rsid w:val="008071B1"/>
    <w:rsid w:val="0080734C"/>
    <w:rsid w:val="00807C82"/>
    <w:rsid w:val="008100EB"/>
    <w:rsid w:val="008107EE"/>
    <w:rsid w:val="008117CC"/>
    <w:rsid w:val="00811FF8"/>
    <w:rsid w:val="008120E1"/>
    <w:rsid w:val="00812E3E"/>
    <w:rsid w:val="00812F19"/>
    <w:rsid w:val="0081398C"/>
    <w:rsid w:val="00813D58"/>
    <w:rsid w:val="00813DCA"/>
    <w:rsid w:val="008140E8"/>
    <w:rsid w:val="00815A7D"/>
    <w:rsid w:val="008161A6"/>
    <w:rsid w:val="0081621D"/>
    <w:rsid w:val="008165B8"/>
    <w:rsid w:val="00816905"/>
    <w:rsid w:val="00816D98"/>
    <w:rsid w:val="00816E42"/>
    <w:rsid w:val="00816FCB"/>
    <w:rsid w:val="00817040"/>
    <w:rsid w:val="00817106"/>
    <w:rsid w:val="008172FC"/>
    <w:rsid w:val="00817A17"/>
    <w:rsid w:val="00817EC1"/>
    <w:rsid w:val="0082112D"/>
    <w:rsid w:val="0082113D"/>
    <w:rsid w:val="0082143A"/>
    <w:rsid w:val="00821624"/>
    <w:rsid w:val="00821A86"/>
    <w:rsid w:val="00821FF6"/>
    <w:rsid w:val="008222A7"/>
    <w:rsid w:val="00822574"/>
    <w:rsid w:val="00822738"/>
    <w:rsid w:val="00822980"/>
    <w:rsid w:val="00822F08"/>
    <w:rsid w:val="008246D7"/>
    <w:rsid w:val="008249A7"/>
    <w:rsid w:val="00824BA6"/>
    <w:rsid w:val="00825007"/>
    <w:rsid w:val="00825120"/>
    <w:rsid w:val="00825C4D"/>
    <w:rsid w:val="00826A08"/>
    <w:rsid w:val="00826AC0"/>
    <w:rsid w:val="00826D45"/>
    <w:rsid w:val="00827186"/>
    <w:rsid w:val="00827C8E"/>
    <w:rsid w:val="00830569"/>
    <w:rsid w:val="00830834"/>
    <w:rsid w:val="00830AEA"/>
    <w:rsid w:val="00830E86"/>
    <w:rsid w:val="0083143E"/>
    <w:rsid w:val="008315B8"/>
    <w:rsid w:val="008315D5"/>
    <w:rsid w:val="00831809"/>
    <w:rsid w:val="008318E5"/>
    <w:rsid w:val="00831CDE"/>
    <w:rsid w:val="00831F2B"/>
    <w:rsid w:val="008320C2"/>
    <w:rsid w:val="008320CF"/>
    <w:rsid w:val="008324A3"/>
    <w:rsid w:val="00832600"/>
    <w:rsid w:val="00832F77"/>
    <w:rsid w:val="0083324F"/>
    <w:rsid w:val="008332D0"/>
    <w:rsid w:val="008333AF"/>
    <w:rsid w:val="0083349E"/>
    <w:rsid w:val="00833FD6"/>
    <w:rsid w:val="00834131"/>
    <w:rsid w:val="00834304"/>
    <w:rsid w:val="008343CE"/>
    <w:rsid w:val="0083471A"/>
    <w:rsid w:val="00834E25"/>
    <w:rsid w:val="00834FAA"/>
    <w:rsid w:val="008351FE"/>
    <w:rsid w:val="00835495"/>
    <w:rsid w:val="008354FB"/>
    <w:rsid w:val="00835EC8"/>
    <w:rsid w:val="00835FF1"/>
    <w:rsid w:val="00836065"/>
    <w:rsid w:val="00836086"/>
    <w:rsid w:val="00836243"/>
    <w:rsid w:val="0083630F"/>
    <w:rsid w:val="00836A06"/>
    <w:rsid w:val="008374BC"/>
    <w:rsid w:val="00837652"/>
    <w:rsid w:val="008379D6"/>
    <w:rsid w:val="00837E48"/>
    <w:rsid w:val="00840013"/>
    <w:rsid w:val="00840293"/>
    <w:rsid w:val="008402AD"/>
    <w:rsid w:val="008408D4"/>
    <w:rsid w:val="00840F9E"/>
    <w:rsid w:val="008417B5"/>
    <w:rsid w:val="00841901"/>
    <w:rsid w:val="00841C64"/>
    <w:rsid w:val="0084327A"/>
    <w:rsid w:val="00844D5B"/>
    <w:rsid w:val="0084535F"/>
    <w:rsid w:val="008458BD"/>
    <w:rsid w:val="00846121"/>
    <w:rsid w:val="008461C2"/>
    <w:rsid w:val="008462F1"/>
    <w:rsid w:val="008466C6"/>
    <w:rsid w:val="00846B51"/>
    <w:rsid w:val="0084708F"/>
    <w:rsid w:val="008477C8"/>
    <w:rsid w:val="008478A6"/>
    <w:rsid w:val="008502F6"/>
    <w:rsid w:val="0085036C"/>
    <w:rsid w:val="008504EE"/>
    <w:rsid w:val="00850B02"/>
    <w:rsid w:val="00850E83"/>
    <w:rsid w:val="0085114D"/>
    <w:rsid w:val="00851163"/>
    <w:rsid w:val="008520A8"/>
    <w:rsid w:val="00852217"/>
    <w:rsid w:val="00852B5E"/>
    <w:rsid w:val="00852BA8"/>
    <w:rsid w:val="00853282"/>
    <w:rsid w:val="0085334C"/>
    <w:rsid w:val="00853717"/>
    <w:rsid w:val="008539B9"/>
    <w:rsid w:val="00854291"/>
    <w:rsid w:val="008544E8"/>
    <w:rsid w:val="00854F32"/>
    <w:rsid w:val="00855408"/>
    <w:rsid w:val="00855D03"/>
    <w:rsid w:val="00856D65"/>
    <w:rsid w:val="00856FA4"/>
    <w:rsid w:val="00857701"/>
    <w:rsid w:val="00857995"/>
    <w:rsid w:val="00860967"/>
    <w:rsid w:val="00860D79"/>
    <w:rsid w:val="00861B41"/>
    <w:rsid w:val="00861B9F"/>
    <w:rsid w:val="00861BE3"/>
    <w:rsid w:val="00861DA8"/>
    <w:rsid w:val="00861EB6"/>
    <w:rsid w:val="008624BC"/>
    <w:rsid w:val="008625D3"/>
    <w:rsid w:val="00862C0A"/>
    <w:rsid w:val="00862D2B"/>
    <w:rsid w:val="00863270"/>
    <w:rsid w:val="00863434"/>
    <w:rsid w:val="0086344F"/>
    <w:rsid w:val="00863F9E"/>
    <w:rsid w:val="008641AC"/>
    <w:rsid w:val="00864EFE"/>
    <w:rsid w:val="00865794"/>
    <w:rsid w:val="00865E4C"/>
    <w:rsid w:val="00865ED4"/>
    <w:rsid w:val="00866074"/>
    <w:rsid w:val="00867546"/>
    <w:rsid w:val="0086796D"/>
    <w:rsid w:val="00867DAB"/>
    <w:rsid w:val="00867EE9"/>
    <w:rsid w:val="0087000B"/>
    <w:rsid w:val="008701E4"/>
    <w:rsid w:val="00870329"/>
    <w:rsid w:val="008704E9"/>
    <w:rsid w:val="00870509"/>
    <w:rsid w:val="008705FB"/>
    <w:rsid w:val="00870BBE"/>
    <w:rsid w:val="00870ECD"/>
    <w:rsid w:val="00871F67"/>
    <w:rsid w:val="00872E59"/>
    <w:rsid w:val="00872F4B"/>
    <w:rsid w:val="0087347C"/>
    <w:rsid w:val="008734E7"/>
    <w:rsid w:val="0087368D"/>
    <w:rsid w:val="00873F9E"/>
    <w:rsid w:val="008740CC"/>
    <w:rsid w:val="0087442A"/>
    <w:rsid w:val="00874578"/>
    <w:rsid w:val="00874C72"/>
    <w:rsid w:val="00874FE8"/>
    <w:rsid w:val="00875A32"/>
    <w:rsid w:val="00875AA2"/>
    <w:rsid w:val="00875CC1"/>
    <w:rsid w:val="00876086"/>
    <w:rsid w:val="0087650D"/>
    <w:rsid w:val="00876651"/>
    <w:rsid w:val="00876E83"/>
    <w:rsid w:val="00877216"/>
    <w:rsid w:val="0087722C"/>
    <w:rsid w:val="008772BC"/>
    <w:rsid w:val="00877DEF"/>
    <w:rsid w:val="00880001"/>
    <w:rsid w:val="00880523"/>
    <w:rsid w:val="008808F6"/>
    <w:rsid w:val="00880A0E"/>
    <w:rsid w:val="008817FE"/>
    <w:rsid w:val="00881CD7"/>
    <w:rsid w:val="00882911"/>
    <w:rsid w:val="00882EEB"/>
    <w:rsid w:val="00882F6E"/>
    <w:rsid w:val="008831BD"/>
    <w:rsid w:val="00883202"/>
    <w:rsid w:val="008833D6"/>
    <w:rsid w:val="00883FF0"/>
    <w:rsid w:val="00884E02"/>
    <w:rsid w:val="0088502B"/>
    <w:rsid w:val="0088588B"/>
    <w:rsid w:val="00885D40"/>
    <w:rsid w:val="0088679E"/>
    <w:rsid w:val="00886B1E"/>
    <w:rsid w:val="008873D4"/>
    <w:rsid w:val="008902A5"/>
    <w:rsid w:val="00890CB1"/>
    <w:rsid w:val="008915C7"/>
    <w:rsid w:val="00891EDF"/>
    <w:rsid w:val="00892872"/>
    <w:rsid w:val="0089296D"/>
    <w:rsid w:val="00893E85"/>
    <w:rsid w:val="00893EBE"/>
    <w:rsid w:val="00894031"/>
    <w:rsid w:val="00894C5D"/>
    <w:rsid w:val="00894F4F"/>
    <w:rsid w:val="00895508"/>
    <w:rsid w:val="00895797"/>
    <w:rsid w:val="00895CB0"/>
    <w:rsid w:val="008967E9"/>
    <w:rsid w:val="00896A5C"/>
    <w:rsid w:val="00896ECF"/>
    <w:rsid w:val="00897155"/>
    <w:rsid w:val="008972D2"/>
    <w:rsid w:val="0089754C"/>
    <w:rsid w:val="00897CFA"/>
    <w:rsid w:val="008A0367"/>
    <w:rsid w:val="008A0659"/>
    <w:rsid w:val="008A0A58"/>
    <w:rsid w:val="008A0ADD"/>
    <w:rsid w:val="008A0D27"/>
    <w:rsid w:val="008A1543"/>
    <w:rsid w:val="008A1C59"/>
    <w:rsid w:val="008A1FFE"/>
    <w:rsid w:val="008A2254"/>
    <w:rsid w:val="008A37E2"/>
    <w:rsid w:val="008A388E"/>
    <w:rsid w:val="008A394E"/>
    <w:rsid w:val="008A3CBA"/>
    <w:rsid w:val="008A428D"/>
    <w:rsid w:val="008A4B59"/>
    <w:rsid w:val="008A63E1"/>
    <w:rsid w:val="008A66B7"/>
    <w:rsid w:val="008A68BB"/>
    <w:rsid w:val="008A6AA5"/>
    <w:rsid w:val="008A7127"/>
    <w:rsid w:val="008A737C"/>
    <w:rsid w:val="008A77C8"/>
    <w:rsid w:val="008B0781"/>
    <w:rsid w:val="008B0CBA"/>
    <w:rsid w:val="008B17C8"/>
    <w:rsid w:val="008B1850"/>
    <w:rsid w:val="008B2639"/>
    <w:rsid w:val="008B3454"/>
    <w:rsid w:val="008B3537"/>
    <w:rsid w:val="008B35C1"/>
    <w:rsid w:val="008B3690"/>
    <w:rsid w:val="008B3A80"/>
    <w:rsid w:val="008B3AEC"/>
    <w:rsid w:val="008B3C07"/>
    <w:rsid w:val="008B3C6E"/>
    <w:rsid w:val="008B3E7A"/>
    <w:rsid w:val="008B3F7B"/>
    <w:rsid w:val="008B43CA"/>
    <w:rsid w:val="008B4B38"/>
    <w:rsid w:val="008B5324"/>
    <w:rsid w:val="008B5C99"/>
    <w:rsid w:val="008B6106"/>
    <w:rsid w:val="008B6241"/>
    <w:rsid w:val="008B64BF"/>
    <w:rsid w:val="008B6605"/>
    <w:rsid w:val="008B66C9"/>
    <w:rsid w:val="008B6EBD"/>
    <w:rsid w:val="008B71F2"/>
    <w:rsid w:val="008B7C02"/>
    <w:rsid w:val="008B7D2B"/>
    <w:rsid w:val="008B7EF9"/>
    <w:rsid w:val="008C0049"/>
    <w:rsid w:val="008C025A"/>
    <w:rsid w:val="008C0314"/>
    <w:rsid w:val="008C0E88"/>
    <w:rsid w:val="008C0EBE"/>
    <w:rsid w:val="008C1717"/>
    <w:rsid w:val="008C17F0"/>
    <w:rsid w:val="008C2B57"/>
    <w:rsid w:val="008C32AE"/>
    <w:rsid w:val="008C3A32"/>
    <w:rsid w:val="008C3B05"/>
    <w:rsid w:val="008C3FCC"/>
    <w:rsid w:val="008C43B6"/>
    <w:rsid w:val="008C4B4D"/>
    <w:rsid w:val="008C4B50"/>
    <w:rsid w:val="008C5A37"/>
    <w:rsid w:val="008C5AA7"/>
    <w:rsid w:val="008C5BD3"/>
    <w:rsid w:val="008C5DD4"/>
    <w:rsid w:val="008C652D"/>
    <w:rsid w:val="008C7569"/>
    <w:rsid w:val="008C79C3"/>
    <w:rsid w:val="008D006F"/>
    <w:rsid w:val="008D033D"/>
    <w:rsid w:val="008D0344"/>
    <w:rsid w:val="008D06A2"/>
    <w:rsid w:val="008D0DBD"/>
    <w:rsid w:val="008D0F76"/>
    <w:rsid w:val="008D117E"/>
    <w:rsid w:val="008D127E"/>
    <w:rsid w:val="008D1956"/>
    <w:rsid w:val="008D1CA8"/>
    <w:rsid w:val="008D1E0A"/>
    <w:rsid w:val="008D1E6A"/>
    <w:rsid w:val="008D1EE4"/>
    <w:rsid w:val="008D1F3D"/>
    <w:rsid w:val="008D2407"/>
    <w:rsid w:val="008D2A16"/>
    <w:rsid w:val="008D2AEC"/>
    <w:rsid w:val="008D3295"/>
    <w:rsid w:val="008D3384"/>
    <w:rsid w:val="008D33F5"/>
    <w:rsid w:val="008D35E4"/>
    <w:rsid w:val="008D3611"/>
    <w:rsid w:val="008D3ACD"/>
    <w:rsid w:val="008D4172"/>
    <w:rsid w:val="008D52AA"/>
    <w:rsid w:val="008D5D64"/>
    <w:rsid w:val="008D6C3A"/>
    <w:rsid w:val="008D6FA1"/>
    <w:rsid w:val="008D70E2"/>
    <w:rsid w:val="008D7F47"/>
    <w:rsid w:val="008E0001"/>
    <w:rsid w:val="008E039E"/>
    <w:rsid w:val="008E07C9"/>
    <w:rsid w:val="008E0C45"/>
    <w:rsid w:val="008E192B"/>
    <w:rsid w:val="008E2842"/>
    <w:rsid w:val="008E292B"/>
    <w:rsid w:val="008E2C57"/>
    <w:rsid w:val="008E2C6F"/>
    <w:rsid w:val="008E31FF"/>
    <w:rsid w:val="008E3287"/>
    <w:rsid w:val="008E38E4"/>
    <w:rsid w:val="008E3DFA"/>
    <w:rsid w:val="008E419B"/>
    <w:rsid w:val="008E488D"/>
    <w:rsid w:val="008E51EB"/>
    <w:rsid w:val="008E5746"/>
    <w:rsid w:val="008E5E8E"/>
    <w:rsid w:val="008E64D7"/>
    <w:rsid w:val="008E68DF"/>
    <w:rsid w:val="008E6DCB"/>
    <w:rsid w:val="008E6E5D"/>
    <w:rsid w:val="008E6F06"/>
    <w:rsid w:val="008E7000"/>
    <w:rsid w:val="008E723E"/>
    <w:rsid w:val="008E750C"/>
    <w:rsid w:val="008E7A3F"/>
    <w:rsid w:val="008E7B8E"/>
    <w:rsid w:val="008E7FC9"/>
    <w:rsid w:val="008F0107"/>
    <w:rsid w:val="008F017C"/>
    <w:rsid w:val="008F029B"/>
    <w:rsid w:val="008F0589"/>
    <w:rsid w:val="008F0F23"/>
    <w:rsid w:val="008F130B"/>
    <w:rsid w:val="008F2A5D"/>
    <w:rsid w:val="008F2BC7"/>
    <w:rsid w:val="008F2E48"/>
    <w:rsid w:val="008F2E83"/>
    <w:rsid w:val="008F3636"/>
    <w:rsid w:val="008F37C2"/>
    <w:rsid w:val="008F3B3F"/>
    <w:rsid w:val="008F3FC9"/>
    <w:rsid w:val="008F509F"/>
    <w:rsid w:val="008F525A"/>
    <w:rsid w:val="008F5383"/>
    <w:rsid w:val="008F576A"/>
    <w:rsid w:val="008F585B"/>
    <w:rsid w:val="008F6577"/>
    <w:rsid w:val="008F6614"/>
    <w:rsid w:val="008F6F78"/>
    <w:rsid w:val="008F7FB0"/>
    <w:rsid w:val="009003A8"/>
    <w:rsid w:val="009004AD"/>
    <w:rsid w:val="009005E4"/>
    <w:rsid w:val="00900977"/>
    <w:rsid w:val="00901790"/>
    <w:rsid w:val="00901DE6"/>
    <w:rsid w:val="009021DA"/>
    <w:rsid w:val="00902500"/>
    <w:rsid w:val="00902EFF"/>
    <w:rsid w:val="009032D3"/>
    <w:rsid w:val="00903A8E"/>
    <w:rsid w:val="00903EAD"/>
    <w:rsid w:val="0090432C"/>
    <w:rsid w:val="009043B1"/>
    <w:rsid w:val="0090458B"/>
    <w:rsid w:val="00904F96"/>
    <w:rsid w:val="009052A3"/>
    <w:rsid w:val="00905314"/>
    <w:rsid w:val="00905395"/>
    <w:rsid w:val="009056D7"/>
    <w:rsid w:val="00905B8D"/>
    <w:rsid w:val="00906401"/>
    <w:rsid w:val="009065CB"/>
    <w:rsid w:val="009067EA"/>
    <w:rsid w:val="009068A8"/>
    <w:rsid w:val="00906B79"/>
    <w:rsid w:val="00907606"/>
    <w:rsid w:val="0090786F"/>
    <w:rsid w:val="0091001E"/>
    <w:rsid w:val="0091059E"/>
    <w:rsid w:val="00910C18"/>
    <w:rsid w:val="009110F7"/>
    <w:rsid w:val="009112E3"/>
    <w:rsid w:val="0091155E"/>
    <w:rsid w:val="00912242"/>
    <w:rsid w:val="009122D0"/>
    <w:rsid w:val="0091240B"/>
    <w:rsid w:val="00912437"/>
    <w:rsid w:val="00912A92"/>
    <w:rsid w:val="00913237"/>
    <w:rsid w:val="009133E7"/>
    <w:rsid w:val="00913B36"/>
    <w:rsid w:val="009141AA"/>
    <w:rsid w:val="0091476D"/>
    <w:rsid w:val="00915D07"/>
    <w:rsid w:val="009162AE"/>
    <w:rsid w:val="00917154"/>
    <w:rsid w:val="00917251"/>
    <w:rsid w:val="0091728D"/>
    <w:rsid w:val="00917D0D"/>
    <w:rsid w:val="00917DDF"/>
    <w:rsid w:val="00917FBC"/>
    <w:rsid w:val="009200DE"/>
    <w:rsid w:val="009201F3"/>
    <w:rsid w:val="0092036B"/>
    <w:rsid w:val="009203CC"/>
    <w:rsid w:val="00920EC4"/>
    <w:rsid w:val="0092180B"/>
    <w:rsid w:val="00921F14"/>
    <w:rsid w:val="00922775"/>
    <w:rsid w:val="0092292F"/>
    <w:rsid w:val="00922D28"/>
    <w:rsid w:val="009233E7"/>
    <w:rsid w:val="009237C4"/>
    <w:rsid w:val="00923862"/>
    <w:rsid w:val="00923CB0"/>
    <w:rsid w:val="00923D8C"/>
    <w:rsid w:val="00924871"/>
    <w:rsid w:val="00924AC8"/>
    <w:rsid w:val="00925429"/>
    <w:rsid w:val="0092543F"/>
    <w:rsid w:val="00925615"/>
    <w:rsid w:val="0092597A"/>
    <w:rsid w:val="00926520"/>
    <w:rsid w:val="00926CF0"/>
    <w:rsid w:val="009273A9"/>
    <w:rsid w:val="00930251"/>
    <w:rsid w:val="0093033E"/>
    <w:rsid w:val="009305FC"/>
    <w:rsid w:val="00930FB1"/>
    <w:rsid w:val="00931338"/>
    <w:rsid w:val="0093139F"/>
    <w:rsid w:val="00931BBB"/>
    <w:rsid w:val="00932239"/>
    <w:rsid w:val="00932443"/>
    <w:rsid w:val="00932B32"/>
    <w:rsid w:val="0093305E"/>
    <w:rsid w:val="00933F4A"/>
    <w:rsid w:val="009341F1"/>
    <w:rsid w:val="0093451E"/>
    <w:rsid w:val="00934FF2"/>
    <w:rsid w:val="009355E2"/>
    <w:rsid w:val="009358D7"/>
    <w:rsid w:val="00935BD4"/>
    <w:rsid w:val="00935DFE"/>
    <w:rsid w:val="00935E9D"/>
    <w:rsid w:val="00935F70"/>
    <w:rsid w:val="009360FA"/>
    <w:rsid w:val="0093648B"/>
    <w:rsid w:val="00937017"/>
    <w:rsid w:val="0093734C"/>
    <w:rsid w:val="009373B2"/>
    <w:rsid w:val="009377DF"/>
    <w:rsid w:val="00937AE2"/>
    <w:rsid w:val="009402A1"/>
    <w:rsid w:val="0094061F"/>
    <w:rsid w:val="00940F0F"/>
    <w:rsid w:val="00941912"/>
    <w:rsid w:val="00941A54"/>
    <w:rsid w:val="00942514"/>
    <w:rsid w:val="00942851"/>
    <w:rsid w:val="00943004"/>
    <w:rsid w:val="00943BA9"/>
    <w:rsid w:val="00943CDC"/>
    <w:rsid w:val="0094416B"/>
    <w:rsid w:val="0094427A"/>
    <w:rsid w:val="009449C6"/>
    <w:rsid w:val="00944C7C"/>
    <w:rsid w:val="00945245"/>
    <w:rsid w:val="009453E8"/>
    <w:rsid w:val="00945433"/>
    <w:rsid w:val="00945523"/>
    <w:rsid w:val="009463E1"/>
    <w:rsid w:val="0094683A"/>
    <w:rsid w:val="00946C43"/>
    <w:rsid w:val="009479A6"/>
    <w:rsid w:val="009500F7"/>
    <w:rsid w:val="0095042D"/>
    <w:rsid w:val="00950921"/>
    <w:rsid w:val="00951AF8"/>
    <w:rsid w:val="00951D68"/>
    <w:rsid w:val="00951E5B"/>
    <w:rsid w:val="00952050"/>
    <w:rsid w:val="00952315"/>
    <w:rsid w:val="009523D9"/>
    <w:rsid w:val="00952B7B"/>
    <w:rsid w:val="0095357B"/>
    <w:rsid w:val="00953660"/>
    <w:rsid w:val="009538B3"/>
    <w:rsid w:val="00953E13"/>
    <w:rsid w:val="00954F39"/>
    <w:rsid w:val="009555FD"/>
    <w:rsid w:val="00955BAD"/>
    <w:rsid w:val="00955BD4"/>
    <w:rsid w:val="00955F12"/>
    <w:rsid w:val="009561A5"/>
    <w:rsid w:val="0095664B"/>
    <w:rsid w:val="00956737"/>
    <w:rsid w:val="00956894"/>
    <w:rsid w:val="009568DC"/>
    <w:rsid w:val="00956B8B"/>
    <w:rsid w:val="00957140"/>
    <w:rsid w:val="00957445"/>
    <w:rsid w:val="0095759C"/>
    <w:rsid w:val="009604C7"/>
    <w:rsid w:val="009606FA"/>
    <w:rsid w:val="00961563"/>
    <w:rsid w:val="00961880"/>
    <w:rsid w:val="009618EE"/>
    <w:rsid w:val="00961A4C"/>
    <w:rsid w:val="00961DDD"/>
    <w:rsid w:val="00961E67"/>
    <w:rsid w:val="009624D2"/>
    <w:rsid w:val="009628D9"/>
    <w:rsid w:val="0096300D"/>
    <w:rsid w:val="009637AE"/>
    <w:rsid w:val="00963A06"/>
    <w:rsid w:val="00964068"/>
    <w:rsid w:val="009640F6"/>
    <w:rsid w:val="0096469D"/>
    <w:rsid w:val="00964776"/>
    <w:rsid w:val="00964A4E"/>
    <w:rsid w:val="00964B35"/>
    <w:rsid w:val="009651C7"/>
    <w:rsid w:val="00965504"/>
    <w:rsid w:val="00965797"/>
    <w:rsid w:val="00965A10"/>
    <w:rsid w:val="00965AD0"/>
    <w:rsid w:val="009670A3"/>
    <w:rsid w:val="009674BE"/>
    <w:rsid w:val="00967A4F"/>
    <w:rsid w:val="00967ED4"/>
    <w:rsid w:val="00970B25"/>
    <w:rsid w:val="00970E2C"/>
    <w:rsid w:val="00970EC8"/>
    <w:rsid w:val="00970FB5"/>
    <w:rsid w:val="00971405"/>
    <w:rsid w:val="00971710"/>
    <w:rsid w:val="009717D0"/>
    <w:rsid w:val="00971B87"/>
    <w:rsid w:val="00971C77"/>
    <w:rsid w:val="00971D14"/>
    <w:rsid w:val="00971D19"/>
    <w:rsid w:val="0097203A"/>
    <w:rsid w:val="00972FCD"/>
    <w:rsid w:val="00973324"/>
    <w:rsid w:val="009736DF"/>
    <w:rsid w:val="009741AE"/>
    <w:rsid w:val="009741FC"/>
    <w:rsid w:val="00974782"/>
    <w:rsid w:val="00974923"/>
    <w:rsid w:val="00975140"/>
    <w:rsid w:val="00975909"/>
    <w:rsid w:val="0097633D"/>
    <w:rsid w:val="00977C33"/>
    <w:rsid w:val="00977C3D"/>
    <w:rsid w:val="009808A9"/>
    <w:rsid w:val="00980B56"/>
    <w:rsid w:val="00980D3D"/>
    <w:rsid w:val="0098103E"/>
    <w:rsid w:val="0098157D"/>
    <w:rsid w:val="00982E92"/>
    <w:rsid w:val="00983101"/>
    <w:rsid w:val="00983E41"/>
    <w:rsid w:val="009844B1"/>
    <w:rsid w:val="009845E1"/>
    <w:rsid w:val="00984CE5"/>
    <w:rsid w:val="00984D1B"/>
    <w:rsid w:val="00985CAB"/>
    <w:rsid w:val="00986246"/>
    <w:rsid w:val="009867E7"/>
    <w:rsid w:val="00986858"/>
    <w:rsid w:val="009876AB"/>
    <w:rsid w:val="00987A30"/>
    <w:rsid w:val="00987F3F"/>
    <w:rsid w:val="00990312"/>
    <w:rsid w:val="009908AF"/>
    <w:rsid w:val="0099182E"/>
    <w:rsid w:val="00991D45"/>
    <w:rsid w:val="00991FDF"/>
    <w:rsid w:val="009928A6"/>
    <w:rsid w:val="00992B49"/>
    <w:rsid w:val="00992BB3"/>
    <w:rsid w:val="00992CF3"/>
    <w:rsid w:val="00993194"/>
    <w:rsid w:val="009931C3"/>
    <w:rsid w:val="0099321E"/>
    <w:rsid w:val="0099370F"/>
    <w:rsid w:val="00993875"/>
    <w:rsid w:val="00993BE7"/>
    <w:rsid w:val="00993ECA"/>
    <w:rsid w:val="00994171"/>
    <w:rsid w:val="00994868"/>
    <w:rsid w:val="00994976"/>
    <w:rsid w:val="00994D28"/>
    <w:rsid w:val="00994F2C"/>
    <w:rsid w:val="00995472"/>
    <w:rsid w:val="009954EC"/>
    <w:rsid w:val="00995720"/>
    <w:rsid w:val="009957CC"/>
    <w:rsid w:val="00995960"/>
    <w:rsid w:val="00995C90"/>
    <w:rsid w:val="00996017"/>
    <w:rsid w:val="00996614"/>
    <w:rsid w:val="009968D6"/>
    <w:rsid w:val="009974E0"/>
    <w:rsid w:val="00997953"/>
    <w:rsid w:val="00997D55"/>
    <w:rsid w:val="009A04D4"/>
    <w:rsid w:val="009A09E1"/>
    <w:rsid w:val="009A0BFF"/>
    <w:rsid w:val="009A10A0"/>
    <w:rsid w:val="009A12B7"/>
    <w:rsid w:val="009A1CAB"/>
    <w:rsid w:val="009A2359"/>
    <w:rsid w:val="009A24F1"/>
    <w:rsid w:val="009A27E0"/>
    <w:rsid w:val="009A3047"/>
    <w:rsid w:val="009A30B2"/>
    <w:rsid w:val="009A4D57"/>
    <w:rsid w:val="009A51A5"/>
    <w:rsid w:val="009A5309"/>
    <w:rsid w:val="009A5759"/>
    <w:rsid w:val="009A5A36"/>
    <w:rsid w:val="009A5C68"/>
    <w:rsid w:val="009A60D1"/>
    <w:rsid w:val="009A6225"/>
    <w:rsid w:val="009A64F5"/>
    <w:rsid w:val="009A6828"/>
    <w:rsid w:val="009A74DC"/>
    <w:rsid w:val="009A7A5B"/>
    <w:rsid w:val="009B00D2"/>
    <w:rsid w:val="009B05B3"/>
    <w:rsid w:val="009B07C8"/>
    <w:rsid w:val="009B0CAF"/>
    <w:rsid w:val="009B1324"/>
    <w:rsid w:val="009B1861"/>
    <w:rsid w:val="009B1EC3"/>
    <w:rsid w:val="009B2558"/>
    <w:rsid w:val="009B27ED"/>
    <w:rsid w:val="009B284F"/>
    <w:rsid w:val="009B35C8"/>
    <w:rsid w:val="009B3659"/>
    <w:rsid w:val="009B3764"/>
    <w:rsid w:val="009B3840"/>
    <w:rsid w:val="009B3D4A"/>
    <w:rsid w:val="009B47F6"/>
    <w:rsid w:val="009B485A"/>
    <w:rsid w:val="009B52AC"/>
    <w:rsid w:val="009B553D"/>
    <w:rsid w:val="009B5629"/>
    <w:rsid w:val="009B5861"/>
    <w:rsid w:val="009B59EA"/>
    <w:rsid w:val="009B5B6E"/>
    <w:rsid w:val="009B66CE"/>
    <w:rsid w:val="009B6939"/>
    <w:rsid w:val="009B6A56"/>
    <w:rsid w:val="009B6F8F"/>
    <w:rsid w:val="009B6FD3"/>
    <w:rsid w:val="009B72BE"/>
    <w:rsid w:val="009B78A4"/>
    <w:rsid w:val="009B7DB2"/>
    <w:rsid w:val="009C03DB"/>
    <w:rsid w:val="009C0585"/>
    <w:rsid w:val="009C15AF"/>
    <w:rsid w:val="009C1750"/>
    <w:rsid w:val="009C205B"/>
    <w:rsid w:val="009C2C39"/>
    <w:rsid w:val="009C2E29"/>
    <w:rsid w:val="009C3376"/>
    <w:rsid w:val="009C3684"/>
    <w:rsid w:val="009C3E8F"/>
    <w:rsid w:val="009C4B3A"/>
    <w:rsid w:val="009C554B"/>
    <w:rsid w:val="009C5E83"/>
    <w:rsid w:val="009C7126"/>
    <w:rsid w:val="009C719E"/>
    <w:rsid w:val="009C744C"/>
    <w:rsid w:val="009C7457"/>
    <w:rsid w:val="009C7799"/>
    <w:rsid w:val="009D0225"/>
    <w:rsid w:val="009D07A9"/>
    <w:rsid w:val="009D0AE2"/>
    <w:rsid w:val="009D0D9F"/>
    <w:rsid w:val="009D0EBB"/>
    <w:rsid w:val="009D0F6F"/>
    <w:rsid w:val="009D1169"/>
    <w:rsid w:val="009D1647"/>
    <w:rsid w:val="009D164D"/>
    <w:rsid w:val="009D2C46"/>
    <w:rsid w:val="009D3ACD"/>
    <w:rsid w:val="009D3EC7"/>
    <w:rsid w:val="009D40A7"/>
    <w:rsid w:val="009D4254"/>
    <w:rsid w:val="009D4F21"/>
    <w:rsid w:val="009D5012"/>
    <w:rsid w:val="009D587D"/>
    <w:rsid w:val="009D59E6"/>
    <w:rsid w:val="009D5CAD"/>
    <w:rsid w:val="009D6581"/>
    <w:rsid w:val="009D6EA6"/>
    <w:rsid w:val="009D72F8"/>
    <w:rsid w:val="009D7731"/>
    <w:rsid w:val="009D779F"/>
    <w:rsid w:val="009D78C3"/>
    <w:rsid w:val="009D7CC3"/>
    <w:rsid w:val="009E027B"/>
    <w:rsid w:val="009E1120"/>
    <w:rsid w:val="009E1393"/>
    <w:rsid w:val="009E1796"/>
    <w:rsid w:val="009E1922"/>
    <w:rsid w:val="009E1A3D"/>
    <w:rsid w:val="009E245A"/>
    <w:rsid w:val="009E274E"/>
    <w:rsid w:val="009E34C4"/>
    <w:rsid w:val="009E3657"/>
    <w:rsid w:val="009E4715"/>
    <w:rsid w:val="009E49FD"/>
    <w:rsid w:val="009E4A58"/>
    <w:rsid w:val="009E5273"/>
    <w:rsid w:val="009E52C3"/>
    <w:rsid w:val="009E57A8"/>
    <w:rsid w:val="009E5B85"/>
    <w:rsid w:val="009E5DDB"/>
    <w:rsid w:val="009E7501"/>
    <w:rsid w:val="009E7667"/>
    <w:rsid w:val="009E7EA7"/>
    <w:rsid w:val="009F032E"/>
    <w:rsid w:val="009F13D3"/>
    <w:rsid w:val="009F1CA6"/>
    <w:rsid w:val="009F218B"/>
    <w:rsid w:val="009F2921"/>
    <w:rsid w:val="009F3217"/>
    <w:rsid w:val="009F3D5C"/>
    <w:rsid w:val="009F42CF"/>
    <w:rsid w:val="009F4982"/>
    <w:rsid w:val="009F4CA7"/>
    <w:rsid w:val="009F4F6A"/>
    <w:rsid w:val="009F5554"/>
    <w:rsid w:val="009F55BA"/>
    <w:rsid w:val="009F5694"/>
    <w:rsid w:val="009F5C36"/>
    <w:rsid w:val="009F6097"/>
    <w:rsid w:val="009F6A42"/>
    <w:rsid w:val="009F7B14"/>
    <w:rsid w:val="009F7D36"/>
    <w:rsid w:val="009F7D61"/>
    <w:rsid w:val="00A0032F"/>
    <w:rsid w:val="00A00470"/>
    <w:rsid w:val="00A0069E"/>
    <w:rsid w:val="00A00E71"/>
    <w:rsid w:val="00A0187B"/>
    <w:rsid w:val="00A02969"/>
    <w:rsid w:val="00A02E8B"/>
    <w:rsid w:val="00A0306F"/>
    <w:rsid w:val="00A03511"/>
    <w:rsid w:val="00A03B10"/>
    <w:rsid w:val="00A03E2E"/>
    <w:rsid w:val="00A04616"/>
    <w:rsid w:val="00A04717"/>
    <w:rsid w:val="00A04D56"/>
    <w:rsid w:val="00A04F83"/>
    <w:rsid w:val="00A05577"/>
    <w:rsid w:val="00A05CF1"/>
    <w:rsid w:val="00A05D8F"/>
    <w:rsid w:val="00A05EB1"/>
    <w:rsid w:val="00A05EE4"/>
    <w:rsid w:val="00A06CA7"/>
    <w:rsid w:val="00A06D1D"/>
    <w:rsid w:val="00A06F99"/>
    <w:rsid w:val="00A07153"/>
    <w:rsid w:val="00A07316"/>
    <w:rsid w:val="00A073FD"/>
    <w:rsid w:val="00A07B79"/>
    <w:rsid w:val="00A1053B"/>
    <w:rsid w:val="00A10D66"/>
    <w:rsid w:val="00A113A4"/>
    <w:rsid w:val="00A12A8E"/>
    <w:rsid w:val="00A13367"/>
    <w:rsid w:val="00A133F9"/>
    <w:rsid w:val="00A14114"/>
    <w:rsid w:val="00A147AC"/>
    <w:rsid w:val="00A14F4D"/>
    <w:rsid w:val="00A16413"/>
    <w:rsid w:val="00A16545"/>
    <w:rsid w:val="00A16A1A"/>
    <w:rsid w:val="00A16A9F"/>
    <w:rsid w:val="00A16AED"/>
    <w:rsid w:val="00A16BD3"/>
    <w:rsid w:val="00A16C37"/>
    <w:rsid w:val="00A16E1D"/>
    <w:rsid w:val="00A16E4C"/>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BB7"/>
    <w:rsid w:val="00A23E43"/>
    <w:rsid w:val="00A242C7"/>
    <w:rsid w:val="00A24425"/>
    <w:rsid w:val="00A245CC"/>
    <w:rsid w:val="00A24726"/>
    <w:rsid w:val="00A24BEF"/>
    <w:rsid w:val="00A24DEB"/>
    <w:rsid w:val="00A24ED9"/>
    <w:rsid w:val="00A251DB"/>
    <w:rsid w:val="00A25216"/>
    <w:rsid w:val="00A2597D"/>
    <w:rsid w:val="00A259CC"/>
    <w:rsid w:val="00A25A28"/>
    <w:rsid w:val="00A25AA3"/>
    <w:rsid w:val="00A25FC3"/>
    <w:rsid w:val="00A2601E"/>
    <w:rsid w:val="00A2628E"/>
    <w:rsid w:val="00A266BF"/>
    <w:rsid w:val="00A26777"/>
    <w:rsid w:val="00A269AB"/>
    <w:rsid w:val="00A2731E"/>
    <w:rsid w:val="00A27D06"/>
    <w:rsid w:val="00A309AC"/>
    <w:rsid w:val="00A30EA4"/>
    <w:rsid w:val="00A30F65"/>
    <w:rsid w:val="00A315CD"/>
    <w:rsid w:val="00A315D0"/>
    <w:rsid w:val="00A3279E"/>
    <w:rsid w:val="00A33DB1"/>
    <w:rsid w:val="00A33EEB"/>
    <w:rsid w:val="00A34132"/>
    <w:rsid w:val="00A341CD"/>
    <w:rsid w:val="00A34FCE"/>
    <w:rsid w:val="00A351C8"/>
    <w:rsid w:val="00A35900"/>
    <w:rsid w:val="00A35BC9"/>
    <w:rsid w:val="00A35F33"/>
    <w:rsid w:val="00A375ED"/>
    <w:rsid w:val="00A401A3"/>
    <w:rsid w:val="00A40EAC"/>
    <w:rsid w:val="00A418BC"/>
    <w:rsid w:val="00A419FF"/>
    <w:rsid w:val="00A41FCF"/>
    <w:rsid w:val="00A423DE"/>
    <w:rsid w:val="00A42936"/>
    <w:rsid w:val="00A4328D"/>
    <w:rsid w:val="00A4393F"/>
    <w:rsid w:val="00A43CF8"/>
    <w:rsid w:val="00A43DF2"/>
    <w:rsid w:val="00A44336"/>
    <w:rsid w:val="00A445A8"/>
    <w:rsid w:val="00A44964"/>
    <w:rsid w:val="00A44B0D"/>
    <w:rsid w:val="00A44D21"/>
    <w:rsid w:val="00A44E3F"/>
    <w:rsid w:val="00A45014"/>
    <w:rsid w:val="00A45087"/>
    <w:rsid w:val="00A45366"/>
    <w:rsid w:val="00A45487"/>
    <w:rsid w:val="00A45489"/>
    <w:rsid w:val="00A45858"/>
    <w:rsid w:val="00A45CED"/>
    <w:rsid w:val="00A465E9"/>
    <w:rsid w:val="00A468E7"/>
    <w:rsid w:val="00A46DA0"/>
    <w:rsid w:val="00A46DE0"/>
    <w:rsid w:val="00A47240"/>
    <w:rsid w:val="00A476A5"/>
    <w:rsid w:val="00A478BA"/>
    <w:rsid w:val="00A50D73"/>
    <w:rsid w:val="00A514CC"/>
    <w:rsid w:val="00A518BB"/>
    <w:rsid w:val="00A52A88"/>
    <w:rsid w:val="00A52CAD"/>
    <w:rsid w:val="00A53340"/>
    <w:rsid w:val="00A53560"/>
    <w:rsid w:val="00A53FC7"/>
    <w:rsid w:val="00A54AAF"/>
    <w:rsid w:val="00A55569"/>
    <w:rsid w:val="00A55ABC"/>
    <w:rsid w:val="00A55C36"/>
    <w:rsid w:val="00A5661B"/>
    <w:rsid w:val="00A566A0"/>
    <w:rsid w:val="00A56F74"/>
    <w:rsid w:val="00A57594"/>
    <w:rsid w:val="00A601AA"/>
    <w:rsid w:val="00A601E7"/>
    <w:rsid w:val="00A609BD"/>
    <w:rsid w:val="00A60AC1"/>
    <w:rsid w:val="00A60FF7"/>
    <w:rsid w:val="00A620A9"/>
    <w:rsid w:val="00A62162"/>
    <w:rsid w:val="00A62555"/>
    <w:rsid w:val="00A626FF"/>
    <w:rsid w:val="00A62CE1"/>
    <w:rsid w:val="00A63449"/>
    <w:rsid w:val="00A65469"/>
    <w:rsid w:val="00A65528"/>
    <w:rsid w:val="00A655D3"/>
    <w:rsid w:val="00A662D9"/>
    <w:rsid w:val="00A6630C"/>
    <w:rsid w:val="00A6741E"/>
    <w:rsid w:val="00A67605"/>
    <w:rsid w:val="00A676F1"/>
    <w:rsid w:val="00A67E29"/>
    <w:rsid w:val="00A7016A"/>
    <w:rsid w:val="00A7018D"/>
    <w:rsid w:val="00A709DE"/>
    <w:rsid w:val="00A7108C"/>
    <w:rsid w:val="00A71181"/>
    <w:rsid w:val="00A7191D"/>
    <w:rsid w:val="00A71E82"/>
    <w:rsid w:val="00A72154"/>
    <w:rsid w:val="00A722F9"/>
    <w:rsid w:val="00A72347"/>
    <w:rsid w:val="00A72D42"/>
    <w:rsid w:val="00A746C9"/>
    <w:rsid w:val="00A747D4"/>
    <w:rsid w:val="00A74C2A"/>
    <w:rsid w:val="00A75684"/>
    <w:rsid w:val="00A75E40"/>
    <w:rsid w:val="00A76353"/>
    <w:rsid w:val="00A76818"/>
    <w:rsid w:val="00A77D1D"/>
    <w:rsid w:val="00A77E6B"/>
    <w:rsid w:val="00A809AD"/>
    <w:rsid w:val="00A81374"/>
    <w:rsid w:val="00A81652"/>
    <w:rsid w:val="00A822F8"/>
    <w:rsid w:val="00A82ADA"/>
    <w:rsid w:val="00A82BF0"/>
    <w:rsid w:val="00A82C91"/>
    <w:rsid w:val="00A83150"/>
    <w:rsid w:val="00A83398"/>
    <w:rsid w:val="00A83D6E"/>
    <w:rsid w:val="00A83FD5"/>
    <w:rsid w:val="00A84C1D"/>
    <w:rsid w:val="00A84FB7"/>
    <w:rsid w:val="00A8521A"/>
    <w:rsid w:val="00A8552B"/>
    <w:rsid w:val="00A85537"/>
    <w:rsid w:val="00A857C0"/>
    <w:rsid w:val="00A85ACB"/>
    <w:rsid w:val="00A9036F"/>
    <w:rsid w:val="00A904C6"/>
    <w:rsid w:val="00A9092B"/>
    <w:rsid w:val="00A90F2C"/>
    <w:rsid w:val="00A90FED"/>
    <w:rsid w:val="00A9142F"/>
    <w:rsid w:val="00A91482"/>
    <w:rsid w:val="00A9189D"/>
    <w:rsid w:val="00A91E71"/>
    <w:rsid w:val="00A91EAD"/>
    <w:rsid w:val="00A925B1"/>
    <w:rsid w:val="00A92A3E"/>
    <w:rsid w:val="00A934F9"/>
    <w:rsid w:val="00A93735"/>
    <w:rsid w:val="00A9383D"/>
    <w:rsid w:val="00A939EE"/>
    <w:rsid w:val="00A940E3"/>
    <w:rsid w:val="00A94983"/>
    <w:rsid w:val="00A9532C"/>
    <w:rsid w:val="00A95F1A"/>
    <w:rsid w:val="00A96026"/>
    <w:rsid w:val="00A96116"/>
    <w:rsid w:val="00A96118"/>
    <w:rsid w:val="00A9614E"/>
    <w:rsid w:val="00A96422"/>
    <w:rsid w:val="00A96C0F"/>
    <w:rsid w:val="00A97075"/>
    <w:rsid w:val="00A97542"/>
    <w:rsid w:val="00AA0E80"/>
    <w:rsid w:val="00AA0F90"/>
    <w:rsid w:val="00AA16F4"/>
    <w:rsid w:val="00AA1756"/>
    <w:rsid w:val="00AA17CD"/>
    <w:rsid w:val="00AA1D4D"/>
    <w:rsid w:val="00AA1D85"/>
    <w:rsid w:val="00AA1F81"/>
    <w:rsid w:val="00AA212B"/>
    <w:rsid w:val="00AA212F"/>
    <w:rsid w:val="00AA26A9"/>
    <w:rsid w:val="00AA28CE"/>
    <w:rsid w:val="00AA2996"/>
    <w:rsid w:val="00AA2AF4"/>
    <w:rsid w:val="00AA4272"/>
    <w:rsid w:val="00AA4282"/>
    <w:rsid w:val="00AA4291"/>
    <w:rsid w:val="00AA43F2"/>
    <w:rsid w:val="00AA4790"/>
    <w:rsid w:val="00AA49E1"/>
    <w:rsid w:val="00AA52BF"/>
    <w:rsid w:val="00AA559A"/>
    <w:rsid w:val="00AA5DE4"/>
    <w:rsid w:val="00AA65D0"/>
    <w:rsid w:val="00AA6C31"/>
    <w:rsid w:val="00AA7752"/>
    <w:rsid w:val="00AA7CE8"/>
    <w:rsid w:val="00AB0243"/>
    <w:rsid w:val="00AB078A"/>
    <w:rsid w:val="00AB1457"/>
    <w:rsid w:val="00AB2531"/>
    <w:rsid w:val="00AB2AF1"/>
    <w:rsid w:val="00AB32CB"/>
    <w:rsid w:val="00AB3405"/>
    <w:rsid w:val="00AB3AD7"/>
    <w:rsid w:val="00AB3B8E"/>
    <w:rsid w:val="00AB3BA7"/>
    <w:rsid w:val="00AB3EC7"/>
    <w:rsid w:val="00AB44DA"/>
    <w:rsid w:val="00AB4BC1"/>
    <w:rsid w:val="00AB51D2"/>
    <w:rsid w:val="00AB5A64"/>
    <w:rsid w:val="00AB5CA1"/>
    <w:rsid w:val="00AB640C"/>
    <w:rsid w:val="00AB6456"/>
    <w:rsid w:val="00AB719D"/>
    <w:rsid w:val="00AB75C5"/>
    <w:rsid w:val="00AC044E"/>
    <w:rsid w:val="00AC0CE9"/>
    <w:rsid w:val="00AC1487"/>
    <w:rsid w:val="00AC2118"/>
    <w:rsid w:val="00AC2395"/>
    <w:rsid w:val="00AC2960"/>
    <w:rsid w:val="00AC2AC4"/>
    <w:rsid w:val="00AC37F9"/>
    <w:rsid w:val="00AC39AD"/>
    <w:rsid w:val="00AC3AE1"/>
    <w:rsid w:val="00AC40BF"/>
    <w:rsid w:val="00AC4284"/>
    <w:rsid w:val="00AC45BD"/>
    <w:rsid w:val="00AC50BB"/>
    <w:rsid w:val="00AC5256"/>
    <w:rsid w:val="00AC5333"/>
    <w:rsid w:val="00AC6FE4"/>
    <w:rsid w:val="00AC78F1"/>
    <w:rsid w:val="00AC7B96"/>
    <w:rsid w:val="00AD0B22"/>
    <w:rsid w:val="00AD0EE7"/>
    <w:rsid w:val="00AD168E"/>
    <w:rsid w:val="00AD2218"/>
    <w:rsid w:val="00AD2FCF"/>
    <w:rsid w:val="00AD2FF2"/>
    <w:rsid w:val="00AD306C"/>
    <w:rsid w:val="00AD3FE3"/>
    <w:rsid w:val="00AD432F"/>
    <w:rsid w:val="00AD43B0"/>
    <w:rsid w:val="00AD44CD"/>
    <w:rsid w:val="00AD47A7"/>
    <w:rsid w:val="00AD4C41"/>
    <w:rsid w:val="00AD5AD2"/>
    <w:rsid w:val="00AD5FF2"/>
    <w:rsid w:val="00AD6462"/>
    <w:rsid w:val="00AD66C5"/>
    <w:rsid w:val="00AD68C4"/>
    <w:rsid w:val="00AD71F9"/>
    <w:rsid w:val="00AE09B3"/>
    <w:rsid w:val="00AE14A7"/>
    <w:rsid w:val="00AE1767"/>
    <w:rsid w:val="00AE1A83"/>
    <w:rsid w:val="00AE27E3"/>
    <w:rsid w:val="00AE2A78"/>
    <w:rsid w:val="00AE2AE9"/>
    <w:rsid w:val="00AE2FF9"/>
    <w:rsid w:val="00AE30BE"/>
    <w:rsid w:val="00AE3E6A"/>
    <w:rsid w:val="00AE417E"/>
    <w:rsid w:val="00AE4A50"/>
    <w:rsid w:val="00AE5099"/>
    <w:rsid w:val="00AE56EE"/>
    <w:rsid w:val="00AE59E8"/>
    <w:rsid w:val="00AE6414"/>
    <w:rsid w:val="00AE7087"/>
    <w:rsid w:val="00AE7269"/>
    <w:rsid w:val="00AE75C1"/>
    <w:rsid w:val="00AE77B2"/>
    <w:rsid w:val="00AE797C"/>
    <w:rsid w:val="00AE7CE7"/>
    <w:rsid w:val="00AE7E8D"/>
    <w:rsid w:val="00AE7FAB"/>
    <w:rsid w:val="00AF0DE4"/>
    <w:rsid w:val="00AF0F32"/>
    <w:rsid w:val="00AF12A0"/>
    <w:rsid w:val="00AF1D38"/>
    <w:rsid w:val="00AF1E87"/>
    <w:rsid w:val="00AF25DA"/>
    <w:rsid w:val="00AF31F3"/>
    <w:rsid w:val="00AF33D9"/>
    <w:rsid w:val="00AF4181"/>
    <w:rsid w:val="00AF422A"/>
    <w:rsid w:val="00AF436B"/>
    <w:rsid w:val="00AF5179"/>
    <w:rsid w:val="00AF5CC2"/>
    <w:rsid w:val="00AF660D"/>
    <w:rsid w:val="00AF6776"/>
    <w:rsid w:val="00AF6F98"/>
    <w:rsid w:val="00AF7277"/>
    <w:rsid w:val="00B0001C"/>
    <w:rsid w:val="00B00550"/>
    <w:rsid w:val="00B00913"/>
    <w:rsid w:val="00B00D4D"/>
    <w:rsid w:val="00B01197"/>
    <w:rsid w:val="00B014F7"/>
    <w:rsid w:val="00B01593"/>
    <w:rsid w:val="00B01D0F"/>
    <w:rsid w:val="00B01F1A"/>
    <w:rsid w:val="00B01FF9"/>
    <w:rsid w:val="00B023F2"/>
    <w:rsid w:val="00B026FE"/>
    <w:rsid w:val="00B0271F"/>
    <w:rsid w:val="00B02A45"/>
    <w:rsid w:val="00B03883"/>
    <w:rsid w:val="00B038CA"/>
    <w:rsid w:val="00B0454F"/>
    <w:rsid w:val="00B05375"/>
    <w:rsid w:val="00B05BB6"/>
    <w:rsid w:val="00B05BEC"/>
    <w:rsid w:val="00B05F00"/>
    <w:rsid w:val="00B0601B"/>
    <w:rsid w:val="00B06DB4"/>
    <w:rsid w:val="00B06DDF"/>
    <w:rsid w:val="00B0750D"/>
    <w:rsid w:val="00B07850"/>
    <w:rsid w:val="00B0799C"/>
    <w:rsid w:val="00B102CE"/>
    <w:rsid w:val="00B10A4D"/>
    <w:rsid w:val="00B10C90"/>
    <w:rsid w:val="00B11002"/>
    <w:rsid w:val="00B1114F"/>
    <w:rsid w:val="00B117D9"/>
    <w:rsid w:val="00B1192D"/>
    <w:rsid w:val="00B121B2"/>
    <w:rsid w:val="00B131B1"/>
    <w:rsid w:val="00B13571"/>
    <w:rsid w:val="00B1382F"/>
    <w:rsid w:val="00B13A1C"/>
    <w:rsid w:val="00B141A5"/>
    <w:rsid w:val="00B141B6"/>
    <w:rsid w:val="00B145F1"/>
    <w:rsid w:val="00B14BC1"/>
    <w:rsid w:val="00B14EC9"/>
    <w:rsid w:val="00B154DE"/>
    <w:rsid w:val="00B162C3"/>
    <w:rsid w:val="00B16CD9"/>
    <w:rsid w:val="00B16DD1"/>
    <w:rsid w:val="00B16EB8"/>
    <w:rsid w:val="00B1700A"/>
    <w:rsid w:val="00B174AF"/>
    <w:rsid w:val="00B17625"/>
    <w:rsid w:val="00B17E71"/>
    <w:rsid w:val="00B17FDE"/>
    <w:rsid w:val="00B20632"/>
    <w:rsid w:val="00B21AE3"/>
    <w:rsid w:val="00B21EA4"/>
    <w:rsid w:val="00B2379C"/>
    <w:rsid w:val="00B23D5D"/>
    <w:rsid w:val="00B23E6E"/>
    <w:rsid w:val="00B2450C"/>
    <w:rsid w:val="00B24790"/>
    <w:rsid w:val="00B25531"/>
    <w:rsid w:val="00B25AD0"/>
    <w:rsid w:val="00B25B56"/>
    <w:rsid w:val="00B2687D"/>
    <w:rsid w:val="00B27EAC"/>
    <w:rsid w:val="00B27EC6"/>
    <w:rsid w:val="00B3082E"/>
    <w:rsid w:val="00B30C8B"/>
    <w:rsid w:val="00B3108D"/>
    <w:rsid w:val="00B32DDB"/>
    <w:rsid w:val="00B32F57"/>
    <w:rsid w:val="00B33300"/>
    <w:rsid w:val="00B3345C"/>
    <w:rsid w:val="00B343C4"/>
    <w:rsid w:val="00B34528"/>
    <w:rsid w:val="00B34750"/>
    <w:rsid w:val="00B34CC9"/>
    <w:rsid w:val="00B34CCE"/>
    <w:rsid w:val="00B34CDA"/>
    <w:rsid w:val="00B34EB6"/>
    <w:rsid w:val="00B34EFD"/>
    <w:rsid w:val="00B35160"/>
    <w:rsid w:val="00B3563B"/>
    <w:rsid w:val="00B36BDC"/>
    <w:rsid w:val="00B36C14"/>
    <w:rsid w:val="00B37975"/>
    <w:rsid w:val="00B37D3A"/>
    <w:rsid w:val="00B37D96"/>
    <w:rsid w:val="00B40066"/>
    <w:rsid w:val="00B402FC"/>
    <w:rsid w:val="00B41961"/>
    <w:rsid w:val="00B42127"/>
    <w:rsid w:val="00B422E2"/>
    <w:rsid w:val="00B42517"/>
    <w:rsid w:val="00B42902"/>
    <w:rsid w:val="00B42D5F"/>
    <w:rsid w:val="00B43216"/>
    <w:rsid w:val="00B439DA"/>
    <w:rsid w:val="00B4411A"/>
    <w:rsid w:val="00B44234"/>
    <w:rsid w:val="00B456FD"/>
    <w:rsid w:val="00B45FE8"/>
    <w:rsid w:val="00B4612C"/>
    <w:rsid w:val="00B46382"/>
    <w:rsid w:val="00B46604"/>
    <w:rsid w:val="00B47089"/>
    <w:rsid w:val="00B4753D"/>
    <w:rsid w:val="00B47587"/>
    <w:rsid w:val="00B50D6C"/>
    <w:rsid w:val="00B5150A"/>
    <w:rsid w:val="00B51A05"/>
    <w:rsid w:val="00B51B78"/>
    <w:rsid w:val="00B52151"/>
    <w:rsid w:val="00B52CA5"/>
    <w:rsid w:val="00B530CD"/>
    <w:rsid w:val="00B532B1"/>
    <w:rsid w:val="00B53639"/>
    <w:rsid w:val="00B53C7D"/>
    <w:rsid w:val="00B53D7F"/>
    <w:rsid w:val="00B53E56"/>
    <w:rsid w:val="00B5427F"/>
    <w:rsid w:val="00B545CC"/>
    <w:rsid w:val="00B55311"/>
    <w:rsid w:val="00B55601"/>
    <w:rsid w:val="00B55922"/>
    <w:rsid w:val="00B55A97"/>
    <w:rsid w:val="00B55E7E"/>
    <w:rsid w:val="00B55F5E"/>
    <w:rsid w:val="00B5601B"/>
    <w:rsid w:val="00B56231"/>
    <w:rsid w:val="00B5642C"/>
    <w:rsid w:val="00B564F1"/>
    <w:rsid w:val="00B5658D"/>
    <w:rsid w:val="00B56B6F"/>
    <w:rsid w:val="00B5701A"/>
    <w:rsid w:val="00B5752E"/>
    <w:rsid w:val="00B604FF"/>
    <w:rsid w:val="00B608B7"/>
    <w:rsid w:val="00B60AC1"/>
    <w:rsid w:val="00B6167A"/>
    <w:rsid w:val="00B61FF6"/>
    <w:rsid w:val="00B62316"/>
    <w:rsid w:val="00B62635"/>
    <w:rsid w:val="00B6274C"/>
    <w:rsid w:val="00B62A84"/>
    <w:rsid w:val="00B6329D"/>
    <w:rsid w:val="00B63A11"/>
    <w:rsid w:val="00B63C9F"/>
    <w:rsid w:val="00B63D32"/>
    <w:rsid w:val="00B64425"/>
    <w:rsid w:val="00B64A44"/>
    <w:rsid w:val="00B64C24"/>
    <w:rsid w:val="00B64E72"/>
    <w:rsid w:val="00B655D8"/>
    <w:rsid w:val="00B65CC4"/>
    <w:rsid w:val="00B65CEF"/>
    <w:rsid w:val="00B6608F"/>
    <w:rsid w:val="00B668D7"/>
    <w:rsid w:val="00B674C7"/>
    <w:rsid w:val="00B67749"/>
    <w:rsid w:val="00B679FB"/>
    <w:rsid w:val="00B703DD"/>
    <w:rsid w:val="00B70570"/>
    <w:rsid w:val="00B71FBF"/>
    <w:rsid w:val="00B72E6D"/>
    <w:rsid w:val="00B734A0"/>
    <w:rsid w:val="00B7356B"/>
    <w:rsid w:val="00B7374C"/>
    <w:rsid w:val="00B73A14"/>
    <w:rsid w:val="00B73AB1"/>
    <w:rsid w:val="00B73FE8"/>
    <w:rsid w:val="00B740A0"/>
    <w:rsid w:val="00B74606"/>
    <w:rsid w:val="00B746AB"/>
    <w:rsid w:val="00B748BD"/>
    <w:rsid w:val="00B74964"/>
    <w:rsid w:val="00B7564A"/>
    <w:rsid w:val="00B75719"/>
    <w:rsid w:val="00B76100"/>
    <w:rsid w:val="00B7680F"/>
    <w:rsid w:val="00B76B48"/>
    <w:rsid w:val="00B76D1E"/>
    <w:rsid w:val="00B771E5"/>
    <w:rsid w:val="00B77201"/>
    <w:rsid w:val="00B77543"/>
    <w:rsid w:val="00B77584"/>
    <w:rsid w:val="00B77E34"/>
    <w:rsid w:val="00B805D8"/>
    <w:rsid w:val="00B809F3"/>
    <w:rsid w:val="00B80D44"/>
    <w:rsid w:val="00B80D89"/>
    <w:rsid w:val="00B80EC6"/>
    <w:rsid w:val="00B81288"/>
    <w:rsid w:val="00B81D70"/>
    <w:rsid w:val="00B82420"/>
    <w:rsid w:val="00B833B9"/>
    <w:rsid w:val="00B836F7"/>
    <w:rsid w:val="00B83AAF"/>
    <w:rsid w:val="00B83E07"/>
    <w:rsid w:val="00B84CF6"/>
    <w:rsid w:val="00B85016"/>
    <w:rsid w:val="00B8561A"/>
    <w:rsid w:val="00B86628"/>
    <w:rsid w:val="00B86643"/>
    <w:rsid w:val="00B868F7"/>
    <w:rsid w:val="00B86BBA"/>
    <w:rsid w:val="00B86EB1"/>
    <w:rsid w:val="00B86EB2"/>
    <w:rsid w:val="00B871A7"/>
    <w:rsid w:val="00B87A70"/>
    <w:rsid w:val="00B87F5D"/>
    <w:rsid w:val="00B900FB"/>
    <w:rsid w:val="00B90131"/>
    <w:rsid w:val="00B907BE"/>
    <w:rsid w:val="00B90DE0"/>
    <w:rsid w:val="00B91EBE"/>
    <w:rsid w:val="00B92951"/>
    <w:rsid w:val="00B92D1D"/>
    <w:rsid w:val="00B92D7E"/>
    <w:rsid w:val="00B930CE"/>
    <w:rsid w:val="00B938C5"/>
    <w:rsid w:val="00B93EC3"/>
    <w:rsid w:val="00B940A8"/>
    <w:rsid w:val="00B9554A"/>
    <w:rsid w:val="00B95940"/>
    <w:rsid w:val="00B95ACA"/>
    <w:rsid w:val="00B95C12"/>
    <w:rsid w:val="00B95DA7"/>
    <w:rsid w:val="00B96949"/>
    <w:rsid w:val="00B96D74"/>
    <w:rsid w:val="00B9720E"/>
    <w:rsid w:val="00B97320"/>
    <w:rsid w:val="00B97ACC"/>
    <w:rsid w:val="00B97FE2"/>
    <w:rsid w:val="00BA0986"/>
    <w:rsid w:val="00BA0E0B"/>
    <w:rsid w:val="00BA0F7D"/>
    <w:rsid w:val="00BA1B6F"/>
    <w:rsid w:val="00BA201A"/>
    <w:rsid w:val="00BA21DF"/>
    <w:rsid w:val="00BA2B7C"/>
    <w:rsid w:val="00BA361D"/>
    <w:rsid w:val="00BA3787"/>
    <w:rsid w:val="00BA403A"/>
    <w:rsid w:val="00BA46E8"/>
    <w:rsid w:val="00BA49DB"/>
    <w:rsid w:val="00BA4AE9"/>
    <w:rsid w:val="00BA4CC9"/>
    <w:rsid w:val="00BA4E19"/>
    <w:rsid w:val="00BA52D4"/>
    <w:rsid w:val="00BA5EFC"/>
    <w:rsid w:val="00BA6397"/>
    <w:rsid w:val="00BA6436"/>
    <w:rsid w:val="00BA64F2"/>
    <w:rsid w:val="00BA65BE"/>
    <w:rsid w:val="00BA684E"/>
    <w:rsid w:val="00BA6C2B"/>
    <w:rsid w:val="00BA7B64"/>
    <w:rsid w:val="00BA7D5F"/>
    <w:rsid w:val="00BB02A3"/>
    <w:rsid w:val="00BB0351"/>
    <w:rsid w:val="00BB15C3"/>
    <w:rsid w:val="00BB1A13"/>
    <w:rsid w:val="00BB1AF4"/>
    <w:rsid w:val="00BB2202"/>
    <w:rsid w:val="00BB298E"/>
    <w:rsid w:val="00BB3153"/>
    <w:rsid w:val="00BB3C6B"/>
    <w:rsid w:val="00BB3E48"/>
    <w:rsid w:val="00BB3FD6"/>
    <w:rsid w:val="00BB453F"/>
    <w:rsid w:val="00BB46C6"/>
    <w:rsid w:val="00BB46F3"/>
    <w:rsid w:val="00BB4A71"/>
    <w:rsid w:val="00BB4CB1"/>
    <w:rsid w:val="00BB4E47"/>
    <w:rsid w:val="00BB4F98"/>
    <w:rsid w:val="00BB50C0"/>
    <w:rsid w:val="00BB5AB2"/>
    <w:rsid w:val="00BB5ABF"/>
    <w:rsid w:val="00BB5F94"/>
    <w:rsid w:val="00BB6EA2"/>
    <w:rsid w:val="00BB7142"/>
    <w:rsid w:val="00BB71D2"/>
    <w:rsid w:val="00BB76F3"/>
    <w:rsid w:val="00BB7B5B"/>
    <w:rsid w:val="00BB7E0B"/>
    <w:rsid w:val="00BB7EB1"/>
    <w:rsid w:val="00BC003F"/>
    <w:rsid w:val="00BC0930"/>
    <w:rsid w:val="00BC0D79"/>
    <w:rsid w:val="00BC14B0"/>
    <w:rsid w:val="00BC223A"/>
    <w:rsid w:val="00BC2340"/>
    <w:rsid w:val="00BC327F"/>
    <w:rsid w:val="00BC3512"/>
    <w:rsid w:val="00BC3D26"/>
    <w:rsid w:val="00BC4010"/>
    <w:rsid w:val="00BC48A2"/>
    <w:rsid w:val="00BC493B"/>
    <w:rsid w:val="00BC4B35"/>
    <w:rsid w:val="00BC4F86"/>
    <w:rsid w:val="00BC50BE"/>
    <w:rsid w:val="00BC5332"/>
    <w:rsid w:val="00BC557F"/>
    <w:rsid w:val="00BC5636"/>
    <w:rsid w:val="00BC5715"/>
    <w:rsid w:val="00BC5BBD"/>
    <w:rsid w:val="00BC5C12"/>
    <w:rsid w:val="00BC641B"/>
    <w:rsid w:val="00BC7154"/>
    <w:rsid w:val="00BC731E"/>
    <w:rsid w:val="00BC7614"/>
    <w:rsid w:val="00BC7652"/>
    <w:rsid w:val="00BC7EFA"/>
    <w:rsid w:val="00BD041B"/>
    <w:rsid w:val="00BD1B66"/>
    <w:rsid w:val="00BD25BB"/>
    <w:rsid w:val="00BD2AF8"/>
    <w:rsid w:val="00BD366B"/>
    <w:rsid w:val="00BD3C09"/>
    <w:rsid w:val="00BD410B"/>
    <w:rsid w:val="00BD4310"/>
    <w:rsid w:val="00BD4A73"/>
    <w:rsid w:val="00BD4EDD"/>
    <w:rsid w:val="00BD4EF4"/>
    <w:rsid w:val="00BD57E9"/>
    <w:rsid w:val="00BD5A1B"/>
    <w:rsid w:val="00BD5D0F"/>
    <w:rsid w:val="00BD6659"/>
    <w:rsid w:val="00BD6C75"/>
    <w:rsid w:val="00BD6D4D"/>
    <w:rsid w:val="00BD6D50"/>
    <w:rsid w:val="00BD7105"/>
    <w:rsid w:val="00BD73D2"/>
    <w:rsid w:val="00BE00D1"/>
    <w:rsid w:val="00BE0ACB"/>
    <w:rsid w:val="00BE0AD1"/>
    <w:rsid w:val="00BE0D18"/>
    <w:rsid w:val="00BE0EF9"/>
    <w:rsid w:val="00BE10A1"/>
    <w:rsid w:val="00BE18B9"/>
    <w:rsid w:val="00BE190A"/>
    <w:rsid w:val="00BE2495"/>
    <w:rsid w:val="00BE24DD"/>
    <w:rsid w:val="00BE2DB0"/>
    <w:rsid w:val="00BE34BB"/>
    <w:rsid w:val="00BE386D"/>
    <w:rsid w:val="00BE4B6B"/>
    <w:rsid w:val="00BE4DA9"/>
    <w:rsid w:val="00BE54BF"/>
    <w:rsid w:val="00BE557B"/>
    <w:rsid w:val="00BE55EF"/>
    <w:rsid w:val="00BE59C5"/>
    <w:rsid w:val="00BE652B"/>
    <w:rsid w:val="00BE6C26"/>
    <w:rsid w:val="00BE7F5F"/>
    <w:rsid w:val="00BF02C8"/>
    <w:rsid w:val="00BF08EA"/>
    <w:rsid w:val="00BF0FD7"/>
    <w:rsid w:val="00BF1578"/>
    <w:rsid w:val="00BF15CA"/>
    <w:rsid w:val="00BF1D12"/>
    <w:rsid w:val="00BF1D3A"/>
    <w:rsid w:val="00BF267B"/>
    <w:rsid w:val="00BF2B5B"/>
    <w:rsid w:val="00BF2D41"/>
    <w:rsid w:val="00BF3201"/>
    <w:rsid w:val="00BF3274"/>
    <w:rsid w:val="00BF32DC"/>
    <w:rsid w:val="00BF35C9"/>
    <w:rsid w:val="00BF4329"/>
    <w:rsid w:val="00BF4DCD"/>
    <w:rsid w:val="00BF4E43"/>
    <w:rsid w:val="00BF5C4C"/>
    <w:rsid w:val="00BF6B0D"/>
    <w:rsid w:val="00BF71E7"/>
    <w:rsid w:val="00BF765C"/>
    <w:rsid w:val="00BF77FC"/>
    <w:rsid w:val="00BF7BB2"/>
    <w:rsid w:val="00BF7D00"/>
    <w:rsid w:val="00BF7DAD"/>
    <w:rsid w:val="00C006D6"/>
    <w:rsid w:val="00C008FE"/>
    <w:rsid w:val="00C00BD7"/>
    <w:rsid w:val="00C00EBF"/>
    <w:rsid w:val="00C0103E"/>
    <w:rsid w:val="00C01410"/>
    <w:rsid w:val="00C024BB"/>
    <w:rsid w:val="00C0259E"/>
    <w:rsid w:val="00C027E4"/>
    <w:rsid w:val="00C02D23"/>
    <w:rsid w:val="00C03D4D"/>
    <w:rsid w:val="00C0436A"/>
    <w:rsid w:val="00C044F4"/>
    <w:rsid w:val="00C04B78"/>
    <w:rsid w:val="00C04F46"/>
    <w:rsid w:val="00C052AA"/>
    <w:rsid w:val="00C05608"/>
    <w:rsid w:val="00C06EE3"/>
    <w:rsid w:val="00C07279"/>
    <w:rsid w:val="00C07749"/>
    <w:rsid w:val="00C07B3F"/>
    <w:rsid w:val="00C07C67"/>
    <w:rsid w:val="00C10099"/>
    <w:rsid w:val="00C107A7"/>
    <w:rsid w:val="00C10805"/>
    <w:rsid w:val="00C11244"/>
    <w:rsid w:val="00C1186C"/>
    <w:rsid w:val="00C118A9"/>
    <w:rsid w:val="00C11D48"/>
    <w:rsid w:val="00C12304"/>
    <w:rsid w:val="00C12316"/>
    <w:rsid w:val="00C1246C"/>
    <w:rsid w:val="00C1493E"/>
    <w:rsid w:val="00C1494A"/>
    <w:rsid w:val="00C14D39"/>
    <w:rsid w:val="00C152DE"/>
    <w:rsid w:val="00C15444"/>
    <w:rsid w:val="00C15537"/>
    <w:rsid w:val="00C15954"/>
    <w:rsid w:val="00C15DBD"/>
    <w:rsid w:val="00C161C5"/>
    <w:rsid w:val="00C172F7"/>
    <w:rsid w:val="00C1798F"/>
    <w:rsid w:val="00C2010D"/>
    <w:rsid w:val="00C2030A"/>
    <w:rsid w:val="00C20906"/>
    <w:rsid w:val="00C20CB5"/>
    <w:rsid w:val="00C21430"/>
    <w:rsid w:val="00C21559"/>
    <w:rsid w:val="00C216DF"/>
    <w:rsid w:val="00C21E61"/>
    <w:rsid w:val="00C21F51"/>
    <w:rsid w:val="00C21F94"/>
    <w:rsid w:val="00C224BD"/>
    <w:rsid w:val="00C2272B"/>
    <w:rsid w:val="00C232ED"/>
    <w:rsid w:val="00C234DB"/>
    <w:rsid w:val="00C23796"/>
    <w:rsid w:val="00C23C5C"/>
    <w:rsid w:val="00C240A1"/>
    <w:rsid w:val="00C2479A"/>
    <w:rsid w:val="00C24903"/>
    <w:rsid w:val="00C2590D"/>
    <w:rsid w:val="00C25D9C"/>
    <w:rsid w:val="00C26086"/>
    <w:rsid w:val="00C27913"/>
    <w:rsid w:val="00C27C96"/>
    <w:rsid w:val="00C27FA7"/>
    <w:rsid w:val="00C300E2"/>
    <w:rsid w:val="00C3198A"/>
    <w:rsid w:val="00C31BCC"/>
    <w:rsid w:val="00C31F21"/>
    <w:rsid w:val="00C3220D"/>
    <w:rsid w:val="00C32631"/>
    <w:rsid w:val="00C33301"/>
    <w:rsid w:val="00C33311"/>
    <w:rsid w:val="00C333A0"/>
    <w:rsid w:val="00C33B68"/>
    <w:rsid w:val="00C34AD4"/>
    <w:rsid w:val="00C350C5"/>
    <w:rsid w:val="00C35570"/>
    <w:rsid w:val="00C35A2A"/>
    <w:rsid w:val="00C36A79"/>
    <w:rsid w:val="00C36D19"/>
    <w:rsid w:val="00C4018E"/>
    <w:rsid w:val="00C401A9"/>
    <w:rsid w:val="00C401D2"/>
    <w:rsid w:val="00C401DA"/>
    <w:rsid w:val="00C4031A"/>
    <w:rsid w:val="00C405D4"/>
    <w:rsid w:val="00C408AE"/>
    <w:rsid w:val="00C419D5"/>
    <w:rsid w:val="00C41D54"/>
    <w:rsid w:val="00C41F2C"/>
    <w:rsid w:val="00C42EBB"/>
    <w:rsid w:val="00C431E3"/>
    <w:rsid w:val="00C435E8"/>
    <w:rsid w:val="00C4362A"/>
    <w:rsid w:val="00C4513B"/>
    <w:rsid w:val="00C45502"/>
    <w:rsid w:val="00C46517"/>
    <w:rsid w:val="00C46769"/>
    <w:rsid w:val="00C4755A"/>
    <w:rsid w:val="00C475E8"/>
    <w:rsid w:val="00C50A88"/>
    <w:rsid w:val="00C50B73"/>
    <w:rsid w:val="00C50E79"/>
    <w:rsid w:val="00C5197D"/>
    <w:rsid w:val="00C52250"/>
    <w:rsid w:val="00C525FB"/>
    <w:rsid w:val="00C527AD"/>
    <w:rsid w:val="00C53239"/>
    <w:rsid w:val="00C5390B"/>
    <w:rsid w:val="00C53C9F"/>
    <w:rsid w:val="00C54257"/>
    <w:rsid w:val="00C54697"/>
    <w:rsid w:val="00C550CE"/>
    <w:rsid w:val="00C55344"/>
    <w:rsid w:val="00C553A5"/>
    <w:rsid w:val="00C55402"/>
    <w:rsid w:val="00C55B08"/>
    <w:rsid w:val="00C55E3B"/>
    <w:rsid w:val="00C5603B"/>
    <w:rsid w:val="00C6020C"/>
    <w:rsid w:val="00C60AE3"/>
    <w:rsid w:val="00C60C19"/>
    <w:rsid w:val="00C61F47"/>
    <w:rsid w:val="00C62828"/>
    <w:rsid w:val="00C631B2"/>
    <w:rsid w:val="00C63DD1"/>
    <w:rsid w:val="00C64454"/>
    <w:rsid w:val="00C645CD"/>
    <w:rsid w:val="00C6479C"/>
    <w:rsid w:val="00C655DA"/>
    <w:rsid w:val="00C672C1"/>
    <w:rsid w:val="00C67D88"/>
    <w:rsid w:val="00C706D2"/>
    <w:rsid w:val="00C7090E"/>
    <w:rsid w:val="00C715CC"/>
    <w:rsid w:val="00C719A3"/>
    <w:rsid w:val="00C71D2F"/>
    <w:rsid w:val="00C72227"/>
    <w:rsid w:val="00C72984"/>
    <w:rsid w:val="00C72C99"/>
    <w:rsid w:val="00C73885"/>
    <w:rsid w:val="00C73C93"/>
    <w:rsid w:val="00C741EF"/>
    <w:rsid w:val="00C7435A"/>
    <w:rsid w:val="00C747B1"/>
    <w:rsid w:val="00C74CEA"/>
    <w:rsid w:val="00C75110"/>
    <w:rsid w:val="00C75510"/>
    <w:rsid w:val="00C755F9"/>
    <w:rsid w:val="00C75752"/>
    <w:rsid w:val="00C75B60"/>
    <w:rsid w:val="00C761EC"/>
    <w:rsid w:val="00C770C9"/>
    <w:rsid w:val="00C8019E"/>
    <w:rsid w:val="00C81070"/>
    <w:rsid w:val="00C81259"/>
    <w:rsid w:val="00C8174E"/>
    <w:rsid w:val="00C82191"/>
    <w:rsid w:val="00C830D3"/>
    <w:rsid w:val="00C83134"/>
    <w:rsid w:val="00C831E7"/>
    <w:rsid w:val="00C832F3"/>
    <w:rsid w:val="00C83B4C"/>
    <w:rsid w:val="00C84307"/>
    <w:rsid w:val="00C845A4"/>
    <w:rsid w:val="00C85545"/>
    <w:rsid w:val="00C855B5"/>
    <w:rsid w:val="00C85C86"/>
    <w:rsid w:val="00C85F0E"/>
    <w:rsid w:val="00C867F9"/>
    <w:rsid w:val="00C872AA"/>
    <w:rsid w:val="00C873F3"/>
    <w:rsid w:val="00C875BD"/>
    <w:rsid w:val="00C87C6B"/>
    <w:rsid w:val="00C90357"/>
    <w:rsid w:val="00C9063B"/>
    <w:rsid w:val="00C90CF4"/>
    <w:rsid w:val="00C917A7"/>
    <w:rsid w:val="00C91C20"/>
    <w:rsid w:val="00C922DE"/>
    <w:rsid w:val="00C92843"/>
    <w:rsid w:val="00C929FE"/>
    <w:rsid w:val="00C92EB6"/>
    <w:rsid w:val="00C9300A"/>
    <w:rsid w:val="00C93389"/>
    <w:rsid w:val="00C948E6"/>
    <w:rsid w:val="00C94CDD"/>
    <w:rsid w:val="00C95123"/>
    <w:rsid w:val="00C95DA9"/>
    <w:rsid w:val="00C96A7B"/>
    <w:rsid w:val="00C96EF5"/>
    <w:rsid w:val="00C97588"/>
    <w:rsid w:val="00C97E0D"/>
    <w:rsid w:val="00CA0346"/>
    <w:rsid w:val="00CA073C"/>
    <w:rsid w:val="00CA09F3"/>
    <w:rsid w:val="00CA0BD5"/>
    <w:rsid w:val="00CA0DA1"/>
    <w:rsid w:val="00CA12D2"/>
    <w:rsid w:val="00CA1A21"/>
    <w:rsid w:val="00CA1BD6"/>
    <w:rsid w:val="00CA2EF5"/>
    <w:rsid w:val="00CA37FF"/>
    <w:rsid w:val="00CA423A"/>
    <w:rsid w:val="00CA47BC"/>
    <w:rsid w:val="00CA4B39"/>
    <w:rsid w:val="00CA557E"/>
    <w:rsid w:val="00CA5EAD"/>
    <w:rsid w:val="00CA6AB4"/>
    <w:rsid w:val="00CA7255"/>
    <w:rsid w:val="00CA752E"/>
    <w:rsid w:val="00CA79E2"/>
    <w:rsid w:val="00CA7D68"/>
    <w:rsid w:val="00CB111E"/>
    <w:rsid w:val="00CB1BEE"/>
    <w:rsid w:val="00CB2224"/>
    <w:rsid w:val="00CB2351"/>
    <w:rsid w:val="00CB3605"/>
    <w:rsid w:val="00CB3FC8"/>
    <w:rsid w:val="00CB4022"/>
    <w:rsid w:val="00CB4257"/>
    <w:rsid w:val="00CB4930"/>
    <w:rsid w:val="00CB4BA9"/>
    <w:rsid w:val="00CB4C48"/>
    <w:rsid w:val="00CB4C63"/>
    <w:rsid w:val="00CB5398"/>
    <w:rsid w:val="00CB57F9"/>
    <w:rsid w:val="00CB5895"/>
    <w:rsid w:val="00CB5A48"/>
    <w:rsid w:val="00CB5E10"/>
    <w:rsid w:val="00CB5E2E"/>
    <w:rsid w:val="00CB613B"/>
    <w:rsid w:val="00CB6152"/>
    <w:rsid w:val="00CB61FC"/>
    <w:rsid w:val="00CB63BE"/>
    <w:rsid w:val="00CB64E1"/>
    <w:rsid w:val="00CB6C6F"/>
    <w:rsid w:val="00CB6E4D"/>
    <w:rsid w:val="00CB7495"/>
    <w:rsid w:val="00CB76F1"/>
    <w:rsid w:val="00CC009B"/>
    <w:rsid w:val="00CC0156"/>
    <w:rsid w:val="00CC0834"/>
    <w:rsid w:val="00CC0AEA"/>
    <w:rsid w:val="00CC12C7"/>
    <w:rsid w:val="00CC1901"/>
    <w:rsid w:val="00CC1DF8"/>
    <w:rsid w:val="00CC20FE"/>
    <w:rsid w:val="00CC225C"/>
    <w:rsid w:val="00CC2342"/>
    <w:rsid w:val="00CC2E7D"/>
    <w:rsid w:val="00CC433B"/>
    <w:rsid w:val="00CC469E"/>
    <w:rsid w:val="00CC5BE8"/>
    <w:rsid w:val="00CC612B"/>
    <w:rsid w:val="00CC6145"/>
    <w:rsid w:val="00CC655F"/>
    <w:rsid w:val="00CC65EC"/>
    <w:rsid w:val="00CC66F9"/>
    <w:rsid w:val="00CC6C2A"/>
    <w:rsid w:val="00CC6F4D"/>
    <w:rsid w:val="00CC6F84"/>
    <w:rsid w:val="00CC6FE5"/>
    <w:rsid w:val="00CC7458"/>
    <w:rsid w:val="00CC76BD"/>
    <w:rsid w:val="00CC7A87"/>
    <w:rsid w:val="00CC7F1E"/>
    <w:rsid w:val="00CD08BF"/>
    <w:rsid w:val="00CD0D6B"/>
    <w:rsid w:val="00CD0F7F"/>
    <w:rsid w:val="00CD1060"/>
    <w:rsid w:val="00CD10A5"/>
    <w:rsid w:val="00CD1129"/>
    <w:rsid w:val="00CD1388"/>
    <w:rsid w:val="00CD1A80"/>
    <w:rsid w:val="00CD1CB5"/>
    <w:rsid w:val="00CD1E14"/>
    <w:rsid w:val="00CD2076"/>
    <w:rsid w:val="00CD24B5"/>
    <w:rsid w:val="00CD24CE"/>
    <w:rsid w:val="00CD29B5"/>
    <w:rsid w:val="00CD2B78"/>
    <w:rsid w:val="00CD3866"/>
    <w:rsid w:val="00CD3FAB"/>
    <w:rsid w:val="00CD5456"/>
    <w:rsid w:val="00CD5C3E"/>
    <w:rsid w:val="00CD5C57"/>
    <w:rsid w:val="00CD5CC4"/>
    <w:rsid w:val="00CD5F0F"/>
    <w:rsid w:val="00CD6331"/>
    <w:rsid w:val="00CD636A"/>
    <w:rsid w:val="00CD6AD0"/>
    <w:rsid w:val="00CD79E0"/>
    <w:rsid w:val="00CD7E9E"/>
    <w:rsid w:val="00CE0AB1"/>
    <w:rsid w:val="00CE14BE"/>
    <w:rsid w:val="00CE150B"/>
    <w:rsid w:val="00CE17A4"/>
    <w:rsid w:val="00CE1BA9"/>
    <w:rsid w:val="00CE2D8F"/>
    <w:rsid w:val="00CE3532"/>
    <w:rsid w:val="00CE3BA9"/>
    <w:rsid w:val="00CE3C09"/>
    <w:rsid w:val="00CE3E48"/>
    <w:rsid w:val="00CE46C0"/>
    <w:rsid w:val="00CE47B8"/>
    <w:rsid w:val="00CE4F32"/>
    <w:rsid w:val="00CE54FD"/>
    <w:rsid w:val="00CE5C92"/>
    <w:rsid w:val="00CE5E12"/>
    <w:rsid w:val="00CE62FA"/>
    <w:rsid w:val="00CE670B"/>
    <w:rsid w:val="00CE6833"/>
    <w:rsid w:val="00CE7562"/>
    <w:rsid w:val="00CF020B"/>
    <w:rsid w:val="00CF074A"/>
    <w:rsid w:val="00CF0E03"/>
    <w:rsid w:val="00CF15BF"/>
    <w:rsid w:val="00CF2E4D"/>
    <w:rsid w:val="00CF35A7"/>
    <w:rsid w:val="00CF3B83"/>
    <w:rsid w:val="00CF4205"/>
    <w:rsid w:val="00CF4367"/>
    <w:rsid w:val="00CF4908"/>
    <w:rsid w:val="00CF4B5B"/>
    <w:rsid w:val="00CF4D64"/>
    <w:rsid w:val="00CF51EC"/>
    <w:rsid w:val="00CF545D"/>
    <w:rsid w:val="00CF5873"/>
    <w:rsid w:val="00CF626D"/>
    <w:rsid w:val="00CF6AB7"/>
    <w:rsid w:val="00CF6E87"/>
    <w:rsid w:val="00CF73AE"/>
    <w:rsid w:val="00CF7777"/>
    <w:rsid w:val="00CF7BCB"/>
    <w:rsid w:val="00D003BD"/>
    <w:rsid w:val="00D0085A"/>
    <w:rsid w:val="00D0197F"/>
    <w:rsid w:val="00D01B31"/>
    <w:rsid w:val="00D0220F"/>
    <w:rsid w:val="00D0242D"/>
    <w:rsid w:val="00D026A8"/>
    <w:rsid w:val="00D02716"/>
    <w:rsid w:val="00D02CFF"/>
    <w:rsid w:val="00D03A72"/>
    <w:rsid w:val="00D040DD"/>
    <w:rsid w:val="00D0410D"/>
    <w:rsid w:val="00D04134"/>
    <w:rsid w:val="00D0544B"/>
    <w:rsid w:val="00D05C65"/>
    <w:rsid w:val="00D06884"/>
    <w:rsid w:val="00D0694C"/>
    <w:rsid w:val="00D06B56"/>
    <w:rsid w:val="00D06D68"/>
    <w:rsid w:val="00D075BE"/>
    <w:rsid w:val="00D07AFF"/>
    <w:rsid w:val="00D07CC2"/>
    <w:rsid w:val="00D105FD"/>
    <w:rsid w:val="00D10C15"/>
    <w:rsid w:val="00D11011"/>
    <w:rsid w:val="00D112D2"/>
    <w:rsid w:val="00D11476"/>
    <w:rsid w:val="00D12029"/>
    <w:rsid w:val="00D120BD"/>
    <w:rsid w:val="00D1276D"/>
    <w:rsid w:val="00D12C25"/>
    <w:rsid w:val="00D12FCD"/>
    <w:rsid w:val="00D133B4"/>
    <w:rsid w:val="00D13986"/>
    <w:rsid w:val="00D13F3E"/>
    <w:rsid w:val="00D1464E"/>
    <w:rsid w:val="00D14AF3"/>
    <w:rsid w:val="00D14AF9"/>
    <w:rsid w:val="00D14C5B"/>
    <w:rsid w:val="00D15468"/>
    <w:rsid w:val="00D15D3A"/>
    <w:rsid w:val="00D15FED"/>
    <w:rsid w:val="00D16712"/>
    <w:rsid w:val="00D16EF9"/>
    <w:rsid w:val="00D174E0"/>
    <w:rsid w:val="00D17AD2"/>
    <w:rsid w:val="00D17B4D"/>
    <w:rsid w:val="00D214EF"/>
    <w:rsid w:val="00D215B0"/>
    <w:rsid w:val="00D2192C"/>
    <w:rsid w:val="00D21B36"/>
    <w:rsid w:val="00D21D6D"/>
    <w:rsid w:val="00D21D83"/>
    <w:rsid w:val="00D2243B"/>
    <w:rsid w:val="00D22A03"/>
    <w:rsid w:val="00D22A47"/>
    <w:rsid w:val="00D235B7"/>
    <w:rsid w:val="00D23A99"/>
    <w:rsid w:val="00D23B39"/>
    <w:rsid w:val="00D23EA4"/>
    <w:rsid w:val="00D23FAE"/>
    <w:rsid w:val="00D250EB"/>
    <w:rsid w:val="00D25F28"/>
    <w:rsid w:val="00D25FDC"/>
    <w:rsid w:val="00D26071"/>
    <w:rsid w:val="00D260B0"/>
    <w:rsid w:val="00D260C7"/>
    <w:rsid w:val="00D26133"/>
    <w:rsid w:val="00D2628C"/>
    <w:rsid w:val="00D269B9"/>
    <w:rsid w:val="00D27973"/>
    <w:rsid w:val="00D27B07"/>
    <w:rsid w:val="00D27F07"/>
    <w:rsid w:val="00D27F3A"/>
    <w:rsid w:val="00D31537"/>
    <w:rsid w:val="00D31E1E"/>
    <w:rsid w:val="00D322A0"/>
    <w:rsid w:val="00D32824"/>
    <w:rsid w:val="00D32C69"/>
    <w:rsid w:val="00D3300D"/>
    <w:rsid w:val="00D33297"/>
    <w:rsid w:val="00D333A3"/>
    <w:rsid w:val="00D334E2"/>
    <w:rsid w:val="00D335E5"/>
    <w:rsid w:val="00D33EE0"/>
    <w:rsid w:val="00D348FD"/>
    <w:rsid w:val="00D350B1"/>
    <w:rsid w:val="00D35AD6"/>
    <w:rsid w:val="00D35B69"/>
    <w:rsid w:val="00D35BBB"/>
    <w:rsid w:val="00D35E1A"/>
    <w:rsid w:val="00D362B1"/>
    <w:rsid w:val="00D36779"/>
    <w:rsid w:val="00D36B0A"/>
    <w:rsid w:val="00D36DFB"/>
    <w:rsid w:val="00D36E1C"/>
    <w:rsid w:val="00D3722F"/>
    <w:rsid w:val="00D372D7"/>
    <w:rsid w:val="00D373AF"/>
    <w:rsid w:val="00D37DBD"/>
    <w:rsid w:val="00D40162"/>
    <w:rsid w:val="00D40441"/>
    <w:rsid w:val="00D40556"/>
    <w:rsid w:val="00D40E1F"/>
    <w:rsid w:val="00D41495"/>
    <w:rsid w:val="00D418E9"/>
    <w:rsid w:val="00D41BCD"/>
    <w:rsid w:val="00D41F74"/>
    <w:rsid w:val="00D42399"/>
    <w:rsid w:val="00D428C8"/>
    <w:rsid w:val="00D43034"/>
    <w:rsid w:val="00D43D3C"/>
    <w:rsid w:val="00D43ED2"/>
    <w:rsid w:val="00D4653E"/>
    <w:rsid w:val="00D46F11"/>
    <w:rsid w:val="00D47806"/>
    <w:rsid w:val="00D47A67"/>
    <w:rsid w:val="00D47C12"/>
    <w:rsid w:val="00D47C4E"/>
    <w:rsid w:val="00D50016"/>
    <w:rsid w:val="00D50A79"/>
    <w:rsid w:val="00D50F46"/>
    <w:rsid w:val="00D51FA0"/>
    <w:rsid w:val="00D5302A"/>
    <w:rsid w:val="00D531F2"/>
    <w:rsid w:val="00D533C4"/>
    <w:rsid w:val="00D5384E"/>
    <w:rsid w:val="00D544E7"/>
    <w:rsid w:val="00D5499F"/>
    <w:rsid w:val="00D55602"/>
    <w:rsid w:val="00D5560A"/>
    <w:rsid w:val="00D56250"/>
    <w:rsid w:val="00D56892"/>
    <w:rsid w:val="00D56EE1"/>
    <w:rsid w:val="00D56FBF"/>
    <w:rsid w:val="00D57129"/>
    <w:rsid w:val="00D57677"/>
    <w:rsid w:val="00D5781F"/>
    <w:rsid w:val="00D579B2"/>
    <w:rsid w:val="00D60415"/>
    <w:rsid w:val="00D60515"/>
    <w:rsid w:val="00D60D0C"/>
    <w:rsid w:val="00D60DAE"/>
    <w:rsid w:val="00D60E3C"/>
    <w:rsid w:val="00D60FA7"/>
    <w:rsid w:val="00D612BF"/>
    <w:rsid w:val="00D61332"/>
    <w:rsid w:val="00D61FAB"/>
    <w:rsid w:val="00D62180"/>
    <w:rsid w:val="00D625DF"/>
    <w:rsid w:val="00D629FA"/>
    <w:rsid w:val="00D62C4E"/>
    <w:rsid w:val="00D62FE9"/>
    <w:rsid w:val="00D63947"/>
    <w:rsid w:val="00D63BE5"/>
    <w:rsid w:val="00D6475F"/>
    <w:rsid w:val="00D650A2"/>
    <w:rsid w:val="00D652EB"/>
    <w:rsid w:val="00D655D4"/>
    <w:rsid w:val="00D661A0"/>
    <w:rsid w:val="00D66223"/>
    <w:rsid w:val="00D667B8"/>
    <w:rsid w:val="00D66CCD"/>
    <w:rsid w:val="00D677BC"/>
    <w:rsid w:val="00D679AE"/>
    <w:rsid w:val="00D67D55"/>
    <w:rsid w:val="00D70130"/>
    <w:rsid w:val="00D70289"/>
    <w:rsid w:val="00D7041F"/>
    <w:rsid w:val="00D70822"/>
    <w:rsid w:val="00D708E1"/>
    <w:rsid w:val="00D71B96"/>
    <w:rsid w:val="00D71E35"/>
    <w:rsid w:val="00D72076"/>
    <w:rsid w:val="00D721B4"/>
    <w:rsid w:val="00D726A9"/>
    <w:rsid w:val="00D72986"/>
    <w:rsid w:val="00D72C66"/>
    <w:rsid w:val="00D72DBA"/>
    <w:rsid w:val="00D743E0"/>
    <w:rsid w:val="00D74667"/>
    <w:rsid w:val="00D7469D"/>
    <w:rsid w:val="00D7490C"/>
    <w:rsid w:val="00D74F03"/>
    <w:rsid w:val="00D756D1"/>
    <w:rsid w:val="00D75AC1"/>
    <w:rsid w:val="00D763CF"/>
    <w:rsid w:val="00D77252"/>
    <w:rsid w:val="00D80129"/>
    <w:rsid w:val="00D8084C"/>
    <w:rsid w:val="00D8088C"/>
    <w:rsid w:val="00D8125F"/>
    <w:rsid w:val="00D81809"/>
    <w:rsid w:val="00D8210B"/>
    <w:rsid w:val="00D82EF1"/>
    <w:rsid w:val="00D84470"/>
    <w:rsid w:val="00D84CC9"/>
    <w:rsid w:val="00D84F3F"/>
    <w:rsid w:val="00D84F43"/>
    <w:rsid w:val="00D85114"/>
    <w:rsid w:val="00D85821"/>
    <w:rsid w:val="00D8598C"/>
    <w:rsid w:val="00D85BF3"/>
    <w:rsid w:val="00D861DB"/>
    <w:rsid w:val="00D8755D"/>
    <w:rsid w:val="00D87793"/>
    <w:rsid w:val="00D87AC8"/>
    <w:rsid w:val="00D87C06"/>
    <w:rsid w:val="00D90924"/>
    <w:rsid w:val="00D90DF2"/>
    <w:rsid w:val="00D91271"/>
    <w:rsid w:val="00D915EA"/>
    <w:rsid w:val="00D919ED"/>
    <w:rsid w:val="00D922A1"/>
    <w:rsid w:val="00D928BE"/>
    <w:rsid w:val="00D92CD7"/>
    <w:rsid w:val="00D932B8"/>
    <w:rsid w:val="00D932F0"/>
    <w:rsid w:val="00D936C6"/>
    <w:rsid w:val="00D93CDB"/>
    <w:rsid w:val="00D93E70"/>
    <w:rsid w:val="00D95302"/>
    <w:rsid w:val="00D95889"/>
    <w:rsid w:val="00D95C5D"/>
    <w:rsid w:val="00D95CBE"/>
    <w:rsid w:val="00D95E17"/>
    <w:rsid w:val="00D95E7F"/>
    <w:rsid w:val="00D96FA4"/>
    <w:rsid w:val="00D97BD8"/>
    <w:rsid w:val="00D97D00"/>
    <w:rsid w:val="00D97DD2"/>
    <w:rsid w:val="00DA0121"/>
    <w:rsid w:val="00DA096C"/>
    <w:rsid w:val="00DA1AB6"/>
    <w:rsid w:val="00DA2E65"/>
    <w:rsid w:val="00DA3479"/>
    <w:rsid w:val="00DA37DE"/>
    <w:rsid w:val="00DA3ADF"/>
    <w:rsid w:val="00DA3CEF"/>
    <w:rsid w:val="00DA4174"/>
    <w:rsid w:val="00DA4FA8"/>
    <w:rsid w:val="00DA544C"/>
    <w:rsid w:val="00DA5F8E"/>
    <w:rsid w:val="00DA6364"/>
    <w:rsid w:val="00DA656E"/>
    <w:rsid w:val="00DA7114"/>
    <w:rsid w:val="00DA7BC3"/>
    <w:rsid w:val="00DA7C0C"/>
    <w:rsid w:val="00DA7E2F"/>
    <w:rsid w:val="00DB03DD"/>
    <w:rsid w:val="00DB05B4"/>
    <w:rsid w:val="00DB08A9"/>
    <w:rsid w:val="00DB0B33"/>
    <w:rsid w:val="00DB0EBD"/>
    <w:rsid w:val="00DB0FD9"/>
    <w:rsid w:val="00DB1273"/>
    <w:rsid w:val="00DB13EF"/>
    <w:rsid w:val="00DB2DFA"/>
    <w:rsid w:val="00DB2EC8"/>
    <w:rsid w:val="00DB321D"/>
    <w:rsid w:val="00DB459B"/>
    <w:rsid w:val="00DB46D6"/>
    <w:rsid w:val="00DB47FD"/>
    <w:rsid w:val="00DB56F9"/>
    <w:rsid w:val="00DB5E3A"/>
    <w:rsid w:val="00DB5E9A"/>
    <w:rsid w:val="00DB613B"/>
    <w:rsid w:val="00DB657E"/>
    <w:rsid w:val="00DB6604"/>
    <w:rsid w:val="00DB699D"/>
    <w:rsid w:val="00DB7093"/>
    <w:rsid w:val="00DB7342"/>
    <w:rsid w:val="00DB7489"/>
    <w:rsid w:val="00DB74D3"/>
    <w:rsid w:val="00DB76E7"/>
    <w:rsid w:val="00DC07DB"/>
    <w:rsid w:val="00DC0B4D"/>
    <w:rsid w:val="00DC0CBB"/>
    <w:rsid w:val="00DC0DCD"/>
    <w:rsid w:val="00DC17D0"/>
    <w:rsid w:val="00DC1E5D"/>
    <w:rsid w:val="00DC24EE"/>
    <w:rsid w:val="00DC25C7"/>
    <w:rsid w:val="00DC2B41"/>
    <w:rsid w:val="00DC2BF2"/>
    <w:rsid w:val="00DC2EA7"/>
    <w:rsid w:val="00DC3128"/>
    <w:rsid w:val="00DC3A96"/>
    <w:rsid w:val="00DC3E4E"/>
    <w:rsid w:val="00DC435B"/>
    <w:rsid w:val="00DC4A76"/>
    <w:rsid w:val="00DC4AC4"/>
    <w:rsid w:val="00DC53D8"/>
    <w:rsid w:val="00DC56FE"/>
    <w:rsid w:val="00DC5B3B"/>
    <w:rsid w:val="00DC5E13"/>
    <w:rsid w:val="00DC5F11"/>
    <w:rsid w:val="00DC6C2D"/>
    <w:rsid w:val="00DC744D"/>
    <w:rsid w:val="00DC7B1A"/>
    <w:rsid w:val="00DC7DC1"/>
    <w:rsid w:val="00DD01BD"/>
    <w:rsid w:val="00DD04B0"/>
    <w:rsid w:val="00DD0A53"/>
    <w:rsid w:val="00DD129F"/>
    <w:rsid w:val="00DD13FC"/>
    <w:rsid w:val="00DD1A3F"/>
    <w:rsid w:val="00DD29B5"/>
    <w:rsid w:val="00DD32DD"/>
    <w:rsid w:val="00DD33E8"/>
    <w:rsid w:val="00DD4BC8"/>
    <w:rsid w:val="00DD4EFD"/>
    <w:rsid w:val="00DD5287"/>
    <w:rsid w:val="00DD54CD"/>
    <w:rsid w:val="00DD5688"/>
    <w:rsid w:val="00DD58E5"/>
    <w:rsid w:val="00DD5B36"/>
    <w:rsid w:val="00DD6230"/>
    <w:rsid w:val="00DD64A4"/>
    <w:rsid w:val="00DD6D61"/>
    <w:rsid w:val="00DD6E6B"/>
    <w:rsid w:val="00DD7849"/>
    <w:rsid w:val="00DD7D30"/>
    <w:rsid w:val="00DE03DE"/>
    <w:rsid w:val="00DE0453"/>
    <w:rsid w:val="00DE0D8B"/>
    <w:rsid w:val="00DE1237"/>
    <w:rsid w:val="00DE1346"/>
    <w:rsid w:val="00DE140F"/>
    <w:rsid w:val="00DE17E9"/>
    <w:rsid w:val="00DE1A4A"/>
    <w:rsid w:val="00DE1A98"/>
    <w:rsid w:val="00DE1FC3"/>
    <w:rsid w:val="00DE2491"/>
    <w:rsid w:val="00DE273F"/>
    <w:rsid w:val="00DE27CD"/>
    <w:rsid w:val="00DE3231"/>
    <w:rsid w:val="00DE3E22"/>
    <w:rsid w:val="00DE3E5D"/>
    <w:rsid w:val="00DE450F"/>
    <w:rsid w:val="00DE45A0"/>
    <w:rsid w:val="00DE4865"/>
    <w:rsid w:val="00DE4882"/>
    <w:rsid w:val="00DE513B"/>
    <w:rsid w:val="00DE5CA6"/>
    <w:rsid w:val="00DE5E55"/>
    <w:rsid w:val="00DE6209"/>
    <w:rsid w:val="00DE63AE"/>
    <w:rsid w:val="00DE7156"/>
    <w:rsid w:val="00DE7AC8"/>
    <w:rsid w:val="00DF0830"/>
    <w:rsid w:val="00DF18D0"/>
    <w:rsid w:val="00DF2814"/>
    <w:rsid w:val="00DF29E5"/>
    <w:rsid w:val="00DF2C5D"/>
    <w:rsid w:val="00DF2CD3"/>
    <w:rsid w:val="00DF3643"/>
    <w:rsid w:val="00DF3702"/>
    <w:rsid w:val="00DF3C29"/>
    <w:rsid w:val="00DF42FF"/>
    <w:rsid w:val="00DF4369"/>
    <w:rsid w:val="00DF4423"/>
    <w:rsid w:val="00DF47E2"/>
    <w:rsid w:val="00DF497B"/>
    <w:rsid w:val="00DF4ADF"/>
    <w:rsid w:val="00DF5317"/>
    <w:rsid w:val="00DF57D6"/>
    <w:rsid w:val="00DF5D1E"/>
    <w:rsid w:val="00DF7501"/>
    <w:rsid w:val="00DF77E4"/>
    <w:rsid w:val="00DF7F88"/>
    <w:rsid w:val="00E000C0"/>
    <w:rsid w:val="00E005AD"/>
    <w:rsid w:val="00E00B88"/>
    <w:rsid w:val="00E01C0E"/>
    <w:rsid w:val="00E01DBF"/>
    <w:rsid w:val="00E02027"/>
    <w:rsid w:val="00E031C0"/>
    <w:rsid w:val="00E0368F"/>
    <w:rsid w:val="00E03778"/>
    <w:rsid w:val="00E03A92"/>
    <w:rsid w:val="00E03D73"/>
    <w:rsid w:val="00E03F9A"/>
    <w:rsid w:val="00E040A9"/>
    <w:rsid w:val="00E040DA"/>
    <w:rsid w:val="00E04694"/>
    <w:rsid w:val="00E04DDA"/>
    <w:rsid w:val="00E05333"/>
    <w:rsid w:val="00E05CB1"/>
    <w:rsid w:val="00E064FF"/>
    <w:rsid w:val="00E0660F"/>
    <w:rsid w:val="00E07A69"/>
    <w:rsid w:val="00E10898"/>
    <w:rsid w:val="00E11682"/>
    <w:rsid w:val="00E1168B"/>
    <w:rsid w:val="00E11B09"/>
    <w:rsid w:val="00E12191"/>
    <w:rsid w:val="00E129E7"/>
    <w:rsid w:val="00E12AB3"/>
    <w:rsid w:val="00E12ABE"/>
    <w:rsid w:val="00E12B1E"/>
    <w:rsid w:val="00E12B8A"/>
    <w:rsid w:val="00E135EB"/>
    <w:rsid w:val="00E13995"/>
    <w:rsid w:val="00E13DE7"/>
    <w:rsid w:val="00E13E90"/>
    <w:rsid w:val="00E14333"/>
    <w:rsid w:val="00E1444C"/>
    <w:rsid w:val="00E15065"/>
    <w:rsid w:val="00E155BB"/>
    <w:rsid w:val="00E159C6"/>
    <w:rsid w:val="00E16D15"/>
    <w:rsid w:val="00E17262"/>
    <w:rsid w:val="00E173A7"/>
    <w:rsid w:val="00E173F2"/>
    <w:rsid w:val="00E17611"/>
    <w:rsid w:val="00E17F36"/>
    <w:rsid w:val="00E20016"/>
    <w:rsid w:val="00E20064"/>
    <w:rsid w:val="00E2009B"/>
    <w:rsid w:val="00E2039D"/>
    <w:rsid w:val="00E2039E"/>
    <w:rsid w:val="00E2077A"/>
    <w:rsid w:val="00E20BB9"/>
    <w:rsid w:val="00E20BCC"/>
    <w:rsid w:val="00E210D8"/>
    <w:rsid w:val="00E21CA5"/>
    <w:rsid w:val="00E2251C"/>
    <w:rsid w:val="00E23134"/>
    <w:rsid w:val="00E232E0"/>
    <w:rsid w:val="00E2363D"/>
    <w:rsid w:val="00E23C6A"/>
    <w:rsid w:val="00E24411"/>
    <w:rsid w:val="00E24805"/>
    <w:rsid w:val="00E2484B"/>
    <w:rsid w:val="00E253A2"/>
    <w:rsid w:val="00E25943"/>
    <w:rsid w:val="00E260F6"/>
    <w:rsid w:val="00E26A73"/>
    <w:rsid w:val="00E27127"/>
    <w:rsid w:val="00E27233"/>
    <w:rsid w:val="00E274BB"/>
    <w:rsid w:val="00E27AFE"/>
    <w:rsid w:val="00E27F48"/>
    <w:rsid w:val="00E30279"/>
    <w:rsid w:val="00E30F15"/>
    <w:rsid w:val="00E31771"/>
    <w:rsid w:val="00E3186D"/>
    <w:rsid w:val="00E31A3E"/>
    <w:rsid w:val="00E31A84"/>
    <w:rsid w:val="00E32080"/>
    <w:rsid w:val="00E32778"/>
    <w:rsid w:val="00E32DD9"/>
    <w:rsid w:val="00E3309D"/>
    <w:rsid w:val="00E332CF"/>
    <w:rsid w:val="00E333C5"/>
    <w:rsid w:val="00E337F0"/>
    <w:rsid w:val="00E3384A"/>
    <w:rsid w:val="00E34CA5"/>
    <w:rsid w:val="00E34DA9"/>
    <w:rsid w:val="00E34E3F"/>
    <w:rsid w:val="00E350B1"/>
    <w:rsid w:val="00E35A53"/>
    <w:rsid w:val="00E35C5E"/>
    <w:rsid w:val="00E3621D"/>
    <w:rsid w:val="00E3634A"/>
    <w:rsid w:val="00E3656B"/>
    <w:rsid w:val="00E37097"/>
    <w:rsid w:val="00E3712B"/>
    <w:rsid w:val="00E3724A"/>
    <w:rsid w:val="00E37801"/>
    <w:rsid w:val="00E378B1"/>
    <w:rsid w:val="00E41131"/>
    <w:rsid w:val="00E41179"/>
    <w:rsid w:val="00E417BE"/>
    <w:rsid w:val="00E41A3F"/>
    <w:rsid w:val="00E41CD5"/>
    <w:rsid w:val="00E41F01"/>
    <w:rsid w:val="00E42054"/>
    <w:rsid w:val="00E425BA"/>
    <w:rsid w:val="00E4372D"/>
    <w:rsid w:val="00E43A9E"/>
    <w:rsid w:val="00E43E06"/>
    <w:rsid w:val="00E44243"/>
    <w:rsid w:val="00E445D7"/>
    <w:rsid w:val="00E44908"/>
    <w:rsid w:val="00E453F9"/>
    <w:rsid w:val="00E455A7"/>
    <w:rsid w:val="00E45D7D"/>
    <w:rsid w:val="00E46090"/>
    <w:rsid w:val="00E4623F"/>
    <w:rsid w:val="00E4665D"/>
    <w:rsid w:val="00E47854"/>
    <w:rsid w:val="00E478E2"/>
    <w:rsid w:val="00E47A7C"/>
    <w:rsid w:val="00E47EBA"/>
    <w:rsid w:val="00E50156"/>
    <w:rsid w:val="00E504EB"/>
    <w:rsid w:val="00E5076C"/>
    <w:rsid w:val="00E50D2E"/>
    <w:rsid w:val="00E50D7D"/>
    <w:rsid w:val="00E51EF0"/>
    <w:rsid w:val="00E51F14"/>
    <w:rsid w:val="00E53470"/>
    <w:rsid w:val="00E5368D"/>
    <w:rsid w:val="00E539F6"/>
    <w:rsid w:val="00E54503"/>
    <w:rsid w:val="00E54698"/>
    <w:rsid w:val="00E54BE9"/>
    <w:rsid w:val="00E54D22"/>
    <w:rsid w:val="00E54FB4"/>
    <w:rsid w:val="00E5539A"/>
    <w:rsid w:val="00E55482"/>
    <w:rsid w:val="00E55791"/>
    <w:rsid w:val="00E559DE"/>
    <w:rsid w:val="00E55DE0"/>
    <w:rsid w:val="00E55E1A"/>
    <w:rsid w:val="00E56222"/>
    <w:rsid w:val="00E56F48"/>
    <w:rsid w:val="00E56F7E"/>
    <w:rsid w:val="00E577C5"/>
    <w:rsid w:val="00E578A2"/>
    <w:rsid w:val="00E579ED"/>
    <w:rsid w:val="00E60043"/>
    <w:rsid w:val="00E60463"/>
    <w:rsid w:val="00E60C6A"/>
    <w:rsid w:val="00E61740"/>
    <w:rsid w:val="00E61C16"/>
    <w:rsid w:val="00E61EB5"/>
    <w:rsid w:val="00E63031"/>
    <w:rsid w:val="00E6312E"/>
    <w:rsid w:val="00E63157"/>
    <w:rsid w:val="00E6324D"/>
    <w:rsid w:val="00E63B6E"/>
    <w:rsid w:val="00E647C1"/>
    <w:rsid w:val="00E64893"/>
    <w:rsid w:val="00E65084"/>
    <w:rsid w:val="00E6519D"/>
    <w:rsid w:val="00E65320"/>
    <w:rsid w:val="00E65A4D"/>
    <w:rsid w:val="00E66062"/>
    <w:rsid w:val="00E662B7"/>
    <w:rsid w:val="00E6660E"/>
    <w:rsid w:val="00E66634"/>
    <w:rsid w:val="00E66768"/>
    <w:rsid w:val="00E669D7"/>
    <w:rsid w:val="00E67305"/>
    <w:rsid w:val="00E67696"/>
    <w:rsid w:val="00E7024B"/>
    <w:rsid w:val="00E70812"/>
    <w:rsid w:val="00E709AF"/>
    <w:rsid w:val="00E70C5F"/>
    <w:rsid w:val="00E71A3C"/>
    <w:rsid w:val="00E71A58"/>
    <w:rsid w:val="00E728D7"/>
    <w:rsid w:val="00E72A26"/>
    <w:rsid w:val="00E72A7A"/>
    <w:rsid w:val="00E72BA4"/>
    <w:rsid w:val="00E72C0C"/>
    <w:rsid w:val="00E73065"/>
    <w:rsid w:val="00E7326D"/>
    <w:rsid w:val="00E7335A"/>
    <w:rsid w:val="00E735DB"/>
    <w:rsid w:val="00E73986"/>
    <w:rsid w:val="00E744ED"/>
    <w:rsid w:val="00E7467D"/>
    <w:rsid w:val="00E747DC"/>
    <w:rsid w:val="00E74A2D"/>
    <w:rsid w:val="00E7590D"/>
    <w:rsid w:val="00E75C94"/>
    <w:rsid w:val="00E767BF"/>
    <w:rsid w:val="00E76A08"/>
    <w:rsid w:val="00E76B9B"/>
    <w:rsid w:val="00E76C69"/>
    <w:rsid w:val="00E76E61"/>
    <w:rsid w:val="00E76EE4"/>
    <w:rsid w:val="00E7709B"/>
    <w:rsid w:val="00E775DE"/>
    <w:rsid w:val="00E77CC0"/>
    <w:rsid w:val="00E80B3D"/>
    <w:rsid w:val="00E80CA3"/>
    <w:rsid w:val="00E815D7"/>
    <w:rsid w:val="00E81AAA"/>
    <w:rsid w:val="00E82618"/>
    <w:rsid w:val="00E82A42"/>
    <w:rsid w:val="00E82D05"/>
    <w:rsid w:val="00E846A5"/>
    <w:rsid w:val="00E84E09"/>
    <w:rsid w:val="00E858F0"/>
    <w:rsid w:val="00E8745E"/>
    <w:rsid w:val="00E87CE2"/>
    <w:rsid w:val="00E87D3D"/>
    <w:rsid w:val="00E87D5B"/>
    <w:rsid w:val="00E90156"/>
    <w:rsid w:val="00E90CA8"/>
    <w:rsid w:val="00E911C6"/>
    <w:rsid w:val="00E91633"/>
    <w:rsid w:val="00E91A1C"/>
    <w:rsid w:val="00E91DEE"/>
    <w:rsid w:val="00E920DE"/>
    <w:rsid w:val="00E92B68"/>
    <w:rsid w:val="00E930A1"/>
    <w:rsid w:val="00E93820"/>
    <w:rsid w:val="00E94A86"/>
    <w:rsid w:val="00E951AB"/>
    <w:rsid w:val="00E953B8"/>
    <w:rsid w:val="00E953F6"/>
    <w:rsid w:val="00E95A06"/>
    <w:rsid w:val="00E96143"/>
    <w:rsid w:val="00E96833"/>
    <w:rsid w:val="00E97072"/>
    <w:rsid w:val="00E97506"/>
    <w:rsid w:val="00E97BB5"/>
    <w:rsid w:val="00E97D5B"/>
    <w:rsid w:val="00E97F14"/>
    <w:rsid w:val="00EA0C68"/>
    <w:rsid w:val="00EA0E39"/>
    <w:rsid w:val="00EA1130"/>
    <w:rsid w:val="00EA13A3"/>
    <w:rsid w:val="00EA1BE8"/>
    <w:rsid w:val="00EA1D0E"/>
    <w:rsid w:val="00EA2072"/>
    <w:rsid w:val="00EA2841"/>
    <w:rsid w:val="00EA32BC"/>
    <w:rsid w:val="00EA33F4"/>
    <w:rsid w:val="00EA35A7"/>
    <w:rsid w:val="00EA3B32"/>
    <w:rsid w:val="00EA3CEB"/>
    <w:rsid w:val="00EA3D05"/>
    <w:rsid w:val="00EA4222"/>
    <w:rsid w:val="00EA4402"/>
    <w:rsid w:val="00EA4507"/>
    <w:rsid w:val="00EA4B8D"/>
    <w:rsid w:val="00EA513E"/>
    <w:rsid w:val="00EA57C0"/>
    <w:rsid w:val="00EA5C4B"/>
    <w:rsid w:val="00EA7419"/>
    <w:rsid w:val="00EA7C51"/>
    <w:rsid w:val="00EB02B0"/>
    <w:rsid w:val="00EB0887"/>
    <w:rsid w:val="00EB0E32"/>
    <w:rsid w:val="00EB1CDC"/>
    <w:rsid w:val="00EB1D89"/>
    <w:rsid w:val="00EB1E1E"/>
    <w:rsid w:val="00EB3023"/>
    <w:rsid w:val="00EB3502"/>
    <w:rsid w:val="00EB385E"/>
    <w:rsid w:val="00EB3922"/>
    <w:rsid w:val="00EB3E60"/>
    <w:rsid w:val="00EB4511"/>
    <w:rsid w:val="00EB48D7"/>
    <w:rsid w:val="00EB49F1"/>
    <w:rsid w:val="00EB4A8E"/>
    <w:rsid w:val="00EB4BC5"/>
    <w:rsid w:val="00EB4E68"/>
    <w:rsid w:val="00EB5872"/>
    <w:rsid w:val="00EB5A64"/>
    <w:rsid w:val="00EB5BF7"/>
    <w:rsid w:val="00EB5E79"/>
    <w:rsid w:val="00EB5FAA"/>
    <w:rsid w:val="00EB6473"/>
    <w:rsid w:val="00EB6A51"/>
    <w:rsid w:val="00EB6DA6"/>
    <w:rsid w:val="00EB6FAC"/>
    <w:rsid w:val="00EB7AAD"/>
    <w:rsid w:val="00EB7BAC"/>
    <w:rsid w:val="00EB7CC9"/>
    <w:rsid w:val="00EC03D7"/>
    <w:rsid w:val="00EC09B2"/>
    <w:rsid w:val="00EC13A0"/>
    <w:rsid w:val="00EC13A7"/>
    <w:rsid w:val="00EC1744"/>
    <w:rsid w:val="00EC2414"/>
    <w:rsid w:val="00EC2EB6"/>
    <w:rsid w:val="00EC3A3B"/>
    <w:rsid w:val="00EC3E77"/>
    <w:rsid w:val="00EC4FFF"/>
    <w:rsid w:val="00EC5517"/>
    <w:rsid w:val="00EC5B17"/>
    <w:rsid w:val="00EC6E8C"/>
    <w:rsid w:val="00EC79DD"/>
    <w:rsid w:val="00ED0424"/>
    <w:rsid w:val="00ED08BD"/>
    <w:rsid w:val="00ED0962"/>
    <w:rsid w:val="00ED0EF0"/>
    <w:rsid w:val="00ED0F73"/>
    <w:rsid w:val="00ED12B9"/>
    <w:rsid w:val="00ED15D9"/>
    <w:rsid w:val="00ED16B8"/>
    <w:rsid w:val="00ED17D8"/>
    <w:rsid w:val="00ED1959"/>
    <w:rsid w:val="00ED1A00"/>
    <w:rsid w:val="00ED1DF0"/>
    <w:rsid w:val="00ED229E"/>
    <w:rsid w:val="00ED2386"/>
    <w:rsid w:val="00ED2525"/>
    <w:rsid w:val="00ED2B13"/>
    <w:rsid w:val="00ED2D26"/>
    <w:rsid w:val="00ED2EA1"/>
    <w:rsid w:val="00ED3851"/>
    <w:rsid w:val="00ED3D4A"/>
    <w:rsid w:val="00ED3E51"/>
    <w:rsid w:val="00ED3F10"/>
    <w:rsid w:val="00ED3F9B"/>
    <w:rsid w:val="00ED3FB3"/>
    <w:rsid w:val="00ED4D04"/>
    <w:rsid w:val="00ED4E87"/>
    <w:rsid w:val="00ED5153"/>
    <w:rsid w:val="00ED566D"/>
    <w:rsid w:val="00ED5907"/>
    <w:rsid w:val="00ED5F5B"/>
    <w:rsid w:val="00ED62C6"/>
    <w:rsid w:val="00ED64C1"/>
    <w:rsid w:val="00ED781F"/>
    <w:rsid w:val="00ED7A91"/>
    <w:rsid w:val="00EE0E7E"/>
    <w:rsid w:val="00EE1E87"/>
    <w:rsid w:val="00EE226A"/>
    <w:rsid w:val="00EE249F"/>
    <w:rsid w:val="00EE2674"/>
    <w:rsid w:val="00EE2EB4"/>
    <w:rsid w:val="00EE3446"/>
    <w:rsid w:val="00EE3655"/>
    <w:rsid w:val="00EE3E78"/>
    <w:rsid w:val="00EE41FD"/>
    <w:rsid w:val="00EE460E"/>
    <w:rsid w:val="00EE4B1B"/>
    <w:rsid w:val="00EE5DCA"/>
    <w:rsid w:val="00EE5FBA"/>
    <w:rsid w:val="00EE601C"/>
    <w:rsid w:val="00EE6137"/>
    <w:rsid w:val="00EE6382"/>
    <w:rsid w:val="00EE64EC"/>
    <w:rsid w:val="00EE65DE"/>
    <w:rsid w:val="00EE6A09"/>
    <w:rsid w:val="00EE6E06"/>
    <w:rsid w:val="00EE7179"/>
    <w:rsid w:val="00EF0A4D"/>
    <w:rsid w:val="00EF0D90"/>
    <w:rsid w:val="00EF150D"/>
    <w:rsid w:val="00EF1931"/>
    <w:rsid w:val="00EF19E9"/>
    <w:rsid w:val="00EF1F5A"/>
    <w:rsid w:val="00EF232A"/>
    <w:rsid w:val="00EF232B"/>
    <w:rsid w:val="00EF23B5"/>
    <w:rsid w:val="00EF2DDB"/>
    <w:rsid w:val="00EF2E64"/>
    <w:rsid w:val="00EF2F71"/>
    <w:rsid w:val="00EF326A"/>
    <w:rsid w:val="00EF34A0"/>
    <w:rsid w:val="00EF3898"/>
    <w:rsid w:val="00EF47BF"/>
    <w:rsid w:val="00EF52F7"/>
    <w:rsid w:val="00EF54CF"/>
    <w:rsid w:val="00EF583F"/>
    <w:rsid w:val="00EF58B0"/>
    <w:rsid w:val="00EF5989"/>
    <w:rsid w:val="00EF59B1"/>
    <w:rsid w:val="00EF5A13"/>
    <w:rsid w:val="00EF5FF9"/>
    <w:rsid w:val="00EF77D4"/>
    <w:rsid w:val="00EF7CC7"/>
    <w:rsid w:val="00EF7DF6"/>
    <w:rsid w:val="00F00535"/>
    <w:rsid w:val="00F00853"/>
    <w:rsid w:val="00F00866"/>
    <w:rsid w:val="00F00EC8"/>
    <w:rsid w:val="00F0160B"/>
    <w:rsid w:val="00F017B4"/>
    <w:rsid w:val="00F0193E"/>
    <w:rsid w:val="00F02019"/>
    <w:rsid w:val="00F033CB"/>
    <w:rsid w:val="00F037C8"/>
    <w:rsid w:val="00F03B76"/>
    <w:rsid w:val="00F03E2F"/>
    <w:rsid w:val="00F03F61"/>
    <w:rsid w:val="00F03F8D"/>
    <w:rsid w:val="00F04427"/>
    <w:rsid w:val="00F04811"/>
    <w:rsid w:val="00F0488C"/>
    <w:rsid w:val="00F04955"/>
    <w:rsid w:val="00F04C39"/>
    <w:rsid w:val="00F052D2"/>
    <w:rsid w:val="00F05501"/>
    <w:rsid w:val="00F06002"/>
    <w:rsid w:val="00F067B8"/>
    <w:rsid w:val="00F06C78"/>
    <w:rsid w:val="00F07075"/>
    <w:rsid w:val="00F0730A"/>
    <w:rsid w:val="00F073ED"/>
    <w:rsid w:val="00F07478"/>
    <w:rsid w:val="00F07C4C"/>
    <w:rsid w:val="00F07E45"/>
    <w:rsid w:val="00F10F11"/>
    <w:rsid w:val="00F11159"/>
    <w:rsid w:val="00F1149B"/>
    <w:rsid w:val="00F1152E"/>
    <w:rsid w:val="00F115E4"/>
    <w:rsid w:val="00F11AC4"/>
    <w:rsid w:val="00F11FDC"/>
    <w:rsid w:val="00F120A5"/>
    <w:rsid w:val="00F12CFB"/>
    <w:rsid w:val="00F13649"/>
    <w:rsid w:val="00F137EC"/>
    <w:rsid w:val="00F1396C"/>
    <w:rsid w:val="00F13E60"/>
    <w:rsid w:val="00F13FDB"/>
    <w:rsid w:val="00F14922"/>
    <w:rsid w:val="00F149C3"/>
    <w:rsid w:val="00F14FCA"/>
    <w:rsid w:val="00F15143"/>
    <w:rsid w:val="00F158B1"/>
    <w:rsid w:val="00F15AAA"/>
    <w:rsid w:val="00F15BEF"/>
    <w:rsid w:val="00F15DCA"/>
    <w:rsid w:val="00F16ACA"/>
    <w:rsid w:val="00F16BE5"/>
    <w:rsid w:val="00F16DE3"/>
    <w:rsid w:val="00F16E14"/>
    <w:rsid w:val="00F170E6"/>
    <w:rsid w:val="00F1770C"/>
    <w:rsid w:val="00F17898"/>
    <w:rsid w:val="00F17B0D"/>
    <w:rsid w:val="00F17C5C"/>
    <w:rsid w:val="00F204BF"/>
    <w:rsid w:val="00F207C2"/>
    <w:rsid w:val="00F20A12"/>
    <w:rsid w:val="00F21337"/>
    <w:rsid w:val="00F213CF"/>
    <w:rsid w:val="00F214F3"/>
    <w:rsid w:val="00F219A1"/>
    <w:rsid w:val="00F21BB8"/>
    <w:rsid w:val="00F2378B"/>
    <w:rsid w:val="00F23927"/>
    <w:rsid w:val="00F23E20"/>
    <w:rsid w:val="00F24407"/>
    <w:rsid w:val="00F2482C"/>
    <w:rsid w:val="00F249CE"/>
    <w:rsid w:val="00F24FAA"/>
    <w:rsid w:val="00F25040"/>
    <w:rsid w:val="00F259A8"/>
    <w:rsid w:val="00F26385"/>
    <w:rsid w:val="00F269D7"/>
    <w:rsid w:val="00F26FB5"/>
    <w:rsid w:val="00F27071"/>
    <w:rsid w:val="00F27331"/>
    <w:rsid w:val="00F276D3"/>
    <w:rsid w:val="00F27EE5"/>
    <w:rsid w:val="00F27FB1"/>
    <w:rsid w:val="00F27FD6"/>
    <w:rsid w:val="00F307CB"/>
    <w:rsid w:val="00F30C0C"/>
    <w:rsid w:val="00F30C65"/>
    <w:rsid w:val="00F31EBD"/>
    <w:rsid w:val="00F321D2"/>
    <w:rsid w:val="00F32448"/>
    <w:rsid w:val="00F32550"/>
    <w:rsid w:val="00F32649"/>
    <w:rsid w:val="00F32B8A"/>
    <w:rsid w:val="00F32D8D"/>
    <w:rsid w:val="00F3313E"/>
    <w:rsid w:val="00F33523"/>
    <w:rsid w:val="00F3364D"/>
    <w:rsid w:val="00F33914"/>
    <w:rsid w:val="00F341AC"/>
    <w:rsid w:val="00F349BF"/>
    <w:rsid w:val="00F34DDC"/>
    <w:rsid w:val="00F34E04"/>
    <w:rsid w:val="00F36191"/>
    <w:rsid w:val="00F3629F"/>
    <w:rsid w:val="00F36DF3"/>
    <w:rsid w:val="00F37362"/>
    <w:rsid w:val="00F37EDC"/>
    <w:rsid w:val="00F4066D"/>
    <w:rsid w:val="00F41290"/>
    <w:rsid w:val="00F42241"/>
    <w:rsid w:val="00F437CC"/>
    <w:rsid w:val="00F43C45"/>
    <w:rsid w:val="00F44537"/>
    <w:rsid w:val="00F44DAE"/>
    <w:rsid w:val="00F4606B"/>
    <w:rsid w:val="00F46185"/>
    <w:rsid w:val="00F461C3"/>
    <w:rsid w:val="00F462F4"/>
    <w:rsid w:val="00F46423"/>
    <w:rsid w:val="00F4660F"/>
    <w:rsid w:val="00F4696A"/>
    <w:rsid w:val="00F4703A"/>
    <w:rsid w:val="00F47067"/>
    <w:rsid w:val="00F47234"/>
    <w:rsid w:val="00F47709"/>
    <w:rsid w:val="00F503BC"/>
    <w:rsid w:val="00F506A6"/>
    <w:rsid w:val="00F51ADD"/>
    <w:rsid w:val="00F525AB"/>
    <w:rsid w:val="00F525EB"/>
    <w:rsid w:val="00F52BCB"/>
    <w:rsid w:val="00F52CB5"/>
    <w:rsid w:val="00F53378"/>
    <w:rsid w:val="00F53757"/>
    <w:rsid w:val="00F53917"/>
    <w:rsid w:val="00F53A68"/>
    <w:rsid w:val="00F53AA4"/>
    <w:rsid w:val="00F53BA3"/>
    <w:rsid w:val="00F545F4"/>
    <w:rsid w:val="00F54934"/>
    <w:rsid w:val="00F55A92"/>
    <w:rsid w:val="00F5615B"/>
    <w:rsid w:val="00F56250"/>
    <w:rsid w:val="00F56611"/>
    <w:rsid w:val="00F575D3"/>
    <w:rsid w:val="00F57983"/>
    <w:rsid w:val="00F57A76"/>
    <w:rsid w:val="00F57D57"/>
    <w:rsid w:val="00F57DF8"/>
    <w:rsid w:val="00F610B1"/>
    <w:rsid w:val="00F6178B"/>
    <w:rsid w:val="00F618AD"/>
    <w:rsid w:val="00F61E6C"/>
    <w:rsid w:val="00F62BFF"/>
    <w:rsid w:val="00F62CCE"/>
    <w:rsid w:val="00F63092"/>
    <w:rsid w:val="00F6385D"/>
    <w:rsid w:val="00F638FE"/>
    <w:rsid w:val="00F63AAE"/>
    <w:rsid w:val="00F63DDE"/>
    <w:rsid w:val="00F63FB7"/>
    <w:rsid w:val="00F6421B"/>
    <w:rsid w:val="00F647F1"/>
    <w:rsid w:val="00F649D2"/>
    <w:rsid w:val="00F64D5A"/>
    <w:rsid w:val="00F6576E"/>
    <w:rsid w:val="00F6602B"/>
    <w:rsid w:val="00F66FCB"/>
    <w:rsid w:val="00F6716B"/>
    <w:rsid w:val="00F6765B"/>
    <w:rsid w:val="00F6799D"/>
    <w:rsid w:val="00F67DE0"/>
    <w:rsid w:val="00F70E52"/>
    <w:rsid w:val="00F710A4"/>
    <w:rsid w:val="00F71487"/>
    <w:rsid w:val="00F7150B"/>
    <w:rsid w:val="00F717E4"/>
    <w:rsid w:val="00F71DE6"/>
    <w:rsid w:val="00F7232B"/>
    <w:rsid w:val="00F72B83"/>
    <w:rsid w:val="00F72D71"/>
    <w:rsid w:val="00F736AF"/>
    <w:rsid w:val="00F7381C"/>
    <w:rsid w:val="00F73A0C"/>
    <w:rsid w:val="00F740BA"/>
    <w:rsid w:val="00F741EA"/>
    <w:rsid w:val="00F752DC"/>
    <w:rsid w:val="00F7549F"/>
    <w:rsid w:val="00F756DB"/>
    <w:rsid w:val="00F75C5B"/>
    <w:rsid w:val="00F766BE"/>
    <w:rsid w:val="00F767A8"/>
    <w:rsid w:val="00F77590"/>
    <w:rsid w:val="00F7786F"/>
    <w:rsid w:val="00F77A50"/>
    <w:rsid w:val="00F82750"/>
    <w:rsid w:val="00F829F5"/>
    <w:rsid w:val="00F82D14"/>
    <w:rsid w:val="00F82D84"/>
    <w:rsid w:val="00F8473D"/>
    <w:rsid w:val="00F84E7D"/>
    <w:rsid w:val="00F85034"/>
    <w:rsid w:val="00F85066"/>
    <w:rsid w:val="00F85CC1"/>
    <w:rsid w:val="00F8633B"/>
    <w:rsid w:val="00F874F8"/>
    <w:rsid w:val="00F87A4D"/>
    <w:rsid w:val="00F90968"/>
    <w:rsid w:val="00F90BEF"/>
    <w:rsid w:val="00F90C35"/>
    <w:rsid w:val="00F90EEB"/>
    <w:rsid w:val="00F912CB"/>
    <w:rsid w:val="00F9135C"/>
    <w:rsid w:val="00F91B66"/>
    <w:rsid w:val="00F9354A"/>
    <w:rsid w:val="00F93688"/>
    <w:rsid w:val="00F939E3"/>
    <w:rsid w:val="00F939F3"/>
    <w:rsid w:val="00F93C6E"/>
    <w:rsid w:val="00F93F2C"/>
    <w:rsid w:val="00F940DC"/>
    <w:rsid w:val="00F947E9"/>
    <w:rsid w:val="00F95A4E"/>
    <w:rsid w:val="00F962AD"/>
    <w:rsid w:val="00F9644E"/>
    <w:rsid w:val="00F974AA"/>
    <w:rsid w:val="00F97C60"/>
    <w:rsid w:val="00FA0105"/>
    <w:rsid w:val="00FA05A0"/>
    <w:rsid w:val="00FA0AEF"/>
    <w:rsid w:val="00FA1474"/>
    <w:rsid w:val="00FA17CC"/>
    <w:rsid w:val="00FA1CFE"/>
    <w:rsid w:val="00FA1EE7"/>
    <w:rsid w:val="00FA1F01"/>
    <w:rsid w:val="00FA26DF"/>
    <w:rsid w:val="00FA2C07"/>
    <w:rsid w:val="00FA2F0B"/>
    <w:rsid w:val="00FA32BC"/>
    <w:rsid w:val="00FA3FA8"/>
    <w:rsid w:val="00FA4059"/>
    <w:rsid w:val="00FA4574"/>
    <w:rsid w:val="00FA488C"/>
    <w:rsid w:val="00FA48A4"/>
    <w:rsid w:val="00FA4CB7"/>
    <w:rsid w:val="00FA50CB"/>
    <w:rsid w:val="00FA5112"/>
    <w:rsid w:val="00FA5479"/>
    <w:rsid w:val="00FA5526"/>
    <w:rsid w:val="00FA5BF4"/>
    <w:rsid w:val="00FA5D42"/>
    <w:rsid w:val="00FA5D4D"/>
    <w:rsid w:val="00FA6C27"/>
    <w:rsid w:val="00FA6CB6"/>
    <w:rsid w:val="00FA6DD8"/>
    <w:rsid w:val="00FA7089"/>
    <w:rsid w:val="00FA70D3"/>
    <w:rsid w:val="00FA7AEC"/>
    <w:rsid w:val="00FB0AEA"/>
    <w:rsid w:val="00FB0EE2"/>
    <w:rsid w:val="00FB100C"/>
    <w:rsid w:val="00FB1A79"/>
    <w:rsid w:val="00FB1BA4"/>
    <w:rsid w:val="00FB1C0B"/>
    <w:rsid w:val="00FB208B"/>
    <w:rsid w:val="00FB20BC"/>
    <w:rsid w:val="00FB2B2D"/>
    <w:rsid w:val="00FB4AC5"/>
    <w:rsid w:val="00FB4D91"/>
    <w:rsid w:val="00FB542E"/>
    <w:rsid w:val="00FB5580"/>
    <w:rsid w:val="00FB564F"/>
    <w:rsid w:val="00FB6A41"/>
    <w:rsid w:val="00FB6F54"/>
    <w:rsid w:val="00FB79D5"/>
    <w:rsid w:val="00FB7DBB"/>
    <w:rsid w:val="00FC01BC"/>
    <w:rsid w:val="00FC05F8"/>
    <w:rsid w:val="00FC0651"/>
    <w:rsid w:val="00FC077B"/>
    <w:rsid w:val="00FC0E5F"/>
    <w:rsid w:val="00FC1070"/>
    <w:rsid w:val="00FC1266"/>
    <w:rsid w:val="00FC1A5D"/>
    <w:rsid w:val="00FC1A95"/>
    <w:rsid w:val="00FC1ED4"/>
    <w:rsid w:val="00FC2E56"/>
    <w:rsid w:val="00FC2EBA"/>
    <w:rsid w:val="00FC3BEC"/>
    <w:rsid w:val="00FC42C5"/>
    <w:rsid w:val="00FC440B"/>
    <w:rsid w:val="00FC4FB6"/>
    <w:rsid w:val="00FC56C6"/>
    <w:rsid w:val="00FC56DE"/>
    <w:rsid w:val="00FC606F"/>
    <w:rsid w:val="00FC6100"/>
    <w:rsid w:val="00FC63D9"/>
    <w:rsid w:val="00FC64DE"/>
    <w:rsid w:val="00FC6785"/>
    <w:rsid w:val="00FC680C"/>
    <w:rsid w:val="00FC684B"/>
    <w:rsid w:val="00FC6A52"/>
    <w:rsid w:val="00FC6CCA"/>
    <w:rsid w:val="00FC6D2D"/>
    <w:rsid w:val="00FC7BC8"/>
    <w:rsid w:val="00FC7D98"/>
    <w:rsid w:val="00FD0792"/>
    <w:rsid w:val="00FD1135"/>
    <w:rsid w:val="00FD3265"/>
    <w:rsid w:val="00FD3BBD"/>
    <w:rsid w:val="00FD3CF7"/>
    <w:rsid w:val="00FD3EF2"/>
    <w:rsid w:val="00FD3F1C"/>
    <w:rsid w:val="00FD4124"/>
    <w:rsid w:val="00FD4372"/>
    <w:rsid w:val="00FD4916"/>
    <w:rsid w:val="00FD4D12"/>
    <w:rsid w:val="00FD4F73"/>
    <w:rsid w:val="00FD595E"/>
    <w:rsid w:val="00FD771F"/>
    <w:rsid w:val="00FD7767"/>
    <w:rsid w:val="00FD7802"/>
    <w:rsid w:val="00FD7D3B"/>
    <w:rsid w:val="00FD7FBE"/>
    <w:rsid w:val="00FE27C7"/>
    <w:rsid w:val="00FE2C7E"/>
    <w:rsid w:val="00FE2D10"/>
    <w:rsid w:val="00FE2F78"/>
    <w:rsid w:val="00FE3137"/>
    <w:rsid w:val="00FE346A"/>
    <w:rsid w:val="00FE346B"/>
    <w:rsid w:val="00FE346F"/>
    <w:rsid w:val="00FE431E"/>
    <w:rsid w:val="00FE460E"/>
    <w:rsid w:val="00FE46DB"/>
    <w:rsid w:val="00FE48E4"/>
    <w:rsid w:val="00FE5466"/>
    <w:rsid w:val="00FE54EE"/>
    <w:rsid w:val="00FE634C"/>
    <w:rsid w:val="00FE63D8"/>
    <w:rsid w:val="00FE6E69"/>
    <w:rsid w:val="00FE6F59"/>
    <w:rsid w:val="00FE7677"/>
    <w:rsid w:val="00FE77EF"/>
    <w:rsid w:val="00FF01B6"/>
    <w:rsid w:val="00FF03A6"/>
    <w:rsid w:val="00FF0989"/>
    <w:rsid w:val="00FF0F79"/>
    <w:rsid w:val="00FF1136"/>
    <w:rsid w:val="00FF1D4F"/>
    <w:rsid w:val="00FF363B"/>
    <w:rsid w:val="00FF3D76"/>
    <w:rsid w:val="00FF4CF2"/>
    <w:rsid w:val="00FF4E3F"/>
    <w:rsid w:val="00FF535A"/>
    <w:rsid w:val="00FF556A"/>
    <w:rsid w:val="00FF5B8C"/>
    <w:rsid w:val="00FF63E6"/>
    <w:rsid w:val="00FF72DC"/>
    <w:rsid w:val="00FF7B96"/>
    <w:rsid w:val="019CB78C"/>
    <w:rsid w:val="0523CDF2"/>
    <w:rsid w:val="06B1A837"/>
    <w:rsid w:val="08A648BF"/>
    <w:rsid w:val="0EBE9DEC"/>
    <w:rsid w:val="0FBB85B6"/>
    <w:rsid w:val="12650F4E"/>
    <w:rsid w:val="1394E51D"/>
    <w:rsid w:val="17513AF8"/>
    <w:rsid w:val="1B53A8C8"/>
    <w:rsid w:val="1BEE6986"/>
    <w:rsid w:val="20D21749"/>
    <w:rsid w:val="224482AD"/>
    <w:rsid w:val="23E0530E"/>
    <w:rsid w:val="24FC0D77"/>
    <w:rsid w:val="2A0E9F3A"/>
    <w:rsid w:val="2A2A6298"/>
    <w:rsid w:val="37D604A5"/>
    <w:rsid w:val="38C72AFC"/>
    <w:rsid w:val="3C7646FC"/>
    <w:rsid w:val="3E4A9713"/>
    <w:rsid w:val="3E77F3B4"/>
    <w:rsid w:val="40C3BF09"/>
    <w:rsid w:val="47207A7B"/>
    <w:rsid w:val="48038D4B"/>
    <w:rsid w:val="49E8263C"/>
    <w:rsid w:val="4A567F3C"/>
    <w:rsid w:val="50A35788"/>
    <w:rsid w:val="52944939"/>
    <w:rsid w:val="53942896"/>
    <w:rsid w:val="5536E42E"/>
    <w:rsid w:val="58FD3BB8"/>
    <w:rsid w:val="5CF587E8"/>
    <w:rsid w:val="5DD689BF"/>
    <w:rsid w:val="60B2C930"/>
    <w:rsid w:val="67F8BB57"/>
    <w:rsid w:val="6AEA4E8B"/>
    <w:rsid w:val="6AEC8A78"/>
    <w:rsid w:val="6D951AA9"/>
    <w:rsid w:val="7059F910"/>
    <w:rsid w:val="74EA3077"/>
    <w:rsid w:val="75B5B795"/>
    <w:rsid w:val="78058569"/>
    <w:rsid w:val="785B85D1"/>
    <w:rsid w:val="78E73CD1"/>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styleId="Sledovanodkaz">
    <w:name w:val="FollowedHyperlink"/>
    <w:basedOn w:val="Standardnpsmoodstavce"/>
    <w:uiPriority w:val="99"/>
    <w:semiHidden/>
    <w:unhideWhenUsed/>
    <w:rsid w:val="00960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58735115">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204932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44068063">
      <w:bodyDiv w:val="1"/>
      <w:marLeft w:val="0"/>
      <w:marRight w:val="0"/>
      <w:marTop w:val="0"/>
      <w:marBottom w:val="0"/>
      <w:divBdr>
        <w:top w:val="none" w:sz="0" w:space="0" w:color="auto"/>
        <w:left w:val="none" w:sz="0" w:space="0" w:color="auto"/>
        <w:bottom w:val="none" w:sz="0" w:space="0" w:color="auto"/>
        <w:right w:val="none" w:sz="0" w:space="0" w:color="auto"/>
      </w:divBdr>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3Q2\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al&#253;za\Q\2023Q2\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nal&#253;za\Q\2023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'souhrnná výkonnost 1'!$C$4</c:f>
              <c:strCache>
                <c:ptCount val="1"/>
                <c:pt idx="0">
                  <c:v>CR year-on-year change</c:v>
                </c:pt>
              </c:strCache>
            </c:strRef>
          </c:tx>
          <c:spPr>
            <a:solidFill>
              <a:schemeClr val="bg1">
                <a:lumMod val="65000"/>
              </a:schemeClr>
            </a:solidFill>
            <a:ln>
              <a:noFill/>
            </a:ln>
          </c:spPr>
          <c:invertIfNegative val="0"/>
          <c:cat>
            <c:multiLvlStrRef>
              <c:f>'souhrnná výkonnost 1'!$A$29:$B$50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1'!$C$29:$C$50</c:f>
              <c:numCache>
                <c:formatCode>0.0</c:formatCode>
                <c:ptCount val="22"/>
                <c:pt idx="0">
                  <c:v>4.7409690869492067</c:v>
                </c:pt>
                <c:pt idx="1">
                  <c:v>2.8084745992628513</c:v>
                </c:pt>
                <c:pt idx="2">
                  <c:v>2.6946757492296172</c:v>
                </c:pt>
                <c:pt idx="3">
                  <c:v>2.6327282626460686</c:v>
                </c:pt>
                <c:pt idx="4">
                  <c:v>2.9925598229108203</c:v>
                </c:pt>
                <c:pt idx="5">
                  <c:v>3.0577797411869341</c:v>
                </c:pt>
                <c:pt idx="6">
                  <c:v>3.022282133028483</c:v>
                </c:pt>
                <c:pt idx="7">
                  <c:v>2.7919398416799623</c:v>
                </c:pt>
                <c:pt idx="8">
                  <c:v>-1.4737630559722419</c:v>
                </c:pt>
                <c:pt idx="9">
                  <c:v>-10.802828827516109</c:v>
                </c:pt>
                <c:pt idx="10">
                  <c:v>-5.2166971565464166</c:v>
                </c:pt>
                <c:pt idx="11">
                  <c:v>-4.5664791785978451</c:v>
                </c:pt>
                <c:pt idx="12">
                  <c:v>-1.9186413648622107</c:v>
                </c:pt>
                <c:pt idx="13">
                  <c:v>9.1792884100474765</c:v>
                </c:pt>
                <c:pt idx="14">
                  <c:v>3.8208995035486311</c:v>
                </c:pt>
                <c:pt idx="15">
                  <c:v>3.4133294018282072</c:v>
                </c:pt>
                <c:pt idx="16">
                  <c:v>4.6827760503125972</c:v>
                </c:pt>
                <c:pt idx="17">
                  <c:v>3.3595353964859953</c:v>
                </c:pt>
                <c:pt idx="18">
                  <c:v>1.3500170189121974</c:v>
                </c:pt>
                <c:pt idx="19">
                  <c:v>0.12011038697296783</c:v>
                </c:pt>
                <c:pt idx="20">
                  <c:v>-0.42287981073889114</c:v>
                </c:pt>
                <c:pt idx="21">
                  <c:v>-0.43494743667122293</c:v>
                </c:pt>
              </c:numCache>
            </c:numRef>
          </c:val>
          <c:extLst>
            <c:ext xmlns:c16="http://schemas.microsoft.com/office/drawing/2014/chart" uri="{C3380CC4-5D6E-409C-BE32-E72D297353CC}">
              <c16:uniqueId val="{00000000-B335-496C-B733-A5D435B936F4}"/>
            </c:ext>
          </c:extLst>
        </c:ser>
        <c:ser>
          <c:idx val="1"/>
          <c:order val="1"/>
          <c:tx>
            <c:strRef>
              <c:f>'souhrnná výkonnost 1'!$D$4</c:f>
              <c:strCache>
                <c:ptCount val="1"/>
                <c:pt idx="0">
                  <c:v>EU28 year-on-year change</c:v>
                </c:pt>
              </c:strCache>
            </c:strRef>
          </c:tx>
          <c:spPr>
            <a:solidFill>
              <a:schemeClr val="bg1">
                <a:lumMod val="50000"/>
              </a:schemeClr>
            </a:solidFill>
            <a:ln>
              <a:noFill/>
            </a:ln>
          </c:spPr>
          <c:invertIfNegative val="0"/>
          <c:cat>
            <c:multiLvlStrRef>
              <c:f>'souhrnná výkonnost 1'!$A$29:$B$50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1'!$D$29:$D$50</c:f>
              <c:numCache>
                <c:formatCode>0.0</c:formatCode>
                <c:ptCount val="22"/>
                <c:pt idx="0">
                  <c:v>2.6</c:v>
                </c:pt>
                <c:pt idx="1">
                  <c:v>2.4</c:v>
                </c:pt>
                <c:pt idx="2">
                  <c:v>1.7</c:v>
                </c:pt>
                <c:pt idx="3">
                  <c:v>1.6</c:v>
                </c:pt>
                <c:pt idx="4">
                  <c:v>2.1</c:v>
                </c:pt>
                <c:pt idx="5">
                  <c:v>1.8</c:v>
                </c:pt>
                <c:pt idx="6">
                  <c:v>2</c:v>
                </c:pt>
                <c:pt idx="7">
                  <c:v>1.4</c:v>
                </c:pt>
                <c:pt idx="8">
                  <c:v>-2.2000000000000002</c:v>
                </c:pt>
                <c:pt idx="9">
                  <c:v>-13.3</c:v>
                </c:pt>
                <c:pt idx="10">
                  <c:v>-3.8</c:v>
                </c:pt>
                <c:pt idx="11">
                  <c:v>-3.8</c:v>
                </c:pt>
                <c:pt idx="12">
                  <c:v>-0.6</c:v>
                </c:pt>
                <c:pt idx="13">
                  <c:v>13.9</c:v>
                </c:pt>
                <c:pt idx="14">
                  <c:v>4.5</c:v>
                </c:pt>
                <c:pt idx="15">
                  <c:v>5.2</c:v>
                </c:pt>
                <c:pt idx="16">
                  <c:v>5.6</c:v>
                </c:pt>
                <c:pt idx="17">
                  <c:v>4.3</c:v>
                </c:pt>
                <c:pt idx="18">
                  <c:v>2.5</c:v>
                </c:pt>
                <c:pt idx="19">
                  <c:v>1.6</c:v>
                </c:pt>
                <c:pt idx="20">
                  <c:v>1.1000000000000001</c:v>
                </c:pt>
                <c:pt idx="21">
                  <c:v>0.5</c:v>
                </c:pt>
              </c:numCache>
            </c:numRef>
          </c:val>
          <c:extLst>
            <c:ext xmlns:c16="http://schemas.microsoft.com/office/drawing/2014/chart" uri="{C3380CC4-5D6E-409C-BE32-E72D297353CC}">
              <c16:uniqueId val="{00000001-B335-496C-B733-A5D435B936F4}"/>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1'!$A$29:$B$50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1'!$E$29:$E$50</c:f>
              <c:numCache>
                <c:formatCode>0.0</c:formatCode>
                <c:ptCount val="22"/>
                <c:pt idx="0">
                  <c:v>0.51859772519729574</c:v>
                </c:pt>
                <c:pt idx="1">
                  <c:v>0.5912374750303826</c:v>
                </c:pt>
                <c:pt idx="2">
                  <c:v>0.73257343037091971</c:v>
                </c:pt>
                <c:pt idx="3">
                  <c:v>0.76492186562109055</c:v>
                </c:pt>
                <c:pt idx="4">
                  <c:v>0.87101711877043897</c:v>
                </c:pt>
                <c:pt idx="5">
                  <c:v>0.65493675873298685</c:v>
                </c:pt>
                <c:pt idx="6">
                  <c:v>0.69787672499455766</c:v>
                </c:pt>
                <c:pt idx="7">
                  <c:v>0.53962669151388809</c:v>
                </c:pt>
                <c:pt idx="8">
                  <c:v>-3.3149705245738517</c:v>
                </c:pt>
                <c:pt idx="9">
                  <c:v>-8.8756873103285301</c:v>
                </c:pt>
                <c:pt idx="10">
                  <c:v>7.0042605595799046</c:v>
                </c:pt>
                <c:pt idx="11">
                  <c:v>1.2293333255930037</c:v>
                </c:pt>
                <c:pt idx="12">
                  <c:v>-0.63240914714887708</c:v>
                </c:pt>
                <c:pt idx="13">
                  <c:v>1.4350510102822795</c:v>
                </c:pt>
                <c:pt idx="14">
                  <c:v>1.7526194188431674</c:v>
                </c:pt>
                <c:pt idx="15">
                  <c:v>0.83193694511574279</c:v>
                </c:pt>
                <c:pt idx="16">
                  <c:v>0.58737418161310018</c:v>
                </c:pt>
                <c:pt idx="17">
                  <c:v>0.15286316349390461</c:v>
                </c:pt>
                <c:pt idx="18">
                  <c:v>-0.22565726268484809</c:v>
                </c:pt>
                <c:pt idx="19">
                  <c:v>-0.39168266154831599</c:v>
                </c:pt>
                <c:pt idx="20">
                  <c:v>4.1849831079645128E-2</c:v>
                </c:pt>
                <c:pt idx="21">
                  <c:v>0.14072576399479431</c:v>
                </c:pt>
              </c:numCache>
            </c:numRef>
          </c:val>
          <c:smooth val="0"/>
          <c:extLst>
            <c:ext xmlns:c16="http://schemas.microsoft.com/office/drawing/2014/chart" uri="{C3380CC4-5D6E-409C-BE32-E72D297353CC}">
              <c16:uniqueId val="{00000002-B335-496C-B733-A5D435B936F4}"/>
            </c:ext>
          </c:extLst>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1'!$A$29:$B$50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1'!$F$29:$F$50</c:f>
              <c:numCache>
                <c:formatCode>0.0</c:formatCode>
                <c:ptCount val="22"/>
                <c:pt idx="0">
                  <c:v>0.2</c:v>
                </c:pt>
                <c:pt idx="1">
                  <c:v>0.6</c:v>
                </c:pt>
                <c:pt idx="2">
                  <c:v>0.1</c:v>
                </c:pt>
                <c:pt idx="3">
                  <c:v>0.7</c:v>
                </c:pt>
                <c:pt idx="4">
                  <c:v>0.7</c:v>
                </c:pt>
                <c:pt idx="5">
                  <c:v>0.4</c:v>
                </c:pt>
                <c:pt idx="6">
                  <c:v>0.3</c:v>
                </c:pt>
                <c:pt idx="7">
                  <c:v>0.1</c:v>
                </c:pt>
                <c:pt idx="8">
                  <c:v>-2.9</c:v>
                </c:pt>
                <c:pt idx="9">
                  <c:v>-11</c:v>
                </c:pt>
                <c:pt idx="10">
                  <c:v>11.3</c:v>
                </c:pt>
                <c:pt idx="11">
                  <c:v>0.1</c:v>
                </c:pt>
                <c:pt idx="12">
                  <c:v>0.4</c:v>
                </c:pt>
                <c:pt idx="13">
                  <c:v>1.9</c:v>
                </c:pt>
                <c:pt idx="14">
                  <c:v>2.1</c:v>
                </c:pt>
                <c:pt idx="15">
                  <c:v>0.7</c:v>
                </c:pt>
                <c:pt idx="16">
                  <c:v>0.7</c:v>
                </c:pt>
                <c:pt idx="17">
                  <c:v>0.6</c:v>
                </c:pt>
                <c:pt idx="18">
                  <c:v>0.4</c:v>
                </c:pt>
                <c:pt idx="19">
                  <c:v>-0.1</c:v>
                </c:pt>
                <c:pt idx="20">
                  <c:v>0.2</c:v>
                </c:pt>
                <c:pt idx="21">
                  <c:v>0</c:v>
                </c:pt>
              </c:numCache>
            </c:numRef>
          </c:val>
          <c:smooth val="0"/>
          <c:extLst>
            <c:ext xmlns:c16="http://schemas.microsoft.com/office/drawing/2014/chart" uri="{C3380CC4-5D6E-409C-BE32-E72D297353CC}">
              <c16:uniqueId val="{00000003-B335-496C-B733-A5D435B936F4}"/>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majorUnit val="3"/>
      </c:valAx>
      <c:spPr>
        <a:ln>
          <a:solidFill>
            <a:schemeClr val="tx1"/>
          </a:solidFill>
        </a:ln>
      </c:spPr>
    </c:plotArea>
    <c:legend>
      <c:legendPos val="b"/>
      <c:layout>
        <c:manualLayout>
          <c:xMode val="edge"/>
          <c:yMode val="edge"/>
          <c:x val="5.0375530939407026E-2"/>
          <c:y val="0.89437255125717996"/>
          <c:w val="0.92644083516900477"/>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1"/>
          <c:order val="0"/>
          <c:tx>
            <c:strRef>
              <c:f>'souhrnná výkonnost 3'!$F$5</c:f>
              <c:strCache>
                <c:ptCount val="1"/>
                <c:pt idx="0">
                  <c:v>Foreign trade balance</c:v>
                </c:pt>
              </c:strCache>
            </c:strRef>
          </c:tx>
          <c:spPr>
            <a:solidFill>
              <a:srgbClr val="7DBB2D"/>
            </a:solidFill>
            <a:ln>
              <a:noFill/>
            </a:ln>
          </c:spPr>
          <c:invertIfNegative val="0"/>
          <c:val>
            <c:numRef>
              <c:f>'souhrnná výkonnost 3'!$F$30:$F$51</c:f>
              <c:numCache>
                <c:formatCode>#\ ##0.0</c:formatCode>
                <c:ptCount val="22"/>
                <c:pt idx="0">
                  <c:v>-0.45416719953824236</c:v>
                </c:pt>
                <c:pt idx="1">
                  <c:v>-0.74378891592524266</c:v>
                </c:pt>
                <c:pt idx="2">
                  <c:v>-1.1266373010786319</c:v>
                </c:pt>
                <c:pt idx="3">
                  <c:v>0.26399371013949136</c:v>
                </c:pt>
                <c:pt idx="4">
                  <c:v>-0.10063574701283917</c:v>
                </c:pt>
                <c:pt idx="5">
                  <c:v>1.3529610725744319</c:v>
                </c:pt>
                <c:pt idx="6">
                  <c:v>1.4268251487477541</c:v>
                </c:pt>
                <c:pt idx="7">
                  <c:v>-1.1473798908006601</c:v>
                </c:pt>
                <c:pt idx="8">
                  <c:v>-2.0624772509655713</c:v>
                </c:pt>
                <c:pt idx="9">
                  <c:v>-9.0642749602481363</c:v>
                </c:pt>
                <c:pt idx="10">
                  <c:v>-1.0204260219992571</c:v>
                </c:pt>
                <c:pt idx="11">
                  <c:v>2.0095740720498343</c:v>
                </c:pt>
                <c:pt idx="12">
                  <c:v>-0.28507028363562315</c:v>
                </c:pt>
                <c:pt idx="13">
                  <c:v>4.4273326570028857</c:v>
                </c:pt>
                <c:pt idx="14">
                  <c:v>-5.8942461279131582</c:v>
                </c:pt>
                <c:pt idx="15">
                  <c:v>-6.4422946124320752</c:v>
                </c:pt>
                <c:pt idx="16">
                  <c:v>-1.8391101984644993</c:v>
                </c:pt>
                <c:pt idx="17">
                  <c:v>0.40419610251387095</c:v>
                </c:pt>
                <c:pt idx="18">
                  <c:v>4.1503989386715174</c:v>
                </c:pt>
                <c:pt idx="19">
                  <c:v>2.8839143571693651</c:v>
                </c:pt>
                <c:pt idx="20">
                  <c:v>2.683559220088791</c:v>
                </c:pt>
                <c:pt idx="21">
                  <c:v>2.515059894453425</c:v>
                </c:pt>
              </c:numCache>
            </c:numRef>
          </c:val>
          <c:extLst>
            <c:ext xmlns:c16="http://schemas.microsoft.com/office/drawing/2014/chart" uri="{C3380CC4-5D6E-409C-BE32-E72D297353CC}">
              <c16:uniqueId val="{00000000-F246-4BA6-B83D-D4C8D2AD70C3}"/>
            </c:ext>
          </c:extLst>
        </c:ser>
        <c:ser>
          <c:idx val="2"/>
          <c:order val="1"/>
          <c:tx>
            <c:strRef>
              <c:f>'souhrnná výkonnost 3'!$H$5</c:f>
              <c:strCache>
                <c:ptCount val="1"/>
                <c:pt idx="0">
                  <c:v>Change in inventories</c:v>
                </c:pt>
              </c:strCache>
            </c:strRef>
          </c:tx>
          <c:spPr>
            <a:solidFill>
              <a:srgbClr val="E8AFB2"/>
            </a:solidFill>
            <a:ln>
              <a:noFill/>
            </a:ln>
          </c:spPr>
          <c:invertIfNegative val="0"/>
          <c:cat>
            <c:multiLvlStrRef>
              <c:f>'souhrnná výkonnost 3'!$A$30:$B$51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3'!$H$30:$H$51</c:f>
              <c:numCache>
                <c:formatCode>#\ ##0.0</c:formatCode>
                <c:ptCount val="22"/>
                <c:pt idx="0">
                  <c:v>1.0524813582033086</c:v>
                </c:pt>
                <c:pt idx="1">
                  <c:v>-0.477776065152271</c:v>
                </c:pt>
                <c:pt idx="2">
                  <c:v>-0.35555734821242624</c:v>
                </c:pt>
                <c:pt idx="3">
                  <c:v>-1.4481535119733118</c:v>
                </c:pt>
                <c:pt idx="4">
                  <c:v>2.9922981882277922E-2</c:v>
                </c:pt>
                <c:pt idx="5">
                  <c:v>-1.2537553229299498</c:v>
                </c:pt>
                <c:pt idx="6">
                  <c:v>-0.57463433558824872</c:v>
                </c:pt>
                <c:pt idx="7">
                  <c:v>1.8085807340728093</c:v>
                </c:pt>
                <c:pt idx="8">
                  <c:v>0.91584880445412875</c:v>
                </c:pt>
                <c:pt idx="9">
                  <c:v>0.66860369572466505</c:v>
                </c:pt>
                <c:pt idx="10">
                  <c:v>-1.5736478906912497</c:v>
                </c:pt>
                <c:pt idx="11">
                  <c:v>-2.0771500306216089</c:v>
                </c:pt>
                <c:pt idx="12">
                  <c:v>2.4159623458993353</c:v>
                </c:pt>
                <c:pt idx="13">
                  <c:v>4.4035123965182708</c:v>
                </c:pt>
                <c:pt idx="14">
                  <c:v>6.5480200971506584</c:v>
                </c:pt>
                <c:pt idx="15">
                  <c:v>5.6378094597142576</c:v>
                </c:pt>
                <c:pt idx="16">
                  <c:v>1.7599138045171971</c:v>
                </c:pt>
                <c:pt idx="17">
                  <c:v>1.6830617792805977</c:v>
                </c:pt>
                <c:pt idx="18">
                  <c:v>-0.13522737694425829</c:v>
                </c:pt>
                <c:pt idx="19">
                  <c:v>6.801169123244423E-2</c:v>
                </c:pt>
                <c:pt idx="20">
                  <c:v>-1.0556412101943093</c:v>
                </c:pt>
                <c:pt idx="21">
                  <c:v>-2.5246196851242049</c:v>
                </c:pt>
              </c:numCache>
            </c:numRef>
          </c:val>
          <c:extLst>
            <c:ext xmlns:c16="http://schemas.microsoft.com/office/drawing/2014/chart" uri="{C3380CC4-5D6E-409C-BE32-E72D297353CC}">
              <c16:uniqueId val="{00000001-F246-4BA6-B83D-D4C8D2AD70C3}"/>
            </c:ext>
          </c:extLst>
        </c:ser>
        <c:ser>
          <c:idx val="3"/>
          <c:order val="2"/>
          <c:tx>
            <c:strRef>
              <c:f>'souhrnná výkonnost 3'!$G$5</c:f>
              <c:strCache>
                <c:ptCount val="1"/>
                <c:pt idx="0">
                  <c:v>Gross fixed capital formation</c:v>
                </c:pt>
              </c:strCache>
            </c:strRef>
          </c:tx>
          <c:spPr>
            <a:solidFill>
              <a:srgbClr val="BD1B21"/>
            </a:solidFill>
            <a:ln>
              <a:noFill/>
            </a:ln>
          </c:spPr>
          <c:invertIfNegative val="0"/>
          <c:val>
            <c:numRef>
              <c:f>'souhrnná výkonnost 3'!$G$30:$G$51</c:f>
              <c:numCache>
                <c:formatCode>#\ ##0.0</c:formatCode>
                <c:ptCount val="22"/>
                <c:pt idx="0">
                  <c:v>1.8848546995699593</c:v>
                </c:pt>
                <c:pt idx="1">
                  <c:v>2.053547364624257</c:v>
                </c:pt>
                <c:pt idx="2">
                  <c:v>2.2324390876929536</c:v>
                </c:pt>
                <c:pt idx="3">
                  <c:v>1.9592291913679716</c:v>
                </c:pt>
                <c:pt idx="4">
                  <c:v>1.6664742572861317</c:v>
                </c:pt>
                <c:pt idx="5">
                  <c:v>1.1031620490038367</c:v>
                </c:pt>
                <c:pt idx="6">
                  <c:v>0.60351051109238796</c:v>
                </c:pt>
                <c:pt idx="7">
                  <c:v>0.61015699901503462</c:v>
                </c:pt>
                <c:pt idx="8">
                  <c:v>-0.18505385313730383</c:v>
                </c:pt>
                <c:pt idx="9">
                  <c:v>0.26545371936590545</c:v>
                </c:pt>
                <c:pt idx="10">
                  <c:v>-1.1365453004257853</c:v>
                </c:pt>
                <c:pt idx="11">
                  <c:v>-1.5484962788918575</c:v>
                </c:pt>
                <c:pt idx="12">
                  <c:v>-1.1386301164844839</c:v>
                </c:pt>
                <c:pt idx="13">
                  <c:v>-1.6478950671691959</c:v>
                </c:pt>
                <c:pt idx="14">
                  <c:v>0.35561087195381563</c:v>
                </c:pt>
                <c:pt idx="15">
                  <c:v>0.78646457641002898</c:v>
                </c:pt>
                <c:pt idx="16">
                  <c:v>1.2056425074201889</c:v>
                </c:pt>
                <c:pt idx="17">
                  <c:v>0.94551509887167895</c:v>
                </c:pt>
                <c:pt idx="18">
                  <c:v>0.23606202143119678</c:v>
                </c:pt>
                <c:pt idx="19">
                  <c:v>-0.12541596439909738</c:v>
                </c:pt>
                <c:pt idx="20">
                  <c:v>-0.22886298711949785</c:v>
                </c:pt>
                <c:pt idx="21">
                  <c:v>0.80248259667338273</c:v>
                </c:pt>
              </c:numCache>
            </c:numRef>
          </c:val>
          <c:extLst>
            <c:ext xmlns:c16="http://schemas.microsoft.com/office/drawing/2014/chart" uri="{C3380CC4-5D6E-409C-BE32-E72D297353CC}">
              <c16:uniqueId val="{00000002-F246-4BA6-B83D-D4C8D2AD70C3}"/>
            </c:ext>
          </c:extLst>
        </c:ser>
        <c:ser>
          <c:idx val="5"/>
          <c:order val="4"/>
          <c:tx>
            <c:strRef>
              <c:f>'souhrnná výkonnost 3'!$D$5</c:f>
              <c:strCache>
                <c:ptCount val="1"/>
                <c:pt idx="0">
                  <c:v>Final consumption expenditure of households (inc. non-profit inst.)</c:v>
                </c:pt>
              </c:strCache>
            </c:strRef>
          </c:tx>
          <c:spPr>
            <a:solidFill>
              <a:srgbClr val="0071BC"/>
            </a:solidFill>
            <a:ln>
              <a:noFill/>
            </a:ln>
          </c:spPr>
          <c:invertIfNegative val="0"/>
          <c:val>
            <c:numRef>
              <c:f>'souhrnná výkonnost 3'!$D$30:$D$51</c:f>
              <c:numCache>
                <c:formatCode>#\ ##0.0</c:formatCode>
                <c:ptCount val="22"/>
                <c:pt idx="0">
                  <c:v>1.540080312662943</c:v>
                </c:pt>
                <c:pt idx="1">
                  <c:v>1.2364606818393475</c:v>
                </c:pt>
                <c:pt idx="2">
                  <c:v>0.93963380194395907</c:v>
                </c:pt>
                <c:pt idx="3">
                  <c:v>0.9479187361797875</c:v>
                </c:pt>
                <c:pt idx="4">
                  <c:v>0.89975778114159266</c:v>
                </c:pt>
                <c:pt idx="5">
                  <c:v>1.2410325032352092</c:v>
                </c:pt>
                <c:pt idx="6">
                  <c:v>0.94788645941574889</c:v>
                </c:pt>
                <c:pt idx="7">
                  <c:v>1.3125840520821437</c:v>
                </c:pt>
                <c:pt idx="8">
                  <c:v>-1.0446704916645397</c:v>
                </c:pt>
                <c:pt idx="9">
                  <c:v>-3.3401453756905828</c:v>
                </c:pt>
                <c:pt idx="10">
                  <c:v>-1.8238505965980329</c:v>
                </c:pt>
                <c:pt idx="11">
                  <c:v>-4.3451439574225992</c:v>
                </c:pt>
                <c:pt idx="12">
                  <c:v>-2.8838668819945754</c:v>
                </c:pt>
                <c:pt idx="13">
                  <c:v>1.9930858902923905</c:v>
                </c:pt>
                <c:pt idx="14">
                  <c:v>1.7335129439561134</c:v>
                </c:pt>
                <c:pt idx="15">
                  <c:v>3.2860285615183655</c:v>
                </c:pt>
                <c:pt idx="16">
                  <c:v>3.1132919265413106</c:v>
                </c:pt>
                <c:pt idx="17">
                  <c:v>-0.20478152182535223</c:v>
                </c:pt>
                <c:pt idx="18">
                  <c:v>-2.6249574056935399</c:v>
                </c:pt>
                <c:pt idx="19">
                  <c:v>-2.9076885203083829</c:v>
                </c:pt>
                <c:pt idx="20">
                  <c:v>-2.5107364068622569</c:v>
                </c:pt>
                <c:pt idx="21">
                  <c:v>-1.8836388504096584</c:v>
                </c:pt>
              </c:numCache>
            </c:numRef>
          </c:val>
          <c:extLst>
            <c:ext xmlns:c16="http://schemas.microsoft.com/office/drawing/2014/chart" uri="{C3380CC4-5D6E-409C-BE32-E72D297353CC}">
              <c16:uniqueId val="{00000003-F246-4BA6-B83D-D4C8D2AD70C3}"/>
            </c:ext>
          </c:extLst>
        </c:ser>
        <c:ser>
          <c:idx val="4"/>
          <c:order val="5"/>
          <c:tx>
            <c:strRef>
              <c:f>'souhrnná výkonnost 3'!$E$5</c:f>
              <c:strCache>
                <c:ptCount val="1"/>
                <c:pt idx="0">
                  <c:v>Final consumption expenditure of government institutions</c:v>
                </c:pt>
              </c:strCache>
            </c:strRef>
          </c:tx>
          <c:spPr>
            <a:solidFill>
              <a:srgbClr val="A6CDE8"/>
            </a:solidFill>
            <a:ln>
              <a:noFill/>
            </a:ln>
          </c:spPr>
          <c:invertIfNegative val="0"/>
          <c:val>
            <c:numRef>
              <c:f>'souhrnná výkonnost 3'!$E$30:$E$51</c:f>
              <c:numCache>
                <c:formatCode>#\ ##0.0</c:formatCode>
                <c:ptCount val="22"/>
                <c:pt idx="0">
                  <c:v>0.59778499254771711</c:v>
                </c:pt>
                <c:pt idx="1">
                  <c:v>0.60746684411638396</c:v>
                </c:pt>
                <c:pt idx="2">
                  <c:v>0.87114555902277002</c:v>
                </c:pt>
                <c:pt idx="3">
                  <c:v>0.78687144586984825</c:v>
                </c:pt>
                <c:pt idx="4">
                  <c:v>0.42281243223978293</c:v>
                </c:pt>
                <c:pt idx="5">
                  <c:v>0.54406400829840962</c:v>
                </c:pt>
                <c:pt idx="6">
                  <c:v>0.56781285164264705</c:v>
                </c:pt>
                <c:pt idx="7">
                  <c:v>0.1803919620253871</c:v>
                </c:pt>
                <c:pt idx="8">
                  <c:v>0.86345208967516862</c:v>
                </c:pt>
                <c:pt idx="9">
                  <c:v>0.6351806117242722</c:v>
                </c:pt>
                <c:pt idx="10">
                  <c:v>0.3094590878382506</c:v>
                </c:pt>
                <c:pt idx="11">
                  <c:v>1.3407546216216208</c:v>
                </c:pt>
                <c:pt idx="12">
                  <c:v>-8.5095004004240429E-2</c:v>
                </c:pt>
                <c:pt idx="13">
                  <c:v>-5.328072108904397E-2</c:v>
                </c:pt>
                <c:pt idx="14">
                  <c:v>0.99915273207784439</c:v>
                </c:pt>
                <c:pt idx="15">
                  <c:v>6.8585362783250697E-2</c:v>
                </c:pt>
                <c:pt idx="16">
                  <c:v>0.32383662791128365</c:v>
                </c:pt>
                <c:pt idx="17">
                  <c:v>0.37450810976545279</c:v>
                </c:pt>
                <c:pt idx="18">
                  <c:v>-0.41396996520400314</c:v>
                </c:pt>
                <c:pt idx="19">
                  <c:v>8.6105307469658346E-2</c:v>
                </c:pt>
                <c:pt idx="20">
                  <c:v>0.67084488415714283</c:v>
                </c:pt>
                <c:pt idx="21">
                  <c:v>0.66982363300597136</c:v>
                </c:pt>
              </c:numCache>
            </c:numRef>
          </c:val>
          <c:extLst>
            <c:ext xmlns:c16="http://schemas.microsoft.com/office/drawing/2014/chart" uri="{C3380CC4-5D6E-409C-BE32-E72D297353CC}">
              <c16:uniqueId val="{00000004-F246-4BA6-B83D-D4C8D2AD70C3}"/>
            </c:ext>
          </c:extLst>
        </c:ser>
        <c:dLbls>
          <c:showLegendKey val="0"/>
          <c:showVal val="0"/>
          <c:showCatName val="0"/>
          <c:showSerName val="0"/>
          <c:showPercent val="0"/>
          <c:showBubbleSize val="0"/>
        </c:dLbls>
        <c:gapWidth val="90"/>
        <c:overlap val="100"/>
        <c:axId val="115206784"/>
        <c:axId val="115286400"/>
      </c:barChart>
      <c:lineChart>
        <c:grouping val="standard"/>
        <c:varyColors val="0"/>
        <c:ser>
          <c:idx val="0"/>
          <c:order val="3"/>
          <c:tx>
            <c:strRef>
              <c:f>'souhrnná výkonnost 3'!$C$5</c:f>
              <c:strCache>
                <c:ptCount val="1"/>
                <c:pt idx="0">
                  <c:v>GDP</c:v>
                </c:pt>
              </c:strCache>
            </c:strRef>
          </c:tx>
          <c:spPr>
            <a:ln>
              <a:solidFill>
                <a:prstClr val="black"/>
              </a:solidFill>
            </a:ln>
          </c:spPr>
          <c:marker>
            <c:symbol val="none"/>
          </c:marker>
          <c:cat>
            <c:multiLvlStrRef>
              <c:f>'souhrnná výkonnost 3'!$A$30:$B$51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3'!$C$30:$C$51</c:f>
              <c:numCache>
                <c:formatCode>#\ ##0.0</c:formatCode>
                <c:ptCount val="22"/>
                <c:pt idx="0">
                  <c:v>4.7410158709829062</c:v>
                </c:pt>
                <c:pt idx="1">
                  <c:v>2.8085121382809888</c:v>
                </c:pt>
                <c:pt idx="2">
                  <c:v>2.6946747602240038</c:v>
                </c:pt>
                <c:pt idx="3">
                  <c:v>2.632738011287671</c:v>
                </c:pt>
                <c:pt idx="4">
                  <c:v>2.9925808638806188</c:v>
                </c:pt>
                <c:pt idx="5">
                  <c:v>3.0577465249692608</c:v>
                </c:pt>
                <c:pt idx="6">
                  <c:v>3.0222812889930282</c:v>
                </c:pt>
                <c:pt idx="7">
                  <c:v>2.7919056462255583</c:v>
                </c:pt>
                <c:pt idx="8">
                  <c:v>-1.4738194413261567</c:v>
                </c:pt>
                <c:pt idx="9">
                  <c:v>-10.802865399708736</c:v>
                </c:pt>
                <c:pt idx="10">
                  <c:v>-5.2167494638705847</c:v>
                </c:pt>
                <c:pt idx="11">
                  <c:v>-4.5664750245340713</c:v>
                </c:pt>
                <c:pt idx="12">
                  <c:v>-1.9186323159540564</c:v>
                </c:pt>
                <c:pt idx="13">
                  <c:v>9.1792931219514742</c:v>
                </c:pt>
                <c:pt idx="14">
                  <c:v>3.8209037046074172</c:v>
                </c:pt>
                <c:pt idx="15">
                  <c:v>3.4133373401856772</c:v>
                </c:pt>
                <c:pt idx="16">
                  <c:v>4.6828065809266519</c:v>
                </c:pt>
                <c:pt idx="17">
                  <c:v>3.3595998605537005</c:v>
                </c:pt>
                <c:pt idx="18">
                  <c:v>1.3500706587594067</c:v>
                </c:pt>
                <c:pt idx="19">
                  <c:v>0.12009744011587031</c:v>
                </c:pt>
                <c:pt idx="20">
                  <c:v>-0.42288944612090518</c:v>
                </c:pt>
                <c:pt idx="21">
                  <c:v>-0.43493905219344242</c:v>
                </c:pt>
              </c:numCache>
            </c:numRef>
          </c:val>
          <c:smooth val="0"/>
          <c:extLst>
            <c:ext xmlns:c16="http://schemas.microsoft.com/office/drawing/2014/chart" uri="{C3380CC4-5D6E-409C-BE32-E72D297353CC}">
              <c16:uniqueId val="{00000005-F246-4BA6-B83D-D4C8D2AD70C3}"/>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12"/>
          <c:min val="-1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2"/>
      </c:valAx>
      <c:spPr>
        <a:ln>
          <a:solidFill>
            <a:schemeClr val="tx1"/>
          </a:solidFill>
        </a:ln>
      </c:spPr>
    </c:plotArea>
    <c:legend>
      <c:legendPos val="b"/>
      <c:layout>
        <c:manualLayout>
          <c:xMode val="edge"/>
          <c:yMode val="edge"/>
          <c:x val="5.2922564529558701E-2"/>
          <c:y val="0.79687874638673362"/>
          <c:w val="0.93952929520758033"/>
          <c:h val="0.20312125361326638"/>
        </c:manualLayout>
      </c:layout>
      <c:overlay val="0"/>
      <c:spPr>
        <a:ln w="6350">
          <a:no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'souhrnná výkonnost 4'!$C$5</c:f>
              <c:strCache>
                <c:ptCount val="1"/>
                <c:pt idx="0">
                  <c:v>Agriculture, forestry and fishing</c:v>
                </c:pt>
              </c:strCache>
            </c:strRef>
          </c:tx>
          <c:spPr>
            <a:solidFill>
              <a:srgbClr val="7DBB2D"/>
            </a:solidFill>
            <a:ln>
              <a:noFill/>
            </a:ln>
          </c:spPr>
          <c:invertIfNegative val="0"/>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4'!$C$30:$C$51</c:f>
              <c:numCache>
                <c:formatCode>#\ ##0.0</c:formatCode>
                <c:ptCount val="22"/>
                <c:pt idx="0">
                  <c:v>3.2678809349882987E-2</c:v>
                </c:pt>
                <c:pt idx="1">
                  <c:v>7.1043352951455641E-2</c:v>
                </c:pt>
                <c:pt idx="2">
                  <c:v>0.13147416955081714</c:v>
                </c:pt>
                <c:pt idx="3">
                  <c:v>0.13557508385890887</c:v>
                </c:pt>
                <c:pt idx="4">
                  <c:v>7.3815312527439711E-2</c:v>
                </c:pt>
                <c:pt idx="5">
                  <c:v>8.6198359198018493E-2</c:v>
                </c:pt>
                <c:pt idx="6">
                  <c:v>0.109327705348608</c:v>
                </c:pt>
                <c:pt idx="7">
                  <c:v>0.13255154938774674</c:v>
                </c:pt>
                <c:pt idx="8">
                  <c:v>0.21545052259669253</c:v>
                </c:pt>
                <c:pt idx="9">
                  <c:v>0.2361993862853973</c:v>
                </c:pt>
                <c:pt idx="10">
                  <c:v>0.24181149955858286</c:v>
                </c:pt>
                <c:pt idx="11">
                  <c:v>0.21681429221385648</c:v>
                </c:pt>
                <c:pt idx="12">
                  <c:v>-0.19657363835640351</c:v>
                </c:pt>
                <c:pt idx="13">
                  <c:v>-0.34178536991297287</c:v>
                </c:pt>
                <c:pt idx="14">
                  <c:v>-0.37570182006417729</c:v>
                </c:pt>
                <c:pt idx="15">
                  <c:v>-0.37221295215760819</c:v>
                </c:pt>
                <c:pt idx="16">
                  <c:v>-0.16234638940102411</c:v>
                </c:pt>
                <c:pt idx="17">
                  <c:v>-0.13442866084554098</c:v>
                </c:pt>
                <c:pt idx="18">
                  <c:v>-0.14434356404006063</c:v>
                </c:pt>
                <c:pt idx="19">
                  <c:v>-0.2357601128797126</c:v>
                </c:pt>
                <c:pt idx="20">
                  <c:v>-5.1565071284767193E-2</c:v>
                </c:pt>
                <c:pt idx="21">
                  <c:v>-3.052007019091078E-2</c:v>
                </c:pt>
              </c:numCache>
            </c:numRef>
          </c:val>
          <c:extLst>
            <c:ext xmlns:c16="http://schemas.microsoft.com/office/drawing/2014/chart" uri="{C3380CC4-5D6E-409C-BE32-E72D297353CC}">
              <c16:uniqueId val="{00000000-46C1-46D0-80B7-5294314D8E15}"/>
            </c:ext>
          </c:extLst>
        </c:ser>
        <c:ser>
          <c:idx val="1"/>
          <c:order val="1"/>
          <c:tx>
            <c:strRef>
              <c:f>'souhrnná výkonnost 4'!$F$5</c:f>
              <c:strCache>
                <c:ptCount val="1"/>
                <c:pt idx="0">
                  <c:v>Construction</c:v>
                </c:pt>
              </c:strCache>
            </c:strRef>
          </c:tx>
          <c:spPr>
            <a:solidFill>
              <a:srgbClr val="7030A0"/>
            </a:solidFill>
            <a:ln>
              <a:noFill/>
            </a:ln>
          </c:spPr>
          <c:invertIfNegative val="0"/>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4'!$F$30:$F$51</c:f>
              <c:numCache>
                <c:formatCode>#\ ##0.0</c:formatCode>
                <c:ptCount val="22"/>
                <c:pt idx="0">
                  <c:v>0.12203771789133691</c:v>
                </c:pt>
                <c:pt idx="1">
                  <c:v>2.721405326342801E-3</c:v>
                </c:pt>
                <c:pt idx="2">
                  <c:v>-1.6093365386526861E-2</c:v>
                </c:pt>
                <c:pt idx="3">
                  <c:v>-0.11938213609361673</c:v>
                </c:pt>
                <c:pt idx="4">
                  <c:v>-0.15414075128507621</c:v>
                </c:pt>
                <c:pt idx="5">
                  <c:v>-4.3532590886408484E-2</c:v>
                </c:pt>
                <c:pt idx="6">
                  <c:v>-0.10941238277351638</c:v>
                </c:pt>
                <c:pt idx="7">
                  <c:v>-9.85982071809543E-2</c:v>
                </c:pt>
                <c:pt idx="8">
                  <c:v>-0.33875372028708339</c:v>
                </c:pt>
                <c:pt idx="9">
                  <c:v>-0.70304287917967079</c:v>
                </c:pt>
                <c:pt idx="10">
                  <c:v>-0.63194153032185696</c:v>
                </c:pt>
                <c:pt idx="11">
                  <c:v>-0.61557506939559159</c:v>
                </c:pt>
                <c:pt idx="12">
                  <c:v>-0.50618553672420052</c:v>
                </c:pt>
                <c:pt idx="13">
                  <c:v>-8.0324212744330617E-2</c:v>
                </c:pt>
                <c:pt idx="14">
                  <c:v>-5.5314929764280841E-3</c:v>
                </c:pt>
                <c:pt idx="15">
                  <c:v>-4.514788295389504E-2</c:v>
                </c:pt>
                <c:pt idx="16">
                  <c:v>-7.962411739312307E-2</c:v>
                </c:pt>
                <c:pt idx="17">
                  <c:v>-0.27523677822990117</c:v>
                </c:pt>
                <c:pt idx="18">
                  <c:v>-0.50021356452078947</c:v>
                </c:pt>
                <c:pt idx="19">
                  <c:v>-0.5002872032383201</c:v>
                </c:pt>
                <c:pt idx="20">
                  <c:v>-0.28889790127219911</c:v>
                </c:pt>
                <c:pt idx="21">
                  <c:v>-0.15013455946663931</c:v>
                </c:pt>
              </c:numCache>
            </c:numRef>
          </c:val>
          <c:extLst>
            <c:ext xmlns:c16="http://schemas.microsoft.com/office/drawing/2014/chart" uri="{C3380CC4-5D6E-409C-BE32-E72D297353CC}">
              <c16:uniqueId val="{00000001-46C1-46D0-80B7-5294314D8E15}"/>
            </c:ext>
          </c:extLst>
        </c:ser>
        <c:ser>
          <c:idx val="2"/>
          <c:order val="2"/>
          <c:tx>
            <c:strRef>
              <c:f>'souhrnná výkonnost 4'!$E$5</c:f>
              <c:strCache>
                <c:ptCount val="1"/>
                <c:pt idx="0">
                  <c:v>Other industrial branches (CZ-NACE B,D,E)</c:v>
                </c:pt>
              </c:strCache>
            </c:strRef>
          </c:tx>
          <c:spPr>
            <a:solidFill>
              <a:srgbClr val="A6CDE8"/>
            </a:solidFill>
            <a:ln>
              <a:noFill/>
            </a:ln>
          </c:spPr>
          <c:invertIfNegative val="0"/>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4'!$E$30:$E$51</c:f>
              <c:numCache>
                <c:formatCode>#\ ##0.0</c:formatCode>
                <c:ptCount val="22"/>
                <c:pt idx="0">
                  <c:v>-8.4827402194146195E-2</c:v>
                </c:pt>
                <c:pt idx="1">
                  <c:v>-2.6313910996506873E-3</c:v>
                </c:pt>
                <c:pt idx="2" formatCode="General">
                  <c:v>9.1594113054016615E-2</c:v>
                </c:pt>
                <c:pt idx="3" formatCode="General">
                  <c:v>-2.353224484028299E-2</c:v>
                </c:pt>
                <c:pt idx="4" formatCode="General">
                  <c:v>-0.22319978862492373</c:v>
                </c:pt>
                <c:pt idx="5" formatCode="General">
                  <c:v>-0.42608130827198054</c:v>
                </c:pt>
                <c:pt idx="6" formatCode="General">
                  <c:v>-0.63322416622310096</c:v>
                </c:pt>
                <c:pt idx="7" formatCode="General">
                  <c:v>-0.47005936665406045</c:v>
                </c:pt>
                <c:pt idx="8" formatCode="General">
                  <c:v>-0.39879519059346102</c:v>
                </c:pt>
                <c:pt idx="9" formatCode="General">
                  <c:v>-0.29594961815162701</c:v>
                </c:pt>
                <c:pt idx="10" formatCode="General">
                  <c:v>3.655842710272017E-2</c:v>
                </c:pt>
                <c:pt idx="11" formatCode="General">
                  <c:v>0.49474509851361503</c:v>
                </c:pt>
                <c:pt idx="12" formatCode="General">
                  <c:v>0.10268524637411161</c:v>
                </c:pt>
                <c:pt idx="13" formatCode="General">
                  <c:v>0.15208374901925303</c:v>
                </c:pt>
                <c:pt idx="14" formatCode="General">
                  <c:v>-8.3157118283756201E-2</c:v>
                </c:pt>
                <c:pt idx="15" formatCode="General">
                  <c:v>-0.23038326613496624</c:v>
                </c:pt>
                <c:pt idx="16" formatCode="General">
                  <c:v>-0.96496939035385698</c:v>
                </c:pt>
                <c:pt idx="17" formatCode="General">
                  <c:v>-1.028188536430038</c:v>
                </c:pt>
                <c:pt idx="18" formatCode="General">
                  <c:v>-1.0754299799558713</c:v>
                </c:pt>
                <c:pt idx="19" formatCode="General">
                  <c:v>-1.8164022619582574</c:v>
                </c:pt>
                <c:pt idx="20" formatCode="General">
                  <c:v>-0.3941579500422937</c:v>
                </c:pt>
                <c:pt idx="21" formatCode="General">
                  <c:v>-0.47940825133597675</c:v>
                </c:pt>
              </c:numCache>
            </c:numRef>
          </c:val>
          <c:extLst>
            <c:ext xmlns:c16="http://schemas.microsoft.com/office/drawing/2014/chart" uri="{C3380CC4-5D6E-409C-BE32-E72D297353CC}">
              <c16:uniqueId val="{00000002-46C1-46D0-80B7-5294314D8E15}"/>
            </c:ext>
          </c:extLst>
        </c:ser>
        <c:ser>
          <c:idx val="3"/>
          <c:order val="3"/>
          <c:tx>
            <c:strRef>
              <c:f>'souhrnná výkonnost 4'!$D$5</c:f>
              <c:strCache>
                <c:ptCount val="1"/>
                <c:pt idx="0">
                  <c:v>Manufacturing (CZ-NACE C)</c:v>
                </c:pt>
              </c:strCache>
            </c:strRef>
          </c:tx>
          <c:spPr>
            <a:solidFill>
              <a:srgbClr val="0071BC"/>
            </a:solidFill>
            <a:ln>
              <a:noFill/>
            </a:ln>
          </c:spPr>
          <c:invertIfNegative val="0"/>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4'!$D$30:$D$51</c:f>
              <c:numCache>
                <c:formatCode>#\ ##0.0</c:formatCode>
                <c:ptCount val="22"/>
                <c:pt idx="0">
                  <c:v>1.4910459148201696</c:v>
                </c:pt>
                <c:pt idx="1">
                  <c:v>0.13833830178262252</c:v>
                </c:pt>
                <c:pt idx="2">
                  <c:v>1.1371114606629321E-2</c:v>
                </c:pt>
                <c:pt idx="3">
                  <c:v>0.33553515446267096</c:v>
                </c:pt>
                <c:pt idx="4">
                  <c:v>0.79394406110374971</c:v>
                </c:pt>
                <c:pt idx="5">
                  <c:v>1.3559231668786855</c:v>
                </c:pt>
                <c:pt idx="6">
                  <c:v>1.3631060989469754</c:v>
                </c:pt>
                <c:pt idx="7">
                  <c:v>0.99560862159706953</c:v>
                </c:pt>
                <c:pt idx="8">
                  <c:v>-1.1680575231725137</c:v>
                </c:pt>
                <c:pt idx="9">
                  <c:v>-5.889668293777361</c:v>
                </c:pt>
                <c:pt idx="10">
                  <c:v>-2.5137505183360016</c:v>
                </c:pt>
                <c:pt idx="11">
                  <c:v>-1.8978845716379917</c:v>
                </c:pt>
                <c:pt idx="12">
                  <c:v>0.17537901886028953</c:v>
                </c:pt>
                <c:pt idx="13">
                  <c:v>4.9740222929440279</c:v>
                </c:pt>
                <c:pt idx="14">
                  <c:v>0.20509799209873469</c:v>
                </c:pt>
                <c:pt idx="15">
                  <c:v>-0.48173040936348782</c:v>
                </c:pt>
                <c:pt idx="16">
                  <c:v>0.83288419096617161</c:v>
                </c:pt>
                <c:pt idx="17">
                  <c:v>1.2132518080186516</c:v>
                </c:pt>
                <c:pt idx="18">
                  <c:v>2.1267494750096816</c:v>
                </c:pt>
                <c:pt idx="19">
                  <c:v>2.7466658745830981</c:v>
                </c:pt>
                <c:pt idx="20">
                  <c:v>0.91069840352561748</c:v>
                </c:pt>
                <c:pt idx="21">
                  <c:v>0.87421092777172538</c:v>
                </c:pt>
              </c:numCache>
            </c:numRef>
          </c:val>
          <c:extLst>
            <c:ext xmlns:c16="http://schemas.microsoft.com/office/drawing/2014/chart" uri="{C3380CC4-5D6E-409C-BE32-E72D297353CC}">
              <c16:uniqueId val="{00000003-46C1-46D0-80B7-5294314D8E15}"/>
            </c:ext>
          </c:extLst>
        </c:ser>
        <c:ser>
          <c:idx val="0"/>
          <c:order val="4"/>
          <c:tx>
            <c:strRef>
              <c:f>'souhrnná výkonnost 4'!$G$5</c:f>
              <c:strCache>
                <c:ptCount val="1"/>
                <c:pt idx="0">
                  <c:v>Services (CZ-NACE G to U)</c:v>
                </c:pt>
              </c:strCache>
            </c:strRef>
          </c:tx>
          <c:spPr>
            <a:solidFill>
              <a:srgbClr val="BD1B21"/>
            </a:solidFill>
            <a:ln>
              <a:noFill/>
            </a:ln>
          </c:spPr>
          <c:invertIfNegative val="0"/>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4'!$G$30:$G$51</c:f>
              <c:numCache>
                <c:formatCode>#\ ##0.0</c:formatCode>
                <c:ptCount val="22"/>
                <c:pt idx="0">
                  <c:v>3.1237068943138615</c:v>
                </c:pt>
                <c:pt idx="1">
                  <c:v>2.7517321166092374</c:v>
                </c:pt>
                <c:pt idx="2" formatCode="General">
                  <c:v>2.7131816334348327</c:v>
                </c:pt>
                <c:pt idx="3" formatCode="General">
                  <c:v>2.6018048024583837</c:v>
                </c:pt>
                <c:pt idx="4" formatCode="General">
                  <c:v>2.4822220084523599</c:v>
                </c:pt>
                <c:pt idx="5" formatCode="General">
                  <c:v>2.1921234953504332</c:v>
                </c:pt>
                <c:pt idx="6" formatCode="General">
                  <c:v>2.1636986023312024</c:v>
                </c:pt>
                <c:pt idx="7" formatCode="General">
                  <c:v>2.1557420268059597</c:v>
                </c:pt>
                <c:pt idx="8" formatCode="General">
                  <c:v>0.58107492482466572</c:v>
                </c:pt>
                <c:pt idx="9" formatCode="General">
                  <c:v>-4.3400754756564188</c:v>
                </c:pt>
                <c:pt idx="10" formatCode="General">
                  <c:v>-1.9966606979356536</c:v>
                </c:pt>
                <c:pt idx="11" formatCode="General">
                  <c:v>-2.3417286799070345</c:v>
                </c:pt>
                <c:pt idx="12" formatCode="General">
                  <c:v>-1.4413683522936231</c:v>
                </c:pt>
                <c:pt idx="13" formatCode="General">
                  <c:v>4.6756952859719902</c:v>
                </c:pt>
                <c:pt idx="14" formatCode="General">
                  <c:v>3.758749287293734</c:v>
                </c:pt>
                <c:pt idx="15" formatCode="General">
                  <c:v>4.1104404660252252</c:v>
                </c:pt>
                <c:pt idx="16" formatCode="General">
                  <c:v>4.4078314303948014</c:v>
                </c:pt>
                <c:pt idx="17" formatCode="General">
                  <c:v>3.433776842192279</c:v>
                </c:pt>
                <c:pt idx="18" formatCode="General">
                  <c:v>0.99886480410734735</c:v>
                </c:pt>
                <c:pt idx="19" formatCode="General">
                  <c:v>0.62822985446220714</c:v>
                </c:pt>
                <c:pt idx="20" formatCode="General">
                  <c:v>0.88085528350362163</c:v>
                </c:pt>
                <c:pt idx="21" formatCode="General">
                  <c:v>0.33652509863648511</c:v>
                </c:pt>
              </c:numCache>
            </c:numRef>
          </c:val>
          <c:extLst>
            <c:ext xmlns:c16="http://schemas.microsoft.com/office/drawing/2014/chart" uri="{C3380CC4-5D6E-409C-BE32-E72D297353CC}">
              <c16:uniqueId val="{00000004-46C1-46D0-80B7-5294314D8E15}"/>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4'!$H$30:$H$51</c:f>
              <c:numCache>
                <c:formatCode>#\ ##0.0</c:formatCode>
                <c:ptCount val="22"/>
                <c:pt idx="0">
                  <c:v>4.7958884315215471</c:v>
                </c:pt>
                <c:pt idx="1">
                  <c:v>2.9611349370848927</c:v>
                </c:pt>
                <c:pt idx="2">
                  <c:v>2.9313757908427505</c:v>
                </c:pt>
                <c:pt idx="3">
                  <c:v>2.9300970074841501</c:v>
                </c:pt>
                <c:pt idx="4">
                  <c:v>2.9726357886500523</c:v>
                </c:pt>
                <c:pt idx="5">
                  <c:v>3.1648414337946065</c:v>
                </c:pt>
                <c:pt idx="6">
                  <c:v>2.8935535187896448</c:v>
                </c:pt>
                <c:pt idx="7">
                  <c:v>2.7150260301270777</c:v>
                </c:pt>
                <c:pt idx="8">
                  <c:v>-1.1091532796304051</c:v>
                </c:pt>
                <c:pt idx="9">
                  <c:v>-10.992463627261643</c:v>
                </c:pt>
                <c:pt idx="10">
                  <c:v>-4.8638909795719911</c:v>
                </c:pt>
                <c:pt idx="11">
                  <c:v>-4.1436644792680113</c:v>
                </c:pt>
                <c:pt idx="12">
                  <c:v>-1.8659927600573809</c:v>
                </c:pt>
                <c:pt idx="13">
                  <c:v>9.3795330142279596</c:v>
                </c:pt>
                <c:pt idx="14">
                  <c:v>3.4995046714904277</c:v>
                </c:pt>
                <c:pt idx="15">
                  <c:v>2.9809101848340589</c:v>
                </c:pt>
                <c:pt idx="16">
                  <c:v>4.033672517713228</c:v>
                </c:pt>
                <c:pt idx="17">
                  <c:v>3.2093274629342119</c:v>
                </c:pt>
                <c:pt idx="18">
                  <c:v>1.4055555931354888</c:v>
                </c:pt>
                <c:pt idx="19">
                  <c:v>0.82246982529750312</c:v>
                </c:pt>
                <c:pt idx="20">
                  <c:v>1.0568763024884049</c:v>
                </c:pt>
                <c:pt idx="21">
                  <c:v>0.55058034820891066</c:v>
                </c:pt>
              </c:numCache>
            </c:numRef>
          </c:val>
          <c:smooth val="0"/>
          <c:extLst>
            <c:ext xmlns:c16="http://schemas.microsoft.com/office/drawing/2014/chart" uri="{C3380CC4-5D6E-409C-BE32-E72D297353CC}">
              <c16:uniqueId val="{00000005-46C1-46D0-80B7-5294314D8E15}"/>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12"/>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3"/>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3" ma:contentTypeDescription="Vytvoří nový dokument" ma:contentTypeScope="" ma:versionID="3072f6f3e77686ec6964bf5712aff85a">
  <xsd:schema xmlns:xsd="http://www.w3.org/2001/XMLSchema" xmlns:xs="http://www.w3.org/2001/XMLSchema" xmlns:p="http://schemas.microsoft.com/office/2006/metadata/properties" xmlns:ns2="eabc42bd-08fe-4a27-9645-04f6ad96d74a" targetNamespace="http://schemas.microsoft.com/office/2006/metadata/properties" ma:root="true" ma:fieldsID="572e7ed591a9b745512fd70b2662d46d" ns2:_="">
    <xsd:import namespace="eabc42bd-08fe-4a27-9645-04f6ad96d7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CFD8-CD6F-4E0C-A345-781C95A88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96D58-244A-4B2A-9579-316C313F4550}">
  <ds:schemaRefs>
    <ds:schemaRef ds:uri="http://schemas.openxmlformats.org/officeDocument/2006/bibliography"/>
  </ds:schemaRefs>
</ds:datastoreItem>
</file>

<file path=customXml/itemProps5.xml><?xml version="1.0" encoding="utf-8"?>
<ds:datastoreItem xmlns:ds="http://schemas.openxmlformats.org/officeDocument/2006/customXml" ds:itemID="{0B4529A5-4661-4798-AFE4-49EA5C9C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5</TotalTime>
  <Pages>5</Pages>
  <Words>1775</Words>
  <Characters>10476</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5</cp:revision>
  <cp:lastPrinted>2023-06-09T17:23:00Z</cp:lastPrinted>
  <dcterms:created xsi:type="dcterms:W3CDTF">2023-10-17T10:13:00Z</dcterms:created>
  <dcterms:modified xsi:type="dcterms:W3CDTF">2023-10-17T10:22:00Z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2023-09-17T16:05:15Z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bc2e51ea-0f16-4c13-bd82-d5a39cb11630</vt:lpwstr>
  </property>
  <property fmtid="{D5CDD505-2E9C-101B-9397-08002B2CF9AE}" pid="9" name="MSIP_Label_29db9e61-aac5-4f6e-805d-ceb8cb9983a1_ContentBits">
    <vt:lpwstr>0</vt:lpwstr>
  </property>
</Properties>
</file>