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3E94CAF8" w:rsidR="00A75E40" w:rsidRPr="00DD6E6B" w:rsidRDefault="00384F9F" w:rsidP="006C3495">
      <w:pPr>
        <w:jc w:val="center"/>
        <w:rPr>
          <w:lang w:val="en-GB" w:eastAsia="ar-SA"/>
        </w:rPr>
        <w:sectPr w:rsidR="00A75E40" w:rsidRPr="00DD6E6B"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63872" behindDoc="0" locked="1" layoutInCell="1" allowOverlap="1" wp14:anchorId="516BC9CE" wp14:editId="1F0A6F96">
                <wp:simplePos x="0" y="0"/>
                <wp:positionH relativeFrom="margin">
                  <wp:posOffset>-139065</wp:posOffset>
                </wp:positionH>
                <wp:positionV relativeFrom="page">
                  <wp:posOffset>514350</wp:posOffset>
                </wp:positionV>
                <wp:extent cx="2162810" cy="510540"/>
                <wp:effectExtent l="0" t="0" r="8890" b="3810"/>
                <wp:wrapSquare wrapText="bothSides"/>
                <wp:docPr id="543968189" name="Skupina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2810" cy="510540"/>
                          <a:chOff x="0" y="0"/>
                          <a:chExt cx="1671002" cy="395288"/>
                        </a:xfrm>
                      </wpg:grpSpPr>
                      <wps:wsp>
                        <wps:cNvPr id="563630417" name="Rectangle 5"/>
                        <wps:cNvSpPr>
                          <a:spLocks noChangeArrowheads="1"/>
                        </wps:cNvSpPr>
                        <wps:spPr bwMode="auto">
                          <a:xfrm>
                            <a:off x="395287" y="4763"/>
                            <a:ext cx="419100" cy="98425"/>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60190" name="Rectangle 6"/>
                        <wps:cNvSpPr>
                          <a:spLocks noChangeArrowheads="1"/>
                        </wps:cNvSpPr>
                        <wps:spPr bwMode="auto">
                          <a:xfrm>
                            <a:off x="0" y="147638"/>
                            <a:ext cx="814705" cy="97790"/>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513154" name="Rectangle 7"/>
                        <wps:cNvSpPr>
                          <a:spLocks noChangeArrowheads="1"/>
                        </wps:cNvSpPr>
                        <wps:spPr bwMode="auto">
                          <a:xfrm>
                            <a:off x="357187" y="295275"/>
                            <a:ext cx="457200" cy="97790"/>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195998" name="Freeform 8"/>
                        <wps:cNvSpPr>
                          <a:spLocks noEditPoints="1"/>
                        </wps:cNvSpPr>
                        <wps:spPr bwMode="auto">
                          <a:xfrm>
                            <a:off x="862012" y="290513"/>
                            <a:ext cx="455295" cy="104775"/>
                          </a:xfrm>
                          <a:custGeom>
                            <a:avLst/>
                            <a:gdLst>
                              <a:gd name="T0" fmla="*/ 34559 w 1436"/>
                              <a:gd name="T1" fmla="*/ 3175 h 330"/>
                              <a:gd name="T2" fmla="*/ 14268 w 1436"/>
                              <a:gd name="T3" fmla="*/ 16193 h 330"/>
                              <a:gd name="T4" fmla="*/ 1268 w 1436"/>
                              <a:gd name="T5" fmla="*/ 40640 h 330"/>
                              <a:gd name="T6" fmla="*/ 2536 w 1436"/>
                              <a:gd name="T7" fmla="*/ 67628 h 330"/>
                              <a:gd name="T8" fmla="*/ 15536 w 1436"/>
                              <a:gd name="T9" fmla="*/ 89535 h 330"/>
                              <a:gd name="T10" fmla="*/ 37096 w 1436"/>
                              <a:gd name="T11" fmla="*/ 102235 h 330"/>
                              <a:gd name="T12" fmla="*/ 63729 w 1436"/>
                              <a:gd name="T13" fmla="*/ 103823 h 330"/>
                              <a:gd name="T14" fmla="*/ 85923 w 1436"/>
                              <a:gd name="T15" fmla="*/ 95250 h 330"/>
                              <a:gd name="T16" fmla="*/ 103044 w 1436"/>
                              <a:gd name="T17" fmla="*/ 74613 h 330"/>
                              <a:gd name="T18" fmla="*/ 107483 w 1436"/>
                              <a:gd name="T19" fmla="*/ 47308 h 330"/>
                              <a:gd name="T20" fmla="*/ 99873 w 1436"/>
                              <a:gd name="T21" fmla="*/ 24448 h 330"/>
                              <a:gd name="T22" fmla="*/ 81167 w 1436"/>
                              <a:gd name="T23" fmla="*/ 6350 h 330"/>
                              <a:gd name="T24" fmla="*/ 53900 w 1436"/>
                              <a:gd name="T25" fmla="*/ 0 h 330"/>
                              <a:gd name="T26" fmla="*/ 62143 w 1436"/>
                              <a:gd name="T27" fmla="*/ 26353 h 330"/>
                              <a:gd name="T28" fmla="*/ 73557 w 1436"/>
                              <a:gd name="T29" fmla="*/ 33020 h 330"/>
                              <a:gd name="T30" fmla="*/ 80216 w 1436"/>
                              <a:gd name="T31" fmla="*/ 44133 h 330"/>
                              <a:gd name="T32" fmla="*/ 81167 w 1436"/>
                              <a:gd name="T33" fmla="*/ 58103 h 330"/>
                              <a:gd name="T34" fmla="*/ 75143 w 1436"/>
                              <a:gd name="T35" fmla="*/ 70168 h 330"/>
                              <a:gd name="T36" fmla="*/ 64363 w 1436"/>
                              <a:gd name="T37" fmla="*/ 78105 h 330"/>
                              <a:gd name="T38" fmla="*/ 51046 w 1436"/>
                              <a:gd name="T39" fmla="*/ 80010 h 330"/>
                              <a:gd name="T40" fmla="*/ 38364 w 1436"/>
                              <a:gd name="T41" fmla="*/ 75248 h 330"/>
                              <a:gd name="T42" fmla="*/ 29803 w 1436"/>
                              <a:gd name="T43" fmla="*/ 65405 h 330"/>
                              <a:gd name="T44" fmla="*/ 26633 w 1436"/>
                              <a:gd name="T45" fmla="*/ 52070 h 330"/>
                              <a:gd name="T46" fmla="*/ 29803 w 1436"/>
                              <a:gd name="T47" fmla="*/ 39053 h 330"/>
                              <a:gd name="T48" fmla="*/ 38681 w 1436"/>
                              <a:gd name="T49" fmla="*/ 29528 h 330"/>
                              <a:gd name="T50" fmla="*/ 51046 w 1436"/>
                              <a:gd name="T51" fmla="*/ 25083 h 330"/>
                              <a:gd name="T52" fmla="*/ 120482 w 1436"/>
                              <a:gd name="T53" fmla="*/ 3175 h 330"/>
                              <a:gd name="T54" fmla="*/ 173748 w 1436"/>
                              <a:gd name="T55" fmla="*/ 40958 h 330"/>
                              <a:gd name="T56" fmla="*/ 248890 w 1436"/>
                              <a:gd name="T57" fmla="*/ 3175 h 330"/>
                              <a:gd name="T58" fmla="*/ 246037 w 1436"/>
                              <a:gd name="T59" fmla="*/ 62548 h 330"/>
                              <a:gd name="T60" fmla="*/ 290742 w 1436"/>
                              <a:gd name="T61" fmla="*/ 3175 h 330"/>
                              <a:gd name="T62" fmla="*/ 380152 w 1436"/>
                              <a:gd name="T63" fmla="*/ 6033 h 330"/>
                              <a:gd name="T64" fmla="*/ 351617 w 1436"/>
                              <a:gd name="T65" fmla="*/ 1270 h 330"/>
                              <a:gd name="T66" fmla="*/ 327838 w 1436"/>
                              <a:gd name="T67" fmla="*/ 9843 h 330"/>
                              <a:gd name="T68" fmla="*/ 311668 w 1436"/>
                              <a:gd name="T69" fmla="*/ 27940 h 330"/>
                              <a:gd name="T70" fmla="*/ 305327 w 1436"/>
                              <a:gd name="T71" fmla="*/ 53023 h 330"/>
                              <a:gd name="T72" fmla="*/ 310717 w 1436"/>
                              <a:gd name="T73" fmla="*/ 75565 h 330"/>
                              <a:gd name="T74" fmla="*/ 326887 w 1436"/>
                              <a:gd name="T75" fmla="*/ 93980 h 330"/>
                              <a:gd name="T76" fmla="*/ 351934 w 1436"/>
                              <a:gd name="T77" fmla="*/ 103505 h 330"/>
                              <a:gd name="T78" fmla="*/ 380152 w 1436"/>
                              <a:gd name="T79" fmla="*/ 99060 h 330"/>
                              <a:gd name="T80" fmla="*/ 369689 w 1436"/>
                              <a:gd name="T81" fmla="*/ 76835 h 330"/>
                              <a:gd name="T82" fmla="*/ 355739 w 1436"/>
                              <a:gd name="T83" fmla="*/ 79375 h 330"/>
                              <a:gd name="T84" fmla="*/ 340520 w 1436"/>
                              <a:gd name="T85" fmla="*/ 73025 h 330"/>
                              <a:gd name="T86" fmla="*/ 333228 w 1436"/>
                              <a:gd name="T87" fmla="*/ 61595 h 330"/>
                              <a:gd name="T88" fmla="*/ 332277 w 1436"/>
                              <a:gd name="T89" fmla="*/ 46990 h 330"/>
                              <a:gd name="T90" fmla="*/ 337984 w 1436"/>
                              <a:gd name="T91" fmla="*/ 35560 h 330"/>
                              <a:gd name="T92" fmla="*/ 347812 w 1436"/>
                              <a:gd name="T93" fmla="*/ 27940 h 330"/>
                              <a:gd name="T94" fmla="*/ 361129 w 1436"/>
                              <a:gd name="T95" fmla="*/ 26035 h 330"/>
                              <a:gd name="T96" fmla="*/ 375396 w 1436"/>
                              <a:gd name="T97" fmla="*/ 31750 h 330"/>
                              <a:gd name="T98" fmla="*/ 455295 w 1436"/>
                              <a:gd name="T99" fmla="*/ 3175 h 330"/>
                              <a:gd name="T100" fmla="*/ 425175 w 1436"/>
                              <a:gd name="T101" fmla="*/ 79693 h 330"/>
                              <a:gd name="T102" fmla="*/ 425175 w 1436"/>
                              <a:gd name="T103" fmla="*/ 24765 h 3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361515" name="Freeform 9"/>
                        <wps:cNvSpPr>
                          <a:spLocks noEditPoints="1"/>
                        </wps:cNvSpPr>
                        <wps:spPr bwMode="auto">
                          <a:xfrm>
                            <a:off x="862012" y="147638"/>
                            <a:ext cx="808990" cy="102870"/>
                          </a:xfrm>
                          <a:custGeom>
                            <a:avLst/>
                            <a:gdLst>
                              <a:gd name="T0" fmla="*/ 45067 w 2549"/>
                              <a:gd name="T1" fmla="*/ 317 h 325"/>
                              <a:gd name="T2" fmla="*/ 20629 w 2549"/>
                              <a:gd name="T3" fmla="*/ 3482 h 325"/>
                              <a:gd name="T4" fmla="*/ 6348 w 2549"/>
                              <a:gd name="T5" fmla="*/ 19308 h 325"/>
                              <a:gd name="T6" fmla="*/ 5078 w 2549"/>
                              <a:gd name="T7" fmla="*/ 41465 h 325"/>
                              <a:gd name="T8" fmla="*/ 18408 w 2549"/>
                              <a:gd name="T9" fmla="*/ 56025 h 325"/>
                              <a:gd name="T10" fmla="*/ 44115 w 2549"/>
                              <a:gd name="T11" fmla="*/ 66153 h 325"/>
                              <a:gd name="T12" fmla="*/ 41894 w 2549"/>
                              <a:gd name="T13" fmla="*/ 78181 h 325"/>
                              <a:gd name="T14" fmla="*/ 25073 w 2549"/>
                              <a:gd name="T15" fmla="*/ 79764 h 325"/>
                              <a:gd name="T16" fmla="*/ 4126 w 2549"/>
                              <a:gd name="T17" fmla="*/ 94007 h 325"/>
                              <a:gd name="T18" fmla="*/ 33642 w 2549"/>
                              <a:gd name="T19" fmla="*/ 102237 h 325"/>
                              <a:gd name="T20" fmla="*/ 59349 w 2549"/>
                              <a:gd name="T21" fmla="*/ 95273 h 325"/>
                              <a:gd name="T22" fmla="*/ 71409 w 2549"/>
                              <a:gd name="T23" fmla="*/ 75649 h 325"/>
                              <a:gd name="T24" fmla="*/ 67601 w 2549"/>
                              <a:gd name="T25" fmla="*/ 52226 h 325"/>
                              <a:gd name="T26" fmla="*/ 47924 w 2549"/>
                              <a:gd name="T27" fmla="*/ 40515 h 325"/>
                              <a:gd name="T28" fmla="*/ 30468 w 2549"/>
                              <a:gd name="T29" fmla="*/ 31019 h 325"/>
                              <a:gd name="T30" fmla="*/ 36816 w 2549"/>
                              <a:gd name="T31" fmla="*/ 21524 h 325"/>
                              <a:gd name="T32" fmla="*/ 53954 w 2549"/>
                              <a:gd name="T33" fmla="*/ 24689 h 325"/>
                              <a:gd name="T34" fmla="*/ 79026 w 2549"/>
                              <a:gd name="T35" fmla="*/ 23739 h 325"/>
                              <a:gd name="T36" fmla="*/ 244379 w 2549"/>
                              <a:gd name="T37" fmla="*/ 100021 h 325"/>
                              <a:gd name="T38" fmla="*/ 204072 w 2549"/>
                              <a:gd name="T39" fmla="*/ 63621 h 325"/>
                              <a:gd name="T40" fmla="*/ 240571 w 2549"/>
                              <a:gd name="T41" fmla="*/ 1899 h 325"/>
                              <a:gd name="T42" fmla="*/ 320867 w 2549"/>
                              <a:gd name="T43" fmla="*/ 1899 h 325"/>
                              <a:gd name="T44" fmla="*/ 419888 w 2549"/>
                              <a:gd name="T45" fmla="*/ 2849 h 325"/>
                              <a:gd name="T46" fmla="*/ 393228 w 2549"/>
                              <a:gd name="T47" fmla="*/ 317 h 325"/>
                              <a:gd name="T48" fmla="*/ 374186 w 2549"/>
                              <a:gd name="T49" fmla="*/ 11078 h 325"/>
                              <a:gd name="T50" fmla="*/ 366886 w 2549"/>
                              <a:gd name="T51" fmla="*/ 32918 h 325"/>
                              <a:gd name="T52" fmla="*/ 372916 w 2549"/>
                              <a:gd name="T53" fmla="*/ 50327 h 325"/>
                              <a:gd name="T54" fmla="*/ 401163 w 2549"/>
                              <a:gd name="T55" fmla="*/ 62672 h 325"/>
                              <a:gd name="T56" fmla="*/ 408462 w 2549"/>
                              <a:gd name="T57" fmla="*/ 73433 h 325"/>
                              <a:gd name="T58" fmla="*/ 396402 w 2549"/>
                              <a:gd name="T59" fmla="*/ 81030 h 325"/>
                              <a:gd name="T60" fmla="*/ 377042 w 2549"/>
                              <a:gd name="T61" fmla="*/ 73433 h 325"/>
                              <a:gd name="T62" fmla="*/ 384024 w 2549"/>
                              <a:gd name="T63" fmla="*/ 100654 h 325"/>
                              <a:gd name="T64" fmla="*/ 412588 w 2549"/>
                              <a:gd name="T65" fmla="*/ 100021 h 325"/>
                              <a:gd name="T66" fmla="*/ 430996 w 2549"/>
                              <a:gd name="T67" fmla="*/ 85778 h 325"/>
                              <a:gd name="T68" fmla="*/ 433852 w 2549"/>
                              <a:gd name="T69" fmla="*/ 58240 h 325"/>
                              <a:gd name="T70" fmla="*/ 424331 w 2549"/>
                              <a:gd name="T71" fmla="*/ 45896 h 325"/>
                              <a:gd name="T72" fmla="*/ 395767 w 2549"/>
                              <a:gd name="T73" fmla="*/ 34184 h 325"/>
                              <a:gd name="T74" fmla="*/ 395450 w 2549"/>
                              <a:gd name="T75" fmla="*/ 24689 h 325"/>
                              <a:gd name="T76" fmla="*/ 408462 w 2549"/>
                              <a:gd name="T77" fmla="*/ 21524 h 325"/>
                              <a:gd name="T78" fmla="*/ 508435 w 2549"/>
                              <a:gd name="T79" fmla="*/ 23739 h 325"/>
                              <a:gd name="T80" fmla="*/ 487489 w 2549"/>
                              <a:gd name="T81" fmla="*/ 23739 h 325"/>
                              <a:gd name="T82" fmla="*/ 629673 w 2549"/>
                              <a:gd name="T83" fmla="*/ 2849 h 325"/>
                              <a:gd name="T84" fmla="*/ 592857 w 2549"/>
                              <a:gd name="T85" fmla="*/ 3798 h 325"/>
                              <a:gd name="T86" fmla="*/ 567785 w 2549"/>
                              <a:gd name="T87" fmla="*/ 26904 h 325"/>
                              <a:gd name="T88" fmla="*/ 562389 w 2549"/>
                              <a:gd name="T89" fmla="*/ 61405 h 325"/>
                              <a:gd name="T90" fmla="*/ 578575 w 2549"/>
                              <a:gd name="T91" fmla="*/ 89260 h 325"/>
                              <a:gd name="T92" fmla="*/ 613487 w 2549"/>
                              <a:gd name="T93" fmla="*/ 102870 h 325"/>
                              <a:gd name="T94" fmla="*/ 631260 w 2549"/>
                              <a:gd name="T95" fmla="*/ 72167 h 325"/>
                              <a:gd name="T96" fmla="*/ 611900 w 2549"/>
                              <a:gd name="T97" fmla="*/ 77865 h 325"/>
                              <a:gd name="T98" fmla="*/ 596666 w 2549"/>
                              <a:gd name="T99" fmla="*/ 71534 h 325"/>
                              <a:gd name="T100" fmla="*/ 588097 w 2549"/>
                              <a:gd name="T101" fmla="*/ 54758 h 325"/>
                              <a:gd name="T102" fmla="*/ 592540 w 2549"/>
                              <a:gd name="T103" fmla="*/ 36400 h 325"/>
                              <a:gd name="T104" fmla="*/ 606187 w 2549"/>
                              <a:gd name="T105" fmla="*/ 25638 h 325"/>
                              <a:gd name="T106" fmla="*/ 626499 w 2549"/>
                              <a:gd name="T107" fmla="*/ 27221 h 325"/>
                              <a:gd name="T108" fmla="*/ 717268 w 2549"/>
                              <a:gd name="T109" fmla="*/ 100021 h 325"/>
                              <a:gd name="T110" fmla="*/ 710921 w 2549"/>
                              <a:gd name="T111" fmla="*/ 82929 h 325"/>
                              <a:gd name="T112" fmla="*/ 753767 w 2549"/>
                              <a:gd name="T113" fmla="*/ 100021 h 32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029022" name="Freeform 10"/>
                        <wps:cNvSpPr>
                          <a:spLocks noEditPoints="1"/>
                        </wps:cNvSpPr>
                        <wps:spPr bwMode="auto">
                          <a:xfrm>
                            <a:off x="862012" y="0"/>
                            <a:ext cx="421005" cy="102870"/>
                          </a:xfrm>
                          <a:custGeom>
                            <a:avLst/>
                            <a:gdLst>
                              <a:gd name="T0" fmla="*/ 57107 w 1327"/>
                              <a:gd name="T1" fmla="*/ 317 h 325"/>
                              <a:gd name="T2" fmla="*/ 36168 w 1327"/>
                              <a:gd name="T3" fmla="*/ 2532 h 325"/>
                              <a:gd name="T4" fmla="*/ 18718 w 1327"/>
                              <a:gd name="T5" fmla="*/ 12028 h 325"/>
                              <a:gd name="T6" fmla="*/ 6345 w 1327"/>
                              <a:gd name="T7" fmla="*/ 26904 h 325"/>
                              <a:gd name="T8" fmla="*/ 635 w 1327"/>
                              <a:gd name="T9" fmla="*/ 46529 h 325"/>
                              <a:gd name="T10" fmla="*/ 2221 w 1327"/>
                              <a:gd name="T11" fmla="*/ 65837 h 325"/>
                              <a:gd name="T12" fmla="*/ 9835 w 1327"/>
                              <a:gd name="T13" fmla="*/ 82296 h 325"/>
                              <a:gd name="T14" fmla="*/ 25698 w 1327"/>
                              <a:gd name="T15" fmla="*/ 95590 h 325"/>
                              <a:gd name="T16" fmla="*/ 46637 w 1327"/>
                              <a:gd name="T17" fmla="*/ 102553 h 325"/>
                              <a:gd name="T18" fmla="*/ 66942 w 1327"/>
                              <a:gd name="T19" fmla="*/ 100338 h 325"/>
                              <a:gd name="T20" fmla="*/ 69797 w 1327"/>
                              <a:gd name="T21" fmla="*/ 72167 h 325"/>
                              <a:gd name="T22" fmla="*/ 58693 w 1327"/>
                              <a:gd name="T23" fmla="*/ 77548 h 325"/>
                              <a:gd name="T24" fmla="*/ 47906 w 1327"/>
                              <a:gd name="T25" fmla="*/ 77548 h 325"/>
                              <a:gd name="T26" fmla="*/ 39340 w 1327"/>
                              <a:gd name="T27" fmla="*/ 74383 h 325"/>
                              <a:gd name="T28" fmla="*/ 31409 w 1327"/>
                              <a:gd name="T29" fmla="*/ 67419 h 325"/>
                              <a:gd name="T30" fmla="*/ 26967 w 1327"/>
                              <a:gd name="T31" fmla="*/ 57607 h 325"/>
                              <a:gd name="T32" fmla="*/ 26967 w 1327"/>
                              <a:gd name="T33" fmla="*/ 46212 h 325"/>
                              <a:gd name="T34" fmla="*/ 30774 w 1327"/>
                              <a:gd name="T35" fmla="*/ 36084 h 325"/>
                              <a:gd name="T36" fmla="*/ 37754 w 1327"/>
                              <a:gd name="T37" fmla="*/ 29120 h 325"/>
                              <a:gd name="T38" fmla="*/ 47272 w 1327"/>
                              <a:gd name="T39" fmla="*/ 25005 h 325"/>
                              <a:gd name="T40" fmla="*/ 59010 w 1327"/>
                              <a:gd name="T41" fmla="*/ 25322 h 325"/>
                              <a:gd name="T42" fmla="*/ 70115 w 1327"/>
                              <a:gd name="T43" fmla="*/ 30703 h 325"/>
                              <a:gd name="T44" fmla="*/ 123732 w 1327"/>
                              <a:gd name="T45" fmla="*/ 78181 h 325"/>
                              <a:gd name="T46" fmla="*/ 127222 w 1327"/>
                              <a:gd name="T47" fmla="*/ 23739 h 325"/>
                              <a:gd name="T48" fmla="*/ 123732 w 1327"/>
                              <a:gd name="T49" fmla="*/ 78181 h 325"/>
                              <a:gd name="T50" fmla="*/ 179570 w 1327"/>
                              <a:gd name="T51" fmla="*/ 100021 h 325"/>
                              <a:gd name="T52" fmla="*/ 204950 w 1327"/>
                              <a:gd name="T53" fmla="*/ 61405 h 325"/>
                              <a:gd name="T54" fmla="*/ 204950 w 1327"/>
                              <a:gd name="T55" fmla="*/ 23739 h 325"/>
                              <a:gd name="T56" fmla="*/ 308060 w 1327"/>
                              <a:gd name="T57" fmla="*/ 1266 h 325"/>
                              <a:gd name="T58" fmla="*/ 286804 w 1327"/>
                              <a:gd name="T59" fmla="*/ 1266 h 325"/>
                              <a:gd name="T60" fmla="*/ 268085 w 1327"/>
                              <a:gd name="T61" fmla="*/ 8863 h 325"/>
                              <a:gd name="T62" fmla="*/ 254126 w 1327"/>
                              <a:gd name="T63" fmla="*/ 22790 h 325"/>
                              <a:gd name="T64" fmla="*/ 246194 w 1327"/>
                              <a:gd name="T65" fmla="*/ 41148 h 325"/>
                              <a:gd name="T66" fmla="*/ 246194 w 1327"/>
                              <a:gd name="T67" fmla="*/ 61405 h 325"/>
                              <a:gd name="T68" fmla="*/ 252540 w 1327"/>
                              <a:gd name="T69" fmla="*/ 78181 h 325"/>
                              <a:gd name="T70" fmla="*/ 266499 w 1327"/>
                              <a:gd name="T71" fmla="*/ 93058 h 325"/>
                              <a:gd name="T72" fmla="*/ 286169 w 1327"/>
                              <a:gd name="T73" fmla="*/ 101604 h 325"/>
                              <a:gd name="T74" fmla="*/ 306791 w 1327"/>
                              <a:gd name="T75" fmla="*/ 101604 h 325"/>
                              <a:gd name="T76" fmla="*/ 317578 w 1327"/>
                              <a:gd name="T77" fmla="*/ 70268 h 325"/>
                              <a:gd name="T78" fmla="*/ 306791 w 1327"/>
                              <a:gd name="T79" fmla="*/ 76599 h 325"/>
                              <a:gd name="T80" fmla="*/ 295687 w 1327"/>
                              <a:gd name="T81" fmla="*/ 77865 h 325"/>
                              <a:gd name="T82" fmla="*/ 286804 w 1327"/>
                              <a:gd name="T83" fmla="*/ 75332 h 325"/>
                              <a:gd name="T84" fmla="*/ 278238 w 1327"/>
                              <a:gd name="T85" fmla="*/ 69635 h 325"/>
                              <a:gd name="T86" fmla="*/ 272844 w 1327"/>
                              <a:gd name="T87" fmla="*/ 60456 h 325"/>
                              <a:gd name="T88" fmla="*/ 271892 w 1327"/>
                              <a:gd name="T89" fmla="*/ 48745 h 325"/>
                              <a:gd name="T90" fmla="*/ 274748 w 1327"/>
                              <a:gd name="T91" fmla="*/ 38616 h 325"/>
                              <a:gd name="T92" fmla="*/ 281093 w 1327"/>
                              <a:gd name="T93" fmla="*/ 30703 h 325"/>
                              <a:gd name="T94" fmla="*/ 289976 w 1327"/>
                              <a:gd name="T95" fmla="*/ 25955 h 325"/>
                              <a:gd name="T96" fmla="*/ 301398 w 1327"/>
                              <a:gd name="T97" fmla="*/ 25005 h 325"/>
                              <a:gd name="T98" fmla="*/ 312819 w 1327"/>
                              <a:gd name="T99" fmla="*/ 29120 h 325"/>
                              <a:gd name="T100" fmla="*/ 319799 w 1327"/>
                              <a:gd name="T101" fmla="*/ 5064 h 325"/>
                              <a:gd name="T102" fmla="*/ 333758 w 1327"/>
                              <a:gd name="T103" fmla="*/ 100021 h 325"/>
                              <a:gd name="T104" fmla="*/ 395624 w 1327"/>
                              <a:gd name="T105" fmla="*/ 100021 h 325"/>
                              <a:gd name="T106" fmla="*/ 395624 w 1327"/>
                              <a:gd name="T107" fmla="*/ 40198 h 32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845D06" id="Skupina 37" o:spid="_x0000_s1026" style="position:absolute;margin-left:-10.95pt;margin-top:40.5pt;width:170.3pt;height:40.2pt;z-index:251663872;mso-position-horizontal-relative:margin;mso-position-vertical-relative:page;mso-width-relative:margin;mso-height-relative:margin" coordsize="167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">
                <o:lock v:ext="edit" aspectratio="t"/>
                <v:rect id="Rectangle 5" o:spid="_x0000_s1027" style="position:absolute;left:3952;top:47;width:419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" fillcolor="#0071bc" stroked="f"/>
                <v:rect id="Rectangle 6" o:spid="_x0000_s1028" style="position:absolute;top:1476;width:814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" fillcolor="#0071bc" stroked="f"/>
                <v:rect id="Rectangle 7" o:spid="_x0000_s1029" style="position:absolute;left:3571;top:2952;width:4572;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" fillcolor="#0071bc" stroked="f"/>
                <v:shape id="Freeform 8" o:spid="_x0000_s1030" style="position:absolute;left:8620;top:2905;width:4553;height:1047;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31" style="position:absolute;left:8620;top:1476;width:8090;height:1029;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32" style="position:absolute;left:8620;width:4210;height:1028;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margin" anchory="page"/>
                <w10:anchorlock/>
              </v:group>
            </w:pict>
          </mc:Fallback>
        </mc:AlternateContent>
      </w:r>
      <w:r w:rsidR="00BF4329" w:rsidRPr="00DD6E6B">
        <w:rPr>
          <w:noProof/>
        </w:rPr>
        <mc:AlternateContent>
          <mc:Choice Requires="wps">
            <w:drawing>
              <wp:anchor distT="0" distB="0" distL="114300" distR="114300" simplePos="0" relativeHeight="251656704" behindDoc="0" locked="1" layoutInCell="1" allowOverlap="1" wp14:anchorId="7757952E" wp14:editId="6D3B55F8">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CC11" w14:textId="77777777" w:rsidR="008C5AA7" w:rsidRPr="00BC3D26" w:rsidRDefault="008C5AA7" w:rsidP="003E72FF">
                            <w:pPr>
                              <w:rPr>
                                <w:lang w:val="en-GB"/>
                              </w:rPr>
                            </w:pPr>
                            <w:r w:rsidRPr="00BC3D26">
                              <w:rPr>
                                <w:lang w:val="en-GB"/>
                              </w:rPr>
                              <w:t>Prepared by: Office of the President of the CZSO</w:t>
                            </w:r>
                          </w:p>
                          <w:p w14:paraId="6CC24131" w14:textId="09446CA2" w:rsidR="008C5AA7" w:rsidRPr="00BC3D26" w:rsidRDefault="008C5AA7" w:rsidP="004924DC">
                            <w:pPr>
                              <w:rPr>
                                <w:lang w:val="en-GB"/>
                              </w:rPr>
                            </w:pPr>
                            <w:r w:rsidRPr="00BC3D26">
                              <w:rPr>
                                <w:lang w:val="en-GB"/>
                              </w:rPr>
                              <w:t>Director: Egor Sidorov, Ph.D.</w:t>
                            </w:r>
                          </w:p>
                          <w:p w14:paraId="734BD5FB" w14:textId="2C371684" w:rsidR="008C5AA7" w:rsidRPr="006C5577" w:rsidRDefault="008C5AA7" w:rsidP="004924DC">
                            <w:r w:rsidRPr="00BC3D26">
                              <w:rPr>
                                <w:lang w:val="en-GB"/>
                              </w:rPr>
                              <w:t>Contact person: 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4770CC11" w14:textId="77777777" w:rsidR="008C5AA7" w:rsidRPr="00BC3D26" w:rsidRDefault="008C5AA7" w:rsidP="003E72FF">
                      <w:pPr>
                        <w:rPr>
                          <w:lang w:val="en-GB"/>
                        </w:rPr>
                      </w:pPr>
                      <w:r w:rsidRPr="00BC3D26">
                        <w:rPr>
                          <w:lang w:val="en-GB"/>
                        </w:rPr>
                        <w:t>Prepared by: Office of the President of the CZSO</w:t>
                      </w:r>
                    </w:p>
                    <w:p w14:paraId="6CC24131" w14:textId="09446CA2" w:rsidR="008C5AA7" w:rsidRPr="00BC3D26" w:rsidRDefault="008C5AA7" w:rsidP="004924DC">
                      <w:pPr>
                        <w:rPr>
                          <w:lang w:val="en-GB"/>
                        </w:rPr>
                      </w:pPr>
                      <w:r w:rsidRPr="00BC3D26">
                        <w:rPr>
                          <w:lang w:val="en-GB"/>
                        </w:rPr>
                        <w:t>Director: Egor Sidorov, Ph.D.</w:t>
                      </w:r>
                    </w:p>
                    <w:p w14:paraId="734BD5FB" w14:textId="2C371684" w:rsidR="008C5AA7" w:rsidRPr="006C5577" w:rsidRDefault="008C5AA7" w:rsidP="004924DC">
                      <w:r w:rsidRPr="00BC3D26">
                        <w:rPr>
                          <w:lang w:val="en-GB"/>
                        </w:rPr>
                        <w:t>Contact person: Karolína Zábojníková</w:t>
                      </w:r>
                      <w:r w:rsidRPr="006C5577">
                        <w:t>,</w:t>
                      </w:r>
                      <w:r>
                        <w:t xml:space="preserve"> e-mail: karolina.zabojnikova@czso.cz</w:t>
                      </w:r>
                    </w:p>
                  </w:txbxContent>
                </v:textbox>
                <w10:wrap anchorx="page" anchory="page"/>
                <w10:anchorlock/>
              </v:shape>
            </w:pict>
          </mc:Fallback>
        </mc:AlternateContent>
      </w:r>
      <w:r w:rsidR="00BF4329" w:rsidRPr="00DD6E6B">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61D2" w14:textId="77777777" w:rsidR="008C5AA7" w:rsidRPr="00AA4291" w:rsidRDefault="008C5AA7" w:rsidP="00AA5DE4">
                            <w:pPr>
                              <w:pStyle w:val="TLIdentifikace-sted"/>
                              <w:rPr>
                                <w:lang w:val="en-GB"/>
                              </w:rPr>
                            </w:pPr>
                            <w:r w:rsidRPr="00AA4291">
                              <w:rPr>
                                <w:lang w:val="en-GB"/>
                              </w:rPr>
                              <w:t>Summary Data on the Czech Republic</w:t>
                            </w:r>
                          </w:p>
                          <w:p w14:paraId="02C46271" w14:textId="5631AEA5" w:rsidR="008C5AA7" w:rsidRPr="00AA4291" w:rsidRDefault="008C5AA7" w:rsidP="004924DC">
                            <w:pPr>
                              <w:pStyle w:val="TLIdentifikace-sted"/>
                              <w:rPr>
                                <w:lang w:val="en-GB"/>
                              </w:rPr>
                            </w:pPr>
                            <w:r w:rsidRPr="00AA4291">
                              <w:rPr>
                                <w:lang w:val="en-GB"/>
                              </w:rPr>
                              <w:t>Prague, 1</w:t>
                            </w:r>
                            <w:r>
                              <w:rPr>
                                <w:lang w:val="en-GB"/>
                              </w:rPr>
                              <w:t>8</w:t>
                            </w:r>
                            <w:r w:rsidRPr="00AA4291">
                              <w:rPr>
                                <w:vertAlign w:val="superscript"/>
                                <w:lang w:val="en-GB"/>
                              </w:rPr>
                              <w:t>th</w:t>
                            </w:r>
                            <w:r w:rsidRPr="00AA4291">
                              <w:rPr>
                                <w:lang w:val="en-GB"/>
                              </w:rPr>
                              <w:t xml:space="preserve"> </w:t>
                            </w:r>
                            <w:r>
                              <w:rPr>
                                <w:lang w:val="en-GB"/>
                              </w:rPr>
                              <w:t>October</w:t>
                            </w:r>
                            <w:r w:rsidRPr="00AA4291">
                              <w:rPr>
                                <w:lang w:val="en-GB"/>
                              </w:rPr>
                              <w:t xml:space="preserve"> 2023</w:t>
                            </w:r>
                          </w:p>
                          <w:p w14:paraId="43012AD8" w14:textId="3AB89132" w:rsidR="008C5AA7" w:rsidRPr="00AA4291" w:rsidRDefault="008C5AA7" w:rsidP="004924DC">
                            <w:pPr>
                              <w:pStyle w:val="TLIdentifikace-sted"/>
                              <w:rPr>
                                <w:lang w:val="en-GB"/>
                              </w:rPr>
                            </w:pPr>
                            <w:r w:rsidRPr="00AA4291">
                              <w:rPr>
                                <w:lang w:val="en-GB"/>
                              </w:rPr>
                              <w:t>Publication Code: 32019</w:t>
                            </w:r>
                            <w:r>
                              <w:rPr>
                                <w:lang w:val="en-GB"/>
                              </w:rPr>
                              <w:t>4</w:t>
                            </w:r>
                            <w:r w:rsidRPr="00AA4291">
                              <w:rPr>
                                <w:lang w:val="en-GB"/>
                              </w:rPr>
                              <w:t>-23</w:t>
                            </w:r>
                          </w:p>
                          <w:p w14:paraId="1ED5773E" w14:textId="46DF4E0E" w:rsidR="008C5AA7" w:rsidRPr="00AA4291" w:rsidRDefault="008C5AA7" w:rsidP="004924DC">
                            <w:pPr>
                              <w:pStyle w:val="TLIdentifikace-sted"/>
                              <w:rPr>
                                <w:rFonts w:cs="Arial"/>
                                <w:lang w:val="en-GB"/>
                              </w:rPr>
                            </w:pPr>
                            <w:r w:rsidRPr="00AA4291">
                              <w:rPr>
                                <w:rFonts w:cs="Arial"/>
                                <w:lang w:val="en-GB"/>
                              </w:rPr>
                              <w:t xml:space="preserve">Reference No.: </w:t>
                            </w:r>
                            <w:r w:rsidRPr="00AA4291">
                              <w:rPr>
                                <w:lang w:val="en-GB"/>
                              </w:rPr>
                              <w:t>CSU-011340/2023</w:t>
                            </w:r>
                          </w:p>
                          <w:p w14:paraId="7E4C36AC" w14:textId="033B6BC1" w:rsidR="008C5AA7" w:rsidRPr="00AA4291" w:rsidRDefault="008C5AA7" w:rsidP="004924DC">
                            <w:pPr>
                              <w:pStyle w:val="TLIdentifikace-sted"/>
                              <w:rPr>
                                <w:lang w:val="en-GB"/>
                              </w:rPr>
                            </w:pPr>
                            <w:r w:rsidRPr="00AA4291">
                              <w:rPr>
                                <w:lang w:val="en-GB"/>
                              </w:rPr>
                              <w:t xml:space="preserve">Yearly Publication Code: </w:t>
                            </w:r>
                            <w:r>
                              <w:rPr>
                                <w:lang w:val="en-GB"/>
                              </w:rP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1D2961D2" w14:textId="77777777" w:rsidR="008C5AA7" w:rsidRPr="00AA4291" w:rsidRDefault="008C5AA7" w:rsidP="00AA5DE4">
                      <w:pPr>
                        <w:pStyle w:val="TLIdentifikace-sted"/>
                        <w:rPr>
                          <w:lang w:val="en-GB"/>
                        </w:rPr>
                      </w:pPr>
                      <w:r w:rsidRPr="00AA4291">
                        <w:rPr>
                          <w:lang w:val="en-GB"/>
                        </w:rPr>
                        <w:t>Summary Data on the Czech Republic</w:t>
                      </w:r>
                    </w:p>
                    <w:p w14:paraId="02C46271" w14:textId="5631AEA5" w:rsidR="008C5AA7" w:rsidRPr="00AA4291" w:rsidRDefault="008C5AA7" w:rsidP="004924DC">
                      <w:pPr>
                        <w:pStyle w:val="TLIdentifikace-sted"/>
                        <w:rPr>
                          <w:lang w:val="en-GB"/>
                        </w:rPr>
                      </w:pPr>
                      <w:r w:rsidRPr="00AA4291">
                        <w:rPr>
                          <w:lang w:val="en-GB"/>
                        </w:rPr>
                        <w:t>Prague, 1</w:t>
                      </w:r>
                      <w:r>
                        <w:rPr>
                          <w:lang w:val="en-GB"/>
                        </w:rPr>
                        <w:t>8</w:t>
                      </w:r>
                      <w:r w:rsidRPr="00AA4291">
                        <w:rPr>
                          <w:vertAlign w:val="superscript"/>
                          <w:lang w:val="en-GB"/>
                        </w:rPr>
                        <w:t>th</w:t>
                      </w:r>
                      <w:r w:rsidRPr="00AA4291">
                        <w:rPr>
                          <w:lang w:val="en-GB"/>
                        </w:rPr>
                        <w:t xml:space="preserve"> </w:t>
                      </w:r>
                      <w:r>
                        <w:rPr>
                          <w:lang w:val="en-GB"/>
                        </w:rPr>
                        <w:t>October</w:t>
                      </w:r>
                      <w:r w:rsidRPr="00AA4291">
                        <w:rPr>
                          <w:lang w:val="en-GB"/>
                        </w:rPr>
                        <w:t xml:space="preserve"> 2023</w:t>
                      </w:r>
                    </w:p>
                    <w:p w14:paraId="43012AD8" w14:textId="3AB89132" w:rsidR="008C5AA7" w:rsidRPr="00AA4291" w:rsidRDefault="008C5AA7" w:rsidP="004924DC">
                      <w:pPr>
                        <w:pStyle w:val="TLIdentifikace-sted"/>
                        <w:rPr>
                          <w:lang w:val="en-GB"/>
                        </w:rPr>
                      </w:pPr>
                      <w:r w:rsidRPr="00AA4291">
                        <w:rPr>
                          <w:lang w:val="en-GB"/>
                        </w:rPr>
                        <w:t>Publication Code: 32019</w:t>
                      </w:r>
                      <w:r>
                        <w:rPr>
                          <w:lang w:val="en-GB"/>
                        </w:rPr>
                        <w:t>4</w:t>
                      </w:r>
                      <w:r w:rsidRPr="00AA4291">
                        <w:rPr>
                          <w:lang w:val="en-GB"/>
                        </w:rPr>
                        <w:t>-23</w:t>
                      </w:r>
                    </w:p>
                    <w:p w14:paraId="1ED5773E" w14:textId="46DF4E0E" w:rsidR="008C5AA7" w:rsidRPr="00AA4291" w:rsidRDefault="008C5AA7" w:rsidP="004924DC">
                      <w:pPr>
                        <w:pStyle w:val="TLIdentifikace-sted"/>
                        <w:rPr>
                          <w:rFonts w:cs="Arial"/>
                          <w:lang w:val="en-GB"/>
                        </w:rPr>
                      </w:pPr>
                      <w:r w:rsidRPr="00AA4291">
                        <w:rPr>
                          <w:rFonts w:cs="Arial"/>
                          <w:lang w:val="en-GB"/>
                        </w:rPr>
                        <w:t xml:space="preserve">Reference No.: </w:t>
                      </w:r>
                      <w:r w:rsidRPr="00AA4291">
                        <w:rPr>
                          <w:lang w:val="en-GB"/>
                        </w:rPr>
                        <w:t>CSU-011340/2023</w:t>
                      </w:r>
                    </w:p>
                    <w:p w14:paraId="7E4C36AC" w14:textId="033B6BC1" w:rsidR="008C5AA7" w:rsidRPr="00AA4291" w:rsidRDefault="008C5AA7" w:rsidP="004924DC">
                      <w:pPr>
                        <w:pStyle w:val="TLIdentifikace-sted"/>
                        <w:rPr>
                          <w:lang w:val="en-GB"/>
                        </w:rPr>
                      </w:pPr>
                      <w:r w:rsidRPr="00AA4291">
                        <w:rPr>
                          <w:lang w:val="en-GB"/>
                        </w:rPr>
                        <w:t xml:space="preserve">Yearly Publication Code: </w:t>
                      </w:r>
                      <w:r>
                        <w:rPr>
                          <w:lang w:val="en-GB"/>
                        </w:rPr>
                        <w:t>1</w:t>
                      </w:r>
                    </w:p>
                  </w:txbxContent>
                </v:textbox>
                <w10:wrap anchorx="page" anchory="page"/>
                <w10:anchorlock/>
              </v:shape>
            </w:pict>
          </mc:Fallback>
        </mc:AlternateContent>
      </w:r>
      <w:r w:rsidR="00BF4329" w:rsidRPr="00DD6E6B">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41FA0328" w:rsidR="008C5AA7" w:rsidRPr="000E6FBD" w:rsidRDefault="008C5AA7" w:rsidP="000E6FBD">
                            <w:pPr>
                              <w:pStyle w:val="Nzev"/>
                            </w:pPr>
                            <w:r>
                              <w:t>THE CZECH ECONOMY DEVELOPMENT</w:t>
                            </w:r>
                          </w:p>
                          <w:p w14:paraId="6EF7822F" w14:textId="77777777" w:rsidR="008C5AA7" w:rsidRPr="0012192F" w:rsidRDefault="008C5AA7" w:rsidP="0012192F">
                            <w:pPr>
                              <w:pStyle w:val="Podnadpis"/>
                            </w:pPr>
                          </w:p>
                          <w:p w14:paraId="284A2D4D" w14:textId="77F977BB" w:rsidR="008C5AA7" w:rsidRPr="00E3621D" w:rsidRDefault="008C5AA7" w:rsidP="00CB3605">
                            <w:pPr>
                              <w:pStyle w:val="Podnadpis"/>
                              <w:rPr>
                                <w:lang w:val="en-GB"/>
                              </w:rPr>
                            </w:pPr>
                            <w:r w:rsidRPr="00E3621D">
                              <w:rPr>
                                <w:lang w:val="en-GB"/>
                              </w:rPr>
                              <w:t>First half of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41FA0328" w:rsidR="008C5AA7" w:rsidRPr="000E6FBD" w:rsidRDefault="008C5AA7" w:rsidP="000E6FBD">
                      <w:pPr>
                        <w:pStyle w:val="Nzev"/>
                      </w:pPr>
                      <w:r>
                        <w:t>THE CZECH ECONOMY DEVELOPMENT</w:t>
                      </w:r>
                    </w:p>
                    <w:p w14:paraId="6EF7822F" w14:textId="77777777" w:rsidR="008C5AA7" w:rsidRPr="0012192F" w:rsidRDefault="008C5AA7" w:rsidP="0012192F">
                      <w:pPr>
                        <w:pStyle w:val="Podnadpis"/>
                      </w:pPr>
                    </w:p>
                    <w:p w14:paraId="284A2D4D" w14:textId="77F977BB" w:rsidR="008C5AA7" w:rsidRPr="00E3621D" w:rsidRDefault="008C5AA7" w:rsidP="00CB3605">
                      <w:pPr>
                        <w:pStyle w:val="Podnadpis"/>
                        <w:rPr>
                          <w:lang w:val="en-GB"/>
                        </w:rPr>
                      </w:pPr>
                      <w:r w:rsidRPr="00E3621D">
                        <w:rPr>
                          <w:lang w:val="en-GB"/>
                        </w:rPr>
                        <w:t>First half of 2023</w:t>
                      </w:r>
                    </w:p>
                  </w:txbxContent>
                </v:textbox>
                <w10:wrap anchorx="page" anchory="page"/>
                <w10:anchorlock/>
              </v:shape>
            </w:pict>
          </mc:Fallback>
        </mc:AlternateContent>
      </w:r>
      <w:r w:rsidR="00BF4329" w:rsidRPr="00DD6E6B">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73241FAB" w:rsidR="008C5AA7" w:rsidRPr="004509CE" w:rsidRDefault="008C5AA7" w:rsidP="004924DC">
                            <w:pPr>
                              <w:rPr>
                                <w:lang w:val="en-GB"/>
                              </w:rPr>
                            </w:pPr>
                            <w:r w:rsidRPr="004924DC">
                              <w:t xml:space="preserve">© </w:t>
                            </w:r>
                            <w:r w:rsidRPr="004509CE">
                              <w:rPr>
                                <w:lang w:val="en-GB"/>
                              </w:rPr>
                              <w:t>Czech Statistical Office, Prague, 2023</w:t>
                            </w:r>
                          </w:p>
                          <w:p w14:paraId="622736FE" w14:textId="77777777" w:rsidR="008C5AA7" w:rsidRPr="005251DD" w:rsidRDefault="008C5AA7" w:rsidP="00665BA4"/>
                          <w:p w14:paraId="157588CA" w14:textId="77777777" w:rsidR="008C5AA7" w:rsidRPr="005251DD" w:rsidRDefault="008C5AA7" w:rsidP="00FC684B"/>
                          <w:p w14:paraId="590D710B" w14:textId="77777777" w:rsidR="008C5AA7" w:rsidRDefault="008C5AA7"/>
                          <w:p w14:paraId="73B68DA8" w14:textId="77777777" w:rsidR="008C5AA7" w:rsidRPr="00097407" w:rsidRDefault="008C5AA7"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8C5AA7" w:rsidRPr="005251DD" w:rsidRDefault="008C5AA7" w:rsidP="00665BA4"/>
                          <w:p w14:paraId="74D3ABC4" w14:textId="77777777" w:rsidR="008C5AA7" w:rsidRPr="005251DD" w:rsidRDefault="008C5AA7"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73241FAB" w:rsidR="008C5AA7" w:rsidRPr="004509CE" w:rsidRDefault="008C5AA7" w:rsidP="004924DC">
                      <w:pPr>
                        <w:rPr>
                          <w:lang w:val="en-GB"/>
                        </w:rPr>
                      </w:pPr>
                      <w:r w:rsidRPr="004924DC">
                        <w:t xml:space="preserve">© </w:t>
                      </w:r>
                      <w:r w:rsidRPr="004509CE">
                        <w:rPr>
                          <w:lang w:val="en-GB"/>
                        </w:rPr>
                        <w:t>Czech Statistical Office, Prague, 2023</w:t>
                      </w:r>
                    </w:p>
                    <w:p w14:paraId="622736FE" w14:textId="77777777" w:rsidR="008C5AA7" w:rsidRPr="005251DD" w:rsidRDefault="008C5AA7" w:rsidP="00665BA4"/>
                    <w:p w14:paraId="157588CA" w14:textId="77777777" w:rsidR="008C5AA7" w:rsidRPr="005251DD" w:rsidRDefault="008C5AA7" w:rsidP="00FC684B"/>
                    <w:p w14:paraId="590D710B" w14:textId="77777777" w:rsidR="008C5AA7" w:rsidRDefault="008C5AA7"/>
                    <w:p w14:paraId="73B68DA8" w14:textId="77777777" w:rsidR="008C5AA7" w:rsidRPr="00097407" w:rsidRDefault="008C5AA7"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8C5AA7" w:rsidRPr="005251DD" w:rsidRDefault="008C5AA7" w:rsidP="00665BA4"/>
                    <w:p w14:paraId="74D3ABC4" w14:textId="77777777" w:rsidR="008C5AA7" w:rsidRPr="005251DD" w:rsidRDefault="008C5AA7" w:rsidP="00FC684B"/>
                  </w:txbxContent>
                </v:textbox>
                <w10:wrap anchorx="page" anchory="page"/>
                <w10:anchorlock/>
              </v:shape>
            </w:pict>
          </mc:Fallback>
        </mc:AlternateContent>
      </w:r>
      <w:r w:rsidR="00BF4329" w:rsidRPr="00DD6E6B">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c="http://schemas.openxmlformats.org/drawingml/2006/chart" xmlns:a16="http://schemas.microsoft.com/office/drawing/2014/main" xmlns:pic="http://schemas.openxmlformats.org/drawingml/2006/picture" xmlns:a14="http://schemas.microsoft.com/office/drawing/2010/main" xmlns:a="http://schemas.openxmlformats.org/drawingml/2006/main">
            <w:pict w14:anchorId="1DF0136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E67B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DD6E6B">
        <w:rPr>
          <w:lang w:val="en-GB"/>
        </w:rPr>
        <w:br w:type="page"/>
      </w:r>
      <w:r w:rsidR="00D57677" w:rsidRPr="00DD6E6B">
        <w:rPr>
          <w:lang w:val="en-GB"/>
        </w:rPr>
        <w:lastRenderedPageBreak/>
        <w:br w:type="page"/>
      </w:r>
      <w:r w:rsidR="00BF4329" w:rsidRPr="00DD6E6B">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59C6867" w:rsidR="008C5AA7" w:rsidRPr="006F5416" w:rsidRDefault="008C5AA7" w:rsidP="006F5416">
                            <w:pPr>
                              <w:pStyle w:val="TLKontaktyerven"/>
                            </w:pPr>
                            <w:r>
                              <w:t>CONTACTS IN THE HEADQUARTERS</w:t>
                            </w:r>
                          </w:p>
                          <w:p w14:paraId="3BEEAF5F" w14:textId="47AAE4C8" w:rsidR="008C5AA7" w:rsidRPr="007D40DF" w:rsidRDefault="008C5AA7" w:rsidP="00825C4D">
                            <w:pPr>
                              <w:pStyle w:val="TLKontakty"/>
                              <w:spacing w:after="80" w:line="240" w:lineRule="auto"/>
                              <w:contextualSpacing w:val="0"/>
                              <w:rPr>
                                <w:b w:val="0"/>
                                <w:color w:val="auto"/>
                              </w:rPr>
                            </w:pPr>
                            <w:r>
                              <w:t xml:space="preserve">Czech </w:t>
                            </w:r>
                            <w:proofErr w:type="spellStart"/>
                            <w:r>
                              <w:t>Statistical</w:t>
                            </w:r>
                            <w:proofErr w:type="spellEnd"/>
                            <w:r>
                              <w:t xml:space="preserve"> Office</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proofErr w:type="spellStart"/>
                            <w:r>
                              <w:rPr>
                                <w:b w:val="0"/>
                                <w:color w:val="auto"/>
                              </w:rPr>
                              <w:t>ph</w:t>
                            </w:r>
                            <w:proofErr w:type="spellEnd"/>
                            <w:r w:rsidRPr="007D40DF">
                              <w:rPr>
                                <w:b w:val="0"/>
                                <w:color w:val="auto"/>
                              </w:rPr>
                              <w:t xml:space="preserve">.: 274 051 111 | </w:t>
                            </w:r>
                            <w:r w:rsidRPr="007D40DF">
                              <w:rPr>
                                <w:color w:val="auto"/>
                              </w:rPr>
                              <w:t>www.czso.cz</w:t>
                            </w:r>
                          </w:p>
                          <w:p w14:paraId="4ECAA215" w14:textId="0E5F1E48" w:rsidR="008C5AA7" w:rsidRPr="00FA1474" w:rsidRDefault="008C5AA7" w:rsidP="00825C4D">
                            <w:pPr>
                              <w:pStyle w:val="TLKontakty"/>
                              <w:spacing w:after="80" w:line="240" w:lineRule="auto"/>
                              <w:contextualSpacing w:val="0"/>
                              <w:rPr>
                                <w:b w:val="0"/>
                                <w:color w:val="auto"/>
                                <w:lang w:val="fr-FR"/>
                              </w:rPr>
                            </w:pPr>
                            <w:r w:rsidRPr="00FA1474">
                              <w:rPr>
                                <w:color w:val="auto"/>
                                <w:lang w:val="fr-FR"/>
                              </w:rPr>
                              <w:t>Information Services</w:t>
                            </w:r>
                            <w:r w:rsidRPr="00FA1474">
                              <w:rPr>
                                <w:b w:val="0"/>
                                <w:color w:val="auto"/>
                                <w:lang w:val="fr-FR"/>
                              </w:rPr>
                              <w:t xml:space="preserve"> | ph.: 274 052 304, 274 052 451 | e-mail: infoservis@czso.cz</w:t>
                            </w:r>
                          </w:p>
                          <w:p w14:paraId="4EB8DFE9" w14:textId="4AC76111" w:rsidR="008C5AA7" w:rsidRPr="00EB3023" w:rsidRDefault="008C5AA7" w:rsidP="00825C4D">
                            <w:pPr>
                              <w:pStyle w:val="TLKontakty"/>
                              <w:spacing w:after="80" w:line="240" w:lineRule="auto"/>
                              <w:contextualSpacing w:val="0"/>
                              <w:rPr>
                                <w:b w:val="0"/>
                                <w:color w:val="auto"/>
                                <w:lang w:val="en-GB"/>
                              </w:rPr>
                            </w:pPr>
                            <w:r w:rsidRPr="00EB3023">
                              <w:rPr>
                                <w:color w:val="auto"/>
                                <w:lang w:val="en-GB"/>
                              </w:rPr>
                              <w:t>CZSO Publication Shop</w:t>
                            </w:r>
                            <w:r w:rsidRPr="00EB3023">
                              <w:rPr>
                                <w:b w:val="0"/>
                                <w:color w:val="auto"/>
                                <w:lang w:val="en-GB"/>
                              </w:rPr>
                              <w:t xml:space="preserve"> | ph.: 274 052 361 | e-mail: prodejna@czso.cz</w:t>
                            </w:r>
                          </w:p>
                          <w:p w14:paraId="2572D725" w14:textId="69E545B2" w:rsidR="008C5AA7" w:rsidRPr="00D235B7" w:rsidRDefault="008C5AA7" w:rsidP="00825C4D">
                            <w:pPr>
                              <w:pStyle w:val="TLKontakty"/>
                              <w:spacing w:after="80" w:line="240" w:lineRule="auto"/>
                              <w:contextualSpacing w:val="0"/>
                              <w:rPr>
                                <w:b w:val="0"/>
                                <w:color w:val="auto"/>
                              </w:rPr>
                            </w:pPr>
                            <w:r w:rsidRPr="00EB3023">
                              <w:rPr>
                                <w:color w:val="auto"/>
                                <w:lang w:val="en-GB"/>
                              </w:rPr>
                              <w:t>European Data (ESDS), international comparison</w:t>
                            </w:r>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0408EDFB" w:rsidR="008C5AA7" w:rsidRPr="00D235B7" w:rsidRDefault="008C5AA7" w:rsidP="00825C4D">
                            <w:pPr>
                              <w:pStyle w:val="TLKontakty"/>
                              <w:spacing w:after="80" w:line="240" w:lineRule="auto"/>
                              <w:contextualSpacing w:val="0"/>
                              <w:rPr>
                                <w:b w:val="0"/>
                                <w:color w:val="auto"/>
                              </w:rPr>
                            </w:pPr>
                            <w:r w:rsidRPr="00EB3023">
                              <w:rPr>
                                <w:color w:val="auto"/>
                                <w:lang w:val="en-GB"/>
                              </w:rPr>
                              <w:t>Central Statistical Library</w:t>
                            </w:r>
                            <w:r w:rsidRPr="00EB3023">
                              <w:rPr>
                                <w:b w:val="0"/>
                                <w:color w:val="auto"/>
                                <w:lang w:val="en-GB"/>
                              </w:rPr>
                              <w:t xml:space="preserve"> | </w:t>
                            </w:r>
                            <w:proofErr w:type="spellStart"/>
                            <w:r w:rsidRPr="00EB3023">
                              <w:rPr>
                                <w:b w:val="0"/>
                                <w:color w:val="auto"/>
                                <w:lang w:val="en-GB"/>
                              </w:rPr>
                              <w:t>ph</w:t>
                            </w:r>
                            <w:proofErr w:type="spellEnd"/>
                            <w:r w:rsidRPr="00D235B7">
                              <w:rPr>
                                <w:b w:val="0"/>
                                <w:color w:val="auto"/>
                              </w:rPr>
                              <w:t>.: 274</w:t>
                            </w:r>
                            <w:r>
                              <w:rPr>
                                <w:b w:val="0"/>
                                <w:color w:val="auto"/>
                              </w:rPr>
                              <w:t> </w:t>
                            </w:r>
                            <w:r w:rsidRPr="00D235B7">
                              <w:rPr>
                                <w:b w:val="0"/>
                                <w:color w:val="auto"/>
                              </w:rPr>
                              <w:t>052 361 | e-mail: knihovna@czso.cz</w:t>
                            </w:r>
                          </w:p>
                          <w:p w14:paraId="433A2C62" w14:textId="77777777" w:rsidR="008C5AA7" w:rsidRPr="004A61C5" w:rsidRDefault="008C5AA7" w:rsidP="00825C4D">
                            <w:pPr>
                              <w:pStyle w:val="TLKontakty"/>
                              <w:spacing w:after="80" w:line="240" w:lineRule="auto"/>
                              <w:contextualSpacing w:val="0"/>
                              <w:rPr>
                                <w:color w:val="auto"/>
                              </w:rPr>
                            </w:pPr>
                          </w:p>
                          <w:p w14:paraId="29C57B67" w14:textId="4A62F946" w:rsidR="008C5AA7" w:rsidRPr="00D66223" w:rsidRDefault="008C5AA7" w:rsidP="00D66223">
                            <w:pPr>
                              <w:pStyle w:val="TLKontaktyerven"/>
                            </w:pPr>
                            <w:r w:rsidRPr="00D66223">
                              <w:t>INFORMA</w:t>
                            </w:r>
                            <w:r>
                              <w:t>TION SERVICES IN THE REGIONS</w:t>
                            </w:r>
                            <w:r>
                              <w:tab/>
                            </w:r>
                          </w:p>
                          <w:p w14:paraId="181BE30E" w14:textId="2B1863BB" w:rsidR="008C5AA7" w:rsidRPr="00992CF3" w:rsidRDefault="008C5AA7" w:rsidP="00825C4D">
                            <w:pPr>
                              <w:pStyle w:val="TLKontakty"/>
                              <w:spacing w:after="80" w:line="240" w:lineRule="auto"/>
                              <w:rPr>
                                <w:b w:val="0"/>
                                <w:color w:val="auto"/>
                              </w:rPr>
                            </w:pPr>
                            <w:proofErr w:type="spellStart"/>
                            <w:r>
                              <w:t>Capital</w:t>
                            </w:r>
                            <w:proofErr w:type="spellEnd"/>
                            <w:r>
                              <w:t xml:space="preserve"> City Prague</w:t>
                            </w:r>
                            <w:r w:rsidRPr="00D66223">
                              <w:t xml:space="preserve"> m. Praha</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8C5AA7" w:rsidRPr="00992CF3" w:rsidRDefault="008C5AA7"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8C5AA7" w:rsidRPr="004A61C5" w:rsidRDefault="008C5AA7" w:rsidP="00825C4D">
                            <w:pPr>
                              <w:pStyle w:val="TLKontakty"/>
                              <w:spacing w:after="80" w:line="240" w:lineRule="auto"/>
                              <w:rPr>
                                <w:color w:val="auto"/>
                              </w:rPr>
                            </w:pPr>
                          </w:p>
                          <w:p w14:paraId="39B5FB82" w14:textId="4B7FFDB2" w:rsidR="008C5AA7" w:rsidRPr="00992CF3" w:rsidRDefault="008C5AA7"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8C5AA7" w:rsidRPr="00992CF3" w:rsidRDefault="008C5AA7"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8C5AA7" w:rsidRPr="004A61C5" w:rsidRDefault="008C5AA7" w:rsidP="00825C4D">
                            <w:pPr>
                              <w:pStyle w:val="TLKontakty"/>
                              <w:spacing w:after="80" w:line="240" w:lineRule="auto"/>
                              <w:rPr>
                                <w:color w:val="auto"/>
                              </w:rPr>
                            </w:pPr>
                          </w:p>
                          <w:p w14:paraId="5AF27889" w14:textId="1F9E1583" w:rsidR="008C5AA7" w:rsidRPr="00992CF3" w:rsidRDefault="008C5AA7"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8C5AA7" w:rsidRPr="00992CF3" w:rsidRDefault="008C5AA7"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8C5AA7" w:rsidRPr="004A61C5" w:rsidRDefault="008C5AA7" w:rsidP="00825C4D">
                            <w:pPr>
                              <w:pStyle w:val="TLKontakty"/>
                              <w:spacing w:after="80" w:line="240" w:lineRule="auto"/>
                              <w:rPr>
                                <w:color w:val="auto"/>
                              </w:rPr>
                            </w:pPr>
                          </w:p>
                          <w:p w14:paraId="0065AFA0" w14:textId="33FFA0B0" w:rsidR="008C5AA7" w:rsidRPr="00BC731E" w:rsidRDefault="008C5AA7"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8C5AA7" w:rsidRPr="004A61C5" w:rsidRDefault="008C5AA7" w:rsidP="00825C4D">
                            <w:pPr>
                              <w:pStyle w:val="TLKontakty"/>
                              <w:spacing w:after="80" w:line="240" w:lineRule="auto"/>
                              <w:rPr>
                                <w:color w:val="auto"/>
                              </w:rPr>
                            </w:pPr>
                          </w:p>
                          <w:p w14:paraId="345F7961" w14:textId="74AFDFC2" w:rsidR="008C5AA7" w:rsidRPr="004A61C5" w:rsidRDefault="008C5AA7"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8C5AA7" w:rsidRPr="004A61C5" w:rsidRDefault="008C5AA7" w:rsidP="00825C4D">
                            <w:pPr>
                              <w:pStyle w:val="TLKontakty"/>
                              <w:spacing w:after="80" w:line="240" w:lineRule="auto"/>
                              <w:rPr>
                                <w:color w:val="auto"/>
                              </w:rPr>
                            </w:pPr>
                          </w:p>
                          <w:p w14:paraId="766F2288" w14:textId="334CFF59" w:rsidR="008C5AA7" w:rsidRPr="004A61C5" w:rsidRDefault="008C5AA7"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8C5AA7" w:rsidRPr="004A61C5" w:rsidRDefault="008C5AA7" w:rsidP="00825C4D">
                            <w:pPr>
                              <w:pStyle w:val="TLKontakty"/>
                              <w:spacing w:after="80" w:line="240" w:lineRule="auto"/>
                              <w:rPr>
                                <w:color w:val="auto"/>
                              </w:rPr>
                            </w:pPr>
                          </w:p>
                          <w:p w14:paraId="0D4652E6" w14:textId="7B1206AC" w:rsidR="008C5AA7" w:rsidRPr="004A61C5" w:rsidRDefault="008C5AA7"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8C5AA7" w:rsidRPr="004A61C5" w:rsidRDefault="008C5AA7" w:rsidP="00825C4D">
                            <w:pPr>
                              <w:pStyle w:val="TLKontakty"/>
                              <w:spacing w:after="80" w:line="240" w:lineRule="auto"/>
                              <w:rPr>
                                <w:b w:val="0"/>
                                <w:color w:val="auto"/>
                              </w:rPr>
                            </w:pPr>
                          </w:p>
                          <w:p w14:paraId="231AC323" w14:textId="16EF5AAF" w:rsidR="008C5AA7" w:rsidRPr="004A61C5" w:rsidRDefault="008C5AA7"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8C5AA7" w:rsidRPr="004A61C5" w:rsidRDefault="008C5AA7" w:rsidP="00825C4D">
                            <w:pPr>
                              <w:pStyle w:val="TLKontakty"/>
                              <w:spacing w:after="80" w:line="240" w:lineRule="auto"/>
                              <w:rPr>
                                <w:color w:val="auto"/>
                              </w:rPr>
                            </w:pPr>
                          </w:p>
                          <w:p w14:paraId="64319B27" w14:textId="190CD837" w:rsidR="008C5AA7" w:rsidRPr="004A61C5" w:rsidRDefault="008C5AA7"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8C5AA7" w:rsidRPr="004A61C5" w:rsidRDefault="008C5AA7" w:rsidP="00825C4D">
                            <w:pPr>
                              <w:pStyle w:val="TLKontakty"/>
                              <w:spacing w:after="80" w:line="240" w:lineRule="auto"/>
                              <w:rPr>
                                <w:b w:val="0"/>
                                <w:color w:val="auto"/>
                              </w:rPr>
                            </w:pPr>
                          </w:p>
                          <w:p w14:paraId="4068B566" w14:textId="37A23A25" w:rsidR="008C5AA7" w:rsidRPr="004A61C5" w:rsidRDefault="008C5AA7"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8C5AA7" w:rsidRDefault="008C5AA7" w:rsidP="00825C4D">
                            <w:pPr>
                              <w:pStyle w:val="TLKontakty"/>
                              <w:spacing w:after="80" w:line="240" w:lineRule="auto"/>
                            </w:pPr>
                          </w:p>
                          <w:p w14:paraId="63ACC352" w14:textId="3146921F" w:rsidR="008C5AA7" w:rsidRPr="00BC731E" w:rsidRDefault="008C5AA7"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8C5AA7" w:rsidRPr="004A61C5" w:rsidRDefault="008C5AA7"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8C5AA7" w:rsidRPr="004A61C5" w:rsidRDefault="008C5AA7" w:rsidP="00825C4D">
                            <w:pPr>
                              <w:pStyle w:val="TLKontakty"/>
                              <w:spacing w:after="80" w:line="240" w:lineRule="auto"/>
                              <w:rPr>
                                <w:b w:val="0"/>
                                <w:color w:val="auto"/>
                              </w:rPr>
                            </w:pPr>
                          </w:p>
                          <w:p w14:paraId="71AC5E72" w14:textId="3CD77903" w:rsidR="008C5AA7" w:rsidRPr="005E7C78" w:rsidRDefault="008C5AA7"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8C5AA7" w:rsidRPr="005E7C78" w:rsidRDefault="008C5AA7"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8C5AA7" w:rsidRPr="005E7C78" w:rsidRDefault="008C5AA7" w:rsidP="00825C4D">
                            <w:pPr>
                              <w:pStyle w:val="TLKontakty"/>
                              <w:spacing w:after="80" w:line="240" w:lineRule="auto"/>
                              <w:rPr>
                                <w:b w:val="0"/>
                                <w:color w:val="auto"/>
                              </w:rPr>
                            </w:pPr>
                          </w:p>
                          <w:p w14:paraId="00E77B80" w14:textId="12543108" w:rsidR="008C5AA7" w:rsidRPr="005E7C78" w:rsidRDefault="008C5AA7"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8C5AA7" w:rsidRDefault="008C5AA7"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8C5AA7" w:rsidRPr="005E7C78" w:rsidRDefault="008C5AA7" w:rsidP="00095135">
                            <w:pPr>
                              <w:pStyle w:val="TLKontakty"/>
                              <w:spacing w:after="80" w:line="240" w:lineRule="auto"/>
                              <w:rPr>
                                <w:b w:val="0"/>
                                <w:color w:val="auto"/>
                              </w:rPr>
                            </w:pPr>
                          </w:p>
                          <w:p w14:paraId="0275618D" w14:textId="2AC11805" w:rsidR="008C5AA7" w:rsidRPr="005E7C78" w:rsidRDefault="008C5AA7"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8C5AA7" w:rsidRPr="00095135" w:rsidRDefault="008C5AA7"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59C6867" w:rsidR="008C5AA7" w:rsidRPr="006F5416" w:rsidRDefault="008C5AA7" w:rsidP="006F5416">
                      <w:pPr>
                        <w:pStyle w:val="TLKontaktyerven"/>
                      </w:pPr>
                      <w:r>
                        <w:t>CONTACTS IN THE HEADQUARTERS</w:t>
                      </w:r>
                    </w:p>
                    <w:p w14:paraId="3BEEAF5F" w14:textId="47AAE4C8" w:rsidR="008C5AA7" w:rsidRPr="007D40DF" w:rsidRDefault="008C5AA7" w:rsidP="00825C4D">
                      <w:pPr>
                        <w:pStyle w:val="TLKontakty"/>
                        <w:spacing w:after="80" w:line="240" w:lineRule="auto"/>
                        <w:contextualSpacing w:val="0"/>
                        <w:rPr>
                          <w:b w:val="0"/>
                          <w:color w:val="auto"/>
                        </w:rPr>
                      </w:pPr>
                      <w:r>
                        <w:t xml:space="preserve">Czech </w:t>
                      </w:r>
                      <w:proofErr w:type="spellStart"/>
                      <w:r>
                        <w:t>Statistical</w:t>
                      </w:r>
                      <w:proofErr w:type="spellEnd"/>
                      <w:r>
                        <w:t xml:space="preserve"> Office</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proofErr w:type="spellStart"/>
                      <w:r>
                        <w:rPr>
                          <w:b w:val="0"/>
                          <w:color w:val="auto"/>
                        </w:rPr>
                        <w:t>ph</w:t>
                      </w:r>
                      <w:proofErr w:type="spellEnd"/>
                      <w:r w:rsidRPr="007D40DF">
                        <w:rPr>
                          <w:b w:val="0"/>
                          <w:color w:val="auto"/>
                        </w:rPr>
                        <w:t xml:space="preserve">.: 274 051 111 | </w:t>
                      </w:r>
                      <w:r w:rsidRPr="007D40DF">
                        <w:rPr>
                          <w:color w:val="auto"/>
                        </w:rPr>
                        <w:t>www.czso.cz</w:t>
                      </w:r>
                    </w:p>
                    <w:p w14:paraId="4ECAA215" w14:textId="0E5F1E48" w:rsidR="008C5AA7" w:rsidRPr="00FA1474" w:rsidRDefault="008C5AA7" w:rsidP="00825C4D">
                      <w:pPr>
                        <w:pStyle w:val="TLKontakty"/>
                        <w:spacing w:after="80" w:line="240" w:lineRule="auto"/>
                        <w:contextualSpacing w:val="0"/>
                        <w:rPr>
                          <w:b w:val="0"/>
                          <w:color w:val="auto"/>
                          <w:lang w:val="fr-FR"/>
                        </w:rPr>
                      </w:pPr>
                      <w:r w:rsidRPr="00FA1474">
                        <w:rPr>
                          <w:color w:val="auto"/>
                          <w:lang w:val="fr-FR"/>
                        </w:rPr>
                        <w:t>Information Services</w:t>
                      </w:r>
                      <w:r w:rsidRPr="00FA1474">
                        <w:rPr>
                          <w:b w:val="0"/>
                          <w:color w:val="auto"/>
                          <w:lang w:val="fr-FR"/>
                        </w:rPr>
                        <w:t xml:space="preserve"> | ph.: 274 052 304, 274 052 451 | e-mail: infoservis@czso.cz</w:t>
                      </w:r>
                    </w:p>
                    <w:p w14:paraId="4EB8DFE9" w14:textId="4AC76111" w:rsidR="008C5AA7" w:rsidRPr="00EB3023" w:rsidRDefault="008C5AA7" w:rsidP="00825C4D">
                      <w:pPr>
                        <w:pStyle w:val="TLKontakty"/>
                        <w:spacing w:after="80" w:line="240" w:lineRule="auto"/>
                        <w:contextualSpacing w:val="0"/>
                        <w:rPr>
                          <w:b w:val="0"/>
                          <w:color w:val="auto"/>
                          <w:lang w:val="en-GB"/>
                        </w:rPr>
                      </w:pPr>
                      <w:r w:rsidRPr="00EB3023">
                        <w:rPr>
                          <w:color w:val="auto"/>
                          <w:lang w:val="en-GB"/>
                        </w:rPr>
                        <w:t>CZSO Publication Shop</w:t>
                      </w:r>
                      <w:r w:rsidRPr="00EB3023">
                        <w:rPr>
                          <w:b w:val="0"/>
                          <w:color w:val="auto"/>
                          <w:lang w:val="en-GB"/>
                        </w:rPr>
                        <w:t xml:space="preserve"> | ph.: 274 052 361 | e-mail: prodejna@czso.cz</w:t>
                      </w:r>
                    </w:p>
                    <w:p w14:paraId="2572D725" w14:textId="69E545B2" w:rsidR="008C5AA7" w:rsidRPr="00D235B7" w:rsidRDefault="008C5AA7" w:rsidP="00825C4D">
                      <w:pPr>
                        <w:pStyle w:val="TLKontakty"/>
                        <w:spacing w:after="80" w:line="240" w:lineRule="auto"/>
                        <w:contextualSpacing w:val="0"/>
                        <w:rPr>
                          <w:b w:val="0"/>
                          <w:color w:val="auto"/>
                        </w:rPr>
                      </w:pPr>
                      <w:r w:rsidRPr="00EB3023">
                        <w:rPr>
                          <w:color w:val="auto"/>
                          <w:lang w:val="en-GB"/>
                        </w:rPr>
                        <w:t>European Data (ESDS), international comparison</w:t>
                      </w:r>
                      <w:r w:rsidRPr="00D235B7">
                        <w:rPr>
                          <w:b w:val="0"/>
                          <w:color w:val="auto"/>
                        </w:rPr>
                        <w:t xml:space="preserve"> | </w:t>
                      </w:r>
                      <w:proofErr w:type="spellStart"/>
                      <w:r>
                        <w:rPr>
                          <w:b w:val="0"/>
                          <w:color w:val="auto"/>
                        </w:rPr>
                        <w:t>ph</w:t>
                      </w:r>
                      <w:proofErr w:type="spellEnd"/>
                      <w:r w:rsidRPr="00D235B7">
                        <w:rPr>
                          <w:b w:val="0"/>
                          <w:color w:val="auto"/>
                        </w:rPr>
                        <w:t>.: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0408EDFB" w:rsidR="008C5AA7" w:rsidRPr="00D235B7" w:rsidRDefault="008C5AA7" w:rsidP="00825C4D">
                      <w:pPr>
                        <w:pStyle w:val="TLKontakty"/>
                        <w:spacing w:after="80" w:line="240" w:lineRule="auto"/>
                        <w:contextualSpacing w:val="0"/>
                        <w:rPr>
                          <w:b w:val="0"/>
                          <w:color w:val="auto"/>
                        </w:rPr>
                      </w:pPr>
                      <w:r w:rsidRPr="00EB3023">
                        <w:rPr>
                          <w:color w:val="auto"/>
                          <w:lang w:val="en-GB"/>
                        </w:rPr>
                        <w:t>Central Statistical Library</w:t>
                      </w:r>
                      <w:r w:rsidRPr="00EB3023">
                        <w:rPr>
                          <w:b w:val="0"/>
                          <w:color w:val="auto"/>
                          <w:lang w:val="en-GB"/>
                        </w:rPr>
                        <w:t xml:space="preserve"> | </w:t>
                      </w:r>
                      <w:proofErr w:type="spellStart"/>
                      <w:r w:rsidRPr="00EB3023">
                        <w:rPr>
                          <w:b w:val="0"/>
                          <w:color w:val="auto"/>
                          <w:lang w:val="en-GB"/>
                        </w:rPr>
                        <w:t>ph</w:t>
                      </w:r>
                      <w:proofErr w:type="spellEnd"/>
                      <w:r w:rsidRPr="00D235B7">
                        <w:rPr>
                          <w:b w:val="0"/>
                          <w:color w:val="auto"/>
                        </w:rPr>
                        <w:t>.: 274</w:t>
                      </w:r>
                      <w:r>
                        <w:rPr>
                          <w:b w:val="0"/>
                          <w:color w:val="auto"/>
                        </w:rPr>
                        <w:t> </w:t>
                      </w:r>
                      <w:r w:rsidRPr="00D235B7">
                        <w:rPr>
                          <w:b w:val="0"/>
                          <w:color w:val="auto"/>
                        </w:rPr>
                        <w:t>052 361 | e-mail: knihovna@czso.cz</w:t>
                      </w:r>
                    </w:p>
                    <w:p w14:paraId="433A2C62" w14:textId="77777777" w:rsidR="008C5AA7" w:rsidRPr="004A61C5" w:rsidRDefault="008C5AA7" w:rsidP="00825C4D">
                      <w:pPr>
                        <w:pStyle w:val="TLKontakty"/>
                        <w:spacing w:after="80" w:line="240" w:lineRule="auto"/>
                        <w:contextualSpacing w:val="0"/>
                        <w:rPr>
                          <w:color w:val="auto"/>
                        </w:rPr>
                      </w:pPr>
                    </w:p>
                    <w:p w14:paraId="29C57B67" w14:textId="4A62F946" w:rsidR="008C5AA7" w:rsidRPr="00D66223" w:rsidRDefault="008C5AA7" w:rsidP="00D66223">
                      <w:pPr>
                        <w:pStyle w:val="TLKontaktyerven"/>
                      </w:pPr>
                      <w:r w:rsidRPr="00D66223">
                        <w:t>INFORMA</w:t>
                      </w:r>
                      <w:r>
                        <w:t>TION SERVICES IN THE REGIONS</w:t>
                      </w:r>
                      <w:r>
                        <w:tab/>
                      </w:r>
                    </w:p>
                    <w:p w14:paraId="181BE30E" w14:textId="2B1863BB" w:rsidR="008C5AA7" w:rsidRPr="00992CF3" w:rsidRDefault="008C5AA7" w:rsidP="00825C4D">
                      <w:pPr>
                        <w:pStyle w:val="TLKontakty"/>
                        <w:spacing w:after="80" w:line="240" w:lineRule="auto"/>
                        <w:rPr>
                          <w:b w:val="0"/>
                          <w:color w:val="auto"/>
                        </w:rPr>
                      </w:pPr>
                      <w:proofErr w:type="spellStart"/>
                      <w:r>
                        <w:t>Capital</w:t>
                      </w:r>
                      <w:proofErr w:type="spellEnd"/>
                      <w:r>
                        <w:t xml:space="preserve"> City Prague</w:t>
                      </w:r>
                      <w:r w:rsidRPr="00D66223">
                        <w:t xml:space="preserve"> m. Praha</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8C5AA7" w:rsidRPr="00992CF3" w:rsidRDefault="008C5AA7"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8C5AA7" w:rsidRPr="004A61C5" w:rsidRDefault="008C5AA7" w:rsidP="00825C4D">
                      <w:pPr>
                        <w:pStyle w:val="TLKontakty"/>
                        <w:spacing w:after="80" w:line="240" w:lineRule="auto"/>
                        <w:rPr>
                          <w:color w:val="auto"/>
                        </w:rPr>
                      </w:pPr>
                    </w:p>
                    <w:p w14:paraId="39B5FB82" w14:textId="4B7FFDB2" w:rsidR="008C5AA7" w:rsidRPr="00992CF3" w:rsidRDefault="008C5AA7"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8C5AA7" w:rsidRPr="00992CF3" w:rsidRDefault="008C5AA7"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8C5AA7" w:rsidRPr="004A61C5" w:rsidRDefault="008C5AA7" w:rsidP="00825C4D">
                      <w:pPr>
                        <w:pStyle w:val="TLKontakty"/>
                        <w:spacing w:after="80" w:line="240" w:lineRule="auto"/>
                        <w:rPr>
                          <w:color w:val="auto"/>
                        </w:rPr>
                      </w:pPr>
                    </w:p>
                    <w:p w14:paraId="5AF27889" w14:textId="1F9E1583" w:rsidR="008C5AA7" w:rsidRPr="00992CF3" w:rsidRDefault="008C5AA7"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8C5AA7" w:rsidRPr="00992CF3" w:rsidRDefault="008C5AA7"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8C5AA7" w:rsidRPr="004A61C5" w:rsidRDefault="008C5AA7" w:rsidP="00825C4D">
                      <w:pPr>
                        <w:pStyle w:val="TLKontakty"/>
                        <w:spacing w:after="80" w:line="240" w:lineRule="auto"/>
                        <w:rPr>
                          <w:color w:val="auto"/>
                        </w:rPr>
                      </w:pPr>
                    </w:p>
                    <w:p w14:paraId="0065AFA0" w14:textId="33FFA0B0" w:rsidR="008C5AA7" w:rsidRPr="00BC731E" w:rsidRDefault="008C5AA7"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8C5AA7" w:rsidRPr="004A61C5" w:rsidRDefault="008C5AA7" w:rsidP="00825C4D">
                      <w:pPr>
                        <w:pStyle w:val="TLKontakty"/>
                        <w:spacing w:after="80" w:line="240" w:lineRule="auto"/>
                        <w:rPr>
                          <w:color w:val="auto"/>
                        </w:rPr>
                      </w:pPr>
                    </w:p>
                    <w:p w14:paraId="345F7961" w14:textId="74AFDFC2" w:rsidR="008C5AA7" w:rsidRPr="004A61C5" w:rsidRDefault="008C5AA7"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8C5AA7" w:rsidRPr="004A61C5" w:rsidRDefault="008C5AA7" w:rsidP="00825C4D">
                      <w:pPr>
                        <w:pStyle w:val="TLKontakty"/>
                        <w:spacing w:after="80" w:line="240" w:lineRule="auto"/>
                        <w:rPr>
                          <w:color w:val="auto"/>
                        </w:rPr>
                      </w:pPr>
                    </w:p>
                    <w:p w14:paraId="766F2288" w14:textId="334CFF59" w:rsidR="008C5AA7" w:rsidRPr="004A61C5" w:rsidRDefault="008C5AA7"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8C5AA7" w:rsidRPr="004A61C5" w:rsidRDefault="008C5AA7" w:rsidP="00825C4D">
                      <w:pPr>
                        <w:pStyle w:val="TLKontakty"/>
                        <w:spacing w:after="80" w:line="240" w:lineRule="auto"/>
                        <w:rPr>
                          <w:color w:val="auto"/>
                        </w:rPr>
                      </w:pPr>
                    </w:p>
                    <w:p w14:paraId="0D4652E6" w14:textId="7B1206AC" w:rsidR="008C5AA7" w:rsidRPr="004A61C5" w:rsidRDefault="008C5AA7"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8C5AA7" w:rsidRPr="004A61C5" w:rsidRDefault="008C5AA7" w:rsidP="00825C4D">
                      <w:pPr>
                        <w:pStyle w:val="TLKontakty"/>
                        <w:spacing w:after="80" w:line="240" w:lineRule="auto"/>
                        <w:rPr>
                          <w:b w:val="0"/>
                          <w:color w:val="auto"/>
                        </w:rPr>
                      </w:pPr>
                    </w:p>
                    <w:p w14:paraId="231AC323" w14:textId="16EF5AAF" w:rsidR="008C5AA7" w:rsidRPr="004A61C5" w:rsidRDefault="008C5AA7"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8C5AA7" w:rsidRPr="004A61C5" w:rsidRDefault="008C5AA7" w:rsidP="00825C4D">
                      <w:pPr>
                        <w:pStyle w:val="TLKontakty"/>
                        <w:spacing w:after="80" w:line="240" w:lineRule="auto"/>
                        <w:rPr>
                          <w:color w:val="auto"/>
                        </w:rPr>
                      </w:pPr>
                    </w:p>
                    <w:p w14:paraId="64319B27" w14:textId="190CD837" w:rsidR="008C5AA7" w:rsidRPr="004A61C5" w:rsidRDefault="008C5AA7"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8C5AA7" w:rsidRPr="004A61C5" w:rsidRDefault="008C5AA7" w:rsidP="00825C4D">
                      <w:pPr>
                        <w:pStyle w:val="TLKontakty"/>
                        <w:spacing w:after="80" w:line="240" w:lineRule="auto"/>
                        <w:rPr>
                          <w:b w:val="0"/>
                          <w:color w:val="auto"/>
                        </w:rPr>
                      </w:pPr>
                    </w:p>
                    <w:p w14:paraId="4068B566" w14:textId="37A23A25" w:rsidR="008C5AA7" w:rsidRPr="004A61C5" w:rsidRDefault="008C5AA7"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8C5AA7" w:rsidRPr="004A61C5" w:rsidRDefault="008C5AA7"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8C5AA7" w:rsidRDefault="008C5AA7" w:rsidP="00825C4D">
                      <w:pPr>
                        <w:pStyle w:val="TLKontakty"/>
                        <w:spacing w:after="80" w:line="240" w:lineRule="auto"/>
                      </w:pPr>
                    </w:p>
                    <w:p w14:paraId="63ACC352" w14:textId="3146921F" w:rsidR="008C5AA7" w:rsidRPr="00BC731E" w:rsidRDefault="008C5AA7"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8C5AA7" w:rsidRPr="004A61C5" w:rsidRDefault="008C5AA7"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8C5AA7" w:rsidRPr="004A61C5" w:rsidRDefault="008C5AA7" w:rsidP="00825C4D">
                      <w:pPr>
                        <w:pStyle w:val="TLKontakty"/>
                        <w:spacing w:after="80" w:line="240" w:lineRule="auto"/>
                        <w:rPr>
                          <w:b w:val="0"/>
                          <w:color w:val="auto"/>
                        </w:rPr>
                      </w:pPr>
                    </w:p>
                    <w:p w14:paraId="71AC5E72" w14:textId="3CD77903" w:rsidR="008C5AA7" w:rsidRPr="005E7C78" w:rsidRDefault="008C5AA7"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8C5AA7" w:rsidRPr="005E7C78" w:rsidRDefault="008C5AA7"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8C5AA7" w:rsidRPr="005E7C78" w:rsidRDefault="008C5AA7" w:rsidP="00825C4D">
                      <w:pPr>
                        <w:pStyle w:val="TLKontakty"/>
                        <w:spacing w:after="80" w:line="240" w:lineRule="auto"/>
                        <w:rPr>
                          <w:b w:val="0"/>
                          <w:color w:val="auto"/>
                        </w:rPr>
                      </w:pPr>
                    </w:p>
                    <w:p w14:paraId="00E77B80" w14:textId="12543108" w:rsidR="008C5AA7" w:rsidRPr="005E7C78" w:rsidRDefault="008C5AA7"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8C5AA7" w:rsidRDefault="008C5AA7"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8C5AA7" w:rsidRPr="005E7C78" w:rsidRDefault="008C5AA7" w:rsidP="00095135">
                      <w:pPr>
                        <w:pStyle w:val="TLKontakty"/>
                        <w:spacing w:after="80" w:line="240" w:lineRule="auto"/>
                        <w:rPr>
                          <w:b w:val="0"/>
                          <w:color w:val="auto"/>
                        </w:rPr>
                      </w:pPr>
                    </w:p>
                    <w:p w14:paraId="0275618D" w14:textId="2AC11805" w:rsidR="008C5AA7" w:rsidRPr="005E7C78" w:rsidRDefault="008C5AA7"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8C5AA7" w:rsidRPr="00095135" w:rsidRDefault="008C5AA7"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sidR="00BF4329" w:rsidRPr="00DD6E6B">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3CC4F37F" w:rsidR="008C5AA7" w:rsidRPr="004509CE" w:rsidRDefault="008C5AA7" w:rsidP="00A16E1D">
                            <w:pPr>
                              <w:jc w:val="left"/>
                              <w:rPr>
                                <w:lang w:val="en-GB"/>
                              </w:rPr>
                            </w:pPr>
                            <w:r w:rsidRPr="00321924">
                              <w:br/>
                              <w:t xml:space="preserve">© </w:t>
                            </w:r>
                            <w:r w:rsidRPr="004509CE">
                              <w:rPr>
                                <w:lang w:val="en-GB"/>
                              </w:rPr>
                              <w:t>Czech Statistical Office, Prague, 2023</w:t>
                            </w:r>
                          </w:p>
                          <w:p w14:paraId="314CB98A" w14:textId="77777777" w:rsidR="008C5AA7" w:rsidRDefault="008C5AA7"/>
                          <w:p w14:paraId="6776AB5D" w14:textId="77777777" w:rsidR="008C5AA7" w:rsidRPr="00841D9F" w:rsidRDefault="008C5AA7"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8C5AA7" w:rsidRPr="00AF2852" w:rsidRDefault="008C5AA7"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3CC4F37F" w:rsidR="008C5AA7" w:rsidRPr="004509CE" w:rsidRDefault="008C5AA7" w:rsidP="00A16E1D">
                      <w:pPr>
                        <w:jc w:val="left"/>
                        <w:rPr>
                          <w:lang w:val="en-GB"/>
                        </w:rPr>
                      </w:pPr>
                      <w:r w:rsidRPr="00321924">
                        <w:br/>
                        <w:t xml:space="preserve">© </w:t>
                      </w:r>
                      <w:r w:rsidRPr="004509CE">
                        <w:rPr>
                          <w:lang w:val="en-GB"/>
                        </w:rPr>
                        <w:t>Czech Statistical Office, Prague, 2023</w:t>
                      </w:r>
                    </w:p>
                    <w:p w14:paraId="314CB98A" w14:textId="77777777" w:rsidR="008C5AA7" w:rsidRDefault="008C5AA7"/>
                    <w:p w14:paraId="6776AB5D" w14:textId="77777777" w:rsidR="008C5AA7" w:rsidRPr="00841D9F" w:rsidRDefault="008C5AA7"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8C5AA7" w:rsidRPr="00AF2852" w:rsidRDefault="008C5AA7"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sidR="00BF4329" w:rsidRPr="00DD6E6B">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B50E" w14:textId="77777777" w:rsidR="008C5AA7" w:rsidRPr="009A1902" w:rsidRDefault="008C5AA7" w:rsidP="0000002B">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0FA9E158" w:rsidR="008C5AA7" w:rsidRPr="009A1902" w:rsidRDefault="008C5AA7" w:rsidP="000A3A2C">
                            <w:pPr>
                              <w:rPr>
                                <w:b/>
                                <w:bCs/>
                                <w:i/>
                                <w:sz w:val="2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336B50E" w14:textId="77777777" w:rsidR="008C5AA7" w:rsidRPr="009A1902" w:rsidRDefault="008C5AA7" w:rsidP="0000002B">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0FA9E158" w:rsidR="008C5AA7" w:rsidRPr="009A1902" w:rsidRDefault="008C5AA7" w:rsidP="000A3A2C">
                      <w:pPr>
                        <w:rPr>
                          <w:b/>
                          <w:bCs/>
                          <w:i/>
                          <w:sz w:val="24"/>
                        </w:rPr>
                      </w:pPr>
                    </w:p>
                  </w:txbxContent>
                </v:textbox>
                <w10:wrap anchorx="page" anchory="page"/>
                <w10:anchorlock/>
              </v:shape>
            </w:pict>
          </mc:Fallback>
        </mc:AlternateContent>
      </w:r>
    </w:p>
    <w:sdt>
      <w:sdtPr>
        <w:rPr>
          <w:b w:val="0"/>
          <w:color w:val="auto"/>
          <w:sz w:val="20"/>
          <w:lang w:val="en-GB"/>
        </w:rPr>
        <w:id w:val="5357999"/>
        <w:docPartObj>
          <w:docPartGallery w:val="Table of Contents"/>
          <w:docPartUnique/>
        </w:docPartObj>
      </w:sdtPr>
      <w:sdtEndPr/>
      <w:sdtContent>
        <w:p w14:paraId="597230E6" w14:textId="5416B0A5" w:rsidR="00867DAB" w:rsidRPr="00DD6E6B" w:rsidRDefault="004B67FA" w:rsidP="00867DAB">
          <w:pPr>
            <w:pStyle w:val="Obsah"/>
            <w:rPr>
              <w:lang w:val="en-GB"/>
            </w:rPr>
          </w:pPr>
          <w:r w:rsidRPr="00DD6E6B">
            <w:rPr>
              <w:lang w:val="en-GB"/>
            </w:rPr>
            <w:t>Contents</w:t>
          </w:r>
        </w:p>
        <w:p w14:paraId="4D51FAE1" w14:textId="42F64720" w:rsidR="001C5FF5" w:rsidRDefault="007D42E5">
          <w:pPr>
            <w:pStyle w:val="Obsah1"/>
            <w:rPr>
              <w:rFonts w:asciiTheme="minorHAnsi" w:eastAsiaTheme="minorEastAsia" w:hAnsiTheme="minorHAnsi" w:cstheme="minorBidi"/>
              <w:noProof/>
              <w:sz w:val="22"/>
              <w:szCs w:val="22"/>
            </w:rPr>
          </w:pPr>
          <w:r w:rsidRPr="00DD6E6B">
            <w:rPr>
              <w:lang w:val="en-GB"/>
            </w:rPr>
            <w:fldChar w:fldCharType="begin"/>
          </w:r>
          <w:r w:rsidR="00867DAB" w:rsidRPr="00DD6E6B">
            <w:rPr>
              <w:lang w:val="en-GB"/>
            </w:rPr>
            <w:instrText xml:space="preserve"> TOC \o "1-3" \h \z \u </w:instrText>
          </w:r>
          <w:r w:rsidRPr="00DD6E6B">
            <w:rPr>
              <w:lang w:val="en-GB"/>
            </w:rPr>
            <w:fldChar w:fldCharType="separate"/>
          </w:r>
          <w:hyperlink w:anchor="_Toc148437384" w:history="1">
            <w:r w:rsidR="001C5FF5" w:rsidRPr="00D16EA4">
              <w:rPr>
                <w:rStyle w:val="Hypertextovodkaz"/>
                <w:noProof/>
                <w:lang w:val="en-GB"/>
              </w:rPr>
              <w:t>1. Summary</w:t>
            </w:r>
            <w:r w:rsidR="001C5FF5">
              <w:rPr>
                <w:noProof/>
                <w:webHidden/>
              </w:rPr>
              <w:tab/>
            </w:r>
            <w:r w:rsidR="001C5FF5">
              <w:rPr>
                <w:noProof/>
                <w:webHidden/>
              </w:rPr>
              <w:fldChar w:fldCharType="begin"/>
            </w:r>
            <w:r w:rsidR="001C5FF5">
              <w:rPr>
                <w:noProof/>
                <w:webHidden/>
              </w:rPr>
              <w:instrText xml:space="preserve"> PAGEREF _Toc148437384 \h </w:instrText>
            </w:r>
            <w:r w:rsidR="001C5FF5">
              <w:rPr>
                <w:noProof/>
                <w:webHidden/>
              </w:rPr>
            </w:r>
            <w:r w:rsidR="001C5FF5">
              <w:rPr>
                <w:noProof/>
                <w:webHidden/>
              </w:rPr>
              <w:fldChar w:fldCharType="separate"/>
            </w:r>
            <w:r w:rsidR="001C5FF5">
              <w:rPr>
                <w:noProof/>
                <w:webHidden/>
              </w:rPr>
              <w:t>4</w:t>
            </w:r>
            <w:r w:rsidR="001C5FF5">
              <w:rPr>
                <w:noProof/>
                <w:webHidden/>
              </w:rPr>
              <w:fldChar w:fldCharType="end"/>
            </w:r>
          </w:hyperlink>
        </w:p>
        <w:p w14:paraId="5D126FDD" w14:textId="4951C149" w:rsidR="001C5FF5" w:rsidRDefault="001C5FF5">
          <w:pPr>
            <w:pStyle w:val="Obsah1"/>
            <w:rPr>
              <w:rFonts w:asciiTheme="minorHAnsi" w:eastAsiaTheme="minorEastAsia" w:hAnsiTheme="minorHAnsi" w:cstheme="minorBidi"/>
              <w:noProof/>
              <w:sz w:val="22"/>
              <w:szCs w:val="22"/>
            </w:rPr>
          </w:pPr>
          <w:hyperlink w:anchor="_Toc148437385" w:history="1">
            <w:r w:rsidRPr="00D16EA4">
              <w:rPr>
                <w:rStyle w:val="Hypertextovodkaz"/>
                <w:noProof/>
                <w:lang w:val="en-GB"/>
              </w:rPr>
              <w:t>2. Overall Economic Performance</w:t>
            </w:r>
            <w:r>
              <w:rPr>
                <w:noProof/>
                <w:webHidden/>
              </w:rPr>
              <w:tab/>
            </w:r>
            <w:r>
              <w:rPr>
                <w:noProof/>
                <w:webHidden/>
              </w:rPr>
              <w:fldChar w:fldCharType="begin"/>
            </w:r>
            <w:r>
              <w:rPr>
                <w:noProof/>
                <w:webHidden/>
              </w:rPr>
              <w:instrText xml:space="preserve"> PAGEREF _Toc148437385 \h </w:instrText>
            </w:r>
            <w:r>
              <w:rPr>
                <w:noProof/>
                <w:webHidden/>
              </w:rPr>
            </w:r>
            <w:r>
              <w:rPr>
                <w:noProof/>
                <w:webHidden/>
              </w:rPr>
              <w:fldChar w:fldCharType="separate"/>
            </w:r>
            <w:r>
              <w:rPr>
                <w:noProof/>
                <w:webHidden/>
              </w:rPr>
              <w:t>7</w:t>
            </w:r>
            <w:r>
              <w:rPr>
                <w:noProof/>
                <w:webHidden/>
              </w:rPr>
              <w:fldChar w:fldCharType="end"/>
            </w:r>
          </w:hyperlink>
        </w:p>
        <w:p w14:paraId="275A613B" w14:textId="565089CF" w:rsidR="001C5FF5" w:rsidRDefault="001C5FF5">
          <w:pPr>
            <w:pStyle w:val="Obsah1"/>
            <w:rPr>
              <w:rFonts w:asciiTheme="minorHAnsi" w:eastAsiaTheme="minorEastAsia" w:hAnsiTheme="minorHAnsi" w:cstheme="minorBidi"/>
              <w:noProof/>
              <w:sz w:val="22"/>
              <w:szCs w:val="22"/>
            </w:rPr>
          </w:pPr>
          <w:hyperlink w:anchor="_Toc148437386" w:history="1">
            <w:r w:rsidRPr="00D16EA4">
              <w:rPr>
                <w:rStyle w:val="Hypertextovodkaz"/>
                <w:noProof/>
                <w:lang w:val="en-GB"/>
              </w:rPr>
              <w:t>3. Branches Performance</w:t>
            </w:r>
            <w:r>
              <w:rPr>
                <w:noProof/>
                <w:webHidden/>
              </w:rPr>
              <w:tab/>
            </w:r>
            <w:r>
              <w:rPr>
                <w:noProof/>
                <w:webHidden/>
              </w:rPr>
              <w:fldChar w:fldCharType="begin"/>
            </w:r>
            <w:r>
              <w:rPr>
                <w:noProof/>
                <w:webHidden/>
              </w:rPr>
              <w:instrText xml:space="preserve"> PAGEREF _Toc148437386 \h </w:instrText>
            </w:r>
            <w:r>
              <w:rPr>
                <w:noProof/>
                <w:webHidden/>
              </w:rPr>
            </w:r>
            <w:r>
              <w:rPr>
                <w:noProof/>
                <w:webHidden/>
              </w:rPr>
              <w:fldChar w:fldCharType="separate"/>
            </w:r>
            <w:r>
              <w:rPr>
                <w:noProof/>
                <w:webHidden/>
              </w:rPr>
              <w:t>12</w:t>
            </w:r>
            <w:r>
              <w:rPr>
                <w:noProof/>
                <w:webHidden/>
              </w:rPr>
              <w:fldChar w:fldCharType="end"/>
            </w:r>
          </w:hyperlink>
        </w:p>
        <w:p w14:paraId="5150D625" w14:textId="7C72D4A9" w:rsidR="001C5FF5" w:rsidRDefault="001C5FF5">
          <w:pPr>
            <w:pStyle w:val="Obsah1"/>
            <w:rPr>
              <w:rFonts w:asciiTheme="minorHAnsi" w:eastAsiaTheme="minorEastAsia" w:hAnsiTheme="minorHAnsi" w:cstheme="minorBidi"/>
              <w:noProof/>
              <w:sz w:val="22"/>
              <w:szCs w:val="22"/>
            </w:rPr>
          </w:pPr>
          <w:hyperlink w:anchor="_Toc148437387" w:history="1">
            <w:r w:rsidRPr="00D16EA4">
              <w:rPr>
                <w:rStyle w:val="Hypertextovodkaz"/>
                <w:noProof/>
                <w:lang w:val="en-GB"/>
              </w:rPr>
              <w:t>4. External Relations</w:t>
            </w:r>
            <w:r>
              <w:rPr>
                <w:noProof/>
                <w:webHidden/>
              </w:rPr>
              <w:tab/>
            </w:r>
            <w:r>
              <w:rPr>
                <w:noProof/>
                <w:webHidden/>
              </w:rPr>
              <w:fldChar w:fldCharType="begin"/>
            </w:r>
            <w:r>
              <w:rPr>
                <w:noProof/>
                <w:webHidden/>
              </w:rPr>
              <w:instrText xml:space="preserve"> PAGEREF _Toc148437387 \h </w:instrText>
            </w:r>
            <w:r>
              <w:rPr>
                <w:noProof/>
                <w:webHidden/>
              </w:rPr>
            </w:r>
            <w:r>
              <w:rPr>
                <w:noProof/>
                <w:webHidden/>
              </w:rPr>
              <w:fldChar w:fldCharType="separate"/>
            </w:r>
            <w:r>
              <w:rPr>
                <w:noProof/>
                <w:webHidden/>
              </w:rPr>
              <w:t>23</w:t>
            </w:r>
            <w:r>
              <w:rPr>
                <w:noProof/>
                <w:webHidden/>
              </w:rPr>
              <w:fldChar w:fldCharType="end"/>
            </w:r>
          </w:hyperlink>
        </w:p>
        <w:p w14:paraId="25342EBF" w14:textId="0CCD7890" w:rsidR="001C5FF5" w:rsidRDefault="001C5FF5">
          <w:pPr>
            <w:pStyle w:val="Obsah1"/>
            <w:rPr>
              <w:rFonts w:asciiTheme="minorHAnsi" w:eastAsiaTheme="minorEastAsia" w:hAnsiTheme="minorHAnsi" w:cstheme="minorBidi"/>
              <w:noProof/>
              <w:sz w:val="22"/>
              <w:szCs w:val="22"/>
            </w:rPr>
          </w:pPr>
          <w:hyperlink w:anchor="_Toc148437388" w:history="1">
            <w:r w:rsidRPr="00D16EA4">
              <w:rPr>
                <w:rStyle w:val="Hypertextovodkaz"/>
                <w:noProof/>
                <w:lang w:val="en-GB"/>
              </w:rPr>
              <w:t>5. Prices</w:t>
            </w:r>
            <w:r>
              <w:rPr>
                <w:noProof/>
                <w:webHidden/>
              </w:rPr>
              <w:tab/>
            </w:r>
            <w:r>
              <w:rPr>
                <w:noProof/>
                <w:webHidden/>
              </w:rPr>
              <w:fldChar w:fldCharType="begin"/>
            </w:r>
            <w:r>
              <w:rPr>
                <w:noProof/>
                <w:webHidden/>
              </w:rPr>
              <w:instrText xml:space="preserve"> PAGEREF _Toc148437388 \h </w:instrText>
            </w:r>
            <w:r>
              <w:rPr>
                <w:noProof/>
                <w:webHidden/>
              </w:rPr>
            </w:r>
            <w:r>
              <w:rPr>
                <w:noProof/>
                <w:webHidden/>
              </w:rPr>
              <w:fldChar w:fldCharType="separate"/>
            </w:r>
            <w:r>
              <w:rPr>
                <w:noProof/>
                <w:webHidden/>
              </w:rPr>
              <w:t>26</w:t>
            </w:r>
            <w:r>
              <w:rPr>
                <w:noProof/>
                <w:webHidden/>
              </w:rPr>
              <w:fldChar w:fldCharType="end"/>
            </w:r>
          </w:hyperlink>
        </w:p>
        <w:p w14:paraId="5DF21F0A" w14:textId="27B9A5D8" w:rsidR="001C5FF5" w:rsidRDefault="001C5FF5">
          <w:pPr>
            <w:pStyle w:val="Obsah1"/>
            <w:rPr>
              <w:rFonts w:asciiTheme="minorHAnsi" w:eastAsiaTheme="minorEastAsia" w:hAnsiTheme="minorHAnsi" w:cstheme="minorBidi"/>
              <w:noProof/>
              <w:sz w:val="22"/>
              <w:szCs w:val="22"/>
            </w:rPr>
          </w:pPr>
          <w:hyperlink w:anchor="_Toc148437389" w:history="1">
            <w:r w:rsidRPr="00D16EA4">
              <w:rPr>
                <w:rStyle w:val="Hypertextovodkaz"/>
                <w:noProof/>
                <w:lang w:val="en-GB"/>
              </w:rPr>
              <w:t>6. Labour Market</w:t>
            </w:r>
            <w:r>
              <w:rPr>
                <w:noProof/>
                <w:webHidden/>
              </w:rPr>
              <w:tab/>
            </w:r>
            <w:r>
              <w:rPr>
                <w:noProof/>
                <w:webHidden/>
              </w:rPr>
              <w:fldChar w:fldCharType="begin"/>
            </w:r>
            <w:r>
              <w:rPr>
                <w:noProof/>
                <w:webHidden/>
              </w:rPr>
              <w:instrText xml:space="preserve"> PAGEREF _Toc148437389 \h </w:instrText>
            </w:r>
            <w:r>
              <w:rPr>
                <w:noProof/>
                <w:webHidden/>
              </w:rPr>
            </w:r>
            <w:r>
              <w:rPr>
                <w:noProof/>
                <w:webHidden/>
              </w:rPr>
              <w:fldChar w:fldCharType="separate"/>
            </w:r>
            <w:r>
              <w:rPr>
                <w:noProof/>
                <w:webHidden/>
              </w:rPr>
              <w:t>32</w:t>
            </w:r>
            <w:r>
              <w:rPr>
                <w:noProof/>
                <w:webHidden/>
              </w:rPr>
              <w:fldChar w:fldCharType="end"/>
            </w:r>
          </w:hyperlink>
        </w:p>
        <w:p w14:paraId="2C9DB1AE" w14:textId="14904206" w:rsidR="001C5FF5" w:rsidRDefault="001C5FF5">
          <w:pPr>
            <w:pStyle w:val="Obsah1"/>
            <w:rPr>
              <w:rFonts w:asciiTheme="minorHAnsi" w:eastAsiaTheme="minorEastAsia" w:hAnsiTheme="minorHAnsi" w:cstheme="minorBidi"/>
              <w:noProof/>
              <w:sz w:val="22"/>
              <w:szCs w:val="22"/>
            </w:rPr>
          </w:pPr>
          <w:hyperlink w:anchor="_Toc148437390" w:history="1">
            <w:r w:rsidRPr="00D16EA4">
              <w:rPr>
                <w:rStyle w:val="Hypertextovodkaz"/>
                <w:noProof/>
                <w:lang w:val="en-GB"/>
              </w:rPr>
              <w:t>7. Monetary Conditions</w:t>
            </w:r>
            <w:r>
              <w:rPr>
                <w:noProof/>
                <w:webHidden/>
              </w:rPr>
              <w:tab/>
            </w:r>
            <w:r>
              <w:rPr>
                <w:noProof/>
                <w:webHidden/>
              </w:rPr>
              <w:fldChar w:fldCharType="begin"/>
            </w:r>
            <w:r>
              <w:rPr>
                <w:noProof/>
                <w:webHidden/>
              </w:rPr>
              <w:instrText xml:space="preserve"> PAGEREF _Toc148437390 \h </w:instrText>
            </w:r>
            <w:r>
              <w:rPr>
                <w:noProof/>
                <w:webHidden/>
              </w:rPr>
            </w:r>
            <w:r>
              <w:rPr>
                <w:noProof/>
                <w:webHidden/>
              </w:rPr>
              <w:fldChar w:fldCharType="separate"/>
            </w:r>
            <w:r>
              <w:rPr>
                <w:noProof/>
                <w:webHidden/>
              </w:rPr>
              <w:t>39</w:t>
            </w:r>
            <w:r>
              <w:rPr>
                <w:noProof/>
                <w:webHidden/>
              </w:rPr>
              <w:fldChar w:fldCharType="end"/>
            </w:r>
          </w:hyperlink>
        </w:p>
        <w:p w14:paraId="38B61B08" w14:textId="5C4E04EE" w:rsidR="001C5FF5" w:rsidRDefault="001C5FF5">
          <w:pPr>
            <w:pStyle w:val="Obsah1"/>
            <w:rPr>
              <w:rFonts w:asciiTheme="minorHAnsi" w:eastAsiaTheme="minorEastAsia" w:hAnsiTheme="minorHAnsi" w:cstheme="minorBidi"/>
              <w:noProof/>
              <w:sz w:val="22"/>
              <w:szCs w:val="22"/>
            </w:rPr>
          </w:pPr>
          <w:hyperlink w:anchor="_Toc148437391" w:history="1">
            <w:r w:rsidRPr="00D16EA4">
              <w:rPr>
                <w:rStyle w:val="Hypertextovodkaz"/>
                <w:noProof/>
                <w:lang w:val="en-GB"/>
              </w:rPr>
              <w:t>8. State Budget</w:t>
            </w:r>
            <w:r>
              <w:rPr>
                <w:noProof/>
                <w:webHidden/>
              </w:rPr>
              <w:tab/>
            </w:r>
            <w:r>
              <w:rPr>
                <w:noProof/>
                <w:webHidden/>
              </w:rPr>
              <w:fldChar w:fldCharType="begin"/>
            </w:r>
            <w:r>
              <w:rPr>
                <w:noProof/>
                <w:webHidden/>
              </w:rPr>
              <w:instrText xml:space="preserve"> PAGEREF _Toc148437391 \h </w:instrText>
            </w:r>
            <w:r>
              <w:rPr>
                <w:noProof/>
                <w:webHidden/>
              </w:rPr>
            </w:r>
            <w:r>
              <w:rPr>
                <w:noProof/>
                <w:webHidden/>
              </w:rPr>
              <w:fldChar w:fldCharType="separate"/>
            </w:r>
            <w:r>
              <w:rPr>
                <w:noProof/>
                <w:webHidden/>
              </w:rPr>
              <w:t>41</w:t>
            </w:r>
            <w:r>
              <w:rPr>
                <w:noProof/>
                <w:webHidden/>
              </w:rPr>
              <w:fldChar w:fldCharType="end"/>
            </w:r>
          </w:hyperlink>
        </w:p>
        <w:p w14:paraId="39BB97E5" w14:textId="6E083E7C" w:rsidR="00867DAB" w:rsidRPr="00DD6E6B" w:rsidRDefault="007D42E5">
          <w:pPr>
            <w:rPr>
              <w:lang w:val="en-GB"/>
            </w:rPr>
          </w:pPr>
          <w:r w:rsidRPr="00DD6E6B">
            <w:rPr>
              <w:lang w:val="en-GB"/>
            </w:rPr>
            <w:fldChar w:fldCharType="end"/>
          </w:r>
        </w:p>
      </w:sdtContent>
    </w:sdt>
    <w:p w14:paraId="6CBF0906" w14:textId="77777777" w:rsidR="00003F5C" w:rsidRPr="00DD6E6B" w:rsidRDefault="00003F5C" w:rsidP="00003F5C">
      <w:pPr>
        <w:pStyle w:val="Textpoznpodarou"/>
        <w:jc w:val="both"/>
        <w:rPr>
          <w:rFonts w:cs="Arial"/>
          <w:color w:val="000000"/>
          <w:lang w:val="en-GB"/>
        </w:rPr>
      </w:pPr>
    </w:p>
    <w:p w14:paraId="77CA2D67" w14:textId="77777777" w:rsidR="00003F5C" w:rsidRPr="00DD6E6B" w:rsidRDefault="00003F5C" w:rsidP="00003F5C">
      <w:pPr>
        <w:pStyle w:val="Textpoznpodarou"/>
        <w:jc w:val="both"/>
        <w:rPr>
          <w:rFonts w:cs="Arial"/>
          <w:color w:val="000000"/>
          <w:lang w:val="en-GB"/>
        </w:rPr>
      </w:pPr>
    </w:p>
    <w:p w14:paraId="223CBCEF" w14:textId="77777777" w:rsidR="00003F5C" w:rsidRPr="00DD6E6B" w:rsidRDefault="00003F5C" w:rsidP="00003F5C">
      <w:pPr>
        <w:pStyle w:val="Textpoznpodarou"/>
        <w:jc w:val="both"/>
        <w:rPr>
          <w:rFonts w:cs="Arial"/>
          <w:color w:val="000000"/>
          <w:lang w:val="en-GB"/>
        </w:rPr>
      </w:pPr>
    </w:p>
    <w:p w14:paraId="0F28E1B0" w14:textId="77777777" w:rsidR="00003F5C" w:rsidRPr="00DD6E6B" w:rsidRDefault="00003F5C" w:rsidP="00003F5C">
      <w:pPr>
        <w:pStyle w:val="Textpoznpodarou"/>
        <w:jc w:val="both"/>
        <w:rPr>
          <w:rFonts w:cs="Arial"/>
          <w:color w:val="000000"/>
          <w:lang w:val="en-GB"/>
        </w:rPr>
      </w:pPr>
    </w:p>
    <w:p w14:paraId="2E66CDA4" w14:textId="77777777" w:rsidR="00003F5C" w:rsidRPr="00DD6E6B" w:rsidRDefault="00003F5C" w:rsidP="00003F5C">
      <w:pPr>
        <w:pStyle w:val="Textpoznpodarou"/>
        <w:jc w:val="both"/>
        <w:rPr>
          <w:rFonts w:cs="Arial"/>
          <w:color w:val="000000"/>
          <w:lang w:val="en-GB"/>
        </w:rPr>
      </w:pPr>
    </w:p>
    <w:p w14:paraId="38EBE8F7" w14:textId="77777777" w:rsidR="00003F5C" w:rsidRPr="00DD6E6B" w:rsidRDefault="00003F5C" w:rsidP="00003F5C">
      <w:pPr>
        <w:pStyle w:val="Textpoznpodarou"/>
        <w:jc w:val="both"/>
        <w:rPr>
          <w:rFonts w:cs="Arial"/>
          <w:color w:val="000000"/>
          <w:lang w:val="en-GB"/>
        </w:rPr>
      </w:pPr>
    </w:p>
    <w:p w14:paraId="4D552425" w14:textId="60456EF1" w:rsidR="00003F5C" w:rsidRPr="00DD6E6B" w:rsidRDefault="00982E92" w:rsidP="00003F5C">
      <w:pPr>
        <w:pStyle w:val="Textpoznpodarou"/>
        <w:jc w:val="both"/>
        <w:rPr>
          <w:rFonts w:cs="Arial"/>
          <w:color w:val="000000"/>
          <w:lang w:val="en-GB"/>
        </w:rPr>
      </w:pPr>
      <w:r w:rsidRPr="00DD6E6B">
        <w:rPr>
          <w:rFonts w:cs="Arial"/>
          <w:color w:val="000000"/>
          <w:lang w:val="en-GB"/>
        </w:rPr>
        <w:t xml:space="preserve">Main sources </w:t>
      </w:r>
      <w:r w:rsidR="00264713" w:rsidRPr="00DD6E6B">
        <w:rPr>
          <w:rFonts w:cs="Arial"/>
          <w:color w:val="000000"/>
          <w:lang w:val="en-GB"/>
        </w:rPr>
        <w:t>of data in the whole analysis: CZSO</w:t>
      </w:r>
      <w:r w:rsidR="00003F5C" w:rsidRPr="00DD6E6B">
        <w:rPr>
          <w:rFonts w:cs="Arial"/>
          <w:color w:val="000000"/>
          <w:lang w:val="en-GB"/>
        </w:rPr>
        <w:t>, MF</w:t>
      </w:r>
      <w:r w:rsidR="00A45489" w:rsidRPr="00DD6E6B">
        <w:rPr>
          <w:rFonts w:cs="Arial"/>
          <w:color w:val="000000"/>
          <w:lang w:val="en-GB"/>
        </w:rPr>
        <w:t> </w:t>
      </w:r>
      <w:r w:rsidR="00612ADD" w:rsidRPr="00DD6E6B">
        <w:rPr>
          <w:rFonts w:cs="Arial"/>
          <w:color w:val="000000"/>
          <w:lang w:val="en-GB"/>
        </w:rPr>
        <w:t>C</w:t>
      </w:r>
      <w:r w:rsidR="00003F5C" w:rsidRPr="00DD6E6B">
        <w:rPr>
          <w:rFonts w:cs="Arial"/>
          <w:color w:val="000000"/>
          <w:lang w:val="en-GB"/>
        </w:rPr>
        <w:t xml:space="preserve">R, </w:t>
      </w:r>
      <w:r w:rsidR="00612ADD" w:rsidRPr="00DD6E6B">
        <w:rPr>
          <w:rFonts w:cs="Arial"/>
          <w:color w:val="000000"/>
          <w:lang w:val="en-GB"/>
        </w:rPr>
        <w:t>C</w:t>
      </w:r>
      <w:r w:rsidR="00003F5C" w:rsidRPr="00DD6E6B">
        <w:rPr>
          <w:rFonts w:cs="Arial"/>
          <w:color w:val="000000"/>
          <w:lang w:val="en-GB"/>
        </w:rPr>
        <w:t>NB, M</w:t>
      </w:r>
      <w:r w:rsidR="00612ADD" w:rsidRPr="00DD6E6B">
        <w:rPr>
          <w:rFonts w:cs="Arial"/>
          <w:color w:val="000000"/>
          <w:lang w:val="en-GB"/>
        </w:rPr>
        <w:t>LSA</w:t>
      </w:r>
      <w:r w:rsidR="00003F5C" w:rsidRPr="00DD6E6B">
        <w:rPr>
          <w:rFonts w:cs="Arial"/>
          <w:color w:val="000000"/>
          <w:lang w:val="en-GB"/>
        </w:rPr>
        <w:t xml:space="preserve">, </w:t>
      </w:r>
      <w:r w:rsidR="00612ADD" w:rsidRPr="00DD6E6B">
        <w:rPr>
          <w:rFonts w:cs="Arial"/>
          <w:color w:val="000000"/>
          <w:lang w:val="en-GB"/>
        </w:rPr>
        <w:t>CSSA</w:t>
      </w:r>
      <w:r w:rsidR="00003F5C" w:rsidRPr="00DD6E6B">
        <w:rPr>
          <w:rFonts w:cs="Arial"/>
          <w:color w:val="000000"/>
          <w:lang w:val="en-GB"/>
        </w:rPr>
        <w:t xml:space="preserve">, Eurostat, </w:t>
      </w:r>
      <w:r w:rsidR="00612ADD" w:rsidRPr="00DD6E6B">
        <w:rPr>
          <w:rFonts w:cs="Arial"/>
          <w:color w:val="000000"/>
          <w:lang w:val="en-GB"/>
        </w:rPr>
        <w:t xml:space="preserve">CZSO calculations. Latest </w:t>
      </w:r>
      <w:r w:rsidR="00D84470" w:rsidRPr="00DD6E6B">
        <w:rPr>
          <w:rFonts w:cs="Arial"/>
          <w:color w:val="000000"/>
          <w:lang w:val="en-GB"/>
        </w:rPr>
        <w:t>information provided in this report has been dated the 7</w:t>
      </w:r>
      <w:r w:rsidR="00D84470" w:rsidRPr="00DD6E6B">
        <w:rPr>
          <w:rFonts w:cs="Arial"/>
          <w:color w:val="000000"/>
          <w:vertAlign w:val="superscript"/>
          <w:lang w:val="en-GB"/>
        </w:rPr>
        <w:t>th</w:t>
      </w:r>
      <w:r w:rsidR="00D84470" w:rsidRPr="00DD6E6B">
        <w:rPr>
          <w:rFonts w:cs="Arial"/>
          <w:color w:val="000000"/>
          <w:lang w:val="en-GB"/>
        </w:rPr>
        <w:t xml:space="preserve"> September 2023</w:t>
      </w:r>
      <w:r w:rsidR="00F95A4E" w:rsidRPr="00DD6E6B">
        <w:rPr>
          <w:rFonts w:cs="Arial"/>
          <w:color w:val="000000"/>
          <w:lang w:val="en-GB"/>
        </w:rPr>
        <w:t xml:space="preserve">. </w:t>
      </w:r>
    </w:p>
    <w:p w14:paraId="5658862B" w14:textId="70F6F47E" w:rsidR="00003F5C" w:rsidRPr="00DD6E6B" w:rsidRDefault="00003F5C" w:rsidP="00003F5C">
      <w:pPr>
        <w:pStyle w:val="Textpoznpodarou"/>
        <w:jc w:val="both"/>
        <w:rPr>
          <w:rFonts w:cs="Arial"/>
          <w:color w:val="000000"/>
          <w:lang w:val="en-GB"/>
        </w:rPr>
      </w:pPr>
    </w:p>
    <w:p w14:paraId="1D1FFA96" w14:textId="77777777" w:rsidR="002F1D56" w:rsidRPr="00DD6E6B" w:rsidRDefault="002F1D56" w:rsidP="00003F5C">
      <w:pPr>
        <w:pStyle w:val="Textpoznpodarou"/>
        <w:jc w:val="both"/>
        <w:rPr>
          <w:rFonts w:cs="Arial"/>
          <w:color w:val="000000"/>
          <w:lang w:val="en-GB"/>
        </w:rPr>
      </w:pPr>
    </w:p>
    <w:p w14:paraId="6EDD1399" w14:textId="77777777" w:rsidR="002F1D56" w:rsidRPr="00DD6E6B" w:rsidRDefault="002F1D56" w:rsidP="00003F5C">
      <w:pPr>
        <w:pStyle w:val="Textpoznpodarou"/>
        <w:jc w:val="both"/>
        <w:rPr>
          <w:rFonts w:cs="Arial"/>
          <w:lang w:val="en-GB"/>
        </w:rPr>
      </w:pPr>
    </w:p>
    <w:p w14:paraId="7CD2B948" w14:textId="77777777" w:rsidR="001777BA" w:rsidRPr="00DD6E6B" w:rsidRDefault="00087F2B" w:rsidP="001777BA">
      <w:pPr>
        <w:pStyle w:val="Nadpis1"/>
        <w:rPr>
          <w:lang w:val="en-GB"/>
        </w:rPr>
      </w:pPr>
      <w:r w:rsidRPr="00DD6E6B">
        <w:rPr>
          <w:color w:val="auto"/>
          <w:lang w:val="en-GB"/>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52F09E7C" w14:textId="4FCFAB39" w:rsidR="00BC223A" w:rsidRPr="00DD6E6B" w:rsidRDefault="00BC223A" w:rsidP="00BC223A">
      <w:pPr>
        <w:pStyle w:val="Nadpis1"/>
        <w:rPr>
          <w:lang w:val="en-GB"/>
        </w:rPr>
      </w:pPr>
      <w:bookmarkStart w:id="8" w:name="_Toc114134045"/>
      <w:bookmarkStart w:id="9" w:name="_Toc58605374"/>
      <w:bookmarkStart w:id="10" w:name="_Toc66719930"/>
      <w:bookmarkStart w:id="11" w:name="_Toc532558287"/>
      <w:bookmarkStart w:id="12" w:name="_Toc58605375"/>
      <w:bookmarkStart w:id="13" w:name="_Toc82508186"/>
      <w:bookmarkStart w:id="14" w:name="_Toc114134047"/>
      <w:bookmarkStart w:id="15" w:name="_Toc114134048"/>
      <w:bookmarkStart w:id="16" w:name="_Toc97736119"/>
      <w:bookmarkStart w:id="17" w:name="_Toc74643859"/>
      <w:bookmarkStart w:id="18" w:name="_Toc90395915"/>
      <w:bookmarkStart w:id="19" w:name="_Toc98245446"/>
      <w:bookmarkStart w:id="20" w:name="_Toc74643860"/>
      <w:bookmarkStart w:id="21" w:name="_Toc148437384"/>
      <w:bookmarkEnd w:id="0"/>
      <w:bookmarkEnd w:id="1"/>
      <w:bookmarkEnd w:id="2"/>
      <w:bookmarkEnd w:id="3"/>
      <w:bookmarkEnd w:id="4"/>
      <w:bookmarkEnd w:id="5"/>
      <w:bookmarkEnd w:id="6"/>
      <w:bookmarkEnd w:id="7"/>
      <w:r w:rsidRPr="00DD6E6B">
        <w:rPr>
          <w:lang w:val="en-GB"/>
        </w:rPr>
        <w:lastRenderedPageBreak/>
        <w:t>1. S</w:t>
      </w:r>
      <w:r w:rsidR="00BD1B66" w:rsidRPr="00DD6E6B">
        <w:rPr>
          <w:lang w:val="en-GB"/>
        </w:rPr>
        <w:t>ummary</w:t>
      </w:r>
      <w:bookmarkEnd w:id="21"/>
    </w:p>
    <w:p w14:paraId="73FCD9C1" w14:textId="54B2E500" w:rsidR="00BC223A" w:rsidRPr="00DD6E6B" w:rsidRDefault="004509CE" w:rsidP="00BC223A">
      <w:pPr>
        <w:pStyle w:val="Normalodrka"/>
        <w:rPr>
          <w:spacing w:val="-4"/>
          <w:lang w:val="en-GB"/>
        </w:rPr>
      </w:pPr>
      <w:r w:rsidRPr="00DD6E6B">
        <w:rPr>
          <w:spacing w:val="-4"/>
          <w:lang w:val="en-GB"/>
        </w:rPr>
        <w:t xml:space="preserve">The Gross domestic product </w:t>
      </w:r>
      <w:r w:rsidR="00AE7E8D" w:rsidRPr="00DD6E6B">
        <w:rPr>
          <w:spacing w:val="-4"/>
          <w:lang w:val="en-GB"/>
        </w:rPr>
        <w:t>(GDP</w:t>
      </w:r>
      <w:r w:rsidR="00BC223A" w:rsidRPr="00DD6E6B">
        <w:rPr>
          <w:spacing w:val="-4"/>
          <w:lang w:val="en-GB"/>
        </w:rPr>
        <w:t xml:space="preserve">) </w:t>
      </w:r>
      <w:r w:rsidR="005554C7" w:rsidRPr="00DD6E6B">
        <w:rPr>
          <w:spacing w:val="-4"/>
          <w:lang w:val="en-GB"/>
        </w:rPr>
        <w:t xml:space="preserve">fell by </w:t>
      </w:r>
      <w:r w:rsidR="00BC223A" w:rsidRPr="00DD6E6B">
        <w:rPr>
          <w:spacing w:val="-4"/>
          <w:lang w:val="en-GB"/>
        </w:rPr>
        <w:t>0</w:t>
      </w:r>
      <w:r w:rsidR="005554C7" w:rsidRPr="00DD6E6B">
        <w:rPr>
          <w:spacing w:val="-4"/>
          <w:lang w:val="en-GB"/>
        </w:rPr>
        <w:t>.</w:t>
      </w:r>
      <w:r w:rsidR="00BC223A" w:rsidRPr="00DD6E6B">
        <w:rPr>
          <w:spacing w:val="-4"/>
          <w:lang w:val="en-GB"/>
        </w:rPr>
        <w:t>4%</w:t>
      </w:r>
      <w:r w:rsidR="00BC223A" w:rsidRPr="00DD6E6B">
        <w:rPr>
          <w:rStyle w:val="Znakapoznpodarou"/>
          <w:spacing w:val="-4"/>
          <w:lang w:val="en-GB"/>
        </w:rPr>
        <w:footnoteReference w:id="1"/>
      </w:r>
      <w:r w:rsidR="005554C7" w:rsidRPr="00DD6E6B">
        <w:rPr>
          <w:spacing w:val="-4"/>
          <w:lang w:val="en-GB"/>
        </w:rPr>
        <w:t xml:space="preserve"> year-on-year in Q2 2023</w:t>
      </w:r>
      <w:r w:rsidR="00BC223A" w:rsidRPr="00DD6E6B">
        <w:rPr>
          <w:spacing w:val="-4"/>
          <w:lang w:val="en-GB"/>
        </w:rPr>
        <w:t xml:space="preserve">. </w:t>
      </w:r>
      <w:r w:rsidR="00035B6F" w:rsidRPr="00DD6E6B">
        <w:rPr>
          <w:spacing w:val="-4"/>
          <w:lang w:val="en-GB"/>
        </w:rPr>
        <w:t>It constituted the second ye</w:t>
      </w:r>
      <w:r w:rsidR="005554C7" w:rsidRPr="00DD6E6B">
        <w:rPr>
          <w:spacing w:val="-4"/>
          <w:lang w:val="en-GB"/>
        </w:rPr>
        <w:t>a</w:t>
      </w:r>
      <w:r w:rsidR="00035B6F" w:rsidRPr="00DD6E6B">
        <w:rPr>
          <w:spacing w:val="-4"/>
          <w:lang w:val="en-GB"/>
        </w:rPr>
        <w:t>r-on-ye</w:t>
      </w:r>
      <w:r w:rsidR="005554C7" w:rsidRPr="00DD6E6B">
        <w:rPr>
          <w:spacing w:val="-4"/>
          <w:lang w:val="en-GB"/>
        </w:rPr>
        <w:t>a</w:t>
      </w:r>
      <w:r w:rsidR="00035B6F" w:rsidRPr="00DD6E6B">
        <w:rPr>
          <w:spacing w:val="-4"/>
          <w:lang w:val="en-GB"/>
        </w:rPr>
        <w:t xml:space="preserve">r decrease in a row. </w:t>
      </w:r>
      <w:r w:rsidR="00943004" w:rsidRPr="00DD6E6B">
        <w:rPr>
          <w:spacing w:val="-4"/>
          <w:lang w:val="en-GB"/>
        </w:rPr>
        <w:t xml:space="preserve">Mainly the </w:t>
      </w:r>
      <w:r w:rsidR="00E337F0" w:rsidRPr="00DD6E6B">
        <w:rPr>
          <w:spacing w:val="-4"/>
          <w:lang w:val="en-GB"/>
        </w:rPr>
        <w:t xml:space="preserve">creation of the inventory stock and household consumption contributed to the year-on-year decrease. </w:t>
      </w:r>
      <w:r w:rsidR="008C32AE" w:rsidRPr="00DD6E6B">
        <w:rPr>
          <w:spacing w:val="-4"/>
          <w:lang w:val="en-GB"/>
        </w:rPr>
        <w:t xml:space="preserve">In contrast, the foreign demand still exerted a positive impact </w:t>
      </w:r>
      <w:r w:rsidR="00174AF8" w:rsidRPr="00DD6E6B">
        <w:rPr>
          <w:spacing w:val="-4"/>
          <w:lang w:val="en-GB"/>
        </w:rPr>
        <w:t>and bo</w:t>
      </w:r>
      <w:r w:rsidR="00EB5872" w:rsidRPr="00DD6E6B">
        <w:rPr>
          <w:spacing w:val="-4"/>
          <w:lang w:val="en-GB"/>
        </w:rPr>
        <w:t xml:space="preserve">th investment activity and government consumption grew. The quarter-on-quarter GDP increased by </w:t>
      </w:r>
      <w:r w:rsidR="00BC223A" w:rsidRPr="00DD6E6B">
        <w:rPr>
          <w:spacing w:val="-4"/>
          <w:lang w:val="en-GB"/>
        </w:rPr>
        <w:t>0</w:t>
      </w:r>
      <w:r w:rsidR="00EB5872" w:rsidRPr="00DD6E6B">
        <w:rPr>
          <w:spacing w:val="-4"/>
          <w:lang w:val="en-GB"/>
        </w:rPr>
        <w:t>.</w:t>
      </w:r>
      <w:r w:rsidR="00BC223A" w:rsidRPr="00DD6E6B">
        <w:rPr>
          <w:spacing w:val="-4"/>
          <w:lang w:val="en-GB"/>
        </w:rPr>
        <w:t>1%, t</w:t>
      </w:r>
      <w:r w:rsidR="005B16DB" w:rsidRPr="00DD6E6B">
        <w:rPr>
          <w:spacing w:val="-4"/>
          <w:lang w:val="en-GB"/>
        </w:rPr>
        <w:t xml:space="preserve">hus the dynamics </w:t>
      </w:r>
      <w:r w:rsidR="0022794E" w:rsidRPr="00DD6E6B">
        <w:rPr>
          <w:spacing w:val="-4"/>
          <w:lang w:val="en-GB"/>
        </w:rPr>
        <w:t xml:space="preserve">has lain </w:t>
      </w:r>
      <w:r w:rsidR="005B16DB" w:rsidRPr="00DD6E6B">
        <w:rPr>
          <w:spacing w:val="-4"/>
          <w:lang w:val="en-GB"/>
        </w:rPr>
        <w:t>in the range of stagnation for more than one year</w:t>
      </w:r>
      <w:r w:rsidR="00BC223A" w:rsidRPr="00DD6E6B">
        <w:rPr>
          <w:spacing w:val="-4"/>
          <w:lang w:val="en-GB"/>
        </w:rPr>
        <w:t xml:space="preserve">. </w:t>
      </w:r>
      <w:r w:rsidR="00602583" w:rsidRPr="00DD6E6B">
        <w:rPr>
          <w:spacing w:val="-4"/>
          <w:lang w:val="en-GB"/>
        </w:rPr>
        <w:t xml:space="preserve">The inventor stock creation contributed to the fall similarly to the year-on-year comparison. </w:t>
      </w:r>
      <w:r w:rsidR="00E76C69" w:rsidRPr="00DD6E6B">
        <w:rPr>
          <w:spacing w:val="-4"/>
          <w:lang w:val="en-GB"/>
        </w:rPr>
        <w:t>However</w:t>
      </w:r>
      <w:r w:rsidR="003D240E">
        <w:rPr>
          <w:spacing w:val="-4"/>
          <w:lang w:val="en-GB"/>
        </w:rPr>
        <w:t>,</w:t>
      </w:r>
      <w:r w:rsidR="00E76C69" w:rsidRPr="00DD6E6B">
        <w:rPr>
          <w:spacing w:val="-4"/>
          <w:lang w:val="en-GB"/>
        </w:rPr>
        <w:t xml:space="preserve"> other GDP components grew </w:t>
      </w:r>
      <w:r w:rsidR="00BC223A" w:rsidRPr="00DD6E6B">
        <w:rPr>
          <w:spacing w:val="-4"/>
          <w:lang w:val="en-GB"/>
        </w:rPr>
        <w:t xml:space="preserve">– </w:t>
      </w:r>
      <w:r w:rsidR="00E76C69" w:rsidRPr="00DD6E6B">
        <w:rPr>
          <w:spacing w:val="-4"/>
          <w:lang w:val="en-GB"/>
        </w:rPr>
        <w:t xml:space="preserve">the foreign demand, investment, government consumption and </w:t>
      </w:r>
      <w:r w:rsidR="00025664" w:rsidRPr="00DD6E6B">
        <w:rPr>
          <w:spacing w:val="-4"/>
          <w:lang w:val="en-GB"/>
        </w:rPr>
        <w:t xml:space="preserve">the </w:t>
      </w:r>
      <w:r w:rsidR="00F52BCB" w:rsidRPr="00DD6E6B">
        <w:rPr>
          <w:spacing w:val="-4"/>
          <w:lang w:val="en-GB"/>
        </w:rPr>
        <w:t xml:space="preserve">household consumption also increased quarter-on-quarter for the first time in six quarters. </w:t>
      </w:r>
      <w:r w:rsidR="001729A5" w:rsidRPr="00DD6E6B">
        <w:rPr>
          <w:spacing w:val="-4"/>
          <w:lang w:val="en-GB"/>
        </w:rPr>
        <w:t xml:space="preserve">The Czech economy was among the minority of countries within the EU, where the GDP dropped year-on-year. </w:t>
      </w:r>
      <w:r w:rsidR="00155882" w:rsidRPr="00DD6E6B">
        <w:rPr>
          <w:spacing w:val="-4"/>
          <w:lang w:val="en-GB"/>
        </w:rPr>
        <w:t xml:space="preserve">The Gross domestic product </w:t>
      </w:r>
      <w:r w:rsidR="00B46382" w:rsidRPr="00DD6E6B">
        <w:rPr>
          <w:spacing w:val="-4"/>
          <w:lang w:val="en-GB"/>
        </w:rPr>
        <w:t xml:space="preserve">went up by 0.5% year-on-year </w:t>
      </w:r>
      <w:r w:rsidR="00BC223A" w:rsidRPr="00DD6E6B">
        <w:rPr>
          <w:spacing w:val="-4"/>
          <w:lang w:val="en-GB"/>
        </w:rPr>
        <w:t>a</w:t>
      </w:r>
      <w:r w:rsidR="00155882" w:rsidRPr="00DD6E6B">
        <w:rPr>
          <w:spacing w:val="-4"/>
          <w:lang w:val="en-GB"/>
        </w:rPr>
        <w:t>nd stagnated quarter-on-quarter in the EU</w:t>
      </w:r>
      <w:r w:rsidR="00B46382" w:rsidRPr="00DD6E6B">
        <w:rPr>
          <w:spacing w:val="-4"/>
          <w:lang w:val="en-GB"/>
        </w:rPr>
        <w:t xml:space="preserve"> in Q2</w:t>
      </w:r>
      <w:r w:rsidR="00BC223A" w:rsidRPr="00DD6E6B">
        <w:rPr>
          <w:spacing w:val="-4"/>
          <w:lang w:val="en-GB"/>
        </w:rPr>
        <w:t>.</w:t>
      </w:r>
    </w:p>
    <w:p w14:paraId="463AB1BB" w14:textId="33628D05" w:rsidR="00BC223A" w:rsidRPr="00DD6E6B" w:rsidRDefault="00834E25" w:rsidP="00BC223A">
      <w:pPr>
        <w:pStyle w:val="Normalodrka"/>
        <w:rPr>
          <w:spacing w:val="-4"/>
          <w:lang w:val="en-GB"/>
        </w:rPr>
      </w:pPr>
      <w:r w:rsidRPr="00DD6E6B">
        <w:rPr>
          <w:spacing w:val="-4"/>
          <w:lang w:val="en-GB"/>
        </w:rPr>
        <w:t xml:space="preserve">The Gross value added </w:t>
      </w:r>
      <w:r w:rsidR="00BC223A" w:rsidRPr="00DD6E6B">
        <w:rPr>
          <w:spacing w:val="-4"/>
          <w:lang w:val="en-GB"/>
        </w:rPr>
        <w:t>(</w:t>
      </w:r>
      <w:r w:rsidRPr="00DD6E6B">
        <w:rPr>
          <w:spacing w:val="-4"/>
          <w:lang w:val="en-GB"/>
        </w:rPr>
        <w:t>GVA</w:t>
      </w:r>
      <w:r w:rsidR="00BC223A" w:rsidRPr="00DD6E6B">
        <w:rPr>
          <w:spacing w:val="-4"/>
          <w:lang w:val="en-GB"/>
        </w:rPr>
        <w:t xml:space="preserve">) </w:t>
      </w:r>
      <w:r w:rsidR="004D6916" w:rsidRPr="00DD6E6B">
        <w:rPr>
          <w:spacing w:val="-4"/>
          <w:lang w:val="en-GB"/>
        </w:rPr>
        <w:t xml:space="preserve">went up by </w:t>
      </w:r>
      <w:r w:rsidR="00BC223A" w:rsidRPr="00DD6E6B">
        <w:rPr>
          <w:spacing w:val="-4"/>
          <w:lang w:val="en-GB"/>
        </w:rPr>
        <w:t>0</w:t>
      </w:r>
      <w:r w:rsidR="004D6916" w:rsidRPr="00DD6E6B">
        <w:rPr>
          <w:spacing w:val="-4"/>
          <w:lang w:val="en-GB"/>
        </w:rPr>
        <w:t>.</w:t>
      </w:r>
      <w:r w:rsidR="00BC223A" w:rsidRPr="00DD6E6B">
        <w:rPr>
          <w:spacing w:val="-4"/>
          <w:lang w:val="en-GB"/>
        </w:rPr>
        <w:t>6%</w:t>
      </w:r>
      <w:r w:rsidR="004D6916" w:rsidRPr="00DD6E6B">
        <w:rPr>
          <w:spacing w:val="-4"/>
          <w:lang w:val="en-GB"/>
        </w:rPr>
        <w:t xml:space="preserve"> year-on-year</w:t>
      </w:r>
      <w:r w:rsidR="00BC223A" w:rsidRPr="00DD6E6B">
        <w:rPr>
          <w:spacing w:val="-4"/>
          <w:lang w:val="en-GB"/>
        </w:rPr>
        <w:t>.</w:t>
      </w:r>
      <w:r w:rsidR="000C1D27" w:rsidRPr="00DD6E6B">
        <w:rPr>
          <w:spacing w:val="-4"/>
          <w:lang w:val="en-GB"/>
        </w:rPr>
        <w:t xml:space="preserve"> Mainly manufacturing, where the GVA increased by </w:t>
      </w:r>
      <w:r w:rsidR="00BC223A" w:rsidRPr="00DD6E6B">
        <w:rPr>
          <w:spacing w:val="-4"/>
          <w:lang w:val="en-GB"/>
        </w:rPr>
        <w:t>3</w:t>
      </w:r>
      <w:r w:rsidR="000C1D27" w:rsidRPr="00DD6E6B">
        <w:rPr>
          <w:spacing w:val="-4"/>
          <w:lang w:val="en-GB"/>
        </w:rPr>
        <w:t>.</w:t>
      </w:r>
      <w:r w:rsidR="00BC223A" w:rsidRPr="00DD6E6B">
        <w:rPr>
          <w:spacing w:val="-4"/>
          <w:lang w:val="en-GB"/>
        </w:rPr>
        <w:t>8%</w:t>
      </w:r>
      <w:r w:rsidR="000C1D27" w:rsidRPr="00DD6E6B">
        <w:rPr>
          <w:spacing w:val="-4"/>
          <w:lang w:val="en-GB"/>
        </w:rPr>
        <w:t xml:space="preserve"> added to the growth</w:t>
      </w:r>
      <w:r w:rsidR="00BC223A" w:rsidRPr="00DD6E6B">
        <w:rPr>
          <w:spacing w:val="-4"/>
          <w:lang w:val="en-GB"/>
        </w:rPr>
        <w:t xml:space="preserve">. </w:t>
      </w:r>
      <w:r w:rsidR="00BB3153" w:rsidRPr="00DD6E6B">
        <w:rPr>
          <w:spacing w:val="-4"/>
          <w:lang w:val="en-GB"/>
        </w:rPr>
        <w:t xml:space="preserve">In addition, the GVA significantly </w:t>
      </w:r>
      <w:r w:rsidR="00456065" w:rsidRPr="00DD6E6B">
        <w:rPr>
          <w:spacing w:val="-4"/>
          <w:lang w:val="en-GB"/>
        </w:rPr>
        <w:t xml:space="preserve">grew year-on-year in information and communication </w:t>
      </w:r>
      <w:r w:rsidR="0065070F" w:rsidRPr="00DD6E6B">
        <w:rPr>
          <w:spacing w:val="-4"/>
          <w:lang w:val="en-GB"/>
        </w:rPr>
        <w:t xml:space="preserve">and it was also higher in professional, scientific, technical and administrative activities tied </w:t>
      </w:r>
      <w:r w:rsidR="00DF47E2" w:rsidRPr="00DD6E6B">
        <w:rPr>
          <w:spacing w:val="-4"/>
          <w:lang w:val="en-GB"/>
        </w:rPr>
        <w:t xml:space="preserve">to the business demand. </w:t>
      </w:r>
      <w:r w:rsidR="00C232ED" w:rsidRPr="00DD6E6B">
        <w:rPr>
          <w:spacing w:val="-4"/>
          <w:lang w:val="en-GB"/>
        </w:rPr>
        <w:t xml:space="preserve">Mostly the group trade, transportation, accommodation and food service, which recorded </w:t>
      </w:r>
      <w:r w:rsidR="00E577C5" w:rsidRPr="00DD6E6B">
        <w:rPr>
          <w:spacing w:val="-4"/>
          <w:lang w:val="en-GB"/>
        </w:rPr>
        <w:t xml:space="preserve">1.3% year-on-year decrease, had an adverse effect. </w:t>
      </w:r>
      <w:r w:rsidR="00F32D8D" w:rsidRPr="00DD6E6B">
        <w:rPr>
          <w:spacing w:val="-4"/>
          <w:lang w:val="en-GB"/>
        </w:rPr>
        <w:t xml:space="preserve">The GVA lowered by </w:t>
      </w:r>
      <w:r w:rsidR="00BC223A" w:rsidRPr="00DD6E6B">
        <w:rPr>
          <w:spacing w:val="-4"/>
          <w:lang w:val="en-GB"/>
        </w:rPr>
        <w:t>0</w:t>
      </w:r>
      <w:r w:rsidR="00F32D8D" w:rsidRPr="00DD6E6B">
        <w:rPr>
          <w:spacing w:val="-4"/>
          <w:lang w:val="en-GB"/>
        </w:rPr>
        <w:t>.</w:t>
      </w:r>
      <w:r w:rsidR="00BC223A" w:rsidRPr="00DD6E6B">
        <w:rPr>
          <w:spacing w:val="-4"/>
          <w:lang w:val="en-GB"/>
        </w:rPr>
        <w:t>2%</w:t>
      </w:r>
      <w:r w:rsidR="00F32D8D" w:rsidRPr="00DD6E6B">
        <w:rPr>
          <w:spacing w:val="-4"/>
          <w:lang w:val="en-GB"/>
        </w:rPr>
        <w:t xml:space="preserve"> quarter-on-quarter</w:t>
      </w:r>
      <w:r w:rsidR="00BC223A" w:rsidRPr="00DD6E6B">
        <w:rPr>
          <w:spacing w:val="-4"/>
          <w:lang w:val="en-GB"/>
        </w:rPr>
        <w:t xml:space="preserve">. </w:t>
      </w:r>
      <w:r w:rsidR="00901790" w:rsidRPr="00DD6E6B">
        <w:rPr>
          <w:spacing w:val="-4"/>
          <w:lang w:val="en-GB"/>
        </w:rPr>
        <w:t xml:space="preserve">The quarter-on-quarter GVA growth was markedly supported by the development in manufacturing </w:t>
      </w:r>
      <w:r w:rsidR="00BC223A" w:rsidRPr="00DD6E6B">
        <w:rPr>
          <w:spacing w:val="-4"/>
          <w:lang w:val="en-GB"/>
        </w:rPr>
        <w:t>(</w:t>
      </w:r>
      <w:r w:rsidR="00901790" w:rsidRPr="00DD6E6B">
        <w:rPr>
          <w:spacing w:val="-4"/>
          <w:lang w:val="en-GB"/>
        </w:rPr>
        <w:t xml:space="preserve">growth of </w:t>
      </w:r>
      <w:r w:rsidR="00BC223A" w:rsidRPr="00DD6E6B">
        <w:rPr>
          <w:spacing w:val="-4"/>
          <w:lang w:val="en-GB"/>
        </w:rPr>
        <w:t>1</w:t>
      </w:r>
      <w:r w:rsidR="00901790" w:rsidRPr="00DD6E6B">
        <w:rPr>
          <w:spacing w:val="-4"/>
          <w:lang w:val="en-GB"/>
        </w:rPr>
        <w:t>.</w:t>
      </w:r>
      <w:r w:rsidR="00BC223A" w:rsidRPr="00DD6E6B">
        <w:rPr>
          <w:spacing w:val="-4"/>
          <w:lang w:val="en-GB"/>
        </w:rPr>
        <w:t xml:space="preserve">0%). </w:t>
      </w:r>
      <w:r w:rsidR="0008185C" w:rsidRPr="00DD6E6B">
        <w:rPr>
          <w:spacing w:val="-4"/>
          <w:lang w:val="en-GB"/>
        </w:rPr>
        <w:t>The group trade, trans</w:t>
      </w:r>
      <w:r w:rsidR="009954EC" w:rsidRPr="00DD6E6B">
        <w:rPr>
          <w:spacing w:val="-4"/>
          <w:lang w:val="en-GB"/>
        </w:rPr>
        <w:t xml:space="preserve">portation, accommodation and </w:t>
      </w:r>
      <w:r w:rsidR="00D14AF3" w:rsidRPr="00DD6E6B">
        <w:rPr>
          <w:spacing w:val="-4"/>
          <w:lang w:val="en-GB"/>
        </w:rPr>
        <w:t xml:space="preserve">food service </w:t>
      </w:r>
      <w:r w:rsidR="006033A4">
        <w:rPr>
          <w:spacing w:val="-4"/>
          <w:lang w:val="en-GB"/>
        </w:rPr>
        <w:t>(</w:t>
      </w:r>
      <w:r w:rsidR="006033A4">
        <w:rPr>
          <w:color w:val="000000"/>
          <w:shd w:val="clear" w:color="auto" w:fill="FFFFFF"/>
        </w:rPr>
        <w:t>–</w:t>
      </w:r>
      <w:r w:rsidR="00BC223A" w:rsidRPr="00DD6E6B">
        <w:rPr>
          <w:spacing w:val="-4"/>
          <w:lang w:val="en-GB"/>
        </w:rPr>
        <w:t>1</w:t>
      </w:r>
      <w:r w:rsidR="00D14AF3" w:rsidRPr="00DD6E6B">
        <w:rPr>
          <w:spacing w:val="-4"/>
          <w:lang w:val="en-GB"/>
        </w:rPr>
        <w:t>.</w:t>
      </w:r>
      <w:r w:rsidR="00BC223A" w:rsidRPr="00DD6E6B">
        <w:rPr>
          <w:spacing w:val="-4"/>
          <w:lang w:val="en-GB"/>
        </w:rPr>
        <w:t>0%)</w:t>
      </w:r>
      <w:r w:rsidR="00D14AF3" w:rsidRPr="00DD6E6B">
        <w:rPr>
          <w:spacing w:val="-4"/>
          <w:lang w:val="en-GB"/>
        </w:rPr>
        <w:t xml:space="preserve"> however</w:t>
      </w:r>
      <w:r w:rsidR="0008185C" w:rsidRPr="00DD6E6B">
        <w:rPr>
          <w:spacing w:val="-4"/>
          <w:lang w:val="en-GB"/>
        </w:rPr>
        <w:t xml:space="preserve"> worked in the direction of decrease</w:t>
      </w:r>
      <w:r w:rsidR="00BC223A" w:rsidRPr="00DD6E6B">
        <w:rPr>
          <w:spacing w:val="-4"/>
          <w:lang w:val="en-GB"/>
        </w:rPr>
        <w:t xml:space="preserve">. </w:t>
      </w:r>
    </w:p>
    <w:p w14:paraId="54C12D12" w14:textId="3D72323D" w:rsidR="00BC223A" w:rsidRPr="00DD6E6B" w:rsidRDefault="003F1F13" w:rsidP="00BC223A">
      <w:pPr>
        <w:pStyle w:val="Normalodrka"/>
        <w:rPr>
          <w:spacing w:val="-4"/>
          <w:lang w:val="en-GB"/>
        </w:rPr>
      </w:pPr>
      <w:r w:rsidRPr="00DD6E6B">
        <w:rPr>
          <w:spacing w:val="-4"/>
          <w:lang w:val="en-GB"/>
        </w:rPr>
        <w:t xml:space="preserve">Export of goods and services </w:t>
      </w:r>
      <w:r w:rsidR="001A0EAD" w:rsidRPr="00DD6E6B">
        <w:rPr>
          <w:spacing w:val="-4"/>
          <w:lang w:val="en-GB"/>
        </w:rPr>
        <w:t xml:space="preserve">expanded by </w:t>
      </w:r>
      <w:r w:rsidR="00BC223A" w:rsidRPr="00DD6E6B">
        <w:rPr>
          <w:spacing w:val="-4"/>
          <w:lang w:val="en-GB"/>
        </w:rPr>
        <w:t>4</w:t>
      </w:r>
      <w:r w:rsidR="001A0EAD" w:rsidRPr="00DD6E6B">
        <w:rPr>
          <w:spacing w:val="-4"/>
          <w:lang w:val="en-GB"/>
        </w:rPr>
        <w:t>.</w:t>
      </w:r>
      <w:r w:rsidR="00BC223A" w:rsidRPr="00DD6E6B">
        <w:rPr>
          <w:spacing w:val="-4"/>
          <w:lang w:val="en-GB"/>
        </w:rPr>
        <w:t>5%</w:t>
      </w:r>
      <w:r w:rsidR="00BC223A" w:rsidRPr="00DD6E6B">
        <w:rPr>
          <w:rStyle w:val="Znakapoznpodarou"/>
          <w:spacing w:val="-4"/>
          <w:lang w:val="en-GB"/>
        </w:rPr>
        <w:footnoteReference w:id="2"/>
      </w:r>
      <w:r w:rsidR="006E2A7F" w:rsidRPr="00DD6E6B">
        <w:rPr>
          <w:spacing w:val="-4"/>
          <w:lang w:val="en-GB"/>
        </w:rPr>
        <w:t xml:space="preserve"> in real terms year-on-year in Q2 and fell by </w:t>
      </w:r>
      <w:r w:rsidR="00BC223A" w:rsidRPr="00DD6E6B">
        <w:rPr>
          <w:spacing w:val="-4"/>
          <w:lang w:val="en-GB"/>
        </w:rPr>
        <w:t>0</w:t>
      </w:r>
      <w:r w:rsidR="006E2A7F" w:rsidRPr="00DD6E6B">
        <w:rPr>
          <w:spacing w:val="-4"/>
          <w:lang w:val="en-GB"/>
        </w:rPr>
        <w:t>.</w:t>
      </w:r>
      <w:r w:rsidR="00BC223A" w:rsidRPr="00DD6E6B">
        <w:rPr>
          <w:spacing w:val="-4"/>
          <w:lang w:val="en-GB"/>
        </w:rPr>
        <w:t>5%</w:t>
      </w:r>
      <w:r w:rsidR="006E2A7F" w:rsidRPr="00DD6E6B">
        <w:rPr>
          <w:spacing w:val="-4"/>
          <w:lang w:val="en-GB"/>
        </w:rPr>
        <w:t xml:space="preserve"> quarter-on-quarter</w:t>
      </w:r>
      <w:r w:rsidR="00BC223A" w:rsidRPr="00DD6E6B">
        <w:rPr>
          <w:spacing w:val="-4"/>
          <w:lang w:val="en-GB"/>
        </w:rPr>
        <w:t xml:space="preserve">. </w:t>
      </w:r>
      <w:r w:rsidR="00CD636A" w:rsidRPr="00DD6E6B">
        <w:rPr>
          <w:spacing w:val="-4"/>
          <w:lang w:val="en-GB"/>
        </w:rPr>
        <w:t xml:space="preserve">The import dynamics was milder </w:t>
      </w:r>
      <w:r w:rsidR="00BC223A" w:rsidRPr="00DD6E6B">
        <w:rPr>
          <w:spacing w:val="-4"/>
          <w:lang w:val="en-GB"/>
        </w:rPr>
        <w:t xml:space="preserve">– import </w:t>
      </w:r>
      <w:r w:rsidR="00CD636A" w:rsidRPr="00DD6E6B">
        <w:rPr>
          <w:spacing w:val="-4"/>
          <w:lang w:val="en-GB"/>
        </w:rPr>
        <w:t xml:space="preserve">was </w:t>
      </w:r>
      <w:r w:rsidR="000260D2" w:rsidRPr="00DD6E6B">
        <w:rPr>
          <w:spacing w:val="-4"/>
          <w:lang w:val="en-GB"/>
        </w:rPr>
        <w:t xml:space="preserve">by </w:t>
      </w:r>
      <w:r w:rsidR="00BC223A" w:rsidRPr="00DD6E6B">
        <w:rPr>
          <w:spacing w:val="-4"/>
          <w:lang w:val="en-GB"/>
        </w:rPr>
        <w:t>0</w:t>
      </w:r>
      <w:r w:rsidR="00CD636A" w:rsidRPr="00DD6E6B">
        <w:rPr>
          <w:spacing w:val="-4"/>
          <w:lang w:val="en-GB"/>
        </w:rPr>
        <w:t>.</w:t>
      </w:r>
      <w:r w:rsidR="00BC223A" w:rsidRPr="00DD6E6B">
        <w:rPr>
          <w:spacing w:val="-4"/>
          <w:lang w:val="en-GB"/>
        </w:rPr>
        <w:t>8%</w:t>
      </w:r>
      <w:r w:rsidR="00CD636A" w:rsidRPr="00DD6E6B">
        <w:rPr>
          <w:spacing w:val="-4"/>
          <w:lang w:val="en-GB"/>
        </w:rPr>
        <w:t xml:space="preserve"> </w:t>
      </w:r>
      <w:r w:rsidR="000260D2" w:rsidRPr="00DD6E6B">
        <w:rPr>
          <w:spacing w:val="-4"/>
          <w:lang w:val="en-GB"/>
        </w:rPr>
        <w:t xml:space="preserve">higher in real terms year-on-year and it shrank by </w:t>
      </w:r>
      <w:r w:rsidR="00BC223A" w:rsidRPr="00DD6E6B">
        <w:rPr>
          <w:spacing w:val="-4"/>
          <w:lang w:val="en-GB"/>
        </w:rPr>
        <w:t>1</w:t>
      </w:r>
      <w:r w:rsidR="000260D2" w:rsidRPr="00DD6E6B">
        <w:rPr>
          <w:spacing w:val="-4"/>
          <w:lang w:val="en-GB"/>
        </w:rPr>
        <w:t>.</w:t>
      </w:r>
      <w:r w:rsidR="00BC223A" w:rsidRPr="00DD6E6B">
        <w:rPr>
          <w:spacing w:val="-4"/>
          <w:lang w:val="en-GB"/>
        </w:rPr>
        <w:t>2%</w:t>
      </w:r>
      <w:r w:rsidR="000260D2" w:rsidRPr="00DD6E6B">
        <w:rPr>
          <w:spacing w:val="-4"/>
          <w:lang w:val="en-GB"/>
        </w:rPr>
        <w:t xml:space="preserve"> quarter-on-quarter</w:t>
      </w:r>
      <w:r w:rsidR="00BC223A" w:rsidRPr="00DD6E6B">
        <w:rPr>
          <w:spacing w:val="-4"/>
          <w:lang w:val="en-GB"/>
        </w:rPr>
        <w:t xml:space="preserve">. </w:t>
      </w:r>
      <w:r w:rsidR="000260D2" w:rsidRPr="00DD6E6B">
        <w:rPr>
          <w:spacing w:val="-4"/>
          <w:lang w:val="en-GB"/>
        </w:rPr>
        <w:t>Th</w:t>
      </w:r>
      <w:r w:rsidR="00F17B0D" w:rsidRPr="00DD6E6B">
        <w:rPr>
          <w:spacing w:val="-4"/>
          <w:lang w:val="en-GB"/>
        </w:rPr>
        <w:t>e</w:t>
      </w:r>
      <w:r w:rsidR="000260D2" w:rsidRPr="00DD6E6B">
        <w:rPr>
          <w:spacing w:val="-4"/>
          <w:lang w:val="en-GB"/>
        </w:rPr>
        <w:t xml:space="preserve"> </w:t>
      </w:r>
      <w:r w:rsidR="00D70130" w:rsidRPr="00DD6E6B">
        <w:rPr>
          <w:spacing w:val="-4"/>
          <w:lang w:val="en-GB"/>
        </w:rPr>
        <w:t xml:space="preserve">balance of foreign trade with goods and services amounted in current prices to the surplus of </w:t>
      </w:r>
      <w:r w:rsidR="00BC223A" w:rsidRPr="00DD6E6B">
        <w:rPr>
          <w:spacing w:val="-4"/>
          <w:lang w:val="en-GB"/>
        </w:rPr>
        <w:t>100</w:t>
      </w:r>
      <w:r w:rsidR="00D70130" w:rsidRPr="00DD6E6B">
        <w:rPr>
          <w:spacing w:val="-4"/>
          <w:lang w:val="en-GB"/>
        </w:rPr>
        <w:t>.</w:t>
      </w:r>
      <w:r w:rsidR="00BC223A" w:rsidRPr="00DD6E6B">
        <w:rPr>
          <w:spacing w:val="-4"/>
          <w:lang w:val="en-GB"/>
        </w:rPr>
        <w:t>9</w:t>
      </w:r>
      <w:r w:rsidR="00D70130" w:rsidRPr="00DD6E6B">
        <w:rPr>
          <w:spacing w:val="-4"/>
          <w:lang w:val="en-GB"/>
        </w:rPr>
        <w:t xml:space="preserve"> CZK bn in Q2 and </w:t>
      </w:r>
      <w:r w:rsidR="00A747D4" w:rsidRPr="00DD6E6B">
        <w:rPr>
          <w:spacing w:val="-4"/>
          <w:lang w:val="en-GB"/>
        </w:rPr>
        <w:t xml:space="preserve">thus improved by </w:t>
      </w:r>
      <w:r w:rsidR="00BC223A" w:rsidRPr="00DD6E6B">
        <w:rPr>
          <w:spacing w:val="-4"/>
          <w:lang w:val="en-GB"/>
        </w:rPr>
        <w:t>101</w:t>
      </w:r>
      <w:r w:rsidR="00A747D4" w:rsidRPr="00DD6E6B">
        <w:rPr>
          <w:spacing w:val="-4"/>
          <w:lang w:val="en-GB"/>
        </w:rPr>
        <w:t>.</w:t>
      </w:r>
      <w:r w:rsidR="00BC223A" w:rsidRPr="00DD6E6B">
        <w:rPr>
          <w:spacing w:val="-4"/>
          <w:lang w:val="en-GB"/>
        </w:rPr>
        <w:t>0</w:t>
      </w:r>
      <w:r w:rsidR="00A747D4" w:rsidRPr="00DD6E6B">
        <w:rPr>
          <w:spacing w:val="-4"/>
          <w:lang w:val="en-GB"/>
        </w:rPr>
        <w:t xml:space="preserve"> bn year-on-year</w:t>
      </w:r>
      <w:r w:rsidR="00BC223A" w:rsidRPr="00DD6E6B">
        <w:rPr>
          <w:spacing w:val="-4"/>
          <w:lang w:val="en-GB"/>
        </w:rPr>
        <w:t xml:space="preserve">. </w:t>
      </w:r>
      <w:r w:rsidR="00A45487" w:rsidRPr="00DD6E6B">
        <w:rPr>
          <w:spacing w:val="-4"/>
          <w:lang w:val="en-GB"/>
        </w:rPr>
        <w:t xml:space="preserve">Milder deficit of trade with oil and natural gas and </w:t>
      </w:r>
      <w:r w:rsidR="0076692D" w:rsidRPr="00DD6E6B">
        <w:rPr>
          <w:spacing w:val="-4"/>
          <w:lang w:val="en-GB"/>
        </w:rPr>
        <w:t xml:space="preserve">enhanced surplus of the foreign trade with motor vehicles </w:t>
      </w:r>
      <w:r w:rsidR="00FA7089" w:rsidRPr="00DD6E6B">
        <w:rPr>
          <w:spacing w:val="-4"/>
          <w:lang w:val="en-GB"/>
        </w:rPr>
        <w:t>the most contributed to the year-on-year improvement of the balance of trade with goods</w:t>
      </w:r>
      <w:r w:rsidR="00BC223A" w:rsidRPr="00DD6E6B">
        <w:rPr>
          <w:spacing w:val="-4"/>
          <w:lang w:val="en-GB"/>
        </w:rPr>
        <w:t xml:space="preserve">. </w:t>
      </w:r>
      <w:r w:rsidR="00EB4E68" w:rsidRPr="00DD6E6B">
        <w:rPr>
          <w:spacing w:val="-4"/>
          <w:lang w:val="en-GB"/>
        </w:rPr>
        <w:t xml:space="preserve">On the contrary, the </w:t>
      </w:r>
      <w:r w:rsidR="00F14FCA" w:rsidRPr="00DD6E6B">
        <w:rPr>
          <w:spacing w:val="-4"/>
          <w:lang w:val="en-GB"/>
        </w:rPr>
        <w:t>lower prices led to the year-on-year deterioration of the balance of trade with electricity, gas, steam and air</w:t>
      </w:r>
      <w:r w:rsidR="00850B02" w:rsidRPr="00DD6E6B">
        <w:rPr>
          <w:spacing w:val="-4"/>
          <w:lang w:val="en-GB"/>
        </w:rPr>
        <w:t xml:space="preserve">-conditioning. </w:t>
      </w:r>
    </w:p>
    <w:p w14:paraId="11EAF916" w14:textId="59BDE786" w:rsidR="00BC223A" w:rsidRPr="00DD6E6B" w:rsidRDefault="00834E25" w:rsidP="00BC223A">
      <w:pPr>
        <w:pStyle w:val="Normalodrka"/>
        <w:rPr>
          <w:spacing w:val="-4"/>
          <w:lang w:val="en-GB"/>
        </w:rPr>
      </w:pPr>
      <w:r w:rsidRPr="00DD6E6B">
        <w:rPr>
          <w:spacing w:val="-4"/>
          <w:lang w:val="en-GB"/>
        </w:rPr>
        <w:t xml:space="preserve">The total price level </w:t>
      </w:r>
      <w:r w:rsidR="00BC223A" w:rsidRPr="00DD6E6B">
        <w:rPr>
          <w:spacing w:val="-4"/>
          <w:lang w:val="en-GB"/>
        </w:rPr>
        <w:t>(</w:t>
      </w:r>
      <w:r w:rsidR="00ED7A91" w:rsidRPr="00DD6E6B">
        <w:rPr>
          <w:spacing w:val="-4"/>
          <w:lang w:val="en-GB"/>
        </w:rPr>
        <w:t>gauged by the GDP deflator</w:t>
      </w:r>
      <w:r w:rsidR="00BC223A" w:rsidRPr="00DD6E6B">
        <w:rPr>
          <w:spacing w:val="-4"/>
          <w:lang w:val="en-GB"/>
        </w:rPr>
        <w:t xml:space="preserve">) </w:t>
      </w:r>
      <w:r w:rsidR="0073131F" w:rsidRPr="00DD6E6B">
        <w:rPr>
          <w:spacing w:val="-4"/>
          <w:lang w:val="en-GB"/>
        </w:rPr>
        <w:t xml:space="preserve">hiked up by </w:t>
      </w:r>
      <w:r w:rsidR="00BC223A" w:rsidRPr="00DD6E6B">
        <w:rPr>
          <w:spacing w:val="-4"/>
          <w:lang w:val="en-GB"/>
        </w:rPr>
        <w:t>10</w:t>
      </w:r>
      <w:r w:rsidR="0073131F" w:rsidRPr="00DD6E6B">
        <w:rPr>
          <w:spacing w:val="-4"/>
          <w:lang w:val="en-GB"/>
        </w:rPr>
        <w:t>.</w:t>
      </w:r>
      <w:r w:rsidR="00BC223A" w:rsidRPr="00DD6E6B">
        <w:rPr>
          <w:spacing w:val="-4"/>
          <w:lang w:val="en-GB"/>
        </w:rPr>
        <w:t>2%</w:t>
      </w:r>
      <w:r w:rsidR="0073131F" w:rsidRPr="00DD6E6B">
        <w:rPr>
          <w:spacing w:val="-4"/>
          <w:lang w:val="en-GB"/>
        </w:rPr>
        <w:t xml:space="preserve"> year-on-year and it was by </w:t>
      </w:r>
      <w:r w:rsidR="00BC223A" w:rsidRPr="00DD6E6B">
        <w:rPr>
          <w:spacing w:val="-4"/>
          <w:lang w:val="en-GB"/>
        </w:rPr>
        <w:t>1</w:t>
      </w:r>
      <w:r w:rsidR="0073131F" w:rsidRPr="00DD6E6B">
        <w:rPr>
          <w:spacing w:val="-4"/>
          <w:lang w:val="en-GB"/>
        </w:rPr>
        <w:t>.</w:t>
      </w:r>
      <w:r w:rsidR="00BC223A" w:rsidRPr="00DD6E6B">
        <w:rPr>
          <w:spacing w:val="-4"/>
          <w:lang w:val="en-GB"/>
        </w:rPr>
        <w:t>1%</w:t>
      </w:r>
      <w:r w:rsidR="0073131F" w:rsidRPr="00DD6E6B">
        <w:rPr>
          <w:spacing w:val="-4"/>
          <w:lang w:val="en-GB"/>
        </w:rPr>
        <w:t xml:space="preserve"> higher quarter-on-quarter</w:t>
      </w:r>
      <w:r w:rsidR="00ED7A91" w:rsidRPr="00DD6E6B">
        <w:rPr>
          <w:spacing w:val="-4"/>
          <w:lang w:val="en-GB"/>
        </w:rPr>
        <w:t xml:space="preserve"> in Q2</w:t>
      </w:r>
      <w:r w:rsidR="00BC223A" w:rsidRPr="00DD6E6B">
        <w:rPr>
          <w:spacing w:val="-4"/>
          <w:lang w:val="en-GB"/>
        </w:rPr>
        <w:t xml:space="preserve">. </w:t>
      </w:r>
      <w:r w:rsidR="0073131F" w:rsidRPr="00DD6E6B">
        <w:rPr>
          <w:spacing w:val="-4"/>
          <w:lang w:val="en-GB"/>
        </w:rPr>
        <w:t xml:space="preserve">The year-on-year growth of the consumer prices slowed </w:t>
      </w:r>
      <w:r w:rsidR="00C55E3B" w:rsidRPr="00DD6E6B">
        <w:rPr>
          <w:spacing w:val="-4"/>
          <w:lang w:val="en-GB"/>
        </w:rPr>
        <w:t xml:space="preserve">to </w:t>
      </w:r>
      <w:r w:rsidR="00BC223A" w:rsidRPr="00DD6E6B">
        <w:rPr>
          <w:spacing w:val="-4"/>
          <w:lang w:val="en-GB"/>
        </w:rPr>
        <w:t>11</w:t>
      </w:r>
      <w:r w:rsidR="00C55E3B" w:rsidRPr="00DD6E6B">
        <w:rPr>
          <w:spacing w:val="-4"/>
          <w:lang w:val="en-GB"/>
        </w:rPr>
        <w:t>.</w:t>
      </w:r>
      <w:r w:rsidR="00BC223A" w:rsidRPr="00DD6E6B">
        <w:rPr>
          <w:spacing w:val="-4"/>
          <w:lang w:val="en-GB"/>
        </w:rPr>
        <w:t>1%</w:t>
      </w:r>
      <w:r w:rsidR="00C55E3B" w:rsidRPr="00DD6E6B">
        <w:rPr>
          <w:spacing w:val="-4"/>
          <w:lang w:val="en-GB"/>
        </w:rPr>
        <w:t xml:space="preserve"> in Q2 and the prices were by </w:t>
      </w:r>
      <w:r w:rsidR="00BC223A" w:rsidRPr="00DD6E6B">
        <w:rPr>
          <w:spacing w:val="-4"/>
          <w:lang w:val="en-GB"/>
        </w:rPr>
        <w:t>0</w:t>
      </w:r>
      <w:r w:rsidR="00C55E3B" w:rsidRPr="00DD6E6B">
        <w:rPr>
          <w:spacing w:val="-4"/>
          <w:lang w:val="en-GB"/>
        </w:rPr>
        <w:t>.</w:t>
      </w:r>
      <w:r w:rsidR="00BC223A" w:rsidRPr="00DD6E6B">
        <w:rPr>
          <w:spacing w:val="-4"/>
          <w:lang w:val="en-GB"/>
        </w:rPr>
        <w:t>3%</w:t>
      </w:r>
      <w:r w:rsidR="00C55E3B" w:rsidRPr="00DD6E6B">
        <w:rPr>
          <w:spacing w:val="-4"/>
          <w:lang w:val="en-GB"/>
        </w:rPr>
        <w:t xml:space="preserve"> higher quarter-on-quarter</w:t>
      </w:r>
      <w:r w:rsidR="00BC223A" w:rsidRPr="00DD6E6B">
        <w:rPr>
          <w:spacing w:val="-4"/>
          <w:lang w:val="en-GB"/>
        </w:rPr>
        <w:t xml:space="preserve">. </w:t>
      </w:r>
      <w:r w:rsidR="00671C2B" w:rsidRPr="00DD6E6B">
        <w:rPr>
          <w:spacing w:val="-4"/>
          <w:lang w:val="en-GB"/>
        </w:rPr>
        <w:t xml:space="preserve">Prices of housing and energies and food and non-alcoholic beverages </w:t>
      </w:r>
      <w:r w:rsidR="00C3198A" w:rsidRPr="00DD6E6B">
        <w:rPr>
          <w:spacing w:val="-4"/>
          <w:lang w:val="en-GB"/>
        </w:rPr>
        <w:t xml:space="preserve">still contributed the most to the year-on-year </w:t>
      </w:r>
      <w:r w:rsidR="00D47C4E" w:rsidRPr="00DD6E6B">
        <w:rPr>
          <w:spacing w:val="-4"/>
          <w:lang w:val="en-GB"/>
        </w:rPr>
        <w:t xml:space="preserve">growth of consumer prices. </w:t>
      </w:r>
      <w:r w:rsidR="00771AC5" w:rsidRPr="00DD6E6B">
        <w:rPr>
          <w:spacing w:val="-4"/>
          <w:lang w:val="en-GB"/>
        </w:rPr>
        <w:t xml:space="preserve">Simultaneously, these were the items affecting the most the </w:t>
      </w:r>
      <w:r w:rsidR="00F17B0D" w:rsidRPr="00DD6E6B">
        <w:rPr>
          <w:spacing w:val="-4"/>
          <w:lang w:val="en-GB"/>
        </w:rPr>
        <w:t>slowdown</w:t>
      </w:r>
      <w:r w:rsidR="00771AC5" w:rsidRPr="00DD6E6B">
        <w:rPr>
          <w:spacing w:val="-4"/>
          <w:lang w:val="en-GB"/>
        </w:rPr>
        <w:t xml:space="preserve"> of the total growth. </w:t>
      </w:r>
      <w:r w:rsidR="00941A54" w:rsidRPr="00DD6E6B">
        <w:rPr>
          <w:spacing w:val="-4"/>
          <w:lang w:val="en-GB"/>
        </w:rPr>
        <w:t xml:space="preserve">The prices however still grew year-on-year for the majority of consumer basket divisions </w:t>
      </w:r>
      <w:r w:rsidR="00BC223A" w:rsidRPr="00DD6E6B">
        <w:rPr>
          <w:spacing w:val="-4"/>
          <w:lang w:val="en-GB"/>
        </w:rPr>
        <w:t>a</w:t>
      </w:r>
      <w:r w:rsidR="00874C72" w:rsidRPr="00DD6E6B">
        <w:rPr>
          <w:spacing w:val="-4"/>
          <w:lang w:val="en-GB"/>
        </w:rPr>
        <w:t xml:space="preserve">nd the transportation prices </w:t>
      </w:r>
      <w:r w:rsidR="00525A38" w:rsidRPr="00DD6E6B">
        <w:rPr>
          <w:spacing w:val="-4"/>
          <w:lang w:val="en-GB"/>
        </w:rPr>
        <w:t xml:space="preserve">presented </w:t>
      </w:r>
      <w:r w:rsidR="00874C72" w:rsidRPr="00DD6E6B">
        <w:rPr>
          <w:spacing w:val="-4"/>
          <w:lang w:val="en-GB"/>
        </w:rPr>
        <w:t>the only exception</w:t>
      </w:r>
      <w:r w:rsidR="00BC223A" w:rsidRPr="00DD6E6B">
        <w:rPr>
          <w:spacing w:val="-4"/>
          <w:lang w:val="en-GB"/>
        </w:rPr>
        <w:t xml:space="preserve">. </w:t>
      </w:r>
      <w:r w:rsidR="00A46DA0" w:rsidRPr="00DD6E6B">
        <w:rPr>
          <w:spacing w:val="-4"/>
          <w:lang w:val="en-GB"/>
        </w:rPr>
        <w:t>Both catalogue as well as realised prices of flats were falling</w:t>
      </w:r>
      <w:r w:rsidR="00BC223A" w:rsidRPr="00DD6E6B">
        <w:rPr>
          <w:spacing w:val="-4"/>
          <w:lang w:val="en-GB"/>
        </w:rPr>
        <w:t xml:space="preserve">. </w:t>
      </w:r>
      <w:r w:rsidR="008C43B6" w:rsidRPr="00DD6E6B">
        <w:rPr>
          <w:spacing w:val="-4"/>
          <w:lang w:val="en-GB"/>
        </w:rPr>
        <w:t xml:space="preserve">The year-on-year growth of the prices of industrial producers </w:t>
      </w:r>
      <w:r w:rsidR="00E662B7" w:rsidRPr="00DD6E6B">
        <w:rPr>
          <w:spacing w:val="-4"/>
          <w:lang w:val="en-GB"/>
        </w:rPr>
        <w:t xml:space="preserve">went down </w:t>
      </w:r>
      <w:r w:rsidR="00BC223A" w:rsidRPr="00DD6E6B">
        <w:rPr>
          <w:spacing w:val="-4"/>
          <w:lang w:val="en-GB"/>
        </w:rPr>
        <w:t>(3</w:t>
      </w:r>
      <w:r w:rsidR="00E662B7" w:rsidRPr="00DD6E6B">
        <w:rPr>
          <w:spacing w:val="-4"/>
          <w:lang w:val="en-GB"/>
        </w:rPr>
        <w:t>.</w:t>
      </w:r>
      <w:r w:rsidR="00BC223A" w:rsidRPr="00DD6E6B">
        <w:rPr>
          <w:spacing w:val="-4"/>
          <w:lang w:val="en-GB"/>
        </w:rPr>
        <w:t>9%) a</w:t>
      </w:r>
      <w:r w:rsidR="00E662B7" w:rsidRPr="00DD6E6B">
        <w:rPr>
          <w:spacing w:val="-4"/>
          <w:lang w:val="en-GB"/>
        </w:rPr>
        <w:t xml:space="preserve">nd prices of agricultural producers were falling </w:t>
      </w:r>
      <w:r w:rsidR="006033A4">
        <w:rPr>
          <w:spacing w:val="-4"/>
          <w:lang w:val="en-GB"/>
        </w:rPr>
        <w:t>(</w:t>
      </w:r>
      <w:r w:rsidR="006033A4">
        <w:rPr>
          <w:color w:val="000000"/>
          <w:shd w:val="clear" w:color="auto" w:fill="FFFFFF"/>
        </w:rPr>
        <w:t>–</w:t>
      </w:r>
      <w:r w:rsidR="00BC223A" w:rsidRPr="00DD6E6B">
        <w:rPr>
          <w:spacing w:val="-4"/>
          <w:lang w:val="en-GB"/>
        </w:rPr>
        <w:t>8</w:t>
      </w:r>
      <w:r w:rsidR="00E662B7" w:rsidRPr="00DD6E6B">
        <w:rPr>
          <w:spacing w:val="-4"/>
          <w:lang w:val="en-GB"/>
        </w:rPr>
        <w:t>.</w:t>
      </w:r>
      <w:r w:rsidR="00BC223A" w:rsidRPr="00DD6E6B">
        <w:rPr>
          <w:spacing w:val="-4"/>
          <w:lang w:val="en-GB"/>
        </w:rPr>
        <w:t xml:space="preserve">1%). </w:t>
      </w:r>
      <w:r w:rsidR="00577FEB" w:rsidRPr="00DD6E6B">
        <w:rPr>
          <w:spacing w:val="-4"/>
          <w:lang w:val="en-GB"/>
        </w:rPr>
        <w:t>In contrast</w:t>
      </w:r>
      <w:r w:rsidR="002F06E2">
        <w:rPr>
          <w:spacing w:val="-4"/>
          <w:lang w:val="en-GB"/>
        </w:rPr>
        <w:t>,</w:t>
      </w:r>
      <w:r w:rsidR="00577FEB" w:rsidRPr="00DD6E6B">
        <w:rPr>
          <w:spacing w:val="-4"/>
          <w:lang w:val="en-GB"/>
        </w:rPr>
        <w:t xml:space="preserve"> </w:t>
      </w:r>
      <w:r w:rsidR="00AC0CE9" w:rsidRPr="00DD6E6B">
        <w:rPr>
          <w:spacing w:val="-4"/>
          <w:lang w:val="en-GB"/>
        </w:rPr>
        <w:t xml:space="preserve">the prices of market services experienced strengthening of the year-on-year growth </w:t>
      </w:r>
      <w:r w:rsidR="00BC223A" w:rsidRPr="00DD6E6B">
        <w:rPr>
          <w:spacing w:val="-4"/>
          <w:lang w:val="en-GB"/>
        </w:rPr>
        <w:t>(6</w:t>
      </w:r>
      <w:r w:rsidR="00AC0CE9" w:rsidRPr="00DD6E6B">
        <w:rPr>
          <w:spacing w:val="-4"/>
          <w:lang w:val="en-GB"/>
        </w:rPr>
        <w:t>.</w:t>
      </w:r>
      <w:r w:rsidR="00BC223A" w:rsidRPr="00DD6E6B">
        <w:rPr>
          <w:spacing w:val="-4"/>
          <w:lang w:val="en-GB"/>
        </w:rPr>
        <w:t>3%).</w:t>
      </w:r>
    </w:p>
    <w:p w14:paraId="7E6289E5" w14:textId="05C86EE3" w:rsidR="00BC223A" w:rsidRPr="00DD6E6B" w:rsidRDefault="00C36D19" w:rsidP="00BC223A">
      <w:pPr>
        <w:pStyle w:val="Normalodrka"/>
        <w:rPr>
          <w:spacing w:val="-4"/>
          <w:lang w:val="en-GB"/>
        </w:rPr>
      </w:pPr>
      <w:r w:rsidRPr="00DD6E6B">
        <w:rPr>
          <w:spacing w:val="-4"/>
          <w:lang w:val="en-GB"/>
        </w:rPr>
        <w:t>In Q2, the monetary policy-relevant interest rates remained at the same level</w:t>
      </w:r>
      <w:r w:rsidR="002E4482" w:rsidRPr="00DD6E6B">
        <w:rPr>
          <w:spacing w:val="-4"/>
          <w:lang w:val="en-GB"/>
        </w:rPr>
        <w:t xml:space="preserve"> the</w:t>
      </w:r>
      <w:r w:rsidR="00956737" w:rsidRPr="00DD6E6B">
        <w:rPr>
          <w:spacing w:val="-4"/>
          <w:lang w:val="en-GB"/>
        </w:rPr>
        <w:t>y</w:t>
      </w:r>
      <w:r w:rsidR="002E4482" w:rsidRPr="00DD6E6B">
        <w:rPr>
          <w:spacing w:val="-4"/>
          <w:lang w:val="en-GB"/>
        </w:rPr>
        <w:t xml:space="preserve"> had since the beginning of the second half of year 20</w:t>
      </w:r>
      <w:r w:rsidR="00BC223A" w:rsidRPr="00DD6E6B">
        <w:rPr>
          <w:spacing w:val="-4"/>
          <w:lang w:val="en-GB"/>
        </w:rPr>
        <w:t xml:space="preserve">22. </w:t>
      </w:r>
      <w:r w:rsidR="007903EA" w:rsidRPr="00DD6E6B">
        <w:rPr>
          <w:spacing w:val="-4"/>
          <w:lang w:val="en-GB"/>
        </w:rPr>
        <w:t>This led to the o</w:t>
      </w:r>
      <w:r w:rsidR="00956737" w:rsidRPr="00DD6E6B">
        <w:rPr>
          <w:spacing w:val="-4"/>
          <w:lang w:val="en-GB"/>
        </w:rPr>
        <w:t>n</w:t>
      </w:r>
      <w:r w:rsidR="007903EA" w:rsidRPr="00DD6E6B">
        <w:rPr>
          <w:spacing w:val="-4"/>
          <w:lang w:val="en-GB"/>
        </w:rPr>
        <w:t xml:space="preserve">going stability of the market rates. </w:t>
      </w:r>
      <w:r w:rsidR="00E56F48" w:rsidRPr="00DD6E6B">
        <w:rPr>
          <w:spacing w:val="-4"/>
          <w:lang w:val="en-GB"/>
        </w:rPr>
        <w:t>Interest rates on consumer credit w</w:t>
      </w:r>
      <w:r w:rsidR="00E05CB1" w:rsidRPr="00DD6E6B">
        <w:rPr>
          <w:spacing w:val="-4"/>
          <w:lang w:val="en-GB"/>
        </w:rPr>
        <w:t>ere invariable</w:t>
      </w:r>
      <w:r w:rsidR="00BC223A" w:rsidRPr="00DD6E6B">
        <w:rPr>
          <w:spacing w:val="-4"/>
          <w:lang w:val="en-GB"/>
        </w:rPr>
        <w:t xml:space="preserve">, </w:t>
      </w:r>
      <w:r w:rsidR="00E05CB1" w:rsidRPr="00DD6E6B">
        <w:rPr>
          <w:spacing w:val="-4"/>
          <w:lang w:val="en-GB"/>
        </w:rPr>
        <w:t xml:space="preserve">while they kept growing </w:t>
      </w:r>
      <w:r w:rsidR="002B118D" w:rsidRPr="00DD6E6B">
        <w:rPr>
          <w:spacing w:val="-4"/>
          <w:lang w:val="en-GB"/>
        </w:rPr>
        <w:t xml:space="preserve">further </w:t>
      </w:r>
      <w:r w:rsidR="00E05CB1" w:rsidRPr="00DD6E6B">
        <w:rPr>
          <w:spacing w:val="-4"/>
          <w:lang w:val="en-GB"/>
        </w:rPr>
        <w:t xml:space="preserve">in case of mortgages. </w:t>
      </w:r>
      <w:r w:rsidR="00BC223A" w:rsidRPr="00DD6E6B">
        <w:rPr>
          <w:spacing w:val="-4"/>
          <w:lang w:val="en-GB"/>
        </w:rPr>
        <w:t xml:space="preserve"> </w:t>
      </w:r>
    </w:p>
    <w:p w14:paraId="25510C48" w14:textId="7753298F" w:rsidR="00BC223A" w:rsidRPr="00DD6E6B" w:rsidRDefault="007903EA" w:rsidP="00BC223A">
      <w:pPr>
        <w:pStyle w:val="Normalodrka"/>
        <w:rPr>
          <w:spacing w:val="-4"/>
          <w:lang w:val="en-GB"/>
        </w:rPr>
      </w:pPr>
      <w:r w:rsidRPr="00DD6E6B">
        <w:rPr>
          <w:spacing w:val="-4"/>
          <w:lang w:val="en-GB"/>
        </w:rPr>
        <w:t>The total employment</w:t>
      </w:r>
      <w:r w:rsidR="00BC223A" w:rsidRPr="00DD6E6B">
        <w:rPr>
          <w:rStyle w:val="Znakapoznpodarou"/>
          <w:spacing w:val="-4"/>
          <w:lang w:val="en-GB"/>
        </w:rPr>
        <w:footnoteReference w:id="3"/>
      </w:r>
      <w:r w:rsidR="00BC223A" w:rsidRPr="00DD6E6B">
        <w:rPr>
          <w:spacing w:val="-4"/>
          <w:lang w:val="en-GB"/>
        </w:rPr>
        <w:t xml:space="preserve"> </w:t>
      </w:r>
      <w:r w:rsidR="00D22A03" w:rsidRPr="00DD6E6B">
        <w:rPr>
          <w:spacing w:val="-4"/>
          <w:lang w:val="en-GB"/>
        </w:rPr>
        <w:t xml:space="preserve">rose by </w:t>
      </w:r>
      <w:r w:rsidR="00E95A06" w:rsidRPr="00DD6E6B">
        <w:rPr>
          <w:spacing w:val="-4"/>
          <w:lang w:val="en-GB"/>
        </w:rPr>
        <w:t>0</w:t>
      </w:r>
      <w:r w:rsidR="00D22A03" w:rsidRPr="00DD6E6B">
        <w:rPr>
          <w:spacing w:val="-4"/>
          <w:lang w:val="en-GB"/>
        </w:rPr>
        <w:t>.</w:t>
      </w:r>
      <w:r w:rsidR="00BC223A" w:rsidRPr="00DD6E6B">
        <w:rPr>
          <w:spacing w:val="-4"/>
          <w:lang w:val="en-GB"/>
        </w:rPr>
        <w:t>8%</w:t>
      </w:r>
      <w:r w:rsidR="00D22A03" w:rsidRPr="00DD6E6B">
        <w:rPr>
          <w:spacing w:val="-4"/>
          <w:lang w:val="en-GB"/>
        </w:rPr>
        <w:t xml:space="preserve"> year-on-year in Q2</w:t>
      </w:r>
      <w:r w:rsidR="00BC223A" w:rsidRPr="00DD6E6B">
        <w:rPr>
          <w:spacing w:val="-4"/>
          <w:lang w:val="en-GB"/>
        </w:rPr>
        <w:t xml:space="preserve"> a</w:t>
      </w:r>
      <w:r w:rsidR="0038346A" w:rsidRPr="00DD6E6B">
        <w:rPr>
          <w:spacing w:val="-4"/>
          <w:lang w:val="en-GB"/>
        </w:rPr>
        <w:t xml:space="preserve">nd by </w:t>
      </w:r>
      <w:r w:rsidR="00BC223A" w:rsidRPr="00DD6E6B">
        <w:rPr>
          <w:spacing w:val="-4"/>
          <w:lang w:val="en-GB"/>
        </w:rPr>
        <w:t>1</w:t>
      </w:r>
      <w:r w:rsidR="0038346A" w:rsidRPr="00DD6E6B">
        <w:rPr>
          <w:spacing w:val="-4"/>
          <w:lang w:val="en-GB"/>
        </w:rPr>
        <w:t>.</w:t>
      </w:r>
      <w:r w:rsidR="00BC223A" w:rsidRPr="00DD6E6B">
        <w:rPr>
          <w:spacing w:val="-4"/>
          <w:lang w:val="en-GB"/>
        </w:rPr>
        <w:t>0%</w:t>
      </w:r>
      <w:r w:rsidR="0038346A" w:rsidRPr="00DD6E6B">
        <w:rPr>
          <w:spacing w:val="-4"/>
          <w:lang w:val="en-GB"/>
        </w:rPr>
        <w:t xml:space="preserve"> quarter-on-quarter</w:t>
      </w:r>
      <w:r w:rsidR="00BC223A" w:rsidRPr="00DD6E6B">
        <w:rPr>
          <w:spacing w:val="-4"/>
          <w:lang w:val="en-GB"/>
        </w:rPr>
        <w:t>.</w:t>
      </w:r>
      <w:r w:rsidR="00E95A06" w:rsidRPr="00DD6E6B">
        <w:rPr>
          <w:spacing w:val="-4"/>
          <w:lang w:val="en-GB"/>
        </w:rPr>
        <w:t xml:space="preserve"> </w:t>
      </w:r>
      <w:r w:rsidR="0038346A" w:rsidRPr="00DD6E6B">
        <w:rPr>
          <w:spacing w:val="-4"/>
          <w:lang w:val="en-GB"/>
        </w:rPr>
        <w:t xml:space="preserve">The general unemployment rate displayed only a moderate tendency to growth and it was </w:t>
      </w:r>
      <w:r w:rsidR="00BC223A" w:rsidRPr="00DD6E6B">
        <w:rPr>
          <w:spacing w:val="-4"/>
          <w:lang w:val="en-GB"/>
        </w:rPr>
        <w:t>2</w:t>
      </w:r>
      <w:r w:rsidR="0038346A" w:rsidRPr="00DD6E6B">
        <w:rPr>
          <w:spacing w:val="-4"/>
          <w:lang w:val="en-GB"/>
        </w:rPr>
        <w:t>.</w:t>
      </w:r>
      <w:r w:rsidR="00BC223A" w:rsidRPr="00DD6E6B">
        <w:rPr>
          <w:spacing w:val="-4"/>
          <w:lang w:val="en-GB"/>
        </w:rPr>
        <w:t>8%</w:t>
      </w:r>
      <w:r w:rsidR="0038346A" w:rsidRPr="00DD6E6B">
        <w:rPr>
          <w:spacing w:val="-4"/>
          <w:lang w:val="en-GB"/>
        </w:rPr>
        <w:t xml:space="preserve"> in July</w:t>
      </w:r>
      <w:r w:rsidR="00BC223A" w:rsidRPr="00DD6E6B">
        <w:rPr>
          <w:spacing w:val="-4"/>
          <w:lang w:val="en-GB"/>
        </w:rPr>
        <w:t>.</w:t>
      </w:r>
      <w:r w:rsidR="0038346A" w:rsidRPr="00DD6E6B">
        <w:rPr>
          <w:spacing w:val="-4"/>
          <w:lang w:val="en-GB"/>
        </w:rPr>
        <w:t xml:space="preserve"> The average monthly nominal wage</w:t>
      </w:r>
      <w:r w:rsidR="00AA1D4D" w:rsidRPr="00DD6E6B">
        <w:rPr>
          <w:spacing w:val="-4"/>
          <w:lang w:val="en-GB"/>
        </w:rPr>
        <w:t xml:space="preserve"> increased by</w:t>
      </w:r>
      <w:r w:rsidR="00E95A06" w:rsidRPr="00DD6E6B">
        <w:rPr>
          <w:spacing w:val="-4"/>
          <w:lang w:val="en-GB"/>
        </w:rPr>
        <w:t xml:space="preserve"> 7.7% year-on-year in Q</w:t>
      </w:r>
      <w:r w:rsidR="00BC223A" w:rsidRPr="00DD6E6B">
        <w:rPr>
          <w:spacing w:val="-4"/>
          <w:lang w:val="en-GB"/>
        </w:rPr>
        <w:t>2</w:t>
      </w:r>
      <w:r w:rsidR="009D1169" w:rsidRPr="00DD6E6B">
        <w:rPr>
          <w:spacing w:val="-4"/>
          <w:lang w:val="en-GB"/>
        </w:rPr>
        <w:t xml:space="preserve"> a</w:t>
      </w:r>
      <w:r w:rsidR="00AA1D4D" w:rsidRPr="00DD6E6B">
        <w:rPr>
          <w:spacing w:val="-4"/>
          <w:lang w:val="en-GB"/>
        </w:rPr>
        <w:t>nd</w:t>
      </w:r>
      <w:r w:rsidR="00BC223A" w:rsidRPr="00DD6E6B">
        <w:rPr>
          <w:spacing w:val="-4"/>
          <w:lang w:val="en-GB"/>
        </w:rPr>
        <w:t xml:space="preserve"> </w:t>
      </w:r>
      <w:r w:rsidR="00AA1D4D" w:rsidRPr="00DD6E6B">
        <w:rPr>
          <w:spacing w:val="-4"/>
          <w:lang w:val="en-GB"/>
        </w:rPr>
        <w:t xml:space="preserve">it totalled </w:t>
      </w:r>
      <w:r w:rsidR="00BC223A" w:rsidRPr="00DD6E6B">
        <w:rPr>
          <w:spacing w:val="-4"/>
          <w:lang w:val="en-GB"/>
        </w:rPr>
        <w:t>43</w:t>
      </w:r>
      <w:r w:rsidR="00AA1D4D" w:rsidRPr="00DD6E6B">
        <w:rPr>
          <w:spacing w:val="-4"/>
          <w:lang w:val="en-GB"/>
        </w:rPr>
        <w:t> </w:t>
      </w:r>
      <w:r w:rsidR="00BC223A" w:rsidRPr="00DD6E6B">
        <w:rPr>
          <w:spacing w:val="-4"/>
          <w:lang w:val="en-GB"/>
        </w:rPr>
        <w:t>193</w:t>
      </w:r>
      <w:r w:rsidR="00AA1D4D" w:rsidRPr="00DD6E6B">
        <w:rPr>
          <w:spacing w:val="-4"/>
          <w:lang w:val="en-GB"/>
        </w:rPr>
        <w:t xml:space="preserve"> CZK</w:t>
      </w:r>
      <w:r w:rsidR="00BC223A" w:rsidRPr="00DD6E6B">
        <w:rPr>
          <w:spacing w:val="-4"/>
          <w:lang w:val="en-GB"/>
        </w:rPr>
        <w:t xml:space="preserve">. </w:t>
      </w:r>
      <w:r w:rsidR="000E1B49" w:rsidRPr="00DD6E6B">
        <w:rPr>
          <w:spacing w:val="-4"/>
          <w:lang w:val="en-GB"/>
        </w:rPr>
        <w:t xml:space="preserve">The real slump mitigated to </w:t>
      </w:r>
      <w:r w:rsidR="00BC223A" w:rsidRPr="00DD6E6B">
        <w:rPr>
          <w:spacing w:val="-4"/>
          <w:lang w:val="en-GB"/>
        </w:rPr>
        <w:t>3</w:t>
      </w:r>
      <w:r w:rsidR="000E1B49" w:rsidRPr="00DD6E6B">
        <w:rPr>
          <w:spacing w:val="-4"/>
          <w:lang w:val="en-GB"/>
        </w:rPr>
        <w:t>.</w:t>
      </w:r>
      <w:r w:rsidR="00BC223A" w:rsidRPr="00DD6E6B">
        <w:rPr>
          <w:spacing w:val="-4"/>
          <w:lang w:val="en-GB"/>
        </w:rPr>
        <w:t>1%.</w:t>
      </w:r>
      <w:r w:rsidR="000E1B49" w:rsidRPr="00DD6E6B">
        <w:rPr>
          <w:spacing w:val="-4"/>
          <w:lang w:val="en-GB"/>
        </w:rPr>
        <w:t xml:space="preserve"> The average wage </w:t>
      </w:r>
      <w:r w:rsidR="005A7375" w:rsidRPr="00DD6E6B">
        <w:rPr>
          <w:spacing w:val="-4"/>
          <w:lang w:val="en-GB"/>
        </w:rPr>
        <w:t xml:space="preserve">was falling in real terms in the majority of industries. </w:t>
      </w:r>
      <w:r w:rsidR="009D1169" w:rsidRPr="00DD6E6B">
        <w:rPr>
          <w:spacing w:val="-4"/>
          <w:lang w:val="en-GB"/>
        </w:rPr>
        <w:t xml:space="preserve">Quarter-on-quarter nominal growth of the average wage </w:t>
      </w:r>
      <w:r w:rsidR="00C645CD" w:rsidRPr="00DD6E6B">
        <w:rPr>
          <w:spacing w:val="-4"/>
          <w:lang w:val="en-GB"/>
        </w:rPr>
        <w:t xml:space="preserve">was </w:t>
      </w:r>
      <w:r w:rsidR="00BC223A" w:rsidRPr="00DD6E6B">
        <w:rPr>
          <w:spacing w:val="-4"/>
          <w:lang w:val="en-GB"/>
        </w:rPr>
        <w:t>1</w:t>
      </w:r>
      <w:r w:rsidR="00C645CD" w:rsidRPr="00DD6E6B">
        <w:rPr>
          <w:spacing w:val="-4"/>
          <w:lang w:val="en-GB"/>
        </w:rPr>
        <w:t>.</w:t>
      </w:r>
      <w:r w:rsidR="00BC223A" w:rsidRPr="00DD6E6B">
        <w:rPr>
          <w:spacing w:val="-4"/>
          <w:lang w:val="en-GB"/>
        </w:rPr>
        <w:t>5%.</w:t>
      </w:r>
    </w:p>
    <w:p w14:paraId="4759D6A6" w14:textId="03D154CA" w:rsidR="00B73FE8" w:rsidRPr="00DD6E6B" w:rsidRDefault="007903EA" w:rsidP="00B73FE8">
      <w:pPr>
        <w:pStyle w:val="Normalodrka"/>
        <w:spacing w:after="0"/>
        <w:rPr>
          <w:spacing w:val="-4"/>
          <w:lang w:val="en-GB"/>
        </w:rPr>
      </w:pPr>
      <w:r w:rsidRPr="00DD6E6B">
        <w:rPr>
          <w:spacing w:val="-4"/>
          <w:lang w:val="en-GB"/>
        </w:rPr>
        <w:lastRenderedPageBreak/>
        <w:t xml:space="preserve">The deficit of the state budget </w:t>
      </w:r>
      <w:r w:rsidR="007E713A" w:rsidRPr="00DD6E6B">
        <w:rPr>
          <w:spacing w:val="-4"/>
          <w:lang w:val="en-GB"/>
        </w:rPr>
        <w:t xml:space="preserve">increased to </w:t>
      </w:r>
      <w:r w:rsidR="00BC223A" w:rsidRPr="00DD6E6B">
        <w:rPr>
          <w:spacing w:val="-4"/>
          <w:lang w:val="en-GB"/>
        </w:rPr>
        <w:t>215</w:t>
      </w:r>
      <w:r w:rsidR="007E713A" w:rsidRPr="00DD6E6B">
        <w:rPr>
          <w:spacing w:val="-4"/>
          <w:lang w:val="en-GB"/>
        </w:rPr>
        <w:t>.</w:t>
      </w:r>
      <w:r w:rsidR="00BC223A" w:rsidRPr="00DD6E6B">
        <w:rPr>
          <w:spacing w:val="-4"/>
          <w:lang w:val="en-GB"/>
        </w:rPr>
        <w:t>4</w:t>
      </w:r>
      <w:r w:rsidR="007E713A" w:rsidRPr="00DD6E6B">
        <w:rPr>
          <w:spacing w:val="-4"/>
          <w:lang w:val="en-GB"/>
        </w:rPr>
        <w:t xml:space="preserve"> CZK bn in H1</w:t>
      </w:r>
      <w:r w:rsidR="00BC223A" w:rsidRPr="00DD6E6B">
        <w:rPr>
          <w:spacing w:val="-4"/>
          <w:lang w:val="en-GB"/>
        </w:rPr>
        <w:t xml:space="preserve">. </w:t>
      </w:r>
      <w:r w:rsidR="00E01DBF" w:rsidRPr="00DD6E6B">
        <w:rPr>
          <w:spacing w:val="-4"/>
          <w:lang w:val="en-GB"/>
        </w:rPr>
        <w:t xml:space="preserve">The total </w:t>
      </w:r>
      <w:r w:rsidR="00F61E6C" w:rsidRPr="00DD6E6B">
        <w:rPr>
          <w:spacing w:val="-4"/>
          <w:lang w:val="en-GB"/>
        </w:rPr>
        <w:t xml:space="preserve">revenues </w:t>
      </w:r>
      <w:r w:rsidR="00067833" w:rsidRPr="00DD6E6B">
        <w:rPr>
          <w:spacing w:val="-4"/>
          <w:lang w:val="en-GB"/>
        </w:rPr>
        <w:t xml:space="preserve">grew swiftly as a result of the high price rise in the economy year-on-year </w:t>
      </w:r>
      <w:r w:rsidR="00BC223A" w:rsidRPr="00DD6E6B">
        <w:rPr>
          <w:spacing w:val="-4"/>
          <w:lang w:val="en-GB"/>
        </w:rPr>
        <w:t>(16</w:t>
      </w:r>
      <w:r w:rsidR="00067833" w:rsidRPr="00DD6E6B">
        <w:rPr>
          <w:spacing w:val="-4"/>
          <w:lang w:val="en-GB"/>
        </w:rPr>
        <w:t>.</w:t>
      </w:r>
      <w:r w:rsidR="00BC223A" w:rsidRPr="00DD6E6B">
        <w:rPr>
          <w:spacing w:val="-4"/>
          <w:lang w:val="en-GB"/>
        </w:rPr>
        <w:t xml:space="preserve">5%), </w:t>
      </w:r>
      <w:r w:rsidR="00CD5F0F" w:rsidRPr="00DD6E6B">
        <w:rPr>
          <w:spacing w:val="-4"/>
          <w:lang w:val="en-GB"/>
        </w:rPr>
        <w:t xml:space="preserve">however </w:t>
      </w:r>
      <w:r w:rsidR="003512A5" w:rsidRPr="00DD6E6B">
        <w:rPr>
          <w:spacing w:val="-4"/>
          <w:lang w:val="en-GB"/>
        </w:rPr>
        <w:t xml:space="preserve">they did not completely fulfil the budget anticipations. </w:t>
      </w:r>
      <w:r w:rsidR="00BC223A" w:rsidRPr="00DD6E6B">
        <w:rPr>
          <w:spacing w:val="-4"/>
          <w:lang w:val="en-GB"/>
        </w:rPr>
        <w:t>T</w:t>
      </w:r>
      <w:r w:rsidR="006674A5" w:rsidRPr="00DD6E6B">
        <w:rPr>
          <w:spacing w:val="-4"/>
          <w:lang w:val="en-GB"/>
        </w:rPr>
        <w:t>he dynamics of the total expenditures</w:t>
      </w:r>
      <w:r w:rsidR="002A2376" w:rsidRPr="00DD6E6B">
        <w:rPr>
          <w:spacing w:val="-4"/>
          <w:lang w:val="en-GB"/>
        </w:rPr>
        <w:t>, which increased by 16.8% year-on-year in H1,</w:t>
      </w:r>
      <w:r w:rsidR="006674A5" w:rsidRPr="00DD6E6B">
        <w:rPr>
          <w:spacing w:val="-4"/>
          <w:lang w:val="en-GB"/>
        </w:rPr>
        <w:t xml:space="preserve"> on the other hand </w:t>
      </w:r>
      <w:r w:rsidR="00BF7DAD" w:rsidRPr="00DD6E6B">
        <w:rPr>
          <w:spacing w:val="-4"/>
          <w:lang w:val="en-GB"/>
        </w:rPr>
        <w:t>surpassed</w:t>
      </w:r>
      <w:r w:rsidR="002A2376" w:rsidRPr="00DD6E6B">
        <w:rPr>
          <w:spacing w:val="-4"/>
          <w:lang w:val="en-GB"/>
        </w:rPr>
        <w:t xml:space="preserve"> them. </w:t>
      </w:r>
      <w:r w:rsidR="00CB7495" w:rsidRPr="00DD6E6B">
        <w:rPr>
          <w:spacing w:val="-4"/>
          <w:lang w:val="en-GB"/>
        </w:rPr>
        <w:t xml:space="preserve">Weaker growth of the tax income </w:t>
      </w:r>
      <w:r w:rsidR="00DA3CEF" w:rsidRPr="00DD6E6B">
        <w:rPr>
          <w:spacing w:val="-4"/>
          <w:lang w:val="en-GB"/>
        </w:rPr>
        <w:t>was influenced by the continuing decrease of the real household consumption</w:t>
      </w:r>
      <w:r w:rsidR="00BC223A" w:rsidRPr="00DD6E6B">
        <w:rPr>
          <w:spacing w:val="-4"/>
          <w:lang w:val="en-GB"/>
        </w:rPr>
        <w:t xml:space="preserve">. </w:t>
      </w:r>
      <w:r w:rsidR="00405DCB" w:rsidRPr="00DD6E6B">
        <w:rPr>
          <w:spacing w:val="-4"/>
          <w:lang w:val="en-GB"/>
        </w:rPr>
        <w:t xml:space="preserve">The strong growth of expenditures was affected by the </w:t>
      </w:r>
      <w:r w:rsidR="00E37801" w:rsidRPr="00DD6E6B">
        <w:rPr>
          <w:spacing w:val="-4"/>
          <w:lang w:val="en-GB"/>
        </w:rPr>
        <w:t xml:space="preserve">assistance in connection to high prices of energies as well as the reaction to the prevailing inflation </w:t>
      </w:r>
      <w:r w:rsidR="00BC223A" w:rsidRPr="00DD6E6B">
        <w:rPr>
          <w:spacing w:val="-4"/>
          <w:lang w:val="en-GB"/>
        </w:rPr>
        <w:t>(</w:t>
      </w:r>
      <w:r w:rsidR="004A4C97" w:rsidRPr="00DD6E6B">
        <w:rPr>
          <w:spacing w:val="-4"/>
          <w:lang w:val="en-GB"/>
        </w:rPr>
        <w:t xml:space="preserve">pension adjustment, </w:t>
      </w:r>
      <w:r w:rsidR="008E0C45" w:rsidRPr="00DD6E6B">
        <w:rPr>
          <w:spacing w:val="-4"/>
          <w:lang w:val="en-GB"/>
        </w:rPr>
        <w:t>larger volume of paid out social benefits, growing repayments of the state debt</w:t>
      </w:r>
      <w:r w:rsidR="00BC223A" w:rsidRPr="00DD6E6B">
        <w:rPr>
          <w:spacing w:val="-4"/>
          <w:lang w:val="en-GB"/>
        </w:rPr>
        <w:t>).</w:t>
      </w:r>
    </w:p>
    <w:p w14:paraId="3150E3D3" w14:textId="7EC965DF" w:rsidR="00BC223A" w:rsidRPr="00DD6E6B" w:rsidRDefault="00B545CC" w:rsidP="00B73FE8">
      <w:pPr>
        <w:pStyle w:val="Normalodrka"/>
        <w:numPr>
          <w:ilvl w:val="0"/>
          <w:numId w:val="0"/>
        </w:numPr>
        <w:spacing w:after="0"/>
        <w:rPr>
          <w:spacing w:val="-4"/>
          <w:lang w:val="en-GB"/>
        </w:rPr>
      </w:pPr>
      <w:r w:rsidRPr="00B545CC">
        <w:rPr>
          <w:noProof/>
        </w:rPr>
        <w:lastRenderedPageBreak/>
        <w:drawing>
          <wp:inline distT="0" distB="0" distL="0" distR="0" wp14:anchorId="3DD24C80" wp14:editId="7BDE233D">
            <wp:extent cx="6120130" cy="9042400"/>
            <wp:effectExtent l="0" t="0" r="0" b="0"/>
            <wp:docPr id="160025279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9042400"/>
                    </a:xfrm>
                    <a:prstGeom prst="rect">
                      <a:avLst/>
                    </a:prstGeom>
                    <a:noFill/>
                    <a:ln>
                      <a:noFill/>
                    </a:ln>
                  </pic:spPr>
                </pic:pic>
              </a:graphicData>
            </a:graphic>
          </wp:inline>
        </w:drawing>
      </w:r>
    </w:p>
    <w:p w14:paraId="35EA198A" w14:textId="56BFF104" w:rsidR="00993ECA" w:rsidRPr="00DD6E6B" w:rsidRDefault="00993ECA" w:rsidP="00993ECA">
      <w:pPr>
        <w:pStyle w:val="Normalodrka"/>
        <w:numPr>
          <w:ilvl w:val="0"/>
          <w:numId w:val="0"/>
        </w:numPr>
        <w:spacing w:after="0"/>
        <w:rPr>
          <w:b/>
          <w:sz w:val="2"/>
          <w:szCs w:val="2"/>
          <w:lang w:val="en-GB"/>
        </w:rPr>
      </w:pPr>
    </w:p>
    <w:p w14:paraId="3175AC2F" w14:textId="5182EF0A" w:rsidR="007E5149" w:rsidRPr="00DD6E6B" w:rsidRDefault="007E5149" w:rsidP="007E5149">
      <w:pPr>
        <w:pStyle w:val="Nadpis1"/>
        <w:rPr>
          <w:lang w:val="en-GB"/>
        </w:rPr>
      </w:pPr>
      <w:bookmarkStart w:id="22" w:name="_Toc148437385"/>
      <w:bookmarkEnd w:id="8"/>
      <w:bookmarkEnd w:id="9"/>
      <w:bookmarkEnd w:id="10"/>
      <w:bookmarkEnd w:id="11"/>
      <w:bookmarkEnd w:id="12"/>
      <w:bookmarkEnd w:id="13"/>
      <w:bookmarkEnd w:id="14"/>
      <w:r w:rsidRPr="00DD6E6B">
        <w:rPr>
          <w:lang w:val="en-GB"/>
        </w:rPr>
        <w:t>2. </w:t>
      </w:r>
      <w:r w:rsidR="009C3684" w:rsidRPr="00DD6E6B">
        <w:rPr>
          <w:lang w:val="en-GB"/>
        </w:rPr>
        <w:t>Overall Economic Performance</w:t>
      </w:r>
      <w:bookmarkEnd w:id="22"/>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7E5149" w:rsidRPr="00DD6E6B" w14:paraId="65306B4E" w14:textId="77777777" w:rsidTr="20D21749">
        <w:trPr>
          <w:trHeight w:val="145"/>
        </w:trPr>
        <w:tc>
          <w:tcPr>
            <w:tcW w:w="1806" w:type="dxa"/>
            <w:shd w:val="clear" w:color="auto" w:fill="auto"/>
            <w:tcMar>
              <w:left w:w="0" w:type="dxa"/>
            </w:tcMar>
          </w:tcPr>
          <w:p w14:paraId="0A5B4771" w14:textId="237DB0B4" w:rsidR="007E5149" w:rsidRPr="00DD6E6B" w:rsidRDefault="0034193A" w:rsidP="007E5149">
            <w:pPr>
              <w:pStyle w:val="Marginlie"/>
              <w:rPr>
                <w:lang w:val="en-GB"/>
              </w:rPr>
            </w:pPr>
            <w:r w:rsidRPr="00DD6E6B">
              <w:rPr>
                <w:lang w:val="en-GB"/>
              </w:rPr>
              <w:t xml:space="preserve">The Czech economy </w:t>
            </w:r>
            <w:r w:rsidR="004B1AB1" w:rsidRPr="00DD6E6B">
              <w:rPr>
                <w:lang w:val="en-GB"/>
              </w:rPr>
              <w:t xml:space="preserve">stayed </w:t>
            </w:r>
            <w:r w:rsidR="00751676" w:rsidRPr="00DD6E6B">
              <w:rPr>
                <w:lang w:val="en-GB"/>
              </w:rPr>
              <w:t xml:space="preserve">near the quarter-on-quarter stagnation. </w:t>
            </w:r>
            <w:r w:rsidR="007E5149" w:rsidRPr="00DD6E6B">
              <w:rPr>
                <w:lang w:val="en-GB"/>
              </w:rPr>
              <w:t xml:space="preserve"> </w:t>
            </w:r>
          </w:p>
        </w:tc>
        <w:tc>
          <w:tcPr>
            <w:tcW w:w="223" w:type="dxa"/>
            <w:shd w:val="clear" w:color="auto" w:fill="auto"/>
            <w:tcMar>
              <w:left w:w="0" w:type="dxa"/>
            </w:tcMar>
          </w:tcPr>
          <w:p w14:paraId="6AD06EA6"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5931C3C6" w14:textId="011E2679" w:rsidR="007E5149" w:rsidRPr="00DD6E6B" w:rsidRDefault="00751676" w:rsidP="007E5149">
            <w:pPr>
              <w:rPr>
                <w:spacing w:val="-2"/>
                <w:lang w:val="en-GB"/>
              </w:rPr>
            </w:pPr>
            <w:r w:rsidRPr="00DD6E6B">
              <w:rPr>
                <w:spacing w:val="-2"/>
                <w:lang w:val="en-GB"/>
              </w:rPr>
              <w:t xml:space="preserve">The quarter-on-quarter stagnation of the Gross domestic product </w:t>
            </w:r>
            <w:r w:rsidR="007E5149" w:rsidRPr="00DD6E6B">
              <w:rPr>
                <w:spacing w:val="-2"/>
                <w:lang w:val="en-GB"/>
              </w:rPr>
              <w:t>(</w:t>
            </w:r>
            <w:r w:rsidRPr="00DD6E6B">
              <w:rPr>
                <w:spacing w:val="-2"/>
                <w:lang w:val="en-GB"/>
              </w:rPr>
              <w:t>GDP</w:t>
            </w:r>
            <w:r w:rsidR="007E5149" w:rsidRPr="00DD6E6B">
              <w:rPr>
                <w:spacing w:val="-2"/>
                <w:lang w:val="en-GB"/>
              </w:rPr>
              <w:t>)</w:t>
            </w:r>
            <w:r w:rsidRPr="00DD6E6B">
              <w:rPr>
                <w:spacing w:val="-2"/>
                <w:lang w:val="en-GB"/>
              </w:rPr>
              <w:t xml:space="preserve"> continued in Q2 2023</w:t>
            </w:r>
            <w:r w:rsidR="007E5149" w:rsidRPr="00DD6E6B">
              <w:rPr>
                <w:spacing w:val="-2"/>
                <w:lang w:val="en-GB"/>
              </w:rPr>
              <w:t>,</w:t>
            </w:r>
            <w:r w:rsidRPr="00DD6E6B">
              <w:rPr>
                <w:spacing w:val="-2"/>
                <w:lang w:val="en-GB"/>
              </w:rPr>
              <w:t xml:space="preserve"> when the Czech economy grew only by </w:t>
            </w:r>
            <w:r w:rsidR="007E5149" w:rsidRPr="00DD6E6B">
              <w:rPr>
                <w:spacing w:val="-2"/>
                <w:lang w:val="en-GB"/>
              </w:rPr>
              <w:t>0</w:t>
            </w:r>
            <w:r w:rsidRPr="00DD6E6B">
              <w:rPr>
                <w:spacing w:val="-2"/>
                <w:lang w:val="en-GB"/>
              </w:rPr>
              <w:t>.</w:t>
            </w:r>
            <w:r w:rsidR="007E5149" w:rsidRPr="00DD6E6B">
              <w:rPr>
                <w:spacing w:val="-2"/>
                <w:lang w:val="en-GB"/>
              </w:rPr>
              <w:t>1%</w:t>
            </w:r>
            <w:r w:rsidR="007E5149" w:rsidRPr="00DD6E6B">
              <w:rPr>
                <w:rStyle w:val="Znakapoznpodarou"/>
                <w:rFonts w:cs="Arial"/>
                <w:spacing w:val="-2"/>
                <w:lang w:val="en-GB"/>
              </w:rPr>
              <w:footnoteReference w:id="4"/>
            </w:r>
            <w:r w:rsidR="007E5149" w:rsidRPr="00DD6E6B">
              <w:rPr>
                <w:spacing w:val="-2"/>
                <w:lang w:val="en-GB"/>
              </w:rPr>
              <w:t>.</w:t>
            </w:r>
            <w:r w:rsidR="006E234C" w:rsidRPr="00DD6E6B">
              <w:rPr>
                <w:spacing w:val="-2"/>
                <w:lang w:val="en-GB"/>
              </w:rPr>
              <w:t xml:space="preserve">The quarter-on-quarter pace has thus stayed near zero </w:t>
            </w:r>
            <w:r w:rsidR="009233E7" w:rsidRPr="00DD6E6B">
              <w:rPr>
                <w:spacing w:val="-2"/>
                <w:lang w:val="en-GB"/>
              </w:rPr>
              <w:t xml:space="preserve">for </w:t>
            </w:r>
            <w:r w:rsidR="006E234C" w:rsidRPr="00DD6E6B">
              <w:rPr>
                <w:spacing w:val="-2"/>
                <w:lang w:val="en-GB"/>
              </w:rPr>
              <w:t xml:space="preserve">already five quarters. </w:t>
            </w:r>
            <w:r w:rsidR="009233E7" w:rsidRPr="00DD6E6B">
              <w:rPr>
                <w:spacing w:val="-2"/>
                <w:lang w:val="en-GB"/>
              </w:rPr>
              <w:t xml:space="preserve">The described addition is the result of </w:t>
            </w:r>
            <w:r w:rsidR="008249A7" w:rsidRPr="00DD6E6B">
              <w:rPr>
                <w:spacing w:val="-2"/>
                <w:lang w:val="en-GB"/>
              </w:rPr>
              <w:t xml:space="preserve">effect of two opposing factors. </w:t>
            </w:r>
            <w:r w:rsidR="00DC3A96" w:rsidRPr="00DD6E6B">
              <w:rPr>
                <w:spacing w:val="-2"/>
                <w:lang w:val="en-GB"/>
              </w:rPr>
              <w:t xml:space="preserve">The change of the inventory stock </w:t>
            </w:r>
            <w:r w:rsidR="00175BF1" w:rsidRPr="00DD6E6B">
              <w:rPr>
                <w:spacing w:val="-2"/>
                <w:lang w:val="en-GB"/>
              </w:rPr>
              <w:t xml:space="preserve">had a strongly negative impact on the quarter-on-quarter GDP dynamics. </w:t>
            </w:r>
            <w:r w:rsidR="00162DAF" w:rsidRPr="00DD6E6B">
              <w:rPr>
                <w:spacing w:val="-2"/>
                <w:lang w:val="en-GB"/>
              </w:rPr>
              <w:t>On the other hand</w:t>
            </w:r>
            <w:r w:rsidR="002F06E2">
              <w:rPr>
                <w:spacing w:val="-2"/>
                <w:lang w:val="en-GB"/>
              </w:rPr>
              <w:t>,</w:t>
            </w:r>
            <w:r w:rsidR="00162DAF" w:rsidRPr="00DD6E6B">
              <w:rPr>
                <w:spacing w:val="-2"/>
                <w:lang w:val="en-GB"/>
              </w:rPr>
              <w:t xml:space="preserve"> the positive effect of the foreign demand, government consumption </w:t>
            </w:r>
            <w:r w:rsidR="00C05608" w:rsidRPr="00DD6E6B">
              <w:rPr>
                <w:spacing w:val="-2"/>
                <w:lang w:val="en-GB"/>
              </w:rPr>
              <w:t>continued and the investment activity revived, mainly the activity linked to the investments of businesses.</w:t>
            </w:r>
            <w:r w:rsidR="007E5149" w:rsidRPr="00DD6E6B">
              <w:rPr>
                <w:spacing w:val="-2"/>
                <w:lang w:val="en-GB"/>
              </w:rPr>
              <w:t xml:space="preserve"> </w:t>
            </w:r>
            <w:r w:rsidR="00D40441" w:rsidRPr="00DD6E6B">
              <w:rPr>
                <w:spacing w:val="-2"/>
                <w:lang w:val="en-GB"/>
              </w:rPr>
              <w:t xml:space="preserve">The household consumption also increased </w:t>
            </w:r>
            <w:r w:rsidR="005413E9" w:rsidRPr="00DD6E6B">
              <w:rPr>
                <w:spacing w:val="-2"/>
                <w:lang w:val="en-GB"/>
              </w:rPr>
              <w:t xml:space="preserve">quarter-on-quarter </w:t>
            </w:r>
            <w:r w:rsidR="00D40441" w:rsidRPr="00DD6E6B">
              <w:rPr>
                <w:spacing w:val="-2"/>
                <w:lang w:val="en-GB"/>
              </w:rPr>
              <w:t>following s</w:t>
            </w:r>
            <w:r w:rsidR="005413E9" w:rsidRPr="00DD6E6B">
              <w:rPr>
                <w:spacing w:val="-2"/>
                <w:lang w:val="en-GB"/>
              </w:rPr>
              <w:t xml:space="preserve">ix decreases. </w:t>
            </w:r>
            <w:r w:rsidR="000F0E60" w:rsidRPr="00DD6E6B">
              <w:rPr>
                <w:spacing w:val="-2"/>
                <w:lang w:val="en-GB"/>
              </w:rPr>
              <w:t xml:space="preserve">The GDP </w:t>
            </w:r>
            <w:r w:rsidR="00002275" w:rsidRPr="00DD6E6B">
              <w:rPr>
                <w:spacing w:val="-2"/>
                <w:lang w:val="en-GB"/>
              </w:rPr>
              <w:t xml:space="preserve">lowered by </w:t>
            </w:r>
            <w:r w:rsidR="007E5149" w:rsidRPr="00DD6E6B">
              <w:rPr>
                <w:spacing w:val="-2"/>
                <w:lang w:val="en-GB"/>
              </w:rPr>
              <w:t>0</w:t>
            </w:r>
            <w:r w:rsidR="00002275" w:rsidRPr="00DD6E6B">
              <w:rPr>
                <w:spacing w:val="-2"/>
                <w:lang w:val="en-GB"/>
              </w:rPr>
              <w:t>.</w:t>
            </w:r>
            <w:r w:rsidR="007E5149" w:rsidRPr="00DD6E6B">
              <w:rPr>
                <w:spacing w:val="-2"/>
                <w:lang w:val="en-GB"/>
              </w:rPr>
              <w:t>4%</w:t>
            </w:r>
            <w:r w:rsidR="00002275" w:rsidRPr="00DD6E6B">
              <w:rPr>
                <w:spacing w:val="-2"/>
                <w:lang w:val="en-GB"/>
              </w:rPr>
              <w:t xml:space="preserve"> </w:t>
            </w:r>
            <w:r w:rsidR="000F0E60" w:rsidRPr="00DD6E6B">
              <w:rPr>
                <w:spacing w:val="-2"/>
                <w:lang w:val="en-GB"/>
              </w:rPr>
              <w:t>year-on-year in Q</w:t>
            </w:r>
            <w:r w:rsidR="00033BFC" w:rsidRPr="00DD6E6B">
              <w:rPr>
                <w:spacing w:val="-2"/>
                <w:lang w:val="en-GB"/>
              </w:rPr>
              <w:t>2 and thus decreased for the second time in a row</w:t>
            </w:r>
            <w:r w:rsidR="007E5149" w:rsidRPr="00DD6E6B">
              <w:rPr>
                <w:spacing w:val="-2"/>
                <w:lang w:val="en-GB"/>
              </w:rPr>
              <w:t>.</w:t>
            </w:r>
            <w:r w:rsidR="00CD5CC4" w:rsidRPr="00DD6E6B">
              <w:rPr>
                <w:spacing w:val="-2"/>
                <w:lang w:val="en-GB"/>
              </w:rPr>
              <w:t xml:space="preserve"> Household consumption and inventory stock were shrinking</w:t>
            </w:r>
            <w:r w:rsidR="007E5149" w:rsidRPr="00DD6E6B">
              <w:rPr>
                <w:spacing w:val="-2"/>
                <w:lang w:val="en-GB"/>
              </w:rPr>
              <w:t xml:space="preserve">. </w:t>
            </w:r>
            <w:r w:rsidR="00B532B1" w:rsidRPr="00DD6E6B">
              <w:rPr>
                <w:spacing w:val="-2"/>
                <w:lang w:val="en-GB"/>
              </w:rPr>
              <w:t>The foreign demand, investment activity and government consumption on the contrary had a favourable effect</w:t>
            </w:r>
            <w:r w:rsidR="007E5149" w:rsidRPr="00DD6E6B">
              <w:rPr>
                <w:spacing w:val="-2"/>
                <w:lang w:val="en-GB"/>
              </w:rPr>
              <w:t>.</w:t>
            </w:r>
          </w:p>
        </w:tc>
      </w:tr>
      <w:tr w:rsidR="007E5149" w:rsidRPr="00DD6E6B" w14:paraId="2B26841E" w14:textId="77777777" w:rsidTr="20D21749">
        <w:trPr>
          <w:trHeight w:val="170"/>
        </w:trPr>
        <w:tc>
          <w:tcPr>
            <w:tcW w:w="1806" w:type="dxa"/>
            <w:vMerge w:val="restart"/>
            <w:shd w:val="clear" w:color="auto" w:fill="auto"/>
            <w:tcMar>
              <w:left w:w="0" w:type="dxa"/>
            </w:tcMar>
          </w:tcPr>
          <w:p w14:paraId="0D916A27" w14:textId="77777777" w:rsidR="007E5149" w:rsidRPr="00DD6E6B" w:rsidRDefault="007E5149" w:rsidP="007E5149">
            <w:pPr>
              <w:pStyle w:val="Marginlie"/>
              <w:rPr>
                <w:lang w:val="en-GB"/>
              </w:rPr>
            </w:pPr>
          </w:p>
        </w:tc>
        <w:tc>
          <w:tcPr>
            <w:tcW w:w="223" w:type="dxa"/>
            <w:vMerge w:val="restart"/>
            <w:shd w:val="clear" w:color="auto" w:fill="auto"/>
            <w:tcMar>
              <w:left w:w="0" w:type="dxa"/>
            </w:tcMar>
          </w:tcPr>
          <w:p w14:paraId="1EA21357"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4ACCBAC9" w14:textId="438ABFD7" w:rsidR="007E5149" w:rsidRPr="00DD6E6B" w:rsidRDefault="009C3684" w:rsidP="007E5149">
            <w:pPr>
              <w:spacing w:after="0"/>
              <w:rPr>
                <w:b/>
                <w:szCs w:val="20"/>
                <w:lang w:val="en-GB"/>
              </w:rPr>
            </w:pPr>
            <w:r w:rsidRPr="00DD6E6B">
              <w:rPr>
                <w:rFonts w:cs="Arial"/>
                <w:b/>
                <w:bCs/>
                <w:color w:val="000000"/>
                <w:szCs w:val="20"/>
                <w:lang w:val="en-GB"/>
              </w:rPr>
              <w:t xml:space="preserve">Chart </w:t>
            </w:r>
            <w:r w:rsidR="007E5149" w:rsidRPr="00DD6E6B">
              <w:rPr>
                <w:rFonts w:cs="Arial"/>
                <w:b/>
                <w:bCs/>
                <w:color w:val="000000"/>
                <w:szCs w:val="20"/>
                <w:lang w:val="en-GB"/>
              </w:rPr>
              <w:t xml:space="preserve">1 </w:t>
            </w:r>
            <w:r w:rsidRPr="00DD6E6B">
              <w:rPr>
                <w:rFonts w:cs="Arial"/>
                <w:b/>
                <w:bCs/>
                <w:color w:val="000000"/>
                <w:szCs w:val="20"/>
                <w:lang w:val="en-GB"/>
              </w:rPr>
              <w:t>GD</w:t>
            </w:r>
            <w:r w:rsidR="007E5149" w:rsidRPr="00DD6E6B">
              <w:rPr>
                <w:rFonts w:cs="Arial"/>
                <w:b/>
                <w:szCs w:val="20"/>
                <w:lang w:val="en-GB" w:eastAsia="en-US"/>
              </w:rPr>
              <w:t xml:space="preserve">P </w:t>
            </w:r>
            <w:r w:rsidR="007E5149" w:rsidRPr="00DD6E6B">
              <w:rPr>
                <w:rFonts w:cs="Arial"/>
                <w:bCs/>
                <w:szCs w:val="20"/>
                <w:lang w:val="en-GB" w:eastAsia="en-US"/>
              </w:rPr>
              <w:t>(</w:t>
            </w:r>
            <w:r w:rsidR="002632B0" w:rsidRPr="00DD6E6B">
              <w:rPr>
                <w:rFonts w:cs="Arial"/>
                <w:bCs/>
                <w:szCs w:val="20"/>
                <w:lang w:val="en-GB" w:eastAsia="en-US"/>
              </w:rPr>
              <w:t>volume indices</w:t>
            </w:r>
            <w:r w:rsidR="007E5149" w:rsidRPr="00DD6E6B">
              <w:rPr>
                <w:rFonts w:cs="Arial"/>
                <w:bCs/>
                <w:szCs w:val="20"/>
                <w:lang w:val="en-GB" w:eastAsia="en-US"/>
              </w:rPr>
              <w:t xml:space="preserve">, </w:t>
            </w:r>
            <w:r w:rsidR="00CD1E14" w:rsidRPr="00DD6E6B">
              <w:rPr>
                <w:rFonts w:cs="Arial"/>
                <w:bCs/>
                <w:szCs w:val="20"/>
                <w:lang w:val="en-GB" w:eastAsia="en-US"/>
              </w:rPr>
              <w:t xml:space="preserve">adjusted for seasonal </w:t>
            </w:r>
            <w:r w:rsidR="00E41A3F" w:rsidRPr="00DD6E6B">
              <w:rPr>
                <w:rFonts w:cs="Arial"/>
                <w:bCs/>
                <w:szCs w:val="20"/>
                <w:lang w:val="en-GB" w:eastAsia="en-US"/>
              </w:rPr>
              <w:t>and calendar effects</w:t>
            </w:r>
            <w:r w:rsidR="00AA1756" w:rsidRPr="00DD6E6B">
              <w:rPr>
                <w:rFonts w:cs="Arial"/>
                <w:bCs/>
                <w:szCs w:val="20"/>
                <w:lang w:val="en-GB" w:eastAsia="en-US"/>
              </w:rPr>
              <w:t xml:space="preserve">, in </w:t>
            </w:r>
            <w:r w:rsidR="007E5149" w:rsidRPr="00DD6E6B">
              <w:rPr>
                <w:rFonts w:cs="Arial"/>
                <w:bCs/>
                <w:szCs w:val="20"/>
                <w:lang w:val="en-GB" w:eastAsia="en-US"/>
              </w:rPr>
              <w:t>%)</w:t>
            </w:r>
          </w:p>
        </w:tc>
      </w:tr>
      <w:tr w:rsidR="007E5149" w:rsidRPr="00DD6E6B" w14:paraId="71A158F7" w14:textId="77777777" w:rsidTr="00B545CC">
        <w:tblPrEx>
          <w:tblCellMar>
            <w:left w:w="70" w:type="dxa"/>
            <w:right w:w="70" w:type="dxa"/>
          </w:tblCellMar>
        </w:tblPrEx>
        <w:trPr>
          <w:trHeight w:val="170"/>
        </w:trPr>
        <w:tc>
          <w:tcPr>
            <w:tcW w:w="1806" w:type="dxa"/>
            <w:vMerge/>
          </w:tcPr>
          <w:p w14:paraId="7FA7373B" w14:textId="77777777" w:rsidR="007E5149" w:rsidRPr="00DD6E6B" w:rsidRDefault="007E5149" w:rsidP="007E5149">
            <w:pPr>
              <w:pStyle w:val="Marginlie"/>
              <w:rPr>
                <w:lang w:val="en-GB"/>
              </w:rPr>
            </w:pPr>
          </w:p>
        </w:tc>
        <w:tc>
          <w:tcPr>
            <w:tcW w:w="223" w:type="dxa"/>
            <w:vMerge/>
          </w:tcPr>
          <w:p w14:paraId="4CFEC573" w14:textId="77777777" w:rsidR="007E5149" w:rsidRPr="00DD6E6B" w:rsidRDefault="007E5149" w:rsidP="007E5149">
            <w:pPr>
              <w:pStyle w:val="Textpoznpodarou"/>
              <w:jc w:val="both"/>
              <w:rPr>
                <w:spacing w:val="-4"/>
                <w:lang w:val="en-GB"/>
              </w:rPr>
            </w:pPr>
          </w:p>
        </w:tc>
        <w:tc>
          <w:tcPr>
            <w:tcW w:w="7610" w:type="dxa"/>
            <w:shd w:val="clear" w:color="auto" w:fill="auto"/>
          </w:tcPr>
          <w:p w14:paraId="64E99FB9" w14:textId="22E0F85E" w:rsidR="007E5149" w:rsidRPr="00DD6E6B" w:rsidRDefault="00B545CC" w:rsidP="007E5149">
            <w:pPr>
              <w:spacing w:after="0"/>
              <w:rPr>
                <w:lang w:val="en-GB"/>
              </w:rPr>
            </w:pPr>
            <w:r>
              <w:rPr>
                <w:noProof/>
              </w:rPr>
              <w:drawing>
                <wp:inline distT="0" distB="0" distL="0" distR="0" wp14:anchorId="2BA4E54C" wp14:editId="6FFD6275">
                  <wp:extent cx="4743950" cy="3353175"/>
                  <wp:effectExtent l="0" t="0" r="0" b="0"/>
                  <wp:docPr id="723820190"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7E5149" w:rsidRPr="00DD6E6B" w14:paraId="26F19BC7" w14:textId="77777777" w:rsidTr="20D21749">
        <w:trPr>
          <w:trHeight w:val="170"/>
        </w:trPr>
        <w:tc>
          <w:tcPr>
            <w:tcW w:w="1806" w:type="dxa"/>
            <w:vMerge/>
            <w:tcMar>
              <w:left w:w="0" w:type="dxa"/>
            </w:tcMar>
          </w:tcPr>
          <w:p w14:paraId="55DEF6FD" w14:textId="77777777" w:rsidR="007E5149" w:rsidRPr="00DD6E6B" w:rsidRDefault="007E5149" w:rsidP="007E5149">
            <w:pPr>
              <w:pStyle w:val="Marginlie"/>
              <w:rPr>
                <w:lang w:val="en-GB"/>
              </w:rPr>
            </w:pPr>
          </w:p>
        </w:tc>
        <w:tc>
          <w:tcPr>
            <w:tcW w:w="223" w:type="dxa"/>
            <w:vMerge/>
            <w:tcMar>
              <w:left w:w="0" w:type="dxa"/>
            </w:tcMar>
          </w:tcPr>
          <w:p w14:paraId="65B61A1B"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614619E" w14:textId="75AAAD90" w:rsidR="00047ED0" w:rsidRPr="00B545CC" w:rsidRDefault="00047ED0" w:rsidP="00B545CC">
            <w:pPr>
              <w:spacing w:after="220"/>
              <w:rPr>
                <w:sz w:val="14"/>
                <w:szCs w:val="14"/>
                <w:lang w:val="en-GB"/>
              </w:rPr>
            </w:pPr>
            <w:r w:rsidRPr="00DD6E6B">
              <w:rPr>
                <w:sz w:val="14"/>
                <w:szCs w:val="14"/>
                <w:lang w:val="en-GB"/>
              </w:rPr>
              <w:t>Source</w:t>
            </w:r>
            <w:r w:rsidR="007E5149" w:rsidRPr="00DD6E6B">
              <w:rPr>
                <w:sz w:val="14"/>
                <w:szCs w:val="14"/>
                <w:lang w:val="en-GB"/>
              </w:rPr>
              <w:t xml:space="preserve">: </w:t>
            </w:r>
            <w:r w:rsidRPr="00DD6E6B">
              <w:rPr>
                <w:sz w:val="14"/>
                <w:szCs w:val="14"/>
                <w:lang w:val="en-GB"/>
              </w:rPr>
              <w:t>CZSO</w:t>
            </w:r>
            <w:r w:rsidR="007E5149" w:rsidRPr="00DD6E6B">
              <w:rPr>
                <w:sz w:val="14"/>
                <w:szCs w:val="14"/>
                <w:lang w:val="en-GB"/>
              </w:rPr>
              <w:t>, Eurostat</w:t>
            </w:r>
          </w:p>
        </w:tc>
      </w:tr>
      <w:tr w:rsidR="007E5149" w:rsidRPr="00DD6E6B" w14:paraId="1483C43E" w14:textId="77777777" w:rsidTr="20D21749">
        <w:trPr>
          <w:trHeight w:val="145"/>
        </w:trPr>
        <w:tc>
          <w:tcPr>
            <w:tcW w:w="1806" w:type="dxa"/>
            <w:shd w:val="clear" w:color="auto" w:fill="auto"/>
            <w:tcMar>
              <w:left w:w="0" w:type="dxa"/>
            </w:tcMar>
          </w:tcPr>
          <w:p w14:paraId="1DF1EFAC" w14:textId="53215889" w:rsidR="007E5149" w:rsidRPr="00DD6E6B" w:rsidRDefault="00407101" w:rsidP="007E5149">
            <w:pPr>
              <w:pStyle w:val="Marginlie"/>
              <w:rPr>
                <w:lang w:val="en-GB"/>
              </w:rPr>
            </w:pPr>
            <w:r w:rsidRPr="00DD6E6B">
              <w:rPr>
                <w:lang w:val="en-GB"/>
              </w:rPr>
              <w:t xml:space="preserve">Gross domestic product stagnated </w:t>
            </w:r>
            <w:r w:rsidR="00BE4B6B" w:rsidRPr="00DD6E6B">
              <w:rPr>
                <w:lang w:val="en-GB"/>
              </w:rPr>
              <w:t xml:space="preserve">in the EU quarter-on-quarter. </w:t>
            </w:r>
          </w:p>
        </w:tc>
        <w:tc>
          <w:tcPr>
            <w:tcW w:w="223" w:type="dxa"/>
            <w:shd w:val="clear" w:color="auto" w:fill="auto"/>
            <w:tcMar>
              <w:left w:w="0" w:type="dxa"/>
            </w:tcMar>
          </w:tcPr>
          <w:p w14:paraId="65844CCF"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F838B4D" w14:textId="65E9F937" w:rsidR="007E5149" w:rsidRPr="00DD6E6B" w:rsidRDefault="00BE4B6B" w:rsidP="007E5149">
            <w:pPr>
              <w:rPr>
                <w:lang w:val="en-GB"/>
              </w:rPr>
            </w:pPr>
            <w:r w:rsidRPr="00DD6E6B">
              <w:rPr>
                <w:lang w:val="en-GB"/>
              </w:rPr>
              <w:t xml:space="preserve">The GDP of the whole European Union stagnated quarter-on-quarter in Q2 and the year-on-year growth slowed down to </w:t>
            </w:r>
            <w:r w:rsidR="007E5149" w:rsidRPr="00DD6E6B">
              <w:rPr>
                <w:lang w:val="en-GB"/>
              </w:rPr>
              <w:t>0</w:t>
            </w:r>
            <w:r w:rsidRPr="00DD6E6B">
              <w:rPr>
                <w:lang w:val="en-GB"/>
              </w:rPr>
              <w:t>.</w:t>
            </w:r>
            <w:r w:rsidR="37D604A5" w:rsidRPr="00DD6E6B">
              <w:rPr>
                <w:lang w:val="en-GB"/>
              </w:rPr>
              <w:t>4</w:t>
            </w:r>
            <w:r w:rsidR="007E5149" w:rsidRPr="00DD6E6B">
              <w:rPr>
                <w:lang w:val="en-GB"/>
              </w:rPr>
              <w:t>%</w:t>
            </w:r>
            <w:r w:rsidR="007E5149" w:rsidRPr="00DD6E6B">
              <w:rPr>
                <w:rStyle w:val="Znakapoznpodarou"/>
                <w:spacing w:val="-2"/>
                <w:lang w:val="en-GB"/>
              </w:rPr>
              <w:footnoteReference w:id="5"/>
            </w:r>
            <w:r w:rsidR="007E5149" w:rsidRPr="00DD6E6B">
              <w:rPr>
                <w:lang w:val="en-GB"/>
              </w:rPr>
              <w:t xml:space="preserve">. </w:t>
            </w:r>
            <w:r w:rsidR="00ED17D8" w:rsidRPr="00DD6E6B">
              <w:rPr>
                <w:lang w:val="en-GB"/>
              </w:rPr>
              <w:t xml:space="preserve">The majority of EU economies based on the available data grew year-on-year as well as quarter-on-quarter. </w:t>
            </w:r>
            <w:r w:rsidR="0072420F" w:rsidRPr="00DD6E6B">
              <w:rPr>
                <w:lang w:val="en-GB"/>
              </w:rPr>
              <w:t xml:space="preserve">The GDP increased the most </w:t>
            </w:r>
            <w:r w:rsidR="00A81374" w:rsidRPr="00DD6E6B">
              <w:rPr>
                <w:lang w:val="en-GB"/>
              </w:rPr>
              <w:t>in</w:t>
            </w:r>
            <w:r w:rsidR="0072420F" w:rsidRPr="00DD6E6B">
              <w:rPr>
                <w:lang w:val="en-GB"/>
              </w:rPr>
              <w:t xml:space="preserve"> Malta </w:t>
            </w:r>
            <w:r w:rsidR="1B53A8C8" w:rsidRPr="00DD6E6B">
              <w:rPr>
                <w:lang w:val="en-GB"/>
              </w:rPr>
              <w:t>(3</w:t>
            </w:r>
            <w:r w:rsidR="0072420F" w:rsidRPr="00DD6E6B">
              <w:rPr>
                <w:lang w:val="en-GB"/>
              </w:rPr>
              <w:t>.</w:t>
            </w:r>
            <w:r w:rsidR="1B53A8C8" w:rsidRPr="00DD6E6B">
              <w:rPr>
                <w:lang w:val="en-GB"/>
              </w:rPr>
              <w:t>9%)</w:t>
            </w:r>
            <w:r w:rsidR="08A648BF" w:rsidRPr="00DD6E6B">
              <w:rPr>
                <w:lang w:val="en-GB"/>
              </w:rPr>
              <w:t xml:space="preserve">, </w:t>
            </w:r>
            <w:r w:rsidR="0072420F" w:rsidRPr="00DD6E6B">
              <w:rPr>
                <w:lang w:val="en-GB"/>
              </w:rPr>
              <w:t xml:space="preserve">in Greece </w:t>
            </w:r>
            <w:r w:rsidR="7C941E33" w:rsidRPr="00DD6E6B">
              <w:rPr>
                <w:lang w:val="en-GB"/>
              </w:rPr>
              <w:t>(2</w:t>
            </w:r>
            <w:r w:rsidR="0072420F" w:rsidRPr="00DD6E6B">
              <w:rPr>
                <w:lang w:val="en-GB"/>
              </w:rPr>
              <w:t>.</w:t>
            </w:r>
            <w:r w:rsidR="7C941E33" w:rsidRPr="00DD6E6B">
              <w:rPr>
                <w:lang w:val="en-GB"/>
              </w:rPr>
              <w:t>7%)</w:t>
            </w:r>
            <w:r w:rsidR="08A648BF" w:rsidRPr="00DD6E6B">
              <w:rPr>
                <w:lang w:val="en-GB"/>
              </w:rPr>
              <w:t xml:space="preserve"> a</w:t>
            </w:r>
            <w:r w:rsidR="0072420F" w:rsidRPr="00DD6E6B">
              <w:rPr>
                <w:lang w:val="en-GB"/>
              </w:rPr>
              <w:t xml:space="preserve">nd in Romania </w:t>
            </w:r>
            <w:r w:rsidR="007E5149" w:rsidRPr="00DD6E6B">
              <w:rPr>
                <w:lang w:val="en-GB"/>
              </w:rPr>
              <w:t>(2</w:t>
            </w:r>
            <w:r w:rsidR="0072420F" w:rsidRPr="00DD6E6B">
              <w:rPr>
                <w:lang w:val="en-GB"/>
              </w:rPr>
              <w:t>.</w:t>
            </w:r>
            <w:r w:rsidR="007E5149" w:rsidRPr="00DD6E6B">
              <w:rPr>
                <w:lang w:val="en-GB"/>
              </w:rPr>
              <w:t>7%)</w:t>
            </w:r>
            <w:r w:rsidR="0072420F" w:rsidRPr="00DD6E6B">
              <w:rPr>
                <w:lang w:val="en-GB"/>
              </w:rPr>
              <w:t xml:space="preserve"> year-on-year</w:t>
            </w:r>
            <w:r w:rsidR="60B2C930" w:rsidRPr="00DD6E6B">
              <w:rPr>
                <w:lang w:val="en-GB"/>
              </w:rPr>
              <w:t>.</w:t>
            </w:r>
            <w:r w:rsidR="0072420F" w:rsidRPr="00DD6E6B">
              <w:rPr>
                <w:lang w:val="en-GB"/>
              </w:rPr>
              <w:t xml:space="preserve"> The CR </w:t>
            </w:r>
            <w:r w:rsidR="006B6DFA" w:rsidRPr="00DD6E6B">
              <w:rPr>
                <w:lang w:val="en-GB"/>
              </w:rPr>
              <w:t>was among the minority of countries featuring year-on-year GDP</w:t>
            </w:r>
            <w:r w:rsidR="00A81374" w:rsidRPr="00DD6E6B">
              <w:rPr>
                <w:lang w:val="en-GB"/>
              </w:rPr>
              <w:t xml:space="preserve"> decrease. The GDP dropped the most in Estonia </w:t>
            </w:r>
            <w:r w:rsidR="006033A4">
              <w:rPr>
                <w:lang w:val="en-GB"/>
              </w:rPr>
              <w:t>(</w:t>
            </w:r>
            <w:r w:rsidR="006033A4">
              <w:rPr>
                <w:color w:val="000000"/>
                <w:shd w:val="clear" w:color="auto" w:fill="FFFFFF"/>
              </w:rPr>
              <w:t>–</w:t>
            </w:r>
            <w:r w:rsidR="007E5149" w:rsidRPr="00DD6E6B">
              <w:rPr>
                <w:lang w:val="en-GB"/>
              </w:rPr>
              <w:t>3</w:t>
            </w:r>
            <w:r w:rsidR="00A81374" w:rsidRPr="00DD6E6B">
              <w:rPr>
                <w:lang w:val="en-GB"/>
              </w:rPr>
              <w:t>.</w:t>
            </w:r>
            <w:r w:rsidR="007E5149" w:rsidRPr="00DD6E6B">
              <w:rPr>
                <w:lang w:val="en-GB"/>
              </w:rPr>
              <w:t>0%),</w:t>
            </w:r>
            <w:r w:rsidR="00A81374" w:rsidRPr="00DD6E6B">
              <w:rPr>
                <w:lang w:val="en-GB"/>
              </w:rPr>
              <w:t xml:space="preserve"> Hungary</w:t>
            </w:r>
            <w:r w:rsidR="001602D3" w:rsidRPr="00DD6E6B">
              <w:rPr>
                <w:lang w:val="en-GB"/>
              </w:rPr>
              <w:t xml:space="preserve"> </w:t>
            </w:r>
            <w:r w:rsidR="006033A4">
              <w:rPr>
                <w:lang w:val="en-GB"/>
              </w:rPr>
              <w:t>(</w:t>
            </w:r>
            <w:r w:rsidR="006033A4">
              <w:rPr>
                <w:color w:val="000000"/>
                <w:shd w:val="clear" w:color="auto" w:fill="FFFFFF"/>
              </w:rPr>
              <w:t>–</w:t>
            </w:r>
            <w:r w:rsidR="67F8BB57" w:rsidRPr="00DD6E6B">
              <w:rPr>
                <w:lang w:val="en-GB"/>
              </w:rPr>
              <w:t>2</w:t>
            </w:r>
            <w:r w:rsidR="00A81374" w:rsidRPr="00DD6E6B">
              <w:rPr>
                <w:lang w:val="en-GB"/>
              </w:rPr>
              <w:t>.</w:t>
            </w:r>
            <w:r w:rsidR="67F8BB57" w:rsidRPr="00DD6E6B">
              <w:rPr>
                <w:lang w:val="en-GB"/>
              </w:rPr>
              <w:t>3%) a</w:t>
            </w:r>
            <w:r w:rsidR="00A81374" w:rsidRPr="00DD6E6B">
              <w:rPr>
                <w:lang w:val="en-GB"/>
              </w:rPr>
              <w:t xml:space="preserve">nd in Poland </w:t>
            </w:r>
            <w:r w:rsidR="006033A4">
              <w:rPr>
                <w:lang w:val="en-GB"/>
              </w:rPr>
              <w:t>(</w:t>
            </w:r>
            <w:r w:rsidR="006033A4">
              <w:rPr>
                <w:color w:val="000000"/>
                <w:shd w:val="clear" w:color="auto" w:fill="FFFFFF"/>
              </w:rPr>
              <w:t>–</w:t>
            </w:r>
            <w:r w:rsidR="007E5149" w:rsidRPr="00DD6E6B">
              <w:rPr>
                <w:lang w:val="en-GB"/>
              </w:rPr>
              <w:t>1</w:t>
            </w:r>
            <w:r w:rsidR="00A81374" w:rsidRPr="00DD6E6B">
              <w:rPr>
                <w:lang w:val="en-GB"/>
              </w:rPr>
              <w:t>.</w:t>
            </w:r>
            <w:r w:rsidR="007E5149" w:rsidRPr="00DD6E6B">
              <w:rPr>
                <w:lang w:val="en-GB"/>
              </w:rPr>
              <w:t>4%)</w:t>
            </w:r>
            <w:r w:rsidR="5DD689BF" w:rsidRPr="00DD6E6B">
              <w:rPr>
                <w:lang w:val="en-GB"/>
              </w:rPr>
              <w:t>.</w:t>
            </w:r>
            <w:r w:rsidR="007E5149" w:rsidRPr="00DD6E6B">
              <w:rPr>
                <w:lang w:val="en-GB"/>
              </w:rPr>
              <w:t xml:space="preserve"> </w:t>
            </w:r>
            <w:r w:rsidR="007D1627" w:rsidRPr="00DD6E6B">
              <w:rPr>
                <w:lang w:val="en-GB"/>
              </w:rPr>
              <w:t xml:space="preserve">From the view of the quarter-on-quarter development, the CR </w:t>
            </w:r>
            <w:r w:rsidR="00535DF6" w:rsidRPr="00DD6E6B">
              <w:rPr>
                <w:lang w:val="en-GB"/>
              </w:rPr>
              <w:t xml:space="preserve">ranged </w:t>
            </w:r>
            <w:r w:rsidR="00EC5B17" w:rsidRPr="00DD6E6B">
              <w:rPr>
                <w:lang w:val="en-GB"/>
              </w:rPr>
              <w:t>within the EU average</w:t>
            </w:r>
            <w:r w:rsidR="007E5149" w:rsidRPr="00DD6E6B">
              <w:rPr>
                <w:lang w:val="en-GB"/>
              </w:rPr>
              <w:t xml:space="preserve">. </w:t>
            </w:r>
            <w:r w:rsidR="00FA488C" w:rsidRPr="00DD6E6B">
              <w:rPr>
                <w:lang w:val="en-GB"/>
              </w:rPr>
              <w:t xml:space="preserve">The GDP increased the most quarter-on-quarter in </w:t>
            </w:r>
            <w:r w:rsidR="008332D0" w:rsidRPr="00DD6E6B">
              <w:rPr>
                <w:lang w:val="en-GB"/>
              </w:rPr>
              <w:t xml:space="preserve">Lithuania </w:t>
            </w:r>
            <w:r w:rsidR="007E5149" w:rsidRPr="00DD6E6B">
              <w:rPr>
                <w:lang w:val="en-GB"/>
              </w:rPr>
              <w:t>(2</w:t>
            </w:r>
            <w:r w:rsidR="008332D0" w:rsidRPr="00DD6E6B">
              <w:rPr>
                <w:lang w:val="en-GB"/>
              </w:rPr>
              <w:t>.</w:t>
            </w:r>
            <w:r w:rsidR="007E5149" w:rsidRPr="00DD6E6B">
              <w:rPr>
                <w:lang w:val="en-GB"/>
              </w:rPr>
              <w:t>9%), Slov</w:t>
            </w:r>
            <w:r w:rsidR="008332D0" w:rsidRPr="00DD6E6B">
              <w:rPr>
                <w:lang w:val="en-GB"/>
              </w:rPr>
              <w:t xml:space="preserve">enia </w:t>
            </w:r>
            <w:r w:rsidR="007E5149" w:rsidRPr="00DD6E6B">
              <w:rPr>
                <w:lang w:val="en-GB"/>
              </w:rPr>
              <w:t>(1</w:t>
            </w:r>
            <w:r w:rsidR="008332D0" w:rsidRPr="00DD6E6B">
              <w:rPr>
                <w:lang w:val="en-GB"/>
              </w:rPr>
              <w:t>.</w:t>
            </w:r>
            <w:r w:rsidR="007E5149" w:rsidRPr="00DD6E6B">
              <w:rPr>
                <w:lang w:val="en-GB"/>
              </w:rPr>
              <w:t>4%) a</w:t>
            </w:r>
            <w:r w:rsidR="008332D0" w:rsidRPr="00DD6E6B">
              <w:rPr>
                <w:lang w:val="en-GB"/>
              </w:rPr>
              <w:t xml:space="preserve">nd Greece </w:t>
            </w:r>
            <w:r w:rsidR="53942896" w:rsidRPr="00DD6E6B">
              <w:rPr>
                <w:lang w:val="en-GB"/>
              </w:rPr>
              <w:t>(1</w:t>
            </w:r>
            <w:r w:rsidR="008332D0" w:rsidRPr="00DD6E6B">
              <w:rPr>
                <w:lang w:val="en-GB"/>
              </w:rPr>
              <w:t>.</w:t>
            </w:r>
            <w:r w:rsidR="53942896" w:rsidRPr="00DD6E6B">
              <w:rPr>
                <w:lang w:val="en-GB"/>
              </w:rPr>
              <w:t>3%).</w:t>
            </w:r>
            <w:r w:rsidR="007E5149" w:rsidRPr="00DD6E6B">
              <w:rPr>
                <w:lang w:val="en-GB"/>
              </w:rPr>
              <w:t xml:space="preserve"> </w:t>
            </w:r>
            <w:r w:rsidR="00EC5B17" w:rsidRPr="00DD6E6B">
              <w:rPr>
                <w:lang w:val="en-GB"/>
              </w:rPr>
              <w:t xml:space="preserve">In contrast, the GDP </w:t>
            </w:r>
            <w:r w:rsidR="00654605" w:rsidRPr="00DD6E6B">
              <w:rPr>
                <w:lang w:val="en-GB"/>
              </w:rPr>
              <w:t xml:space="preserve">notably </w:t>
            </w:r>
            <w:r w:rsidR="008318E5" w:rsidRPr="00DD6E6B">
              <w:rPr>
                <w:lang w:val="en-GB"/>
              </w:rPr>
              <w:t xml:space="preserve">fell in Poland </w:t>
            </w:r>
            <w:r w:rsidR="006033A4">
              <w:rPr>
                <w:lang w:val="en-GB"/>
              </w:rPr>
              <w:t>(</w:t>
            </w:r>
            <w:r w:rsidR="006033A4">
              <w:rPr>
                <w:color w:val="000000"/>
                <w:shd w:val="clear" w:color="auto" w:fill="FFFFFF"/>
              </w:rPr>
              <w:t>–</w:t>
            </w:r>
            <w:r w:rsidR="007E5149" w:rsidRPr="00DD6E6B">
              <w:rPr>
                <w:lang w:val="en-GB"/>
              </w:rPr>
              <w:t>2</w:t>
            </w:r>
            <w:r w:rsidR="008318E5" w:rsidRPr="00DD6E6B">
              <w:rPr>
                <w:lang w:val="en-GB"/>
              </w:rPr>
              <w:t>.</w:t>
            </w:r>
            <w:r w:rsidR="007E5149" w:rsidRPr="00DD6E6B">
              <w:rPr>
                <w:lang w:val="en-GB"/>
              </w:rPr>
              <w:t>2%),</w:t>
            </w:r>
            <w:r w:rsidR="008318E5" w:rsidRPr="00DD6E6B">
              <w:rPr>
                <w:lang w:val="en-GB"/>
              </w:rPr>
              <w:t xml:space="preserve"> Sweden </w:t>
            </w:r>
            <w:r w:rsidR="006033A4">
              <w:rPr>
                <w:lang w:val="en-GB"/>
              </w:rPr>
              <w:t>(</w:t>
            </w:r>
            <w:r w:rsidR="006033A4">
              <w:rPr>
                <w:color w:val="000000"/>
                <w:shd w:val="clear" w:color="auto" w:fill="FFFFFF"/>
              </w:rPr>
              <w:t>–</w:t>
            </w:r>
            <w:r w:rsidR="007E5149" w:rsidRPr="00DD6E6B">
              <w:rPr>
                <w:lang w:val="en-GB"/>
              </w:rPr>
              <w:t>0</w:t>
            </w:r>
            <w:r w:rsidR="008318E5" w:rsidRPr="00DD6E6B">
              <w:rPr>
                <w:lang w:val="en-GB"/>
              </w:rPr>
              <w:t>.</w:t>
            </w:r>
            <w:r w:rsidR="007E5149" w:rsidRPr="00DD6E6B">
              <w:rPr>
                <w:lang w:val="en-GB"/>
              </w:rPr>
              <w:t>8%)</w:t>
            </w:r>
            <w:r w:rsidR="008318E5" w:rsidRPr="00DD6E6B">
              <w:rPr>
                <w:lang w:val="en-GB"/>
              </w:rPr>
              <w:t xml:space="preserve"> or in Austria </w:t>
            </w:r>
            <w:r w:rsidR="006033A4">
              <w:rPr>
                <w:lang w:val="en-GB"/>
              </w:rPr>
              <w:t>(</w:t>
            </w:r>
            <w:r w:rsidR="006033A4">
              <w:rPr>
                <w:color w:val="000000"/>
                <w:shd w:val="clear" w:color="auto" w:fill="FFFFFF"/>
              </w:rPr>
              <w:t>–</w:t>
            </w:r>
            <w:r w:rsidR="007E5149" w:rsidRPr="00DD6E6B">
              <w:rPr>
                <w:lang w:val="en-GB"/>
              </w:rPr>
              <w:t>0</w:t>
            </w:r>
            <w:r w:rsidR="008318E5" w:rsidRPr="00DD6E6B">
              <w:rPr>
                <w:lang w:val="en-GB"/>
              </w:rPr>
              <w:t>.</w:t>
            </w:r>
            <w:r w:rsidR="007E5149" w:rsidRPr="00DD6E6B">
              <w:rPr>
                <w:lang w:val="en-GB"/>
              </w:rPr>
              <w:t xml:space="preserve">7%). </w:t>
            </w:r>
            <w:r w:rsidR="00D93E70" w:rsidRPr="00DD6E6B">
              <w:rPr>
                <w:lang w:val="en-GB"/>
              </w:rPr>
              <w:t xml:space="preserve">Depiction of the </w:t>
            </w:r>
            <w:r w:rsidR="00B95DA7" w:rsidRPr="00DD6E6B">
              <w:rPr>
                <w:lang w:val="en-GB"/>
              </w:rPr>
              <w:t xml:space="preserve">area of Central Europe shows an overall slowdown in the region. </w:t>
            </w:r>
            <w:r w:rsidR="00DE45A0" w:rsidRPr="00DD6E6B">
              <w:rPr>
                <w:lang w:val="en-GB"/>
              </w:rPr>
              <w:t xml:space="preserve">Except for Poland, the CR and Austria, the GDP </w:t>
            </w:r>
            <w:r w:rsidR="00243085" w:rsidRPr="00DD6E6B">
              <w:rPr>
                <w:lang w:val="en-GB"/>
              </w:rPr>
              <w:t xml:space="preserve">also mildly decreased in Germany year-on-year </w:t>
            </w:r>
            <w:r w:rsidR="006033A4">
              <w:rPr>
                <w:lang w:val="en-GB"/>
              </w:rPr>
              <w:t>(</w:t>
            </w:r>
            <w:r w:rsidR="006033A4">
              <w:rPr>
                <w:color w:val="000000"/>
                <w:shd w:val="clear" w:color="auto" w:fill="FFFFFF"/>
              </w:rPr>
              <w:t>–</w:t>
            </w:r>
            <w:r w:rsidR="007E5149" w:rsidRPr="00DD6E6B">
              <w:rPr>
                <w:lang w:val="en-GB"/>
              </w:rPr>
              <w:t>0</w:t>
            </w:r>
            <w:r w:rsidR="00243085" w:rsidRPr="00DD6E6B">
              <w:rPr>
                <w:lang w:val="en-GB"/>
              </w:rPr>
              <w:t>.</w:t>
            </w:r>
            <w:r w:rsidR="007E5149" w:rsidRPr="00DD6E6B">
              <w:rPr>
                <w:lang w:val="en-GB"/>
              </w:rPr>
              <w:t>1%,</w:t>
            </w:r>
            <w:r w:rsidR="00243085" w:rsidRPr="00DD6E6B">
              <w:rPr>
                <w:lang w:val="en-GB"/>
              </w:rPr>
              <w:t xml:space="preserve"> the German economy stagnated quarter-on-quarter</w:t>
            </w:r>
            <w:r w:rsidR="007E5149" w:rsidRPr="00DD6E6B">
              <w:rPr>
                <w:lang w:val="en-GB"/>
              </w:rPr>
              <w:t xml:space="preserve">). </w:t>
            </w:r>
            <w:r w:rsidR="00A709DE" w:rsidRPr="00DD6E6B">
              <w:rPr>
                <w:lang w:val="en-GB"/>
              </w:rPr>
              <w:t xml:space="preserve">In contrast, Slovakia attained year-on-year growth of </w:t>
            </w:r>
            <w:r w:rsidR="007E5149" w:rsidRPr="00DD6E6B">
              <w:rPr>
                <w:lang w:val="en-GB"/>
              </w:rPr>
              <w:t>1</w:t>
            </w:r>
            <w:r w:rsidR="00A709DE" w:rsidRPr="00DD6E6B">
              <w:rPr>
                <w:lang w:val="en-GB"/>
              </w:rPr>
              <w:t>.</w:t>
            </w:r>
            <w:r w:rsidR="007E5149" w:rsidRPr="00DD6E6B">
              <w:rPr>
                <w:lang w:val="en-GB"/>
              </w:rPr>
              <w:t>3%</w:t>
            </w:r>
            <w:r w:rsidR="00A709DE" w:rsidRPr="00DD6E6B">
              <w:rPr>
                <w:lang w:val="en-GB"/>
              </w:rPr>
              <w:t xml:space="preserve"> and quarter-on-quarter of </w:t>
            </w:r>
            <w:r w:rsidR="007E5149" w:rsidRPr="00DD6E6B">
              <w:rPr>
                <w:lang w:val="en-GB"/>
              </w:rPr>
              <w:t>0</w:t>
            </w:r>
            <w:r w:rsidR="00A709DE" w:rsidRPr="00DD6E6B">
              <w:rPr>
                <w:lang w:val="en-GB"/>
              </w:rPr>
              <w:t>.</w:t>
            </w:r>
            <w:r w:rsidR="007E5149" w:rsidRPr="00DD6E6B">
              <w:rPr>
                <w:lang w:val="en-GB"/>
              </w:rPr>
              <w:t xml:space="preserve">4%. </w:t>
            </w:r>
            <w:r w:rsidR="006E7F07" w:rsidRPr="00DD6E6B">
              <w:rPr>
                <w:lang w:val="en-GB"/>
              </w:rPr>
              <w:t xml:space="preserve">With respect to the large European economies, the development </w:t>
            </w:r>
            <w:r w:rsidR="004C0A27" w:rsidRPr="00DD6E6B">
              <w:rPr>
                <w:lang w:val="en-GB"/>
              </w:rPr>
              <w:lastRenderedPageBreak/>
              <w:t>varied in Q</w:t>
            </w:r>
            <w:r w:rsidR="007E5149" w:rsidRPr="00DD6E6B">
              <w:rPr>
                <w:lang w:val="en-GB"/>
              </w:rPr>
              <w:t>2.</w:t>
            </w:r>
            <w:r w:rsidR="004C0A27" w:rsidRPr="00DD6E6B">
              <w:rPr>
                <w:lang w:val="en-GB"/>
              </w:rPr>
              <w:t xml:space="preserve"> The GDP grew quarter-on-quarter in France </w:t>
            </w:r>
            <w:r w:rsidR="007E5149" w:rsidRPr="00DD6E6B">
              <w:rPr>
                <w:lang w:val="en-GB"/>
              </w:rPr>
              <w:t>(0</w:t>
            </w:r>
            <w:r w:rsidR="004C0A27" w:rsidRPr="00DD6E6B">
              <w:rPr>
                <w:lang w:val="en-GB"/>
              </w:rPr>
              <w:t>.</w:t>
            </w:r>
            <w:r w:rsidR="007E5149" w:rsidRPr="00DD6E6B">
              <w:rPr>
                <w:lang w:val="en-GB"/>
              </w:rPr>
              <w:t>5%) a</w:t>
            </w:r>
            <w:r w:rsidR="004C0A27" w:rsidRPr="00DD6E6B">
              <w:rPr>
                <w:lang w:val="en-GB"/>
              </w:rPr>
              <w:t xml:space="preserve">nd in Spain </w:t>
            </w:r>
            <w:r w:rsidR="007E5149" w:rsidRPr="00DD6E6B">
              <w:rPr>
                <w:lang w:val="en-GB"/>
              </w:rPr>
              <w:t>(0</w:t>
            </w:r>
            <w:r w:rsidR="004C0A27" w:rsidRPr="00DD6E6B">
              <w:rPr>
                <w:lang w:val="en-GB"/>
              </w:rPr>
              <w:t>.</w:t>
            </w:r>
            <w:r w:rsidR="007E5149" w:rsidRPr="00DD6E6B">
              <w:rPr>
                <w:lang w:val="en-GB"/>
              </w:rPr>
              <w:t xml:space="preserve">4%). </w:t>
            </w:r>
            <w:r w:rsidR="00B33300" w:rsidRPr="00DD6E6B">
              <w:rPr>
                <w:lang w:val="en-GB"/>
              </w:rPr>
              <w:t xml:space="preserve">On the contrary the German economy stagnated </w:t>
            </w:r>
            <w:r w:rsidR="007E5149" w:rsidRPr="00DD6E6B">
              <w:rPr>
                <w:lang w:val="en-GB"/>
              </w:rPr>
              <w:t>(a</w:t>
            </w:r>
            <w:r w:rsidR="00B33300" w:rsidRPr="00DD6E6B">
              <w:rPr>
                <w:lang w:val="en-GB"/>
              </w:rPr>
              <w:t xml:space="preserve">nd </w:t>
            </w:r>
            <w:r w:rsidR="00295430" w:rsidRPr="00DD6E6B">
              <w:rPr>
                <w:lang w:val="en-GB"/>
              </w:rPr>
              <w:t>fell in the two preceding quarters</w:t>
            </w:r>
            <w:r w:rsidR="001602D3" w:rsidRPr="00DD6E6B">
              <w:rPr>
                <w:lang w:val="en-GB"/>
              </w:rPr>
              <w:t>)</w:t>
            </w:r>
            <w:r w:rsidR="00295430" w:rsidRPr="00DD6E6B">
              <w:rPr>
                <w:lang w:val="en-GB"/>
              </w:rPr>
              <w:t xml:space="preserve"> quarter-on-quarter </w:t>
            </w:r>
            <w:r w:rsidR="007E5149" w:rsidRPr="00DD6E6B">
              <w:rPr>
                <w:lang w:val="en-GB"/>
              </w:rPr>
              <w:t>a</w:t>
            </w:r>
            <w:r w:rsidR="00295430" w:rsidRPr="00DD6E6B">
              <w:rPr>
                <w:lang w:val="en-GB"/>
              </w:rPr>
              <w:t xml:space="preserve">nd Italy decreased by </w:t>
            </w:r>
            <w:r w:rsidR="007E5149" w:rsidRPr="00DD6E6B">
              <w:rPr>
                <w:lang w:val="en-GB"/>
              </w:rPr>
              <w:t>0</w:t>
            </w:r>
            <w:r w:rsidR="00295430" w:rsidRPr="00DD6E6B">
              <w:rPr>
                <w:lang w:val="en-GB"/>
              </w:rPr>
              <w:t>.</w:t>
            </w:r>
            <w:r w:rsidR="007E5149" w:rsidRPr="00DD6E6B">
              <w:rPr>
                <w:lang w:val="en-GB"/>
              </w:rPr>
              <w:t>4%.</w:t>
            </w:r>
          </w:p>
        </w:tc>
      </w:tr>
      <w:tr w:rsidR="007E5149" w:rsidRPr="00DD6E6B" w14:paraId="21EAEBF6" w14:textId="77777777" w:rsidTr="20D21749">
        <w:trPr>
          <w:trHeight w:val="145"/>
        </w:trPr>
        <w:tc>
          <w:tcPr>
            <w:tcW w:w="1806" w:type="dxa"/>
            <w:shd w:val="clear" w:color="auto" w:fill="auto"/>
            <w:tcMar>
              <w:left w:w="0" w:type="dxa"/>
            </w:tcMar>
          </w:tcPr>
          <w:p w14:paraId="1E0C4C00" w14:textId="4AD7F3C6" w:rsidR="007E5149" w:rsidRPr="00DD6E6B" w:rsidRDefault="00901DE6" w:rsidP="007E5149">
            <w:pPr>
              <w:pStyle w:val="Marginlie"/>
              <w:rPr>
                <w:lang w:val="en-GB"/>
              </w:rPr>
            </w:pPr>
            <w:r w:rsidRPr="00DD6E6B">
              <w:rPr>
                <w:lang w:val="en-GB"/>
              </w:rPr>
              <w:lastRenderedPageBreak/>
              <w:t xml:space="preserve">Wages and salaries decreased in real terms year-on-year. </w:t>
            </w:r>
          </w:p>
        </w:tc>
        <w:tc>
          <w:tcPr>
            <w:tcW w:w="223" w:type="dxa"/>
            <w:shd w:val="clear" w:color="auto" w:fill="auto"/>
            <w:tcMar>
              <w:left w:w="0" w:type="dxa"/>
            </w:tcMar>
          </w:tcPr>
          <w:p w14:paraId="58CC6ECB"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35C356EF" w14:textId="3263C536" w:rsidR="007E5149" w:rsidRPr="00DD6E6B" w:rsidRDefault="00901DE6" w:rsidP="007E5149">
            <w:pPr>
              <w:rPr>
                <w:lang w:val="en-GB"/>
              </w:rPr>
            </w:pPr>
            <w:r w:rsidRPr="00DD6E6B">
              <w:rPr>
                <w:lang w:val="en-GB"/>
              </w:rPr>
              <w:t>The volume of wages and salaries paid out to employees in Q</w:t>
            </w:r>
            <w:r w:rsidR="007E5149" w:rsidRPr="00DD6E6B">
              <w:rPr>
                <w:lang w:val="en-GB"/>
              </w:rPr>
              <w:t>2</w:t>
            </w:r>
            <w:r w:rsidRPr="00DD6E6B">
              <w:rPr>
                <w:lang w:val="en-GB"/>
              </w:rPr>
              <w:t xml:space="preserve"> went up </w:t>
            </w:r>
            <w:r w:rsidR="002A377D" w:rsidRPr="00DD6E6B">
              <w:rPr>
                <w:lang w:val="en-GB"/>
              </w:rPr>
              <w:t xml:space="preserve">in nominal terms </w:t>
            </w:r>
            <w:r w:rsidRPr="00DD6E6B">
              <w:rPr>
                <w:lang w:val="en-GB"/>
              </w:rPr>
              <w:t>by</w:t>
            </w:r>
            <w:r w:rsidR="002A377D" w:rsidRPr="00DD6E6B">
              <w:rPr>
                <w:lang w:val="en-GB"/>
              </w:rPr>
              <w:t xml:space="preserve"> </w:t>
            </w:r>
            <w:r w:rsidR="007E5149" w:rsidRPr="00DD6E6B">
              <w:rPr>
                <w:lang w:val="en-GB"/>
              </w:rPr>
              <w:t>8</w:t>
            </w:r>
            <w:r w:rsidR="002A377D" w:rsidRPr="00DD6E6B">
              <w:rPr>
                <w:lang w:val="en-GB"/>
              </w:rPr>
              <w:t>.</w:t>
            </w:r>
            <w:r w:rsidR="007E5149" w:rsidRPr="00DD6E6B">
              <w:rPr>
                <w:lang w:val="en-GB"/>
              </w:rPr>
              <w:t>0%</w:t>
            </w:r>
            <w:r w:rsidR="002A377D" w:rsidRPr="00DD6E6B">
              <w:rPr>
                <w:lang w:val="en-GB"/>
              </w:rPr>
              <w:t xml:space="preserve"> year-on-year </w:t>
            </w:r>
            <w:r w:rsidR="00943BA9" w:rsidRPr="00DD6E6B">
              <w:rPr>
                <w:lang w:val="en-GB"/>
              </w:rPr>
              <w:t xml:space="preserve">given the total employment growth of </w:t>
            </w:r>
            <w:r w:rsidR="007E5149" w:rsidRPr="00DD6E6B">
              <w:rPr>
                <w:lang w:val="en-GB"/>
              </w:rPr>
              <w:t>0</w:t>
            </w:r>
            <w:r w:rsidR="00943BA9" w:rsidRPr="00DD6E6B">
              <w:rPr>
                <w:lang w:val="en-GB"/>
              </w:rPr>
              <w:t>.</w:t>
            </w:r>
            <w:r w:rsidR="007E5149" w:rsidRPr="00DD6E6B">
              <w:rPr>
                <w:lang w:val="en-GB"/>
              </w:rPr>
              <w:t>8%</w:t>
            </w:r>
            <w:r w:rsidR="007E5149" w:rsidRPr="00DD6E6B">
              <w:rPr>
                <w:rStyle w:val="Znakapoznpodarou"/>
                <w:spacing w:val="-2"/>
                <w:lang w:val="en-GB"/>
              </w:rPr>
              <w:footnoteReference w:id="6"/>
            </w:r>
            <w:r w:rsidR="007E5149" w:rsidRPr="00DD6E6B">
              <w:rPr>
                <w:lang w:val="en-GB"/>
              </w:rPr>
              <w:t xml:space="preserve">. </w:t>
            </w:r>
            <w:r w:rsidR="003036CE" w:rsidRPr="00DD6E6B">
              <w:rPr>
                <w:lang w:val="en-GB"/>
              </w:rPr>
              <w:t xml:space="preserve">The dynamics thus slightly slowed down compared to the preceding quarter. </w:t>
            </w:r>
            <w:r w:rsidR="006A60DC" w:rsidRPr="00DD6E6B">
              <w:rPr>
                <w:lang w:val="en-GB"/>
              </w:rPr>
              <w:t xml:space="preserve">With the view to the ongoing price growth however the wages and salaries </w:t>
            </w:r>
            <w:r w:rsidR="009A04D4" w:rsidRPr="00DD6E6B">
              <w:rPr>
                <w:lang w:val="en-GB"/>
              </w:rPr>
              <w:t xml:space="preserve">dropped by </w:t>
            </w:r>
            <w:r w:rsidR="007E5149" w:rsidRPr="00DD6E6B">
              <w:rPr>
                <w:lang w:val="en-GB"/>
              </w:rPr>
              <w:t>1</w:t>
            </w:r>
            <w:r w:rsidR="009A04D4" w:rsidRPr="00DD6E6B">
              <w:rPr>
                <w:lang w:val="en-GB"/>
              </w:rPr>
              <w:t>.</w:t>
            </w:r>
            <w:r w:rsidR="007E5149" w:rsidRPr="00DD6E6B">
              <w:rPr>
                <w:lang w:val="en-GB"/>
              </w:rPr>
              <w:t>9%</w:t>
            </w:r>
            <w:r w:rsidR="007E5149" w:rsidRPr="00DD6E6B">
              <w:rPr>
                <w:rStyle w:val="Znakapoznpodarou"/>
                <w:spacing w:val="-2"/>
                <w:lang w:val="en-GB"/>
              </w:rPr>
              <w:footnoteReference w:id="7"/>
            </w:r>
            <w:r w:rsidR="009A04D4" w:rsidRPr="00DD6E6B">
              <w:rPr>
                <w:lang w:val="en-GB"/>
              </w:rPr>
              <w:t xml:space="preserve"> in real terms</w:t>
            </w:r>
            <w:r w:rsidR="007E5149" w:rsidRPr="00DD6E6B">
              <w:rPr>
                <w:lang w:val="en-GB"/>
              </w:rPr>
              <w:t xml:space="preserve">. </w:t>
            </w:r>
            <w:r w:rsidR="009A04D4" w:rsidRPr="00DD6E6B">
              <w:rPr>
                <w:lang w:val="en-GB"/>
              </w:rPr>
              <w:t xml:space="preserve">The wages and salaries rose the most year-on-year in </w:t>
            </w:r>
            <w:r w:rsidR="003C2363" w:rsidRPr="00DD6E6B">
              <w:rPr>
                <w:lang w:val="en-GB"/>
              </w:rPr>
              <w:t xml:space="preserve">the area of real estate </w:t>
            </w:r>
            <w:r w:rsidR="007E5149" w:rsidRPr="00DD6E6B">
              <w:rPr>
                <w:lang w:val="en-GB"/>
              </w:rPr>
              <w:t>(18</w:t>
            </w:r>
            <w:r w:rsidR="003C2363" w:rsidRPr="00DD6E6B">
              <w:rPr>
                <w:lang w:val="en-GB"/>
              </w:rPr>
              <w:t>.</w:t>
            </w:r>
            <w:r w:rsidR="007E5149" w:rsidRPr="00DD6E6B">
              <w:rPr>
                <w:lang w:val="en-GB"/>
              </w:rPr>
              <w:t>2%</w:t>
            </w:r>
            <w:r w:rsidR="003C2363" w:rsidRPr="00DD6E6B">
              <w:rPr>
                <w:lang w:val="en-GB"/>
              </w:rPr>
              <w:t xml:space="preserve"> given the employment growth of </w:t>
            </w:r>
            <w:r w:rsidR="007E5149" w:rsidRPr="00DD6E6B">
              <w:rPr>
                <w:lang w:val="en-GB"/>
              </w:rPr>
              <w:t>0</w:t>
            </w:r>
            <w:r w:rsidR="003C2363" w:rsidRPr="00DD6E6B">
              <w:rPr>
                <w:lang w:val="en-GB"/>
              </w:rPr>
              <w:t>.</w:t>
            </w:r>
            <w:r w:rsidR="007E5149" w:rsidRPr="00DD6E6B">
              <w:rPr>
                <w:lang w:val="en-GB"/>
              </w:rPr>
              <w:t>6%),</w:t>
            </w:r>
            <w:r w:rsidR="003C2363" w:rsidRPr="00DD6E6B">
              <w:rPr>
                <w:lang w:val="en-GB"/>
              </w:rPr>
              <w:t xml:space="preserve"> in financial and insurance </w:t>
            </w:r>
            <w:r w:rsidR="00F42241" w:rsidRPr="00DD6E6B">
              <w:rPr>
                <w:lang w:val="en-GB"/>
              </w:rPr>
              <w:t xml:space="preserve">activities </w:t>
            </w:r>
            <w:r w:rsidR="007E5149" w:rsidRPr="00DD6E6B">
              <w:rPr>
                <w:lang w:val="en-GB"/>
              </w:rPr>
              <w:t>(10</w:t>
            </w:r>
            <w:r w:rsidR="00F42241" w:rsidRPr="00DD6E6B">
              <w:rPr>
                <w:lang w:val="en-GB"/>
              </w:rPr>
              <w:t>.</w:t>
            </w:r>
            <w:r w:rsidR="007E5149" w:rsidRPr="00DD6E6B">
              <w:rPr>
                <w:lang w:val="en-GB"/>
              </w:rPr>
              <w:t>1%,</w:t>
            </w:r>
            <w:r w:rsidR="004D148A" w:rsidRPr="00DD6E6B">
              <w:rPr>
                <w:lang w:val="en-GB"/>
              </w:rPr>
              <w:t xml:space="preserve"> </w:t>
            </w:r>
            <w:r w:rsidR="00F42241" w:rsidRPr="00DD6E6B">
              <w:rPr>
                <w:lang w:val="en-GB"/>
              </w:rPr>
              <w:t xml:space="preserve">employment of </w:t>
            </w:r>
            <w:r w:rsidR="007E5149" w:rsidRPr="00DD6E6B">
              <w:rPr>
                <w:lang w:val="en-GB"/>
              </w:rPr>
              <w:t>1</w:t>
            </w:r>
            <w:r w:rsidR="00F42241" w:rsidRPr="00DD6E6B">
              <w:rPr>
                <w:lang w:val="en-GB"/>
              </w:rPr>
              <w:t>.</w:t>
            </w:r>
            <w:r w:rsidR="007E5149" w:rsidRPr="00DD6E6B">
              <w:rPr>
                <w:lang w:val="en-GB"/>
              </w:rPr>
              <w:t>8%),</w:t>
            </w:r>
            <w:r w:rsidR="00F42241" w:rsidRPr="00DD6E6B">
              <w:rPr>
                <w:lang w:val="en-GB"/>
              </w:rPr>
              <w:t xml:space="preserve"> in professional, scientific, technical and administrative activities </w:t>
            </w:r>
            <w:r w:rsidR="007E5149" w:rsidRPr="00DD6E6B">
              <w:rPr>
                <w:lang w:val="en-GB"/>
              </w:rPr>
              <w:t>(9</w:t>
            </w:r>
            <w:r w:rsidR="00F42241" w:rsidRPr="00DD6E6B">
              <w:rPr>
                <w:lang w:val="en-GB"/>
              </w:rPr>
              <w:t>.</w:t>
            </w:r>
            <w:r w:rsidR="007E5149" w:rsidRPr="00DD6E6B">
              <w:rPr>
                <w:lang w:val="en-GB"/>
              </w:rPr>
              <w:t>6%,</w:t>
            </w:r>
            <w:r w:rsidR="00F42241" w:rsidRPr="00DD6E6B">
              <w:rPr>
                <w:lang w:val="en-GB"/>
              </w:rPr>
              <w:t xml:space="preserve"> employment of </w:t>
            </w:r>
            <w:r w:rsidR="007E5149" w:rsidRPr="00DD6E6B">
              <w:rPr>
                <w:lang w:val="en-GB"/>
              </w:rPr>
              <w:t>1</w:t>
            </w:r>
            <w:r w:rsidR="00F42241" w:rsidRPr="00DD6E6B">
              <w:rPr>
                <w:lang w:val="en-GB"/>
              </w:rPr>
              <w:t>.</w:t>
            </w:r>
            <w:r w:rsidR="007E5149" w:rsidRPr="00DD6E6B">
              <w:rPr>
                <w:lang w:val="en-GB"/>
              </w:rPr>
              <w:t>6%),</w:t>
            </w:r>
            <w:r w:rsidR="00F42241" w:rsidRPr="00DD6E6B">
              <w:rPr>
                <w:lang w:val="en-GB"/>
              </w:rPr>
              <w:t xml:space="preserve"> in public</w:t>
            </w:r>
            <w:r w:rsidR="007B72A4" w:rsidRPr="00DD6E6B">
              <w:rPr>
                <w:lang w:val="en-GB"/>
              </w:rPr>
              <w:t xml:space="preserve"> </w:t>
            </w:r>
            <w:r w:rsidR="007B72A4" w:rsidRPr="00DD6E6B">
              <w:rPr>
                <w:rFonts w:cs="Arial"/>
                <w:szCs w:val="20"/>
                <w:lang w:val="en-GB"/>
              </w:rPr>
              <w:t>administration, education, health and social work</w:t>
            </w:r>
            <w:r w:rsidR="00F42241" w:rsidRPr="00DD6E6B">
              <w:rPr>
                <w:lang w:val="en-GB"/>
              </w:rPr>
              <w:t xml:space="preserve"> </w:t>
            </w:r>
            <w:r w:rsidR="007E5149" w:rsidRPr="00DD6E6B">
              <w:rPr>
                <w:lang w:val="en-GB"/>
              </w:rPr>
              <w:t>(8</w:t>
            </w:r>
            <w:r w:rsidR="006C7E90" w:rsidRPr="00DD6E6B">
              <w:rPr>
                <w:lang w:val="en-GB"/>
              </w:rPr>
              <w:t>.</w:t>
            </w:r>
            <w:r w:rsidR="007E5149" w:rsidRPr="00DD6E6B">
              <w:rPr>
                <w:lang w:val="en-GB"/>
              </w:rPr>
              <w:t xml:space="preserve">3%, </w:t>
            </w:r>
            <w:r w:rsidR="006C7E90" w:rsidRPr="00DD6E6B">
              <w:rPr>
                <w:lang w:val="en-GB"/>
              </w:rPr>
              <w:t xml:space="preserve">employment was by </w:t>
            </w:r>
            <w:r w:rsidR="007E5149" w:rsidRPr="00DD6E6B">
              <w:rPr>
                <w:lang w:val="en-GB"/>
              </w:rPr>
              <w:t>2</w:t>
            </w:r>
            <w:r w:rsidR="006C7E90" w:rsidRPr="00DD6E6B">
              <w:rPr>
                <w:lang w:val="en-GB"/>
              </w:rPr>
              <w:t>.</w:t>
            </w:r>
            <w:r w:rsidR="007E5149" w:rsidRPr="00DD6E6B">
              <w:rPr>
                <w:lang w:val="en-GB"/>
              </w:rPr>
              <w:t>2%</w:t>
            </w:r>
            <w:r w:rsidR="006C7E90" w:rsidRPr="00DD6E6B">
              <w:rPr>
                <w:lang w:val="en-GB"/>
              </w:rPr>
              <w:t xml:space="preserve"> higher</w:t>
            </w:r>
            <w:r w:rsidR="007E5149" w:rsidRPr="00DD6E6B">
              <w:rPr>
                <w:lang w:val="en-GB"/>
              </w:rPr>
              <w:t>),</w:t>
            </w:r>
            <w:r w:rsidR="006C7E90" w:rsidRPr="00DD6E6B">
              <w:rPr>
                <w:lang w:val="en-GB"/>
              </w:rPr>
              <w:t xml:space="preserve"> in information and communication </w:t>
            </w:r>
            <w:r w:rsidR="007E5149" w:rsidRPr="00DD6E6B">
              <w:rPr>
                <w:lang w:val="en-GB"/>
              </w:rPr>
              <w:t>(8</w:t>
            </w:r>
            <w:r w:rsidR="00B51B78" w:rsidRPr="00DD6E6B">
              <w:rPr>
                <w:lang w:val="en-GB"/>
              </w:rPr>
              <w:t>.</w:t>
            </w:r>
            <w:r w:rsidR="007E5149" w:rsidRPr="00DD6E6B">
              <w:rPr>
                <w:lang w:val="en-GB"/>
              </w:rPr>
              <w:t>1%,</w:t>
            </w:r>
            <w:r w:rsidR="00B51B78" w:rsidRPr="00DD6E6B">
              <w:rPr>
                <w:lang w:val="en-GB"/>
              </w:rPr>
              <w:t xml:space="preserve"> employment by </w:t>
            </w:r>
            <w:r w:rsidR="007E5149" w:rsidRPr="00DD6E6B">
              <w:rPr>
                <w:lang w:val="en-GB"/>
              </w:rPr>
              <w:t>2</w:t>
            </w:r>
            <w:r w:rsidR="00B51B78" w:rsidRPr="00DD6E6B">
              <w:rPr>
                <w:lang w:val="en-GB"/>
              </w:rPr>
              <w:t>.</w:t>
            </w:r>
            <w:r w:rsidR="007E5149" w:rsidRPr="00DD6E6B">
              <w:rPr>
                <w:lang w:val="en-GB"/>
              </w:rPr>
              <w:t>6%) a</w:t>
            </w:r>
            <w:r w:rsidR="00B51B78" w:rsidRPr="00DD6E6B">
              <w:rPr>
                <w:lang w:val="en-GB"/>
              </w:rPr>
              <w:t xml:space="preserve">nd in construction </w:t>
            </w:r>
            <w:r w:rsidR="007E5149" w:rsidRPr="00DD6E6B">
              <w:rPr>
                <w:lang w:val="en-GB"/>
              </w:rPr>
              <w:t>(8</w:t>
            </w:r>
            <w:r w:rsidR="00CC6F84" w:rsidRPr="00DD6E6B">
              <w:rPr>
                <w:lang w:val="en-GB"/>
              </w:rPr>
              <w:t>.</w:t>
            </w:r>
            <w:r w:rsidR="007E5149" w:rsidRPr="00DD6E6B">
              <w:rPr>
                <w:lang w:val="en-GB"/>
              </w:rPr>
              <w:t>1%,</w:t>
            </w:r>
            <w:r w:rsidR="00CC6F84" w:rsidRPr="00DD6E6B">
              <w:rPr>
                <w:lang w:val="en-GB"/>
              </w:rPr>
              <w:t xml:space="preserve"> employment by </w:t>
            </w:r>
            <w:r w:rsidR="007E5149" w:rsidRPr="00DD6E6B">
              <w:rPr>
                <w:lang w:val="en-GB"/>
              </w:rPr>
              <w:t>2</w:t>
            </w:r>
            <w:r w:rsidR="00CC6F84" w:rsidRPr="00DD6E6B">
              <w:rPr>
                <w:lang w:val="en-GB"/>
              </w:rPr>
              <w:t>.</w:t>
            </w:r>
            <w:r w:rsidR="007E5149" w:rsidRPr="00DD6E6B">
              <w:rPr>
                <w:lang w:val="en-GB"/>
              </w:rPr>
              <w:t>7%).</w:t>
            </w:r>
            <w:r w:rsidR="00CC6F84" w:rsidRPr="00DD6E6B">
              <w:rPr>
                <w:lang w:val="en-GB"/>
              </w:rPr>
              <w:t xml:space="preserve"> </w:t>
            </w:r>
            <w:r w:rsidR="00443519" w:rsidRPr="00DD6E6B">
              <w:rPr>
                <w:lang w:val="en-GB"/>
              </w:rPr>
              <w:t xml:space="preserve">The year-on-year growth </w:t>
            </w:r>
            <w:r w:rsidR="001221BD" w:rsidRPr="00DD6E6B">
              <w:rPr>
                <w:lang w:val="en-GB"/>
              </w:rPr>
              <w:t xml:space="preserve">of </w:t>
            </w:r>
            <w:r w:rsidR="00064886" w:rsidRPr="00DD6E6B">
              <w:rPr>
                <w:lang w:val="en-GB"/>
              </w:rPr>
              <w:t xml:space="preserve">the volume of wages and salaries was below-average in industry </w:t>
            </w:r>
            <w:r w:rsidR="007E5149" w:rsidRPr="00DD6E6B">
              <w:rPr>
                <w:lang w:val="en-GB"/>
              </w:rPr>
              <w:t>(7</w:t>
            </w:r>
            <w:r w:rsidR="00064886" w:rsidRPr="00DD6E6B">
              <w:rPr>
                <w:lang w:val="en-GB"/>
              </w:rPr>
              <w:t>.</w:t>
            </w:r>
            <w:r w:rsidR="007E5149" w:rsidRPr="00DD6E6B">
              <w:rPr>
                <w:lang w:val="en-GB"/>
              </w:rPr>
              <w:t>8%,</w:t>
            </w:r>
            <w:r w:rsidR="00064886" w:rsidRPr="00DD6E6B">
              <w:rPr>
                <w:lang w:val="en-GB"/>
              </w:rPr>
              <w:t xml:space="preserve"> </w:t>
            </w:r>
            <w:r w:rsidR="00FE7677" w:rsidRPr="00DD6E6B">
              <w:rPr>
                <w:lang w:val="en-GB"/>
              </w:rPr>
              <w:t xml:space="preserve">the only branch where the employment fell year-on-year by </w:t>
            </w:r>
            <w:r w:rsidR="007E5149" w:rsidRPr="00DD6E6B">
              <w:rPr>
                <w:lang w:val="en-GB"/>
              </w:rPr>
              <w:t>0</w:t>
            </w:r>
            <w:r w:rsidR="00FE7677" w:rsidRPr="00DD6E6B">
              <w:rPr>
                <w:lang w:val="en-GB"/>
              </w:rPr>
              <w:t>.</w:t>
            </w:r>
            <w:r w:rsidR="007E5149" w:rsidRPr="00DD6E6B">
              <w:rPr>
                <w:lang w:val="en-GB"/>
              </w:rPr>
              <w:t>6%),</w:t>
            </w:r>
            <w:r w:rsidR="00FE7677" w:rsidRPr="00DD6E6B">
              <w:rPr>
                <w:lang w:val="en-GB"/>
              </w:rPr>
              <w:t xml:space="preserve"> in group trade, transportation, accommodation and </w:t>
            </w:r>
            <w:r w:rsidR="001467FC" w:rsidRPr="00DD6E6B">
              <w:rPr>
                <w:lang w:val="en-GB"/>
              </w:rPr>
              <w:t xml:space="preserve">food service </w:t>
            </w:r>
            <w:r w:rsidR="007E5149" w:rsidRPr="00DD6E6B">
              <w:rPr>
                <w:lang w:val="en-GB"/>
              </w:rPr>
              <w:t>(6</w:t>
            </w:r>
            <w:r w:rsidR="001467FC" w:rsidRPr="00DD6E6B">
              <w:rPr>
                <w:lang w:val="en-GB"/>
              </w:rPr>
              <w:t>.</w:t>
            </w:r>
            <w:r w:rsidR="007E5149" w:rsidRPr="00DD6E6B">
              <w:rPr>
                <w:lang w:val="en-GB"/>
              </w:rPr>
              <w:t>7%,</w:t>
            </w:r>
            <w:r w:rsidR="001467FC" w:rsidRPr="00DD6E6B">
              <w:rPr>
                <w:lang w:val="en-GB"/>
              </w:rPr>
              <w:t xml:space="preserve"> employment by </w:t>
            </w:r>
            <w:r w:rsidR="007E5149" w:rsidRPr="00DD6E6B">
              <w:rPr>
                <w:lang w:val="en-GB"/>
              </w:rPr>
              <w:t>0</w:t>
            </w:r>
            <w:r w:rsidR="001467FC" w:rsidRPr="00DD6E6B">
              <w:rPr>
                <w:lang w:val="en-GB"/>
              </w:rPr>
              <w:t>.</w:t>
            </w:r>
            <w:r w:rsidR="007E5149" w:rsidRPr="00DD6E6B">
              <w:rPr>
                <w:lang w:val="en-GB"/>
              </w:rPr>
              <w:t>2%),</w:t>
            </w:r>
            <w:r w:rsidR="001467FC" w:rsidRPr="00DD6E6B">
              <w:rPr>
                <w:lang w:val="en-GB"/>
              </w:rPr>
              <w:t xml:space="preserve"> in other activities</w:t>
            </w:r>
            <w:r w:rsidR="007E5149" w:rsidRPr="00DD6E6B">
              <w:rPr>
                <w:rStyle w:val="Znakapoznpodarou"/>
                <w:spacing w:val="-2"/>
                <w:lang w:val="en-GB"/>
              </w:rPr>
              <w:footnoteReference w:id="8"/>
            </w:r>
            <w:r w:rsidR="007E5149" w:rsidRPr="00DD6E6B">
              <w:rPr>
                <w:lang w:val="en-GB"/>
              </w:rPr>
              <w:t xml:space="preserve"> (6</w:t>
            </w:r>
            <w:r w:rsidR="001467FC" w:rsidRPr="00DD6E6B">
              <w:rPr>
                <w:lang w:val="en-GB"/>
              </w:rPr>
              <w:t>.</w:t>
            </w:r>
            <w:r w:rsidR="007E5149" w:rsidRPr="00DD6E6B">
              <w:rPr>
                <w:lang w:val="en-GB"/>
              </w:rPr>
              <w:t>4%,</w:t>
            </w:r>
            <w:r w:rsidR="007F1D62" w:rsidRPr="00DD6E6B">
              <w:rPr>
                <w:lang w:val="en-GB"/>
              </w:rPr>
              <w:t xml:space="preserve"> employment grew by </w:t>
            </w:r>
            <w:r w:rsidR="007E5149" w:rsidRPr="00DD6E6B">
              <w:rPr>
                <w:lang w:val="en-GB"/>
              </w:rPr>
              <w:t>1</w:t>
            </w:r>
            <w:r w:rsidR="007F1D62" w:rsidRPr="00DD6E6B">
              <w:rPr>
                <w:lang w:val="en-GB"/>
              </w:rPr>
              <w:t>.</w:t>
            </w:r>
            <w:r w:rsidR="007E5149" w:rsidRPr="00DD6E6B">
              <w:rPr>
                <w:lang w:val="en-GB"/>
              </w:rPr>
              <w:t>0%) a</w:t>
            </w:r>
            <w:r w:rsidR="007F1D62" w:rsidRPr="00DD6E6B">
              <w:rPr>
                <w:lang w:val="en-GB"/>
              </w:rPr>
              <w:t xml:space="preserve">nd in agriculture, forestry and fishing </w:t>
            </w:r>
            <w:r w:rsidR="007E5149" w:rsidRPr="00DD6E6B">
              <w:rPr>
                <w:lang w:val="en-GB"/>
              </w:rPr>
              <w:t>(5</w:t>
            </w:r>
            <w:r w:rsidR="007F1D62" w:rsidRPr="00DD6E6B">
              <w:rPr>
                <w:lang w:val="en-GB"/>
              </w:rPr>
              <w:t>.</w:t>
            </w:r>
            <w:r w:rsidR="007E5149" w:rsidRPr="00DD6E6B">
              <w:rPr>
                <w:lang w:val="en-GB"/>
              </w:rPr>
              <w:t xml:space="preserve">9%, </w:t>
            </w:r>
            <w:r w:rsidR="007F1D62" w:rsidRPr="00DD6E6B">
              <w:rPr>
                <w:lang w:val="en-GB"/>
              </w:rPr>
              <w:t xml:space="preserve">employment by </w:t>
            </w:r>
            <w:r w:rsidR="007E5149" w:rsidRPr="00DD6E6B">
              <w:rPr>
                <w:lang w:val="en-GB"/>
              </w:rPr>
              <w:t>0</w:t>
            </w:r>
            <w:r w:rsidR="007F1D62" w:rsidRPr="00DD6E6B">
              <w:rPr>
                <w:lang w:val="en-GB"/>
              </w:rPr>
              <w:t>.</w:t>
            </w:r>
            <w:r w:rsidR="007E5149" w:rsidRPr="00DD6E6B">
              <w:rPr>
                <w:lang w:val="en-GB"/>
              </w:rPr>
              <w:t xml:space="preserve">7%). </w:t>
            </w:r>
          </w:p>
        </w:tc>
      </w:tr>
      <w:tr w:rsidR="007E5149" w:rsidRPr="00DD6E6B" w14:paraId="529DABB9" w14:textId="77777777" w:rsidTr="20D21749">
        <w:trPr>
          <w:trHeight w:val="145"/>
        </w:trPr>
        <w:tc>
          <w:tcPr>
            <w:tcW w:w="1806" w:type="dxa"/>
            <w:shd w:val="clear" w:color="auto" w:fill="auto"/>
            <w:tcMar>
              <w:left w:w="0" w:type="dxa"/>
            </w:tcMar>
          </w:tcPr>
          <w:p w14:paraId="4C6B0DBD" w14:textId="712C0A05" w:rsidR="007E5149" w:rsidRPr="00DD6E6B" w:rsidRDefault="007E5149" w:rsidP="007E5149">
            <w:pPr>
              <w:pStyle w:val="Marginlie"/>
              <w:rPr>
                <w:lang w:val="en-GB"/>
              </w:rPr>
            </w:pPr>
            <w:r w:rsidRPr="00DD6E6B">
              <w:rPr>
                <w:lang w:val="en-GB"/>
              </w:rPr>
              <w:t>Nom</w:t>
            </w:r>
            <w:r w:rsidR="00D36779" w:rsidRPr="00DD6E6B">
              <w:rPr>
                <w:lang w:val="en-GB"/>
              </w:rPr>
              <w:t>i</w:t>
            </w:r>
            <w:r w:rsidR="009A5A36" w:rsidRPr="00DD6E6B">
              <w:rPr>
                <w:lang w:val="en-GB"/>
              </w:rPr>
              <w:t>nal wages and salaries</w:t>
            </w:r>
            <w:r w:rsidR="00D36779" w:rsidRPr="00DD6E6B">
              <w:rPr>
                <w:lang w:val="en-GB"/>
              </w:rPr>
              <w:t xml:space="preserve"> </w:t>
            </w:r>
            <w:r w:rsidR="0018273F" w:rsidRPr="00DD6E6B">
              <w:rPr>
                <w:lang w:val="en-GB"/>
              </w:rPr>
              <w:t xml:space="preserve">fell quarter-on-quarter in agriculture, forestry and fishing and in other activities. </w:t>
            </w:r>
          </w:p>
        </w:tc>
        <w:tc>
          <w:tcPr>
            <w:tcW w:w="223" w:type="dxa"/>
            <w:shd w:val="clear" w:color="auto" w:fill="auto"/>
            <w:tcMar>
              <w:left w:w="0" w:type="dxa"/>
            </w:tcMar>
          </w:tcPr>
          <w:p w14:paraId="41FAEF8A"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52C45FD7" w14:textId="4B83FCD1" w:rsidR="007E5149" w:rsidRPr="00DD6E6B" w:rsidRDefault="00D12FCD" w:rsidP="007E5149">
            <w:pPr>
              <w:rPr>
                <w:lang w:val="en-GB"/>
              </w:rPr>
            </w:pPr>
            <w:r w:rsidRPr="00DD6E6B">
              <w:rPr>
                <w:lang w:val="en-GB"/>
              </w:rPr>
              <w:t xml:space="preserve">Wages and salaries </w:t>
            </w:r>
            <w:r w:rsidR="001B2EB2" w:rsidRPr="00DD6E6B">
              <w:rPr>
                <w:lang w:val="en-GB"/>
              </w:rPr>
              <w:t xml:space="preserve">increased by </w:t>
            </w:r>
            <w:r w:rsidR="007E5149" w:rsidRPr="00DD6E6B">
              <w:rPr>
                <w:lang w:val="en-GB"/>
              </w:rPr>
              <w:t>1</w:t>
            </w:r>
            <w:r w:rsidR="001B2EB2" w:rsidRPr="00DD6E6B">
              <w:rPr>
                <w:lang w:val="en-GB"/>
              </w:rPr>
              <w:t>.</w:t>
            </w:r>
            <w:r w:rsidR="007E5149" w:rsidRPr="00DD6E6B">
              <w:rPr>
                <w:lang w:val="en-GB"/>
              </w:rPr>
              <w:t>0%</w:t>
            </w:r>
            <w:r w:rsidR="001B2EB2" w:rsidRPr="00DD6E6B">
              <w:rPr>
                <w:lang w:val="en-GB"/>
              </w:rPr>
              <w:t xml:space="preserve"> quarter-on-quarter given the same growth of employment</w:t>
            </w:r>
            <w:r w:rsidR="007E5149" w:rsidRPr="00DD6E6B">
              <w:rPr>
                <w:lang w:val="en-GB"/>
              </w:rPr>
              <w:t xml:space="preserve">. </w:t>
            </w:r>
            <w:r w:rsidRPr="00DD6E6B">
              <w:rPr>
                <w:lang w:val="en-GB"/>
              </w:rPr>
              <w:t xml:space="preserve">In real terms, wages and salaries increased by </w:t>
            </w:r>
            <w:r w:rsidR="007E5149" w:rsidRPr="00DD6E6B">
              <w:rPr>
                <w:lang w:val="en-GB"/>
              </w:rPr>
              <w:t>1</w:t>
            </w:r>
            <w:r w:rsidRPr="00DD6E6B">
              <w:rPr>
                <w:lang w:val="en-GB"/>
              </w:rPr>
              <w:t>.</w:t>
            </w:r>
            <w:r w:rsidR="007E5149" w:rsidRPr="00DD6E6B">
              <w:rPr>
                <w:lang w:val="en-GB"/>
              </w:rPr>
              <w:t>2%</w:t>
            </w:r>
            <w:r w:rsidRPr="00DD6E6B">
              <w:rPr>
                <w:lang w:val="en-GB"/>
              </w:rPr>
              <w:t xml:space="preserve"> quarter-on-quarter</w:t>
            </w:r>
            <w:r w:rsidR="007E5149" w:rsidRPr="00DD6E6B">
              <w:rPr>
                <w:lang w:val="en-GB"/>
              </w:rPr>
              <w:t xml:space="preserve">. </w:t>
            </w:r>
            <w:r w:rsidR="004A7E9A" w:rsidRPr="00DD6E6B">
              <w:rPr>
                <w:lang w:val="en-GB"/>
              </w:rPr>
              <w:t xml:space="preserve">The most significant revival of </w:t>
            </w:r>
            <w:r w:rsidR="009C2C39" w:rsidRPr="00DD6E6B">
              <w:rPr>
                <w:lang w:val="en-GB"/>
              </w:rPr>
              <w:t>the volume of wages and salaries occurred in Q</w:t>
            </w:r>
            <w:r w:rsidR="007E5149" w:rsidRPr="00DD6E6B">
              <w:rPr>
                <w:lang w:val="en-GB"/>
              </w:rPr>
              <w:t>2</w:t>
            </w:r>
            <w:r w:rsidR="009C2C39" w:rsidRPr="00DD6E6B">
              <w:rPr>
                <w:lang w:val="en-GB"/>
              </w:rPr>
              <w:t xml:space="preserve"> in financial and insurance activities </w:t>
            </w:r>
            <w:r w:rsidR="007E5149" w:rsidRPr="00DD6E6B">
              <w:rPr>
                <w:lang w:val="en-GB"/>
              </w:rPr>
              <w:t>(5</w:t>
            </w:r>
            <w:r w:rsidR="009C2C39" w:rsidRPr="00DD6E6B">
              <w:rPr>
                <w:lang w:val="en-GB"/>
              </w:rPr>
              <w:t>.</w:t>
            </w:r>
            <w:r w:rsidR="007E5149" w:rsidRPr="00DD6E6B">
              <w:rPr>
                <w:lang w:val="en-GB"/>
              </w:rPr>
              <w:t xml:space="preserve">4% </w:t>
            </w:r>
            <w:r w:rsidR="00C4362A" w:rsidRPr="00DD6E6B">
              <w:rPr>
                <w:lang w:val="en-GB"/>
              </w:rPr>
              <w:t>accompanied</w:t>
            </w:r>
            <w:r w:rsidR="004C0233" w:rsidRPr="00DD6E6B">
              <w:rPr>
                <w:lang w:val="en-GB"/>
              </w:rPr>
              <w:t xml:space="preserve"> by the employment stagnation</w:t>
            </w:r>
            <w:r w:rsidR="007E5149" w:rsidRPr="00DD6E6B">
              <w:rPr>
                <w:lang w:val="en-GB"/>
              </w:rPr>
              <w:t>),</w:t>
            </w:r>
            <w:r w:rsidR="004C0233" w:rsidRPr="00DD6E6B">
              <w:rPr>
                <w:lang w:val="en-GB"/>
              </w:rPr>
              <w:t xml:space="preserve"> in </w:t>
            </w:r>
            <w:r w:rsidR="00764E6D" w:rsidRPr="00DD6E6B">
              <w:rPr>
                <w:lang w:val="en-GB"/>
              </w:rPr>
              <w:t>p</w:t>
            </w:r>
            <w:r w:rsidR="00764E6D" w:rsidRPr="00DD6E6B">
              <w:rPr>
                <w:rFonts w:cs="Arial"/>
                <w:szCs w:val="20"/>
                <w:lang w:val="en-GB"/>
              </w:rPr>
              <w:t xml:space="preserve">ublic administration, education, health and social work </w:t>
            </w:r>
            <w:r w:rsidR="007E5149" w:rsidRPr="00DD6E6B">
              <w:rPr>
                <w:lang w:val="en-GB"/>
              </w:rPr>
              <w:t>(1</w:t>
            </w:r>
            <w:r w:rsidR="00764E6D" w:rsidRPr="00DD6E6B">
              <w:rPr>
                <w:lang w:val="en-GB"/>
              </w:rPr>
              <w:t>.</w:t>
            </w:r>
            <w:r w:rsidR="007E5149" w:rsidRPr="00DD6E6B">
              <w:rPr>
                <w:lang w:val="en-GB"/>
              </w:rPr>
              <w:t xml:space="preserve">6% </w:t>
            </w:r>
            <w:r w:rsidR="00BB3E48" w:rsidRPr="00DD6E6B">
              <w:rPr>
                <w:lang w:val="en-GB"/>
              </w:rPr>
              <w:t xml:space="preserve">given the employment decrease of </w:t>
            </w:r>
            <w:r w:rsidR="007E5149" w:rsidRPr="00DD6E6B">
              <w:rPr>
                <w:lang w:val="en-GB"/>
              </w:rPr>
              <w:t>0</w:t>
            </w:r>
            <w:r w:rsidR="00BB3E48" w:rsidRPr="00DD6E6B">
              <w:rPr>
                <w:lang w:val="en-GB"/>
              </w:rPr>
              <w:t>.</w:t>
            </w:r>
            <w:r w:rsidR="007E5149" w:rsidRPr="00DD6E6B">
              <w:rPr>
                <w:lang w:val="en-GB"/>
              </w:rPr>
              <w:t>1%), a</w:t>
            </w:r>
            <w:r w:rsidR="00BB3E48" w:rsidRPr="00DD6E6B">
              <w:rPr>
                <w:lang w:val="en-GB"/>
              </w:rPr>
              <w:t xml:space="preserve">nd in information and communication </w:t>
            </w:r>
            <w:r w:rsidR="007E5149" w:rsidRPr="00DD6E6B">
              <w:rPr>
                <w:lang w:val="en-GB"/>
              </w:rPr>
              <w:t>(1</w:t>
            </w:r>
            <w:r w:rsidR="00BB3E48" w:rsidRPr="00DD6E6B">
              <w:rPr>
                <w:lang w:val="en-GB"/>
              </w:rPr>
              <w:t>.</w:t>
            </w:r>
            <w:r w:rsidR="007E5149" w:rsidRPr="00DD6E6B">
              <w:rPr>
                <w:lang w:val="en-GB"/>
              </w:rPr>
              <w:t>4%</w:t>
            </w:r>
            <w:r w:rsidR="00BB3E48" w:rsidRPr="00DD6E6B">
              <w:rPr>
                <w:lang w:val="en-GB"/>
              </w:rPr>
              <w:t xml:space="preserve"> with employment decrease of </w:t>
            </w:r>
            <w:r w:rsidR="007E5149" w:rsidRPr="00DD6E6B">
              <w:rPr>
                <w:lang w:val="en-GB"/>
              </w:rPr>
              <w:t>1</w:t>
            </w:r>
            <w:r w:rsidR="00BB3E48" w:rsidRPr="00DD6E6B">
              <w:rPr>
                <w:lang w:val="en-GB"/>
              </w:rPr>
              <w:t>.</w:t>
            </w:r>
            <w:r w:rsidR="007E5149" w:rsidRPr="00DD6E6B">
              <w:rPr>
                <w:lang w:val="en-GB"/>
              </w:rPr>
              <w:t xml:space="preserve">9%). </w:t>
            </w:r>
            <w:r w:rsidR="00002C8F" w:rsidRPr="00DD6E6B">
              <w:rPr>
                <w:lang w:val="en-GB"/>
              </w:rPr>
              <w:t xml:space="preserve">The addition to the volume of wages and salaries in professional, scientific, technical and administrative activities </w:t>
            </w:r>
            <w:r w:rsidR="007E5149" w:rsidRPr="00DD6E6B">
              <w:rPr>
                <w:lang w:val="en-GB"/>
              </w:rPr>
              <w:t>(1</w:t>
            </w:r>
            <w:r w:rsidR="00002C8F" w:rsidRPr="00DD6E6B">
              <w:rPr>
                <w:lang w:val="en-GB"/>
              </w:rPr>
              <w:t>.</w:t>
            </w:r>
            <w:r w:rsidR="007E5149" w:rsidRPr="00DD6E6B">
              <w:rPr>
                <w:lang w:val="en-GB"/>
              </w:rPr>
              <w:t>1%</w:t>
            </w:r>
            <w:r w:rsidR="00002C8F" w:rsidRPr="00DD6E6B">
              <w:rPr>
                <w:lang w:val="en-GB"/>
              </w:rPr>
              <w:t xml:space="preserve"> </w:t>
            </w:r>
            <w:r w:rsidR="00694F90" w:rsidRPr="00DD6E6B">
              <w:rPr>
                <w:lang w:val="en-GB"/>
              </w:rPr>
              <w:t xml:space="preserve">with the employment growth of </w:t>
            </w:r>
            <w:r w:rsidR="007E5149" w:rsidRPr="00DD6E6B">
              <w:rPr>
                <w:lang w:val="en-GB"/>
              </w:rPr>
              <w:t>0</w:t>
            </w:r>
            <w:r w:rsidR="00694F90" w:rsidRPr="00DD6E6B">
              <w:rPr>
                <w:lang w:val="en-GB"/>
              </w:rPr>
              <w:t>.</w:t>
            </w:r>
            <w:r w:rsidR="007E5149" w:rsidRPr="00DD6E6B">
              <w:rPr>
                <w:lang w:val="en-GB"/>
              </w:rPr>
              <w:t>5%)</w:t>
            </w:r>
            <w:r w:rsidR="003827B3" w:rsidRPr="00DD6E6B">
              <w:rPr>
                <w:lang w:val="en-GB"/>
              </w:rPr>
              <w:t xml:space="preserve"> was also above the total average</w:t>
            </w:r>
            <w:r w:rsidR="007E5149" w:rsidRPr="00DD6E6B">
              <w:rPr>
                <w:lang w:val="en-GB"/>
              </w:rPr>
              <w:t xml:space="preserve">. </w:t>
            </w:r>
            <w:r w:rsidR="0075554A" w:rsidRPr="00DD6E6B">
              <w:rPr>
                <w:lang w:val="en-GB"/>
              </w:rPr>
              <w:t xml:space="preserve">Wages and salaries recorded a milder growth in industry </w:t>
            </w:r>
            <w:r w:rsidR="007E5149" w:rsidRPr="00DD6E6B">
              <w:rPr>
                <w:lang w:val="en-GB"/>
              </w:rPr>
              <w:t>(0</w:t>
            </w:r>
            <w:r w:rsidR="0075554A" w:rsidRPr="00DD6E6B">
              <w:rPr>
                <w:lang w:val="en-GB"/>
              </w:rPr>
              <w:t>.</w:t>
            </w:r>
            <w:r w:rsidR="007E5149" w:rsidRPr="00DD6E6B">
              <w:rPr>
                <w:lang w:val="en-GB"/>
              </w:rPr>
              <w:t>9%</w:t>
            </w:r>
            <w:r w:rsidR="0075554A" w:rsidRPr="00DD6E6B">
              <w:rPr>
                <w:lang w:val="en-GB"/>
              </w:rPr>
              <w:t xml:space="preserve"> given the employment growth of </w:t>
            </w:r>
            <w:r w:rsidR="007E5149" w:rsidRPr="00DD6E6B">
              <w:rPr>
                <w:lang w:val="en-GB"/>
              </w:rPr>
              <w:t>1</w:t>
            </w:r>
            <w:r w:rsidR="0075554A" w:rsidRPr="00DD6E6B">
              <w:rPr>
                <w:lang w:val="en-GB"/>
              </w:rPr>
              <w:t>.</w:t>
            </w:r>
            <w:r w:rsidR="007E5149" w:rsidRPr="00DD6E6B">
              <w:rPr>
                <w:lang w:val="en-GB"/>
              </w:rPr>
              <w:t>2%),</w:t>
            </w:r>
            <w:r w:rsidR="0075554A" w:rsidRPr="00DD6E6B">
              <w:rPr>
                <w:lang w:val="en-GB"/>
              </w:rPr>
              <w:t xml:space="preserve"> in construction </w:t>
            </w:r>
            <w:r w:rsidR="007E5149" w:rsidRPr="00DD6E6B">
              <w:rPr>
                <w:lang w:val="en-GB"/>
              </w:rPr>
              <w:t>(0</w:t>
            </w:r>
            <w:r w:rsidR="0075554A" w:rsidRPr="00DD6E6B">
              <w:rPr>
                <w:lang w:val="en-GB"/>
              </w:rPr>
              <w:t>.</w:t>
            </w:r>
            <w:r w:rsidR="007E5149" w:rsidRPr="00DD6E6B">
              <w:rPr>
                <w:lang w:val="en-GB"/>
              </w:rPr>
              <w:t>3%,</w:t>
            </w:r>
            <w:r w:rsidR="0075554A" w:rsidRPr="00DD6E6B">
              <w:rPr>
                <w:lang w:val="en-GB"/>
              </w:rPr>
              <w:t xml:space="preserve"> employment by </w:t>
            </w:r>
            <w:r w:rsidR="007E5149" w:rsidRPr="00DD6E6B">
              <w:rPr>
                <w:lang w:val="en-GB"/>
              </w:rPr>
              <w:t>0</w:t>
            </w:r>
            <w:r w:rsidR="0075554A" w:rsidRPr="00DD6E6B">
              <w:rPr>
                <w:lang w:val="en-GB"/>
              </w:rPr>
              <w:t>.</w:t>
            </w:r>
            <w:r w:rsidR="007E5149" w:rsidRPr="00DD6E6B">
              <w:rPr>
                <w:lang w:val="en-GB"/>
              </w:rPr>
              <w:t>1%) a</w:t>
            </w:r>
            <w:r w:rsidR="0075554A" w:rsidRPr="00DD6E6B">
              <w:rPr>
                <w:lang w:val="en-GB"/>
              </w:rPr>
              <w:t xml:space="preserve">nd in group trade, transportation, accommodation and food service </w:t>
            </w:r>
            <w:r w:rsidR="007E5149" w:rsidRPr="00DD6E6B">
              <w:rPr>
                <w:lang w:val="en-GB"/>
              </w:rPr>
              <w:t>(0</w:t>
            </w:r>
            <w:r w:rsidR="0075554A" w:rsidRPr="00DD6E6B">
              <w:rPr>
                <w:lang w:val="en-GB"/>
              </w:rPr>
              <w:t>.</w:t>
            </w:r>
            <w:r w:rsidR="007E5149" w:rsidRPr="00DD6E6B">
              <w:rPr>
                <w:lang w:val="en-GB"/>
              </w:rPr>
              <w:t xml:space="preserve">1% </w:t>
            </w:r>
            <w:r w:rsidR="0075554A" w:rsidRPr="00DD6E6B">
              <w:rPr>
                <w:lang w:val="en-GB"/>
              </w:rPr>
              <w:t>accompanied a</w:t>
            </w:r>
            <w:r w:rsidR="002B4EE6" w:rsidRPr="00DD6E6B">
              <w:rPr>
                <w:lang w:val="en-GB"/>
              </w:rPr>
              <w:t xml:space="preserve"> marked employment growth of </w:t>
            </w:r>
            <w:r w:rsidR="007E5149" w:rsidRPr="00DD6E6B">
              <w:rPr>
                <w:lang w:val="en-GB"/>
              </w:rPr>
              <w:t>2</w:t>
            </w:r>
            <w:r w:rsidR="002B4EE6" w:rsidRPr="00DD6E6B">
              <w:rPr>
                <w:lang w:val="en-GB"/>
              </w:rPr>
              <w:t>.</w:t>
            </w:r>
            <w:r w:rsidR="007E5149" w:rsidRPr="00DD6E6B">
              <w:rPr>
                <w:lang w:val="en-GB"/>
              </w:rPr>
              <w:t xml:space="preserve">7%). </w:t>
            </w:r>
            <w:r w:rsidR="002B4EE6" w:rsidRPr="00DD6E6B">
              <w:rPr>
                <w:lang w:val="en-GB"/>
              </w:rPr>
              <w:t xml:space="preserve">Wages and salaries stagnated in real estate activities, where the employment grew by </w:t>
            </w:r>
            <w:r w:rsidR="007E5149" w:rsidRPr="00DD6E6B">
              <w:rPr>
                <w:lang w:val="en-GB"/>
              </w:rPr>
              <w:t>1</w:t>
            </w:r>
            <w:r w:rsidR="002B4EE6" w:rsidRPr="00DD6E6B">
              <w:rPr>
                <w:lang w:val="en-GB"/>
              </w:rPr>
              <w:t>.</w:t>
            </w:r>
            <w:r w:rsidR="007E5149" w:rsidRPr="00DD6E6B">
              <w:rPr>
                <w:lang w:val="en-GB"/>
              </w:rPr>
              <w:t>0%</w:t>
            </w:r>
            <w:r w:rsidR="002B4EE6" w:rsidRPr="00DD6E6B">
              <w:rPr>
                <w:lang w:val="en-GB"/>
              </w:rPr>
              <w:t xml:space="preserve"> and</w:t>
            </w:r>
            <w:r w:rsidR="00F462F4" w:rsidRPr="00DD6E6B">
              <w:rPr>
                <w:lang w:val="en-GB"/>
              </w:rPr>
              <w:t xml:space="preserve"> decreased in agriculture, forestry and fishing </w:t>
            </w:r>
            <w:r w:rsidR="006033A4">
              <w:rPr>
                <w:lang w:val="en-GB"/>
              </w:rPr>
              <w:t>(</w:t>
            </w:r>
            <w:r w:rsidR="006033A4">
              <w:rPr>
                <w:color w:val="000000"/>
                <w:shd w:val="clear" w:color="auto" w:fill="FFFFFF"/>
              </w:rPr>
              <w:t>–</w:t>
            </w:r>
            <w:r w:rsidR="007E5149" w:rsidRPr="00DD6E6B">
              <w:rPr>
                <w:lang w:val="en-GB"/>
              </w:rPr>
              <w:t>0</w:t>
            </w:r>
            <w:r w:rsidR="00F462F4" w:rsidRPr="00DD6E6B">
              <w:rPr>
                <w:lang w:val="en-GB"/>
              </w:rPr>
              <w:t>.</w:t>
            </w:r>
            <w:r w:rsidR="007E5149" w:rsidRPr="00DD6E6B">
              <w:rPr>
                <w:lang w:val="en-GB"/>
              </w:rPr>
              <w:t>3%</w:t>
            </w:r>
            <w:r w:rsidR="00F462F4" w:rsidRPr="00DD6E6B">
              <w:rPr>
                <w:lang w:val="en-GB"/>
              </w:rPr>
              <w:t xml:space="preserve"> </w:t>
            </w:r>
            <w:r w:rsidR="000B382D" w:rsidRPr="00DD6E6B">
              <w:rPr>
                <w:lang w:val="en-GB"/>
              </w:rPr>
              <w:t xml:space="preserve">given the employment </w:t>
            </w:r>
            <w:r w:rsidR="00780FDA" w:rsidRPr="00DD6E6B">
              <w:rPr>
                <w:lang w:val="en-GB"/>
              </w:rPr>
              <w:t xml:space="preserve">growth of </w:t>
            </w:r>
            <w:r w:rsidR="007E5149" w:rsidRPr="00DD6E6B">
              <w:rPr>
                <w:lang w:val="en-GB"/>
              </w:rPr>
              <w:t>0</w:t>
            </w:r>
            <w:r w:rsidR="00780FDA" w:rsidRPr="00DD6E6B">
              <w:rPr>
                <w:lang w:val="en-GB"/>
              </w:rPr>
              <w:t>.</w:t>
            </w:r>
            <w:r w:rsidR="007E5149" w:rsidRPr="00DD6E6B">
              <w:rPr>
                <w:lang w:val="en-GB"/>
              </w:rPr>
              <w:t>8%) a</w:t>
            </w:r>
            <w:r w:rsidR="00780FDA" w:rsidRPr="00DD6E6B">
              <w:rPr>
                <w:lang w:val="en-GB"/>
              </w:rPr>
              <w:t xml:space="preserve">nd in other activities </w:t>
            </w:r>
            <w:r w:rsidR="006033A4">
              <w:rPr>
                <w:lang w:val="en-GB"/>
              </w:rPr>
              <w:t>(</w:t>
            </w:r>
            <w:r w:rsidR="006033A4">
              <w:rPr>
                <w:color w:val="000000"/>
                <w:shd w:val="clear" w:color="auto" w:fill="FFFFFF"/>
              </w:rPr>
              <w:t>–</w:t>
            </w:r>
            <w:r w:rsidR="007E5149" w:rsidRPr="00DD6E6B">
              <w:rPr>
                <w:lang w:val="en-GB"/>
              </w:rPr>
              <w:t>1</w:t>
            </w:r>
            <w:r w:rsidR="00780FDA" w:rsidRPr="00DD6E6B">
              <w:rPr>
                <w:lang w:val="en-GB"/>
              </w:rPr>
              <w:t>.</w:t>
            </w:r>
            <w:r w:rsidR="007E5149" w:rsidRPr="00DD6E6B">
              <w:rPr>
                <w:lang w:val="en-GB"/>
              </w:rPr>
              <w:t xml:space="preserve">8% </w:t>
            </w:r>
            <w:r w:rsidR="00780FDA" w:rsidRPr="00DD6E6B">
              <w:rPr>
                <w:lang w:val="en-GB"/>
              </w:rPr>
              <w:t xml:space="preserve">with employment growth of </w:t>
            </w:r>
            <w:r w:rsidR="007E5149" w:rsidRPr="00DD6E6B">
              <w:rPr>
                <w:lang w:val="en-GB"/>
              </w:rPr>
              <w:t>2</w:t>
            </w:r>
            <w:r w:rsidR="00780FDA" w:rsidRPr="00DD6E6B">
              <w:rPr>
                <w:lang w:val="en-GB"/>
              </w:rPr>
              <w:t>.</w:t>
            </w:r>
            <w:r w:rsidR="007E5149" w:rsidRPr="00DD6E6B">
              <w:rPr>
                <w:lang w:val="en-GB"/>
              </w:rPr>
              <w:t>5%).</w:t>
            </w:r>
          </w:p>
        </w:tc>
      </w:tr>
      <w:tr w:rsidR="007E5149" w:rsidRPr="00DD6E6B" w14:paraId="20280672" w14:textId="77777777" w:rsidTr="20D21749">
        <w:trPr>
          <w:trHeight w:val="145"/>
        </w:trPr>
        <w:tc>
          <w:tcPr>
            <w:tcW w:w="1806" w:type="dxa"/>
            <w:shd w:val="clear" w:color="auto" w:fill="auto"/>
            <w:tcMar>
              <w:left w:w="0" w:type="dxa"/>
            </w:tcMar>
          </w:tcPr>
          <w:p w14:paraId="05D1B246" w14:textId="2A79D8A2" w:rsidR="007E5149" w:rsidRPr="00DD6E6B" w:rsidRDefault="007E5149" w:rsidP="007E5149">
            <w:pPr>
              <w:pStyle w:val="Marginlie"/>
              <w:rPr>
                <w:lang w:val="en-GB"/>
              </w:rPr>
            </w:pPr>
            <w:r w:rsidRPr="00DD6E6B">
              <w:rPr>
                <w:lang w:val="en-GB"/>
              </w:rPr>
              <w:t>Dom</w:t>
            </w:r>
            <w:r w:rsidR="00526711" w:rsidRPr="00DD6E6B">
              <w:rPr>
                <w:lang w:val="en-GB"/>
              </w:rPr>
              <w:t xml:space="preserve">estic consumption </w:t>
            </w:r>
            <w:r w:rsidR="001E7410" w:rsidRPr="00DD6E6B">
              <w:rPr>
                <w:lang w:val="en-GB"/>
              </w:rPr>
              <w:t xml:space="preserve">grew for the first time after six quarters of decreases. </w:t>
            </w:r>
          </w:p>
        </w:tc>
        <w:tc>
          <w:tcPr>
            <w:tcW w:w="223" w:type="dxa"/>
            <w:shd w:val="clear" w:color="auto" w:fill="auto"/>
            <w:tcMar>
              <w:left w:w="0" w:type="dxa"/>
            </w:tcMar>
          </w:tcPr>
          <w:p w14:paraId="58B0E7A4"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15B371F8" w14:textId="03256825" w:rsidR="007E5149" w:rsidRPr="00DD6E6B" w:rsidRDefault="00B63C9F" w:rsidP="007E5149">
            <w:pPr>
              <w:rPr>
                <w:spacing w:val="-2"/>
                <w:lang w:val="en-GB"/>
              </w:rPr>
            </w:pPr>
            <w:r w:rsidRPr="00DD6E6B">
              <w:rPr>
                <w:spacing w:val="-2"/>
                <w:lang w:val="en-GB"/>
              </w:rPr>
              <w:t xml:space="preserve">Consumption </w:t>
            </w:r>
            <w:r w:rsidR="00E953B8" w:rsidRPr="00DD6E6B">
              <w:rPr>
                <w:spacing w:val="-2"/>
                <w:lang w:val="en-GB"/>
              </w:rPr>
              <w:t xml:space="preserve">dropped by </w:t>
            </w:r>
            <w:r w:rsidR="007E5149" w:rsidRPr="00DD6E6B">
              <w:rPr>
                <w:spacing w:val="-2"/>
                <w:lang w:val="en-GB"/>
              </w:rPr>
              <w:t>2</w:t>
            </w:r>
            <w:r w:rsidR="00E953B8" w:rsidRPr="00DD6E6B">
              <w:rPr>
                <w:spacing w:val="-2"/>
                <w:lang w:val="en-GB"/>
              </w:rPr>
              <w:t>.</w:t>
            </w:r>
            <w:r w:rsidR="007E5149" w:rsidRPr="00DD6E6B">
              <w:rPr>
                <w:spacing w:val="-2"/>
                <w:lang w:val="en-GB"/>
              </w:rPr>
              <w:t>0%</w:t>
            </w:r>
            <w:r w:rsidR="00E953B8" w:rsidRPr="00DD6E6B">
              <w:rPr>
                <w:spacing w:val="-2"/>
                <w:lang w:val="en-GB"/>
              </w:rPr>
              <w:t xml:space="preserve"> year-on-year and </w:t>
            </w:r>
            <w:r w:rsidR="000B61FF" w:rsidRPr="00DD6E6B">
              <w:rPr>
                <w:spacing w:val="-2"/>
                <w:lang w:val="en-GB"/>
              </w:rPr>
              <w:t xml:space="preserve">the slump thus moderated. </w:t>
            </w:r>
            <w:r w:rsidR="000045C4" w:rsidRPr="00DD6E6B">
              <w:rPr>
                <w:spacing w:val="-2"/>
                <w:lang w:val="en-GB"/>
              </w:rPr>
              <w:t xml:space="preserve">Consumption contributed in total </w:t>
            </w:r>
            <w:r w:rsidR="006033A4">
              <w:rPr>
                <w:color w:val="000000"/>
                <w:shd w:val="clear" w:color="auto" w:fill="FFFFFF"/>
              </w:rPr>
              <w:t>–</w:t>
            </w:r>
            <w:r w:rsidR="007E5149" w:rsidRPr="00DD6E6B">
              <w:rPr>
                <w:spacing w:val="-2"/>
                <w:lang w:val="en-GB"/>
              </w:rPr>
              <w:t>1</w:t>
            </w:r>
            <w:r w:rsidR="000045C4" w:rsidRPr="00DD6E6B">
              <w:rPr>
                <w:spacing w:val="-2"/>
                <w:lang w:val="en-GB"/>
              </w:rPr>
              <w:t>.</w:t>
            </w:r>
            <w:r w:rsidR="007E5149" w:rsidRPr="00DD6E6B">
              <w:rPr>
                <w:spacing w:val="-2"/>
                <w:lang w:val="en-GB"/>
              </w:rPr>
              <w:t xml:space="preserve">2 p. </w:t>
            </w:r>
            <w:r w:rsidR="000045C4" w:rsidRPr="00DD6E6B">
              <w:rPr>
                <w:spacing w:val="-2"/>
                <w:lang w:val="en-GB"/>
              </w:rPr>
              <w:t>p</w:t>
            </w:r>
            <w:r w:rsidR="007E5149" w:rsidRPr="00DD6E6B">
              <w:rPr>
                <w:spacing w:val="-2"/>
                <w:lang w:val="en-GB"/>
              </w:rPr>
              <w:t>.</w:t>
            </w:r>
            <w:r w:rsidR="007E5149" w:rsidRPr="00DD6E6B">
              <w:rPr>
                <w:rStyle w:val="Znakapoznpodarou"/>
                <w:spacing w:val="-2"/>
                <w:lang w:val="en-GB"/>
              </w:rPr>
              <w:footnoteReference w:id="9"/>
            </w:r>
            <w:r w:rsidR="000045C4" w:rsidRPr="00DD6E6B">
              <w:rPr>
                <w:spacing w:val="-2"/>
                <w:lang w:val="en-GB"/>
              </w:rPr>
              <w:t xml:space="preserve"> in the direction of the year-on-year GDP decrease. The</w:t>
            </w:r>
            <w:r w:rsidR="00DE1FC3" w:rsidRPr="00DD6E6B">
              <w:rPr>
                <w:spacing w:val="-2"/>
                <w:lang w:val="en-GB"/>
              </w:rPr>
              <w:t xml:space="preserve"> decline </w:t>
            </w:r>
            <w:r w:rsidR="006756C1" w:rsidRPr="00DD6E6B">
              <w:rPr>
                <w:spacing w:val="-2"/>
                <w:lang w:val="en-GB"/>
              </w:rPr>
              <w:t xml:space="preserve">can be </w:t>
            </w:r>
            <w:r w:rsidR="00DE1FC3" w:rsidRPr="00DD6E6B">
              <w:rPr>
                <w:spacing w:val="-2"/>
                <w:lang w:val="en-GB"/>
              </w:rPr>
              <w:t>thus</w:t>
            </w:r>
            <w:r w:rsidR="006756C1" w:rsidRPr="00DD6E6B">
              <w:rPr>
                <w:spacing w:val="-2"/>
                <w:lang w:val="en-GB"/>
              </w:rPr>
              <w:t xml:space="preserve"> attributed </w:t>
            </w:r>
            <w:r w:rsidR="005A586B" w:rsidRPr="00DD6E6B">
              <w:rPr>
                <w:spacing w:val="-2"/>
                <w:lang w:val="en-GB"/>
              </w:rPr>
              <w:t xml:space="preserve">solely to the household consumption, which was by </w:t>
            </w:r>
            <w:r w:rsidR="007E5149" w:rsidRPr="00DD6E6B">
              <w:rPr>
                <w:spacing w:val="-2"/>
                <w:lang w:val="en-GB"/>
              </w:rPr>
              <w:t>4</w:t>
            </w:r>
            <w:r w:rsidR="005A586B" w:rsidRPr="00DD6E6B">
              <w:rPr>
                <w:spacing w:val="-2"/>
                <w:lang w:val="en-GB"/>
              </w:rPr>
              <w:t>.</w:t>
            </w:r>
            <w:r w:rsidR="007E5149" w:rsidRPr="00DD6E6B">
              <w:rPr>
                <w:spacing w:val="-2"/>
                <w:lang w:val="en-GB"/>
              </w:rPr>
              <w:t>5%</w:t>
            </w:r>
            <w:r w:rsidR="005A586B" w:rsidRPr="00DD6E6B">
              <w:rPr>
                <w:spacing w:val="-2"/>
                <w:lang w:val="en-GB"/>
              </w:rPr>
              <w:t xml:space="preserve"> lower</w:t>
            </w:r>
            <w:r w:rsidR="007E5149" w:rsidRPr="00DD6E6B">
              <w:rPr>
                <w:spacing w:val="-2"/>
                <w:lang w:val="en-GB"/>
              </w:rPr>
              <w:t xml:space="preserve">. </w:t>
            </w:r>
            <w:r w:rsidR="006B5324" w:rsidRPr="00DD6E6B">
              <w:rPr>
                <w:spacing w:val="-2"/>
                <w:lang w:val="en-GB"/>
              </w:rPr>
              <w:t xml:space="preserve">In contrast, the government consumption </w:t>
            </w:r>
            <w:r w:rsidR="004E7C93" w:rsidRPr="00DD6E6B">
              <w:rPr>
                <w:spacing w:val="-2"/>
                <w:lang w:val="en-GB"/>
              </w:rPr>
              <w:t xml:space="preserve">went up by </w:t>
            </w:r>
            <w:r w:rsidR="007E5149" w:rsidRPr="00DD6E6B">
              <w:rPr>
                <w:spacing w:val="-2"/>
                <w:lang w:val="en-GB"/>
              </w:rPr>
              <w:t>3</w:t>
            </w:r>
            <w:r w:rsidR="004E7C93" w:rsidRPr="00DD6E6B">
              <w:rPr>
                <w:spacing w:val="-2"/>
                <w:lang w:val="en-GB"/>
              </w:rPr>
              <w:t>.</w:t>
            </w:r>
            <w:r w:rsidR="007E5149" w:rsidRPr="00DD6E6B">
              <w:rPr>
                <w:spacing w:val="-2"/>
                <w:lang w:val="en-GB"/>
              </w:rPr>
              <w:t>3%</w:t>
            </w:r>
            <w:r w:rsidR="004E7C93" w:rsidRPr="00DD6E6B">
              <w:rPr>
                <w:spacing w:val="-2"/>
                <w:lang w:val="en-GB"/>
              </w:rPr>
              <w:t xml:space="preserve"> year-on-year</w:t>
            </w:r>
            <w:r w:rsidR="007E5149" w:rsidRPr="00DD6E6B">
              <w:rPr>
                <w:spacing w:val="-2"/>
                <w:lang w:val="en-GB"/>
              </w:rPr>
              <w:t xml:space="preserve">. </w:t>
            </w:r>
            <w:r w:rsidR="00917D0D" w:rsidRPr="00DD6E6B">
              <w:rPr>
                <w:spacing w:val="-2"/>
                <w:lang w:val="en-GB"/>
              </w:rPr>
              <w:t xml:space="preserve">Quarter-on-quarter consumption increase by </w:t>
            </w:r>
            <w:r w:rsidR="007E5149" w:rsidRPr="00DD6E6B">
              <w:rPr>
                <w:spacing w:val="-2"/>
                <w:lang w:val="en-GB"/>
              </w:rPr>
              <w:t>0</w:t>
            </w:r>
            <w:r w:rsidR="00917D0D" w:rsidRPr="00DD6E6B">
              <w:rPr>
                <w:spacing w:val="-2"/>
                <w:lang w:val="en-GB"/>
              </w:rPr>
              <w:t>.</w:t>
            </w:r>
            <w:r w:rsidR="007E5149" w:rsidRPr="00DD6E6B">
              <w:rPr>
                <w:spacing w:val="-2"/>
                <w:lang w:val="en-GB"/>
              </w:rPr>
              <w:t>3%</w:t>
            </w:r>
            <w:r w:rsidR="00917D0D" w:rsidRPr="00DD6E6B">
              <w:rPr>
                <w:spacing w:val="-2"/>
                <w:lang w:val="en-GB"/>
              </w:rPr>
              <w:t xml:space="preserve"> manifested following six quarters of continuous decreases. </w:t>
            </w:r>
            <w:r w:rsidR="005B7910" w:rsidRPr="00DD6E6B">
              <w:rPr>
                <w:spacing w:val="-2"/>
                <w:lang w:val="en-GB"/>
              </w:rPr>
              <w:t xml:space="preserve">Both household </w:t>
            </w:r>
            <w:r w:rsidR="007E5149" w:rsidRPr="00DD6E6B">
              <w:rPr>
                <w:spacing w:val="-2"/>
                <w:lang w:val="en-GB"/>
              </w:rPr>
              <w:t>(0</w:t>
            </w:r>
            <w:r w:rsidR="00F461C3" w:rsidRPr="00DD6E6B">
              <w:rPr>
                <w:spacing w:val="-2"/>
                <w:lang w:val="en-GB"/>
              </w:rPr>
              <w:t>.</w:t>
            </w:r>
            <w:r w:rsidR="007E5149" w:rsidRPr="00DD6E6B">
              <w:rPr>
                <w:spacing w:val="-2"/>
                <w:lang w:val="en-GB"/>
              </w:rPr>
              <w:t xml:space="preserve">2%) </w:t>
            </w:r>
            <w:r w:rsidR="00F461C3" w:rsidRPr="00DD6E6B">
              <w:rPr>
                <w:spacing w:val="-2"/>
                <w:lang w:val="en-GB"/>
              </w:rPr>
              <w:t xml:space="preserve">and government </w:t>
            </w:r>
            <w:r w:rsidR="007E5149" w:rsidRPr="00DD6E6B">
              <w:rPr>
                <w:spacing w:val="-2"/>
                <w:lang w:val="en-GB"/>
              </w:rPr>
              <w:t>(0</w:t>
            </w:r>
            <w:r w:rsidR="00F461C3" w:rsidRPr="00DD6E6B">
              <w:rPr>
                <w:spacing w:val="-2"/>
                <w:lang w:val="en-GB"/>
              </w:rPr>
              <w:t>.</w:t>
            </w:r>
            <w:r w:rsidR="007E5149" w:rsidRPr="00DD6E6B">
              <w:rPr>
                <w:spacing w:val="-2"/>
                <w:lang w:val="en-GB"/>
              </w:rPr>
              <w:t>3%)</w:t>
            </w:r>
            <w:r w:rsidR="00F461C3" w:rsidRPr="00DD6E6B">
              <w:rPr>
                <w:spacing w:val="-2"/>
                <w:lang w:val="en-GB"/>
              </w:rPr>
              <w:t xml:space="preserve"> consumption went up</w:t>
            </w:r>
            <w:r w:rsidR="007E5149" w:rsidRPr="00DD6E6B">
              <w:rPr>
                <w:spacing w:val="-2"/>
                <w:lang w:val="en-GB"/>
              </w:rPr>
              <w:t xml:space="preserve">. </w:t>
            </w:r>
            <w:r w:rsidR="00BF6B0D" w:rsidRPr="00DD6E6B">
              <w:rPr>
                <w:spacing w:val="-2"/>
                <w:lang w:val="en-GB"/>
              </w:rPr>
              <w:t>Expenditures on short-term consumption</w:t>
            </w:r>
            <w:r w:rsidR="007E5149" w:rsidRPr="00DD6E6B">
              <w:rPr>
                <w:rStyle w:val="Znakapoznpodarou"/>
                <w:lang w:val="en-GB"/>
              </w:rPr>
              <w:footnoteReference w:id="10"/>
            </w:r>
            <w:r w:rsidR="007E5149" w:rsidRPr="00DD6E6B">
              <w:rPr>
                <w:spacing w:val="-2"/>
                <w:lang w:val="en-GB"/>
              </w:rPr>
              <w:t xml:space="preserve">, </w:t>
            </w:r>
            <w:r w:rsidR="00592DB2" w:rsidRPr="00DD6E6B">
              <w:rPr>
                <w:spacing w:val="-2"/>
                <w:lang w:val="en-GB"/>
              </w:rPr>
              <w:t xml:space="preserve">which were by </w:t>
            </w:r>
            <w:r w:rsidR="007E5149" w:rsidRPr="00DD6E6B">
              <w:rPr>
                <w:spacing w:val="-2"/>
                <w:lang w:val="en-GB"/>
              </w:rPr>
              <w:t>1</w:t>
            </w:r>
            <w:r w:rsidR="00592DB2" w:rsidRPr="00DD6E6B">
              <w:rPr>
                <w:spacing w:val="-2"/>
                <w:lang w:val="en-GB"/>
              </w:rPr>
              <w:t>.</w:t>
            </w:r>
            <w:r w:rsidR="007E5149" w:rsidRPr="00DD6E6B">
              <w:rPr>
                <w:spacing w:val="-2"/>
                <w:lang w:val="en-GB"/>
              </w:rPr>
              <w:t>0%</w:t>
            </w:r>
            <w:r w:rsidR="00592DB2" w:rsidRPr="00DD6E6B">
              <w:rPr>
                <w:spacing w:val="-2"/>
                <w:lang w:val="en-GB"/>
              </w:rPr>
              <w:t xml:space="preserve"> higher quarter-on-quarter,</w:t>
            </w:r>
            <w:r w:rsidR="00BF6B0D" w:rsidRPr="00DD6E6B">
              <w:rPr>
                <w:spacing w:val="-2"/>
                <w:lang w:val="en-GB"/>
              </w:rPr>
              <w:t xml:space="preserve"> worked the most in the direction of quarter-on-quarter growth of household consumption</w:t>
            </w:r>
            <w:r w:rsidR="007E5149" w:rsidRPr="00DD6E6B">
              <w:rPr>
                <w:spacing w:val="-2"/>
                <w:lang w:val="en-GB"/>
              </w:rPr>
              <w:t xml:space="preserve">. </w:t>
            </w:r>
            <w:r w:rsidR="003D1B0D" w:rsidRPr="00DD6E6B">
              <w:rPr>
                <w:spacing w:val="-2"/>
                <w:lang w:val="en-GB"/>
              </w:rPr>
              <w:t xml:space="preserve">The year-on-year downswing shrank, but the short-term consumption still deeply lagged behind </w:t>
            </w:r>
            <w:r w:rsidR="006033A4">
              <w:rPr>
                <w:spacing w:val="-2"/>
                <w:lang w:val="en-GB"/>
              </w:rPr>
              <w:t>(</w:t>
            </w:r>
            <w:r w:rsidR="006033A4">
              <w:rPr>
                <w:color w:val="000000"/>
                <w:shd w:val="clear" w:color="auto" w:fill="FFFFFF"/>
              </w:rPr>
              <w:t>–</w:t>
            </w:r>
            <w:r w:rsidR="007E5149" w:rsidRPr="00DD6E6B">
              <w:rPr>
                <w:spacing w:val="-2"/>
                <w:lang w:val="en-GB"/>
              </w:rPr>
              <w:t>6</w:t>
            </w:r>
            <w:r w:rsidR="003D1B0D" w:rsidRPr="00DD6E6B">
              <w:rPr>
                <w:spacing w:val="-2"/>
                <w:lang w:val="en-GB"/>
              </w:rPr>
              <w:t>.</w:t>
            </w:r>
            <w:r w:rsidR="007E5149" w:rsidRPr="00DD6E6B">
              <w:rPr>
                <w:spacing w:val="-2"/>
                <w:lang w:val="en-GB"/>
              </w:rPr>
              <w:t xml:space="preserve">1%). </w:t>
            </w:r>
            <w:r w:rsidR="0083349E" w:rsidRPr="00DD6E6B">
              <w:rPr>
                <w:spacing w:val="-2"/>
                <w:lang w:val="en-GB"/>
              </w:rPr>
              <w:t xml:space="preserve">The consumption of services in </w:t>
            </w:r>
            <w:r w:rsidR="008B71F2" w:rsidRPr="00DD6E6B">
              <w:rPr>
                <w:spacing w:val="-2"/>
                <w:lang w:val="en-GB"/>
              </w:rPr>
              <w:t>effect stagnated in Q</w:t>
            </w:r>
            <w:r w:rsidR="007E5149" w:rsidRPr="00DD6E6B">
              <w:rPr>
                <w:spacing w:val="-2"/>
                <w:lang w:val="en-GB"/>
              </w:rPr>
              <w:t>2</w:t>
            </w:r>
            <w:r w:rsidR="008B71F2" w:rsidRPr="00DD6E6B">
              <w:rPr>
                <w:spacing w:val="-2"/>
                <w:lang w:val="en-GB"/>
              </w:rPr>
              <w:t xml:space="preserve"> </w:t>
            </w:r>
            <w:r w:rsidR="007E5149" w:rsidRPr="00DD6E6B">
              <w:rPr>
                <w:spacing w:val="-2"/>
                <w:lang w:val="en-GB"/>
              </w:rPr>
              <w:t>(+0</w:t>
            </w:r>
            <w:r w:rsidR="008B71F2" w:rsidRPr="00DD6E6B">
              <w:rPr>
                <w:spacing w:val="-2"/>
                <w:lang w:val="en-GB"/>
              </w:rPr>
              <w:t>.</w:t>
            </w:r>
            <w:r w:rsidR="007E5149" w:rsidRPr="00DD6E6B">
              <w:rPr>
                <w:spacing w:val="-2"/>
                <w:lang w:val="en-GB"/>
              </w:rPr>
              <w:t>2%</w:t>
            </w:r>
            <w:r w:rsidR="008B71F2" w:rsidRPr="00DD6E6B">
              <w:rPr>
                <w:spacing w:val="-2"/>
                <w:lang w:val="en-GB"/>
              </w:rPr>
              <w:t xml:space="preserve"> </w:t>
            </w:r>
            <w:r w:rsidR="00DD6D61" w:rsidRPr="00DD6E6B">
              <w:rPr>
                <w:spacing w:val="-2"/>
                <w:lang w:val="en-GB"/>
              </w:rPr>
              <w:t>quarter-on-quarter</w:t>
            </w:r>
            <w:r w:rsidR="007E5149" w:rsidRPr="00DD6E6B">
              <w:rPr>
                <w:spacing w:val="-2"/>
                <w:lang w:val="en-GB"/>
              </w:rPr>
              <w:t>) a</w:t>
            </w:r>
            <w:r w:rsidR="00163ACE" w:rsidRPr="00DD6E6B">
              <w:rPr>
                <w:spacing w:val="-2"/>
                <w:lang w:val="en-GB"/>
              </w:rPr>
              <w:t xml:space="preserve">nd it was by </w:t>
            </w:r>
            <w:r w:rsidR="007E5149" w:rsidRPr="00DD6E6B">
              <w:rPr>
                <w:spacing w:val="-2"/>
                <w:lang w:val="en-GB"/>
              </w:rPr>
              <w:t>1</w:t>
            </w:r>
            <w:r w:rsidR="00163ACE" w:rsidRPr="00DD6E6B">
              <w:rPr>
                <w:spacing w:val="-2"/>
                <w:lang w:val="en-GB"/>
              </w:rPr>
              <w:t>.</w:t>
            </w:r>
            <w:r w:rsidR="007E5149" w:rsidRPr="00DD6E6B">
              <w:rPr>
                <w:spacing w:val="-2"/>
                <w:lang w:val="en-GB"/>
              </w:rPr>
              <w:t>6%</w:t>
            </w:r>
            <w:r w:rsidR="00163ACE" w:rsidRPr="00DD6E6B">
              <w:rPr>
                <w:spacing w:val="-2"/>
                <w:lang w:val="en-GB"/>
              </w:rPr>
              <w:t xml:space="preserve"> lower year-on-year</w:t>
            </w:r>
            <w:r w:rsidR="007E5149" w:rsidRPr="00DD6E6B">
              <w:rPr>
                <w:spacing w:val="-2"/>
                <w:lang w:val="en-GB"/>
              </w:rPr>
              <w:t>.</w:t>
            </w:r>
            <w:r w:rsidR="00163ACE" w:rsidRPr="00DD6E6B">
              <w:rPr>
                <w:spacing w:val="-2"/>
                <w:lang w:val="en-GB"/>
              </w:rPr>
              <w:t xml:space="preserve"> It represented the first year-on-year decrease since the beginning of year </w:t>
            </w:r>
            <w:r w:rsidR="007E5149" w:rsidRPr="00DD6E6B">
              <w:rPr>
                <w:spacing w:val="-2"/>
                <w:lang w:val="en-GB"/>
              </w:rPr>
              <w:t xml:space="preserve">2021. </w:t>
            </w:r>
            <w:r w:rsidR="00163ACE" w:rsidRPr="00DD6E6B">
              <w:rPr>
                <w:spacing w:val="-2"/>
                <w:lang w:val="en-GB"/>
              </w:rPr>
              <w:t xml:space="preserve">The consumption of durable goods both medium and long-term </w:t>
            </w:r>
            <w:r w:rsidR="005F2D46" w:rsidRPr="00DD6E6B">
              <w:rPr>
                <w:spacing w:val="-2"/>
                <w:lang w:val="en-GB"/>
              </w:rPr>
              <w:t>durability</w:t>
            </w:r>
            <w:r w:rsidR="007E5149" w:rsidRPr="00DD6E6B">
              <w:rPr>
                <w:spacing w:val="-2"/>
                <w:lang w:val="en-GB"/>
              </w:rPr>
              <w:t>)</w:t>
            </w:r>
            <w:r w:rsidR="00163ACE" w:rsidRPr="00DD6E6B">
              <w:rPr>
                <w:spacing w:val="-2"/>
                <w:lang w:val="en-GB"/>
              </w:rPr>
              <w:t xml:space="preserve"> </w:t>
            </w:r>
            <w:r w:rsidR="00273D2B" w:rsidRPr="00DD6E6B">
              <w:rPr>
                <w:spacing w:val="-2"/>
                <w:lang w:val="en-GB"/>
              </w:rPr>
              <w:t>fell quarter-on-quarter in Q</w:t>
            </w:r>
            <w:r w:rsidR="007E5149" w:rsidRPr="00DD6E6B">
              <w:rPr>
                <w:spacing w:val="-2"/>
                <w:lang w:val="en-GB"/>
              </w:rPr>
              <w:t>2</w:t>
            </w:r>
            <w:r w:rsidR="00273D2B" w:rsidRPr="00DD6E6B">
              <w:rPr>
                <w:spacing w:val="-2"/>
                <w:lang w:val="en-GB"/>
              </w:rPr>
              <w:t xml:space="preserve"> </w:t>
            </w:r>
            <w:r w:rsidR="007E5149" w:rsidRPr="00DD6E6B">
              <w:rPr>
                <w:spacing w:val="-2"/>
                <w:lang w:val="en-GB"/>
              </w:rPr>
              <w:t>2023</w:t>
            </w:r>
            <w:r w:rsidR="00273D2B" w:rsidRPr="00DD6E6B">
              <w:rPr>
                <w:spacing w:val="-2"/>
                <w:lang w:val="en-GB"/>
              </w:rPr>
              <w:t xml:space="preserve"> </w:t>
            </w:r>
            <w:r w:rsidR="007E5149" w:rsidRPr="00DD6E6B">
              <w:rPr>
                <w:spacing w:val="-2"/>
                <w:lang w:val="en-GB"/>
              </w:rPr>
              <w:t>(</w:t>
            </w:r>
            <w:r w:rsidR="00273D2B" w:rsidRPr="00DD6E6B">
              <w:rPr>
                <w:spacing w:val="-2"/>
                <w:lang w:val="en-GB"/>
              </w:rPr>
              <w:t xml:space="preserve">by </w:t>
            </w:r>
            <w:r w:rsidR="007E5149" w:rsidRPr="00DD6E6B">
              <w:rPr>
                <w:spacing w:val="-2"/>
                <w:lang w:val="en-GB"/>
              </w:rPr>
              <w:t>3</w:t>
            </w:r>
            <w:r w:rsidR="00273D2B" w:rsidRPr="00DD6E6B">
              <w:rPr>
                <w:spacing w:val="-2"/>
                <w:lang w:val="en-GB"/>
              </w:rPr>
              <w:t>.</w:t>
            </w:r>
            <w:r w:rsidR="007E5149" w:rsidRPr="00DD6E6B">
              <w:rPr>
                <w:spacing w:val="-2"/>
                <w:lang w:val="en-GB"/>
              </w:rPr>
              <w:t>6%</w:t>
            </w:r>
            <w:r w:rsidR="00273D2B" w:rsidRPr="00DD6E6B">
              <w:rPr>
                <w:spacing w:val="-2"/>
                <w:lang w:val="en-GB"/>
              </w:rPr>
              <w:t xml:space="preserve"> </w:t>
            </w:r>
            <w:r w:rsidR="00273D2B" w:rsidRPr="00DD6E6B">
              <w:rPr>
                <w:spacing w:val="-2"/>
                <w:lang w:val="en-GB"/>
              </w:rPr>
              <w:lastRenderedPageBreak/>
              <w:t>for long</w:t>
            </w:r>
            <w:r w:rsidR="005F2D46" w:rsidRPr="00DD6E6B">
              <w:rPr>
                <w:spacing w:val="-2"/>
                <w:lang w:val="en-GB"/>
              </w:rPr>
              <w:t xml:space="preserve">-term durability and by </w:t>
            </w:r>
            <w:r w:rsidR="007E5149" w:rsidRPr="00DD6E6B">
              <w:rPr>
                <w:spacing w:val="-2"/>
                <w:lang w:val="en-GB"/>
              </w:rPr>
              <w:t>2</w:t>
            </w:r>
            <w:r w:rsidR="005F2D46" w:rsidRPr="00DD6E6B">
              <w:rPr>
                <w:spacing w:val="-2"/>
                <w:lang w:val="en-GB"/>
              </w:rPr>
              <w:t>.</w:t>
            </w:r>
            <w:r w:rsidR="007E5149" w:rsidRPr="00DD6E6B">
              <w:rPr>
                <w:spacing w:val="-2"/>
                <w:lang w:val="en-GB"/>
              </w:rPr>
              <w:t>0%</w:t>
            </w:r>
            <w:r w:rsidR="005F2D46" w:rsidRPr="00DD6E6B">
              <w:rPr>
                <w:spacing w:val="-2"/>
                <w:lang w:val="en-GB"/>
              </w:rPr>
              <w:t xml:space="preserve"> for </w:t>
            </w:r>
            <w:r w:rsidR="00410EDB" w:rsidRPr="00DD6E6B">
              <w:rPr>
                <w:spacing w:val="-2"/>
                <w:lang w:val="en-GB"/>
              </w:rPr>
              <w:t>medium durability</w:t>
            </w:r>
            <w:r w:rsidR="007E5149" w:rsidRPr="00DD6E6B">
              <w:rPr>
                <w:spacing w:val="-2"/>
                <w:lang w:val="en-GB"/>
              </w:rPr>
              <w:t xml:space="preserve">). </w:t>
            </w:r>
            <w:r w:rsidR="00B6329D" w:rsidRPr="00DD6E6B">
              <w:rPr>
                <w:spacing w:val="-2"/>
                <w:lang w:val="en-GB"/>
              </w:rPr>
              <w:t>Expenditure on long</w:t>
            </w:r>
            <w:r w:rsidR="00320454">
              <w:rPr>
                <w:spacing w:val="-2"/>
                <w:lang w:val="en-GB"/>
              </w:rPr>
              <w:t>-</w:t>
            </w:r>
            <w:r w:rsidR="00B6329D" w:rsidRPr="00DD6E6B">
              <w:rPr>
                <w:spacing w:val="-2"/>
                <w:lang w:val="en-GB"/>
              </w:rPr>
              <w:t xml:space="preserve">term durability goods fell by </w:t>
            </w:r>
            <w:r w:rsidR="007E5149" w:rsidRPr="00DD6E6B">
              <w:rPr>
                <w:spacing w:val="-2"/>
                <w:lang w:val="en-GB"/>
              </w:rPr>
              <w:t>3</w:t>
            </w:r>
            <w:r w:rsidR="00B6329D" w:rsidRPr="00DD6E6B">
              <w:rPr>
                <w:spacing w:val="-2"/>
                <w:lang w:val="en-GB"/>
              </w:rPr>
              <w:t>.</w:t>
            </w:r>
            <w:r w:rsidR="007E5149" w:rsidRPr="00DD6E6B">
              <w:rPr>
                <w:spacing w:val="-2"/>
                <w:lang w:val="en-GB"/>
              </w:rPr>
              <w:t>6%</w:t>
            </w:r>
            <w:r w:rsidR="00B6329D" w:rsidRPr="00DD6E6B">
              <w:rPr>
                <w:spacing w:val="-2"/>
                <w:lang w:val="en-GB"/>
              </w:rPr>
              <w:t xml:space="preserve"> year-on-year</w:t>
            </w:r>
            <w:r w:rsidR="007E5149" w:rsidRPr="00DD6E6B">
              <w:rPr>
                <w:spacing w:val="-2"/>
                <w:lang w:val="en-GB"/>
              </w:rPr>
              <w:t xml:space="preserve">, </w:t>
            </w:r>
            <w:r w:rsidR="00DC25C7" w:rsidRPr="00DD6E6B">
              <w:rPr>
                <w:spacing w:val="-2"/>
                <w:lang w:val="en-GB"/>
              </w:rPr>
              <w:t xml:space="preserve">while for the </w:t>
            </w:r>
            <w:r w:rsidR="004F7A3B" w:rsidRPr="00DD6E6B">
              <w:rPr>
                <w:spacing w:val="-2"/>
                <w:lang w:val="en-GB"/>
              </w:rPr>
              <w:t xml:space="preserve">consumption of the </w:t>
            </w:r>
            <w:r w:rsidR="00DC25C7" w:rsidRPr="00DD6E6B">
              <w:rPr>
                <w:spacing w:val="-2"/>
                <w:lang w:val="en-GB"/>
              </w:rPr>
              <w:t>medium durability</w:t>
            </w:r>
            <w:r w:rsidR="004F7A3B" w:rsidRPr="00DD6E6B">
              <w:rPr>
                <w:spacing w:val="-2"/>
                <w:lang w:val="en-GB"/>
              </w:rPr>
              <w:t xml:space="preserve"> goods</w:t>
            </w:r>
            <w:r w:rsidR="00B6329D" w:rsidRPr="00DD6E6B">
              <w:rPr>
                <w:spacing w:val="-2"/>
                <w:lang w:val="en-GB"/>
              </w:rPr>
              <w:t xml:space="preserve"> it reached </w:t>
            </w:r>
            <w:r w:rsidR="007E5149" w:rsidRPr="00DD6E6B">
              <w:rPr>
                <w:spacing w:val="-2"/>
                <w:lang w:val="en-GB"/>
              </w:rPr>
              <w:t>7</w:t>
            </w:r>
            <w:r w:rsidR="00B6329D" w:rsidRPr="00DD6E6B">
              <w:rPr>
                <w:spacing w:val="-2"/>
                <w:lang w:val="en-GB"/>
              </w:rPr>
              <w:t>.</w:t>
            </w:r>
            <w:r w:rsidR="007E5149" w:rsidRPr="00DD6E6B">
              <w:rPr>
                <w:spacing w:val="-2"/>
                <w:lang w:val="en-GB"/>
              </w:rPr>
              <w:t>3%.</w:t>
            </w:r>
          </w:p>
        </w:tc>
      </w:tr>
      <w:tr w:rsidR="007E5149" w:rsidRPr="00DD6E6B" w14:paraId="76D06709" w14:textId="77777777" w:rsidTr="20D21749">
        <w:trPr>
          <w:trHeight w:val="154"/>
        </w:trPr>
        <w:tc>
          <w:tcPr>
            <w:tcW w:w="1806" w:type="dxa"/>
            <w:vMerge w:val="restart"/>
            <w:shd w:val="clear" w:color="auto" w:fill="auto"/>
            <w:tcMar>
              <w:left w:w="0" w:type="dxa"/>
            </w:tcMar>
          </w:tcPr>
          <w:p w14:paraId="28688F5E" w14:textId="77777777" w:rsidR="007E5149" w:rsidRPr="00DD6E6B" w:rsidRDefault="007E5149" w:rsidP="007E5149">
            <w:pPr>
              <w:pStyle w:val="Marginlie"/>
              <w:rPr>
                <w:lang w:val="en-GB"/>
              </w:rPr>
            </w:pPr>
          </w:p>
        </w:tc>
        <w:tc>
          <w:tcPr>
            <w:tcW w:w="223" w:type="dxa"/>
            <w:vMerge w:val="restart"/>
            <w:shd w:val="clear" w:color="auto" w:fill="auto"/>
            <w:tcMar>
              <w:left w:w="0" w:type="dxa"/>
            </w:tcMar>
          </w:tcPr>
          <w:p w14:paraId="4E50C9F6"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0C60C0C8" w14:textId="6AF7FCB7" w:rsidR="007E5149" w:rsidRPr="00DD6E6B" w:rsidRDefault="002E1E2B" w:rsidP="007E5149">
            <w:pPr>
              <w:spacing w:after="0"/>
              <w:rPr>
                <w:lang w:val="en-GB"/>
              </w:rPr>
            </w:pPr>
            <w:r w:rsidRPr="00DD6E6B">
              <w:rPr>
                <w:b/>
                <w:szCs w:val="20"/>
                <w:lang w:val="en-GB"/>
              </w:rPr>
              <w:t xml:space="preserve">Chart </w:t>
            </w:r>
            <w:r w:rsidR="007E5149" w:rsidRPr="00DD6E6B">
              <w:rPr>
                <w:b/>
                <w:szCs w:val="20"/>
                <w:lang w:val="en-GB"/>
              </w:rPr>
              <w:t xml:space="preserve">2 </w:t>
            </w:r>
            <w:r w:rsidR="00F05501" w:rsidRPr="00DD6E6B">
              <w:rPr>
                <w:b/>
                <w:szCs w:val="20"/>
                <w:lang w:val="en-GB"/>
              </w:rPr>
              <w:t>Contribution of expenditure items to real GDP change</w:t>
            </w:r>
            <w:r w:rsidR="00F05501" w:rsidRPr="00DD6E6B">
              <w:rPr>
                <w:rFonts w:cs="Arial"/>
                <w:b/>
                <w:szCs w:val="20"/>
                <w:lang w:val="en-GB" w:eastAsia="en-US"/>
              </w:rPr>
              <w:t xml:space="preserve">* </w:t>
            </w:r>
            <w:r w:rsidR="00F05501" w:rsidRPr="00DD6E6B">
              <w:rPr>
                <w:rFonts w:cs="Arial"/>
                <w:bCs/>
                <w:szCs w:val="20"/>
                <w:lang w:val="en-GB" w:eastAsia="en-US"/>
              </w:rPr>
              <w:t>(volume indices, year-on-year growth, contributions in p.p., GDP in %)</w:t>
            </w:r>
          </w:p>
        </w:tc>
      </w:tr>
      <w:tr w:rsidR="007E5149" w:rsidRPr="00DD6E6B" w14:paraId="5B11E325" w14:textId="77777777" w:rsidTr="00B545CC">
        <w:tblPrEx>
          <w:tblCellMar>
            <w:left w:w="70" w:type="dxa"/>
            <w:right w:w="70" w:type="dxa"/>
          </w:tblCellMar>
        </w:tblPrEx>
        <w:trPr>
          <w:trHeight w:val="154"/>
        </w:trPr>
        <w:tc>
          <w:tcPr>
            <w:tcW w:w="1806" w:type="dxa"/>
            <w:vMerge/>
          </w:tcPr>
          <w:p w14:paraId="340DAED2" w14:textId="77777777" w:rsidR="007E5149" w:rsidRPr="00DD6E6B" w:rsidRDefault="007E5149" w:rsidP="007E5149">
            <w:pPr>
              <w:pStyle w:val="Marginlie"/>
              <w:rPr>
                <w:lang w:val="en-GB"/>
              </w:rPr>
            </w:pPr>
          </w:p>
        </w:tc>
        <w:tc>
          <w:tcPr>
            <w:tcW w:w="223" w:type="dxa"/>
            <w:vMerge/>
          </w:tcPr>
          <w:p w14:paraId="0BF86D28" w14:textId="77777777" w:rsidR="007E5149" w:rsidRPr="00DD6E6B" w:rsidRDefault="007E5149" w:rsidP="007E5149">
            <w:pPr>
              <w:pStyle w:val="Textpoznpodarou"/>
              <w:jc w:val="both"/>
              <w:rPr>
                <w:spacing w:val="-4"/>
                <w:lang w:val="en-GB"/>
              </w:rPr>
            </w:pPr>
          </w:p>
        </w:tc>
        <w:tc>
          <w:tcPr>
            <w:tcW w:w="7610" w:type="dxa"/>
            <w:shd w:val="clear" w:color="auto" w:fill="auto"/>
          </w:tcPr>
          <w:p w14:paraId="54805A37" w14:textId="72D56728" w:rsidR="007E5149" w:rsidRPr="00DD6E6B" w:rsidRDefault="00B545CC" w:rsidP="007E5149">
            <w:pPr>
              <w:spacing w:after="0"/>
              <w:rPr>
                <w:lang w:val="en-GB"/>
              </w:rPr>
            </w:pPr>
            <w:r>
              <w:rPr>
                <w:noProof/>
              </w:rPr>
              <w:drawing>
                <wp:inline distT="0" distB="0" distL="0" distR="0" wp14:anchorId="7FE36443" wp14:editId="518A4C8F">
                  <wp:extent cx="4743950" cy="3283325"/>
                  <wp:effectExtent l="0" t="0" r="0" b="0"/>
                  <wp:docPr id="1962967454" name="Graf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E5149" w:rsidRPr="00DD6E6B" w14:paraId="52CA5ACB" w14:textId="77777777" w:rsidTr="20D21749">
        <w:trPr>
          <w:trHeight w:val="154"/>
        </w:trPr>
        <w:tc>
          <w:tcPr>
            <w:tcW w:w="1806" w:type="dxa"/>
            <w:vMerge/>
            <w:tcMar>
              <w:left w:w="0" w:type="dxa"/>
            </w:tcMar>
          </w:tcPr>
          <w:p w14:paraId="5843E33F" w14:textId="77777777" w:rsidR="007E5149" w:rsidRPr="00DD6E6B" w:rsidRDefault="007E5149" w:rsidP="007E5149">
            <w:pPr>
              <w:pStyle w:val="Marginlie"/>
              <w:rPr>
                <w:lang w:val="en-GB"/>
              </w:rPr>
            </w:pPr>
          </w:p>
        </w:tc>
        <w:tc>
          <w:tcPr>
            <w:tcW w:w="223" w:type="dxa"/>
            <w:vMerge/>
            <w:tcMar>
              <w:left w:w="0" w:type="dxa"/>
            </w:tcMar>
          </w:tcPr>
          <w:p w14:paraId="3F71DBCD" w14:textId="77777777" w:rsidR="007E5149" w:rsidRPr="00DD6E6B" w:rsidRDefault="007E5149" w:rsidP="007E5149">
            <w:pPr>
              <w:pStyle w:val="Textpoznpodarou"/>
              <w:jc w:val="both"/>
              <w:rPr>
                <w:spacing w:val="-4"/>
                <w:lang w:val="en-GB"/>
              </w:rPr>
            </w:pPr>
          </w:p>
        </w:tc>
        <w:tc>
          <w:tcPr>
            <w:tcW w:w="7610" w:type="dxa"/>
            <w:shd w:val="clear" w:color="auto" w:fill="auto"/>
            <w:tcMar>
              <w:left w:w="0" w:type="dxa"/>
            </w:tcMar>
          </w:tcPr>
          <w:p w14:paraId="0E0A213D" w14:textId="342EF297" w:rsidR="007E5149" w:rsidRPr="00DD6E6B" w:rsidRDefault="00DD58E5" w:rsidP="007E5149">
            <w:pPr>
              <w:spacing w:after="0"/>
              <w:rPr>
                <w:sz w:val="14"/>
                <w:szCs w:val="14"/>
                <w:lang w:val="en-GB"/>
              </w:rPr>
            </w:pPr>
            <w:r w:rsidRPr="00DD6E6B">
              <w:rPr>
                <w:sz w:val="14"/>
                <w:szCs w:val="14"/>
                <w:lang w:val="en-GB"/>
              </w:rPr>
              <w:t>Source</w:t>
            </w:r>
            <w:r w:rsidR="007E5149" w:rsidRPr="00DD6E6B">
              <w:rPr>
                <w:sz w:val="14"/>
                <w:szCs w:val="14"/>
                <w:lang w:val="en-GB"/>
              </w:rPr>
              <w:t xml:space="preserve">: </w:t>
            </w:r>
            <w:r w:rsidRPr="00DD6E6B">
              <w:rPr>
                <w:sz w:val="14"/>
                <w:szCs w:val="14"/>
                <w:lang w:val="en-GB"/>
              </w:rPr>
              <w:t>CZSO</w:t>
            </w:r>
          </w:p>
          <w:p w14:paraId="35A9EBDD" w14:textId="7E3A3957" w:rsidR="00EF7DF6" w:rsidRPr="00DD6E6B" w:rsidRDefault="007E5149" w:rsidP="00B545CC">
            <w:pPr>
              <w:rPr>
                <w:b/>
                <w:bCs/>
                <w:sz w:val="16"/>
                <w:szCs w:val="16"/>
                <w:lang w:val="en-GB"/>
              </w:rPr>
            </w:pPr>
            <w:r w:rsidRPr="00DD6E6B">
              <w:rPr>
                <w:sz w:val="14"/>
                <w:szCs w:val="14"/>
                <w:lang w:val="en-GB"/>
              </w:rPr>
              <w:t xml:space="preserve">* </w:t>
            </w:r>
            <w:r w:rsidR="00470235" w:rsidRPr="00DD6E6B">
              <w:rPr>
                <w:sz w:val="14"/>
                <w:szCs w:val="14"/>
                <w:lang w:val="en-GB"/>
              </w:rPr>
              <w:t>after exclusion of imports for final use</w:t>
            </w:r>
          </w:p>
        </w:tc>
      </w:tr>
      <w:tr w:rsidR="00912242" w:rsidRPr="00DD6E6B" w14:paraId="47B10051" w14:textId="77777777" w:rsidTr="20D21749">
        <w:trPr>
          <w:trHeight w:val="145"/>
        </w:trPr>
        <w:tc>
          <w:tcPr>
            <w:tcW w:w="1806" w:type="dxa"/>
            <w:shd w:val="clear" w:color="auto" w:fill="auto"/>
            <w:tcMar>
              <w:left w:w="0" w:type="dxa"/>
            </w:tcMar>
          </w:tcPr>
          <w:p w14:paraId="2B289813" w14:textId="4E359C48" w:rsidR="00912242" w:rsidRPr="00DD6E6B" w:rsidRDefault="00912242" w:rsidP="00912242">
            <w:pPr>
              <w:pStyle w:val="Marginlie"/>
              <w:rPr>
                <w:lang w:val="en-GB"/>
              </w:rPr>
            </w:pPr>
            <w:r w:rsidRPr="00DD6E6B">
              <w:rPr>
                <w:lang w:val="en-GB"/>
              </w:rPr>
              <w:t xml:space="preserve">Development of investment indirectly indicated a heightened investment activity of businesses. </w:t>
            </w:r>
          </w:p>
        </w:tc>
        <w:tc>
          <w:tcPr>
            <w:tcW w:w="223" w:type="dxa"/>
            <w:shd w:val="clear" w:color="auto" w:fill="auto"/>
            <w:tcMar>
              <w:left w:w="0" w:type="dxa"/>
            </w:tcMar>
          </w:tcPr>
          <w:p w14:paraId="4F5EE7D2"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06F031BE" w14:textId="79B96546" w:rsidR="00912242" w:rsidRPr="00DD6E6B" w:rsidRDefault="00912242" w:rsidP="00912242">
            <w:pPr>
              <w:rPr>
                <w:lang w:val="en-GB"/>
              </w:rPr>
            </w:pPr>
            <w:r w:rsidRPr="00DD6E6B">
              <w:rPr>
                <w:lang w:val="en-GB"/>
              </w:rPr>
              <w:t>Expenditure on gross capital formation were lower by 5.8% year-on-year in Q2, which represents deepening of the dive compared to the previous quarter. Gross capital formation contributed in total −1.7 p.p. to the GDP decrease. Quarter-on-quarter, expenditures on gross capital formation decreased by 1.9%. Expenditures on gross fixed capital formation itself (investment activity) however expanded by 2.5% year-on-year and the quarter-on-quarter revival achieved 3.4%. The total decrease of the gross capital formation was thus caused by the change of the inventory stock</w:t>
            </w:r>
            <w:r>
              <w:rPr>
                <w:lang w:val="en-GB"/>
              </w:rPr>
              <w:t xml:space="preserve"> as</w:t>
            </w:r>
            <w:r w:rsidRPr="00DD6E6B">
              <w:rPr>
                <w:lang w:val="en-GB"/>
              </w:rPr>
              <w:t xml:space="preserve"> the gradual depletion of the inventory stock apparent already at the end of the last year continued</w:t>
            </w:r>
            <w:r w:rsidRPr="00DD6E6B">
              <w:rPr>
                <w:rStyle w:val="Znakapoznpodarou"/>
                <w:lang w:val="en-GB"/>
              </w:rPr>
              <w:footnoteReference w:id="11"/>
            </w:r>
            <w:r w:rsidRPr="00DD6E6B">
              <w:rPr>
                <w:lang w:val="en-GB"/>
              </w:rPr>
              <w:t xml:space="preserve">. Expenditures on ICT and other machinery and equipment (growth of 8.8%) and further raised investment into transport equipment (14.5%) supported for the major part the quarter-on-quarter recovery of the investment activity in Q2. The revival of investment activity of non-financial business, which dominate these items can thus be indirectly derived. These two categories also grew very strongly year-on-year (ICT and machinery by 13.5% and transport equipment by 16.2%). Expenditures on products of intellectual property were also higher year-on-year (2.8%). Nevertheless, in the year-on-year view they lagged behind by 1.5%, which is the result of quarter-on-quarter plunge in the last quarter as well as the high comparative basis of the last year. The adverse situation in the area of investment into buildings continued in Q2. Investments into housing was by 3.0% lower quarter-on-quarter. Decrease thus again followed two revivals. The real level of investments into housing thus due to the effect of caution, weakening purchasing power of households and the interest rate environment hit the level of year 2016. Year-on-year, investments into housing were by 9.1% lower. Investment into other buildings and structures </w:t>
            </w:r>
            <w:r>
              <w:rPr>
                <w:lang w:val="en-GB"/>
              </w:rPr>
              <w:t>(</w:t>
            </w:r>
            <w:r>
              <w:rPr>
                <w:color w:val="000000"/>
                <w:shd w:val="clear" w:color="auto" w:fill="FFFFFF"/>
              </w:rPr>
              <w:t>–</w:t>
            </w:r>
            <w:r w:rsidRPr="00DD6E6B">
              <w:rPr>
                <w:lang w:val="en-GB"/>
              </w:rPr>
              <w:t xml:space="preserve">1.9%), which include government </w:t>
            </w:r>
            <w:r w:rsidRPr="00DD6E6B">
              <w:rPr>
                <w:lang w:val="en-GB"/>
              </w:rPr>
              <w:lastRenderedPageBreak/>
              <w:t>infrastructure investment as well as business investment into buildings for production purposes etc. were also lower for the third time in a row in Q2. Investment fell by 3.0% here year-on-year.</w:t>
            </w:r>
          </w:p>
        </w:tc>
      </w:tr>
      <w:tr w:rsidR="00912242" w:rsidRPr="00DD6E6B" w14:paraId="595C88FA" w14:textId="77777777" w:rsidTr="20D21749">
        <w:trPr>
          <w:trHeight w:val="145"/>
        </w:trPr>
        <w:tc>
          <w:tcPr>
            <w:tcW w:w="1806" w:type="dxa"/>
            <w:shd w:val="clear" w:color="auto" w:fill="auto"/>
            <w:tcMar>
              <w:left w:w="0" w:type="dxa"/>
            </w:tcMar>
          </w:tcPr>
          <w:p w14:paraId="380A11F6" w14:textId="54E4C832" w:rsidR="00912242" w:rsidRPr="00DD6E6B" w:rsidRDefault="00912242" w:rsidP="00912242">
            <w:pPr>
              <w:pStyle w:val="Marginlie"/>
              <w:rPr>
                <w:lang w:val="en-GB"/>
              </w:rPr>
            </w:pPr>
            <w:r w:rsidRPr="00DD6E6B">
              <w:rPr>
                <w:lang w:val="en-GB"/>
              </w:rPr>
              <w:lastRenderedPageBreak/>
              <w:t>Foreign trade balance markedly improved year-on-year.</w:t>
            </w:r>
          </w:p>
        </w:tc>
        <w:tc>
          <w:tcPr>
            <w:tcW w:w="223" w:type="dxa"/>
            <w:shd w:val="clear" w:color="auto" w:fill="auto"/>
            <w:tcMar>
              <w:left w:w="0" w:type="dxa"/>
            </w:tcMar>
          </w:tcPr>
          <w:p w14:paraId="755FD9A3"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792D4928" w14:textId="4D190A10" w:rsidR="00912242" w:rsidRPr="00DD6E6B" w:rsidRDefault="00912242" w:rsidP="00912242">
            <w:pPr>
              <w:rPr>
                <w:lang w:val="en-GB"/>
              </w:rPr>
            </w:pPr>
            <w:r w:rsidRPr="00DD6E6B">
              <w:rPr>
                <w:lang w:val="en-GB"/>
              </w:rPr>
              <w:t>Export of goods and services</w:t>
            </w:r>
            <w:r w:rsidRPr="00DD6E6B">
              <w:rPr>
                <w:rStyle w:val="Znakapoznpodarou"/>
                <w:lang w:val="en-GB"/>
              </w:rPr>
              <w:footnoteReference w:id="12"/>
            </w:r>
            <w:r w:rsidRPr="00DD6E6B">
              <w:rPr>
                <w:lang w:val="en-GB"/>
              </w:rPr>
              <w:t xml:space="preserve"> decreased quarter-on-quarter</w:t>
            </w:r>
            <w:r>
              <w:rPr>
                <w:lang w:val="en-GB"/>
              </w:rPr>
              <w:t xml:space="preserve"> (</w:t>
            </w:r>
            <w:r>
              <w:rPr>
                <w:color w:val="000000"/>
                <w:shd w:val="clear" w:color="auto" w:fill="FFFFFF"/>
              </w:rPr>
              <w:t>–</w:t>
            </w:r>
            <w:r w:rsidRPr="00DD6E6B">
              <w:rPr>
                <w:lang w:val="en-GB"/>
              </w:rPr>
              <w:t xml:space="preserve">0.5%) for the first time since Q3 2021 in Q2. While the export of goods recorded stagnation for the third time in a row, export of services plummeted by 2.9%. The import dynamics has lagged behind export already for more than one year and similarly import experienced larger slump in Q2 </w:t>
            </w:r>
            <w:r>
              <w:rPr>
                <w:lang w:val="en-GB"/>
              </w:rPr>
              <w:t>(</w:t>
            </w:r>
            <w:r>
              <w:rPr>
                <w:color w:val="000000"/>
                <w:shd w:val="clear" w:color="auto" w:fill="FFFFFF"/>
              </w:rPr>
              <w:t>–</w:t>
            </w:r>
            <w:r w:rsidRPr="00DD6E6B">
              <w:rPr>
                <w:lang w:val="en-GB"/>
              </w:rPr>
              <w:t>1.2%), in cases of both goods and service. Falling import is partially linked to the lower domestic consumption demand. At the same time however</w:t>
            </w:r>
            <w:r>
              <w:rPr>
                <w:lang w:val="en-GB"/>
              </w:rPr>
              <w:t>,</w:t>
            </w:r>
            <w:r w:rsidRPr="00DD6E6B">
              <w:rPr>
                <w:lang w:val="en-GB"/>
              </w:rPr>
              <w:t xml:space="preserve"> the cooling in part of the domestic industry cannot be omitted. Year-on-year rise of the export of goods and services nevertheless continued (4.5%) and their import was also slightly higher (0.8%). The balance of foreign trade with goods and services (seasonally adjusted) attained surplus of 100.9 CZK bn in Q2 2023. The positive balance markedly improved by 101.0 bn year-on-year, in effect completely due to the growing surplus of trade with goods. The year-on-year improvement of the balance contributed in total 2.5 p. p. to the GDP growth. Balance of foreign trade with goods and services also improved quarter-on-quarter, for the second time in a row. </w:t>
            </w:r>
          </w:p>
        </w:tc>
      </w:tr>
      <w:tr w:rsidR="00912242" w:rsidRPr="00DD6E6B" w14:paraId="16A3B338" w14:textId="77777777" w:rsidTr="20D21749">
        <w:trPr>
          <w:trHeight w:val="170"/>
        </w:trPr>
        <w:tc>
          <w:tcPr>
            <w:tcW w:w="1806" w:type="dxa"/>
            <w:vMerge w:val="restart"/>
            <w:shd w:val="clear" w:color="auto" w:fill="auto"/>
            <w:tcMar>
              <w:left w:w="0" w:type="dxa"/>
            </w:tcMar>
          </w:tcPr>
          <w:p w14:paraId="4DFFCBFE" w14:textId="77777777" w:rsidR="00912242" w:rsidRPr="00DD6E6B" w:rsidRDefault="00912242" w:rsidP="00912242">
            <w:pPr>
              <w:pStyle w:val="Marginlie"/>
              <w:rPr>
                <w:lang w:val="en-GB"/>
              </w:rPr>
            </w:pPr>
          </w:p>
        </w:tc>
        <w:tc>
          <w:tcPr>
            <w:tcW w:w="223" w:type="dxa"/>
            <w:vMerge w:val="restart"/>
            <w:shd w:val="clear" w:color="auto" w:fill="auto"/>
            <w:tcMar>
              <w:left w:w="0" w:type="dxa"/>
            </w:tcMar>
          </w:tcPr>
          <w:p w14:paraId="69419BB3"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14FF065C" w14:textId="2CA81F0F" w:rsidR="00912242" w:rsidRPr="00DD6E6B" w:rsidRDefault="00912242" w:rsidP="00912242">
            <w:pPr>
              <w:spacing w:after="0"/>
              <w:rPr>
                <w:lang w:val="en-GB"/>
              </w:rPr>
            </w:pPr>
            <w:r w:rsidRPr="00DD6E6B">
              <w:rPr>
                <w:b/>
                <w:szCs w:val="20"/>
                <w:lang w:val="en-GB"/>
              </w:rPr>
              <w:t>Chart 3 Contributions</w:t>
            </w:r>
            <w:r w:rsidRPr="00DD6E6B">
              <w:rPr>
                <w:b/>
                <w:szCs w:val="20"/>
                <w:lang w:val="en-GB" w:eastAsia="en-US"/>
              </w:rPr>
              <w:t xml:space="preserve"> of branches to real change in GVA</w:t>
            </w:r>
            <w:r w:rsidRPr="00DD6E6B">
              <w:rPr>
                <w:rFonts w:cs="Arial"/>
                <w:b/>
                <w:szCs w:val="20"/>
                <w:lang w:val="en-GB" w:eastAsia="en-US"/>
              </w:rPr>
              <w:t xml:space="preserve"> </w:t>
            </w:r>
            <w:r w:rsidRPr="00DD6E6B">
              <w:rPr>
                <w:rFonts w:cs="Arial"/>
                <w:bCs/>
                <w:szCs w:val="20"/>
                <w:lang w:val="en-GB" w:eastAsia="en-US"/>
              </w:rPr>
              <w:t>(volume indices, year-on-year contributions in p.p., GVA in %)</w:t>
            </w:r>
            <w:r w:rsidRPr="00DD6E6B">
              <w:rPr>
                <w:rFonts w:cs="Arial"/>
                <w:szCs w:val="20"/>
                <w:lang w:val="en-GB" w:eastAsia="en-US"/>
              </w:rPr>
              <w:t xml:space="preserve"> </w:t>
            </w:r>
          </w:p>
        </w:tc>
      </w:tr>
      <w:tr w:rsidR="00912242" w:rsidRPr="00DD6E6B" w14:paraId="3532C06E" w14:textId="77777777" w:rsidTr="00B545CC">
        <w:tblPrEx>
          <w:tblCellMar>
            <w:left w:w="70" w:type="dxa"/>
            <w:right w:w="70" w:type="dxa"/>
          </w:tblCellMar>
        </w:tblPrEx>
        <w:trPr>
          <w:trHeight w:val="170"/>
        </w:trPr>
        <w:tc>
          <w:tcPr>
            <w:tcW w:w="1806" w:type="dxa"/>
            <w:vMerge/>
          </w:tcPr>
          <w:p w14:paraId="211F1CE0" w14:textId="77777777" w:rsidR="00912242" w:rsidRPr="00DD6E6B" w:rsidRDefault="00912242" w:rsidP="00912242">
            <w:pPr>
              <w:pStyle w:val="Marginlie"/>
              <w:rPr>
                <w:lang w:val="en-GB"/>
              </w:rPr>
            </w:pPr>
          </w:p>
        </w:tc>
        <w:tc>
          <w:tcPr>
            <w:tcW w:w="223" w:type="dxa"/>
            <w:vMerge/>
          </w:tcPr>
          <w:p w14:paraId="41A37353" w14:textId="77777777" w:rsidR="00912242" w:rsidRPr="00DD6E6B" w:rsidRDefault="00912242" w:rsidP="00912242">
            <w:pPr>
              <w:pStyle w:val="Textpoznpodarou"/>
              <w:jc w:val="both"/>
              <w:rPr>
                <w:spacing w:val="-4"/>
                <w:lang w:val="en-GB"/>
              </w:rPr>
            </w:pPr>
          </w:p>
        </w:tc>
        <w:tc>
          <w:tcPr>
            <w:tcW w:w="7610" w:type="dxa"/>
            <w:shd w:val="clear" w:color="auto" w:fill="auto"/>
          </w:tcPr>
          <w:p w14:paraId="368C089A" w14:textId="1607E5EA" w:rsidR="00912242" w:rsidRPr="00DD6E6B" w:rsidRDefault="00912242" w:rsidP="00912242">
            <w:pPr>
              <w:spacing w:after="0"/>
              <w:rPr>
                <w:lang w:val="en-GB"/>
              </w:rPr>
            </w:pPr>
            <w:r>
              <w:rPr>
                <w:noProof/>
              </w:rPr>
              <w:drawing>
                <wp:inline distT="0" distB="0" distL="0" distR="0" wp14:anchorId="480C104F" wp14:editId="11DA906D">
                  <wp:extent cx="4731250" cy="3315075"/>
                  <wp:effectExtent l="0" t="0" r="0" b="0"/>
                  <wp:docPr id="834964555"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12242" w:rsidRPr="00DD6E6B" w14:paraId="1768F2A2" w14:textId="77777777" w:rsidTr="20D21749">
        <w:trPr>
          <w:trHeight w:val="170"/>
        </w:trPr>
        <w:tc>
          <w:tcPr>
            <w:tcW w:w="1806" w:type="dxa"/>
            <w:vMerge/>
            <w:tcMar>
              <w:left w:w="0" w:type="dxa"/>
            </w:tcMar>
          </w:tcPr>
          <w:p w14:paraId="770D168C" w14:textId="77777777" w:rsidR="00912242" w:rsidRPr="00DD6E6B" w:rsidRDefault="00912242" w:rsidP="00912242">
            <w:pPr>
              <w:pStyle w:val="Marginlie"/>
              <w:rPr>
                <w:lang w:val="en-GB"/>
              </w:rPr>
            </w:pPr>
          </w:p>
        </w:tc>
        <w:tc>
          <w:tcPr>
            <w:tcW w:w="223" w:type="dxa"/>
            <w:vMerge/>
            <w:tcMar>
              <w:left w:w="0" w:type="dxa"/>
            </w:tcMar>
          </w:tcPr>
          <w:p w14:paraId="4C26E9DA"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0BE626BE" w14:textId="7D535D2F" w:rsidR="00912242" w:rsidRPr="00B545CC" w:rsidRDefault="00912242" w:rsidP="00912242">
            <w:pPr>
              <w:rPr>
                <w:sz w:val="14"/>
                <w:szCs w:val="14"/>
                <w:lang w:val="en-GB"/>
              </w:rPr>
            </w:pPr>
            <w:r w:rsidRPr="00DD6E6B">
              <w:rPr>
                <w:sz w:val="14"/>
                <w:szCs w:val="14"/>
                <w:lang w:val="en-GB"/>
              </w:rPr>
              <w:t>Source: CZSO</w:t>
            </w:r>
          </w:p>
        </w:tc>
      </w:tr>
      <w:tr w:rsidR="00912242" w:rsidRPr="00DD6E6B" w14:paraId="51D9FB74" w14:textId="77777777" w:rsidTr="20D21749">
        <w:trPr>
          <w:trHeight w:val="145"/>
        </w:trPr>
        <w:tc>
          <w:tcPr>
            <w:tcW w:w="1806" w:type="dxa"/>
            <w:shd w:val="clear" w:color="auto" w:fill="auto"/>
            <w:tcMar>
              <w:left w:w="0" w:type="dxa"/>
            </w:tcMar>
          </w:tcPr>
          <w:p w14:paraId="3030FFC1" w14:textId="3B9B3FD5" w:rsidR="00912242" w:rsidRPr="00DD6E6B" w:rsidRDefault="00912242" w:rsidP="00912242">
            <w:pPr>
              <w:pStyle w:val="Marginlie"/>
              <w:rPr>
                <w:lang w:val="en-GB"/>
              </w:rPr>
            </w:pPr>
            <w:r w:rsidRPr="00DD6E6B">
              <w:rPr>
                <w:lang w:val="en-GB"/>
              </w:rPr>
              <w:t xml:space="preserve">Gross value added fell quarter-on-quarter and increased year-on-year. </w:t>
            </w:r>
          </w:p>
        </w:tc>
        <w:tc>
          <w:tcPr>
            <w:tcW w:w="223" w:type="dxa"/>
            <w:shd w:val="clear" w:color="auto" w:fill="auto"/>
            <w:tcMar>
              <w:left w:w="0" w:type="dxa"/>
            </w:tcMar>
          </w:tcPr>
          <w:p w14:paraId="62D04CDA" w14:textId="77777777" w:rsidR="00912242" w:rsidRPr="00DD6E6B" w:rsidRDefault="00912242" w:rsidP="00912242">
            <w:pPr>
              <w:pStyle w:val="Textpoznpodarou"/>
              <w:jc w:val="both"/>
              <w:rPr>
                <w:spacing w:val="-4"/>
                <w:lang w:val="en-GB"/>
              </w:rPr>
            </w:pPr>
          </w:p>
        </w:tc>
        <w:tc>
          <w:tcPr>
            <w:tcW w:w="7610" w:type="dxa"/>
            <w:shd w:val="clear" w:color="auto" w:fill="auto"/>
            <w:tcMar>
              <w:left w:w="0" w:type="dxa"/>
            </w:tcMar>
          </w:tcPr>
          <w:p w14:paraId="6C213ACF" w14:textId="494CD89A" w:rsidR="00912242" w:rsidRPr="00DD6E6B" w:rsidRDefault="00912242" w:rsidP="00912242">
            <w:pPr>
              <w:rPr>
                <w:lang w:val="en-GB"/>
              </w:rPr>
            </w:pPr>
            <w:r w:rsidRPr="00DD6E6B">
              <w:rPr>
                <w:lang w:val="en-GB"/>
              </w:rPr>
              <w:t>The Gross value added (GVA) decreased by 0.2% quarter-on-quarter in Q2 2023 and it was by 0.6%</w:t>
            </w:r>
            <w:r w:rsidRPr="00DD6E6B">
              <w:rPr>
                <w:rStyle w:val="Znakapoznpodarou"/>
                <w:lang w:val="en-GB"/>
              </w:rPr>
              <w:footnoteReference w:id="13"/>
            </w:r>
            <w:r w:rsidRPr="00DD6E6B">
              <w:rPr>
                <w:lang w:val="en-GB"/>
              </w:rPr>
              <w:t xml:space="preserve"> higher year-on-year. Industry as a total strongly contributed to the GVA growth year-on-year (growth of GVA by 1.5%), but it is evident for a closer look, that good performance in manufacturing stands exclusive behind it (3.8%). It is strongly interconnected to the foreign demand and especially manufacturing of motor vehicles </w:t>
            </w:r>
            <w:r w:rsidRPr="00DD6E6B">
              <w:rPr>
                <w:lang w:val="en-GB"/>
              </w:rPr>
              <w:lastRenderedPageBreak/>
              <w:t xml:space="preserve">and tied sub branches contributed to its favourable development. Development in services was also diverse. In group trade, transportation, accommodation and food service, which is strongly linked to the domestic consumption, the GVA fell by 1.3% year-on-year. The decline also concerned financial and insurance activities </w:t>
            </w:r>
            <w:r>
              <w:rPr>
                <w:lang w:val="en-GB"/>
              </w:rPr>
              <w:t>(</w:t>
            </w:r>
            <w:r>
              <w:rPr>
                <w:color w:val="000000"/>
                <w:shd w:val="clear" w:color="auto" w:fill="FFFFFF"/>
              </w:rPr>
              <w:t>–</w:t>
            </w:r>
            <w:r w:rsidRPr="00DD6E6B">
              <w:rPr>
                <w:lang w:val="en-GB"/>
              </w:rPr>
              <w:t xml:space="preserve">1.1%), real estate activities </w:t>
            </w:r>
            <w:r>
              <w:rPr>
                <w:lang w:val="en-GB"/>
              </w:rPr>
              <w:t>(</w:t>
            </w:r>
            <w:r>
              <w:rPr>
                <w:color w:val="000000"/>
                <w:shd w:val="clear" w:color="auto" w:fill="FFFFFF"/>
              </w:rPr>
              <w:t>–</w:t>
            </w:r>
            <w:r w:rsidRPr="00DD6E6B">
              <w:rPr>
                <w:lang w:val="en-GB"/>
              </w:rPr>
              <w:t xml:space="preserve">0.2%) and other activities </w:t>
            </w:r>
            <w:r>
              <w:rPr>
                <w:lang w:val="en-GB"/>
              </w:rPr>
              <w:t>(</w:t>
            </w:r>
            <w:r>
              <w:rPr>
                <w:color w:val="000000"/>
                <w:shd w:val="clear" w:color="auto" w:fill="FFFFFF"/>
              </w:rPr>
              <w:t>–</w:t>
            </w:r>
            <w:r w:rsidRPr="00DD6E6B">
              <w:rPr>
                <w:lang w:val="en-GB"/>
              </w:rPr>
              <w:t xml:space="preserve">0.4%). On the other side the GVA considerably grew in information and communication (5.6%) and it was also higher in professional, scientific, technical and administrative activities (1.6%) tied to the business sphere. The GVA fell in construction year-on-year </w:t>
            </w:r>
            <w:r>
              <w:rPr>
                <w:lang w:val="en-GB"/>
              </w:rPr>
              <w:t>(</w:t>
            </w:r>
            <w:r>
              <w:rPr>
                <w:color w:val="000000"/>
                <w:shd w:val="clear" w:color="auto" w:fill="FFFFFF"/>
              </w:rPr>
              <w:t>–</w:t>
            </w:r>
            <w:r w:rsidRPr="00DD6E6B">
              <w:rPr>
                <w:lang w:val="en-GB"/>
              </w:rPr>
              <w:t xml:space="preserve">2.7%) for the seventh time in a row. Manufacturing also worked considerably in the direction of the total quarter-on-quarter GVA growth (increase by 1.0%). In total industry nevertheless the GVA rose only by 0.2% quarter-on-quarter. Small quarter-on-quarter increase of GVA by 0.2% occurred in construction. Among services, the GVA grew quarter-on-quarter only in financial and insurance activities (2.5%) and slightly also in professional, scientific, technical and administrative activities (0.3%) and in other activities (0.4%). The GVA decreased in group trade, transportation, accommodation and food service quarter-on-quarter </w:t>
            </w:r>
            <w:r>
              <w:rPr>
                <w:lang w:val="en-GB"/>
              </w:rPr>
              <w:t>(</w:t>
            </w:r>
            <w:r>
              <w:rPr>
                <w:color w:val="000000"/>
                <w:shd w:val="clear" w:color="auto" w:fill="FFFFFF"/>
              </w:rPr>
              <w:t>–</w:t>
            </w:r>
            <w:r w:rsidRPr="00DD6E6B">
              <w:rPr>
                <w:lang w:val="en-GB"/>
              </w:rPr>
              <w:t xml:space="preserve">1.0%) and real estate activities </w:t>
            </w:r>
            <w:r>
              <w:rPr>
                <w:lang w:val="en-GB"/>
              </w:rPr>
              <w:t>(</w:t>
            </w:r>
            <w:r>
              <w:rPr>
                <w:color w:val="000000"/>
                <w:shd w:val="clear" w:color="auto" w:fill="FFFFFF"/>
              </w:rPr>
              <w:t>–</w:t>
            </w:r>
            <w:r w:rsidRPr="00DD6E6B">
              <w:rPr>
                <w:lang w:val="en-GB"/>
              </w:rPr>
              <w:t xml:space="preserve">1.0%). The GVA basically stagnated in case of information and communication </w:t>
            </w:r>
            <w:r>
              <w:rPr>
                <w:lang w:val="en-GB"/>
              </w:rPr>
              <w:t>(</w:t>
            </w:r>
            <w:r>
              <w:rPr>
                <w:color w:val="000000"/>
                <w:shd w:val="clear" w:color="auto" w:fill="FFFFFF"/>
              </w:rPr>
              <w:t>–</w:t>
            </w:r>
            <w:r w:rsidRPr="00DD6E6B">
              <w:rPr>
                <w:lang w:val="en-GB"/>
              </w:rPr>
              <w:t xml:space="preserve">0.1%). </w:t>
            </w:r>
          </w:p>
        </w:tc>
      </w:tr>
    </w:tbl>
    <w:p w14:paraId="699E6E44" w14:textId="77777777" w:rsidR="007E5149" w:rsidRPr="00DD6E6B" w:rsidRDefault="007E5149" w:rsidP="007E5149">
      <w:pPr>
        <w:pStyle w:val="Nadpis11"/>
        <w:rPr>
          <w:sz w:val="2"/>
          <w:szCs w:val="2"/>
          <w:lang w:val="en-GB"/>
        </w:rPr>
      </w:pPr>
    </w:p>
    <w:p w14:paraId="7DF920C2" w14:textId="77777777" w:rsidR="007E5149" w:rsidRPr="00DD6E6B" w:rsidRDefault="007E5149" w:rsidP="007E5149">
      <w:pPr>
        <w:pStyle w:val="Nadpis11"/>
        <w:rPr>
          <w:sz w:val="2"/>
          <w:szCs w:val="2"/>
          <w:lang w:val="en-GB"/>
        </w:rPr>
      </w:pPr>
    </w:p>
    <w:p w14:paraId="79A0A870" w14:textId="77777777" w:rsidR="004E1DB2" w:rsidRPr="00DD6E6B" w:rsidRDefault="004E1DB2">
      <w:pPr>
        <w:spacing w:after="0" w:line="240" w:lineRule="auto"/>
        <w:jc w:val="left"/>
        <w:rPr>
          <w:rFonts w:eastAsia="MS Gothic"/>
          <w:b/>
          <w:bCs/>
          <w:color w:val="71818C"/>
          <w:sz w:val="32"/>
          <w:szCs w:val="32"/>
          <w:lang w:val="en-GB"/>
        </w:rPr>
      </w:pPr>
      <w:r w:rsidRPr="00DD6E6B">
        <w:rPr>
          <w:szCs w:val="32"/>
          <w:lang w:val="en-GB"/>
        </w:rPr>
        <w:br w:type="page"/>
      </w:r>
    </w:p>
    <w:p w14:paraId="2275A021" w14:textId="4F597B5E" w:rsidR="00D27F07" w:rsidRPr="00DD6E6B" w:rsidRDefault="00D27F07" w:rsidP="00D27F07">
      <w:pPr>
        <w:pStyle w:val="Nadpis11"/>
        <w:rPr>
          <w:lang w:val="en-GB"/>
        </w:rPr>
      </w:pPr>
      <w:bookmarkStart w:id="23" w:name="_Toc137233026"/>
      <w:bookmarkStart w:id="24" w:name="_Toc130286019"/>
      <w:bookmarkStart w:id="25" w:name="_Toc114134050"/>
      <w:bookmarkStart w:id="26" w:name="_Toc121993822"/>
      <w:bookmarkStart w:id="27" w:name="_Toc148437386"/>
      <w:bookmarkEnd w:id="15"/>
      <w:bookmarkEnd w:id="16"/>
      <w:bookmarkEnd w:id="17"/>
      <w:bookmarkEnd w:id="18"/>
      <w:bookmarkEnd w:id="19"/>
      <w:bookmarkEnd w:id="20"/>
      <w:r w:rsidRPr="00DD6E6B">
        <w:rPr>
          <w:szCs w:val="32"/>
          <w:lang w:val="en-GB"/>
        </w:rPr>
        <w:lastRenderedPageBreak/>
        <w:t>3</w:t>
      </w:r>
      <w:r w:rsidRPr="00DD6E6B">
        <w:rPr>
          <w:lang w:val="en-GB"/>
        </w:rPr>
        <w:t>. </w:t>
      </w:r>
      <w:r w:rsidR="00A07316" w:rsidRPr="00DD6E6B">
        <w:rPr>
          <w:lang w:val="en-GB"/>
        </w:rPr>
        <w:t>Branches Performance</w:t>
      </w:r>
      <w:bookmarkEnd w:id="23"/>
      <w:bookmarkEnd w:id="27"/>
    </w:p>
    <w:p w14:paraId="158CD607" w14:textId="77777777" w:rsidR="00D27F07" w:rsidRPr="00DD6E6B" w:rsidRDefault="00D27F07" w:rsidP="00D27F07">
      <w:pPr>
        <w:pStyle w:val="Nadpis11"/>
        <w:rPr>
          <w:b w:val="0"/>
          <w:sz w:val="2"/>
          <w:szCs w:val="2"/>
          <w:highlight w:val="yellow"/>
          <w:lang w:val="en-GB"/>
        </w:rPr>
      </w:pPr>
    </w:p>
    <w:p w14:paraId="56FB7B52" w14:textId="77777777" w:rsidR="00D27F07" w:rsidRPr="00DD6E6B" w:rsidRDefault="00D27F07" w:rsidP="00D27F07">
      <w:pPr>
        <w:pStyle w:val="Nadpis11"/>
        <w:rPr>
          <w:b w:val="0"/>
          <w:sz w:val="2"/>
          <w:szCs w:val="2"/>
          <w:highlight w:val="yellow"/>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78"/>
        <w:gridCol w:w="194"/>
        <w:gridCol w:w="7767"/>
      </w:tblGrid>
      <w:tr w:rsidR="00D27F07" w:rsidRPr="00DD6E6B" w14:paraId="1FDBEA80" w14:textId="77777777" w:rsidTr="00D80129">
        <w:trPr>
          <w:trHeight w:val="145"/>
        </w:trPr>
        <w:tc>
          <w:tcPr>
            <w:tcW w:w="1678" w:type="dxa"/>
            <w:tcBorders>
              <w:top w:val="nil"/>
              <w:left w:val="nil"/>
              <w:bottom w:val="nil"/>
              <w:right w:val="nil"/>
            </w:tcBorders>
            <w:shd w:val="clear" w:color="auto" w:fill="auto"/>
            <w:tcMar>
              <w:left w:w="0" w:type="dxa"/>
            </w:tcMar>
          </w:tcPr>
          <w:p w14:paraId="08B6DC26" w14:textId="6363E773" w:rsidR="00D27F07" w:rsidRPr="00DD6E6B" w:rsidRDefault="00A07316" w:rsidP="00D42399">
            <w:pPr>
              <w:pStyle w:val="Marginlie"/>
              <w:rPr>
                <w:color w:val="0D0D0D" w:themeColor="text1" w:themeTint="F2"/>
                <w:spacing w:val="-5"/>
                <w:lang w:val="en-GB"/>
              </w:rPr>
            </w:pPr>
            <w:r w:rsidRPr="00DD6E6B">
              <w:rPr>
                <w:color w:val="0D0D0D" w:themeColor="text1" w:themeTint="F2"/>
                <w:spacing w:val="-5"/>
                <w:lang w:val="en-GB"/>
              </w:rPr>
              <w:t xml:space="preserve">Manufacturing </w:t>
            </w:r>
            <w:r w:rsidR="002658BF">
              <w:rPr>
                <w:color w:val="0D0D0D" w:themeColor="text1" w:themeTint="F2"/>
                <w:spacing w:val="-5"/>
                <w:lang w:val="en-GB"/>
              </w:rPr>
              <w:t>was a key factor of</w:t>
            </w:r>
            <w:r w:rsidRPr="00DD6E6B">
              <w:rPr>
                <w:color w:val="0D0D0D" w:themeColor="text1" w:themeTint="F2"/>
                <w:spacing w:val="-5"/>
                <w:lang w:val="en-GB"/>
              </w:rPr>
              <w:t xml:space="preserve"> the year-on-year growth of GVA</w:t>
            </w:r>
            <w:r w:rsidR="002658BF">
              <w:rPr>
                <w:color w:val="0D0D0D" w:themeColor="text1" w:themeTint="F2"/>
                <w:spacing w:val="-5"/>
                <w:lang w:val="en-GB"/>
              </w:rPr>
              <w:t xml:space="preserve"> in economy</w:t>
            </w:r>
            <w:r w:rsidRPr="00DD6E6B">
              <w:rPr>
                <w:color w:val="0D0D0D" w:themeColor="text1" w:themeTint="F2"/>
                <w:spacing w:val="-5"/>
                <w:lang w:val="en-GB"/>
              </w:rPr>
              <w:t xml:space="preserve">. </w:t>
            </w:r>
          </w:p>
        </w:tc>
        <w:tc>
          <w:tcPr>
            <w:tcW w:w="194" w:type="dxa"/>
            <w:tcBorders>
              <w:top w:val="nil"/>
              <w:left w:val="nil"/>
              <w:bottom w:val="nil"/>
              <w:right w:val="nil"/>
            </w:tcBorders>
            <w:shd w:val="clear" w:color="auto" w:fill="auto"/>
            <w:tcMar>
              <w:left w:w="0" w:type="dxa"/>
            </w:tcMar>
          </w:tcPr>
          <w:p w14:paraId="6A284BBC"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6EE5266" w14:textId="310B9FA6" w:rsidR="00D27F07" w:rsidRPr="00DD6E6B" w:rsidRDefault="00EE2674" w:rsidP="00D42399">
            <w:pPr>
              <w:rPr>
                <w:spacing w:val="-4"/>
                <w:lang w:val="en-GB"/>
              </w:rPr>
            </w:pPr>
            <w:r w:rsidRPr="00DD6E6B">
              <w:rPr>
                <w:color w:val="0D0D0D" w:themeColor="text1" w:themeTint="F2"/>
                <w:spacing w:val="-4"/>
                <w:lang w:val="en-GB"/>
              </w:rPr>
              <w:t>Performance of the domestic econom</w:t>
            </w:r>
            <w:r w:rsidR="0013645A" w:rsidRPr="00DD6E6B">
              <w:rPr>
                <w:color w:val="0D0D0D" w:themeColor="text1" w:themeTint="F2"/>
                <w:spacing w:val="-4"/>
                <w:lang w:val="en-GB"/>
              </w:rPr>
              <w:t>y</w:t>
            </w:r>
            <w:r w:rsidRPr="00DD6E6B">
              <w:rPr>
                <w:color w:val="0D0D0D" w:themeColor="text1" w:themeTint="F2"/>
                <w:spacing w:val="-4"/>
                <w:lang w:val="en-GB"/>
              </w:rPr>
              <w:t xml:space="preserve"> still teetered on the brink of recession</w:t>
            </w:r>
            <w:r w:rsidR="00D27F07" w:rsidRPr="00DD6E6B">
              <w:rPr>
                <w:rStyle w:val="Znakapoznpodarou"/>
                <w:color w:val="0D0D0D" w:themeColor="text1" w:themeTint="F2"/>
                <w:spacing w:val="-4"/>
                <w:lang w:val="en-GB"/>
              </w:rPr>
              <w:footnoteReference w:id="14"/>
            </w:r>
            <w:r w:rsidR="00D27F07" w:rsidRPr="00DD6E6B">
              <w:rPr>
                <w:color w:val="0D0D0D" w:themeColor="text1" w:themeTint="F2"/>
                <w:spacing w:val="-4"/>
                <w:lang w:val="en-GB"/>
              </w:rPr>
              <w:t xml:space="preserve">. </w:t>
            </w:r>
            <w:r w:rsidR="00A96026" w:rsidRPr="00DD6E6B">
              <w:rPr>
                <w:color w:val="0D0D0D" w:themeColor="text1" w:themeTint="F2"/>
                <w:spacing w:val="-4"/>
                <w:lang w:val="en-GB"/>
              </w:rPr>
              <w:t>While the total gross value added (GVA)</w:t>
            </w:r>
            <w:r w:rsidR="00320D58" w:rsidRPr="00DD6E6B">
              <w:rPr>
                <w:rStyle w:val="Znakapoznpodarou"/>
                <w:spacing w:val="-4"/>
                <w:lang w:val="en-GB"/>
              </w:rPr>
              <w:footnoteReference w:id="15"/>
            </w:r>
            <w:r w:rsidR="00320D58" w:rsidRPr="00DD6E6B">
              <w:rPr>
                <w:color w:val="0D0D0D" w:themeColor="text1" w:themeTint="F2"/>
                <w:spacing w:val="-4"/>
                <w:lang w:val="en-GB"/>
              </w:rPr>
              <w:t xml:space="preserve"> </w:t>
            </w:r>
            <w:r w:rsidR="009122D0" w:rsidRPr="00DD6E6B">
              <w:rPr>
                <w:color w:val="0D0D0D" w:themeColor="text1" w:themeTint="F2"/>
                <w:spacing w:val="-4"/>
                <w:lang w:val="en-GB"/>
              </w:rPr>
              <w:t xml:space="preserve">increased by </w:t>
            </w:r>
            <w:r w:rsidR="00D27F07" w:rsidRPr="00DD6E6B">
              <w:rPr>
                <w:spacing w:val="-4"/>
                <w:lang w:val="en-GB"/>
              </w:rPr>
              <w:t>0</w:t>
            </w:r>
            <w:r w:rsidR="009122D0" w:rsidRPr="00DD6E6B">
              <w:rPr>
                <w:spacing w:val="-4"/>
                <w:lang w:val="en-GB"/>
              </w:rPr>
              <w:t>.</w:t>
            </w:r>
            <w:r w:rsidR="00D27F07" w:rsidRPr="00DD6E6B">
              <w:rPr>
                <w:spacing w:val="-4"/>
                <w:lang w:val="en-GB"/>
              </w:rPr>
              <w:t>5%</w:t>
            </w:r>
            <w:r w:rsidR="009122D0" w:rsidRPr="00DD6E6B">
              <w:rPr>
                <w:spacing w:val="-4"/>
                <w:lang w:val="en-GB"/>
              </w:rPr>
              <w:t xml:space="preserve"> quarter-on-quarter at the beginning of this year </w:t>
            </w:r>
            <w:r w:rsidR="00D27F07" w:rsidRPr="00DD6E6B">
              <w:rPr>
                <w:spacing w:val="-4"/>
                <w:lang w:val="en-GB"/>
              </w:rPr>
              <w:t>(</w:t>
            </w:r>
            <w:r w:rsidR="009122D0" w:rsidRPr="00DD6E6B">
              <w:rPr>
                <w:spacing w:val="-4"/>
                <w:lang w:val="en-GB"/>
              </w:rPr>
              <w:t>and thus grew swifter compared to any of the last year</w:t>
            </w:r>
            <w:r w:rsidR="004775F8" w:rsidRPr="00DD6E6B">
              <w:rPr>
                <w:spacing w:val="-4"/>
                <w:lang w:val="en-GB"/>
              </w:rPr>
              <w:t>’</w:t>
            </w:r>
            <w:r w:rsidR="009122D0" w:rsidRPr="00DD6E6B">
              <w:rPr>
                <w:spacing w:val="-4"/>
                <w:lang w:val="en-GB"/>
              </w:rPr>
              <w:t>s quarters</w:t>
            </w:r>
            <w:r w:rsidR="00D27F07" w:rsidRPr="00DD6E6B">
              <w:rPr>
                <w:spacing w:val="-4"/>
                <w:lang w:val="en-GB"/>
              </w:rPr>
              <w:t xml:space="preserve">), </w:t>
            </w:r>
            <w:r w:rsidR="004775F8" w:rsidRPr="00DD6E6B">
              <w:rPr>
                <w:spacing w:val="-4"/>
                <w:lang w:val="en-GB"/>
              </w:rPr>
              <w:t xml:space="preserve">it declined by </w:t>
            </w:r>
            <w:r w:rsidR="00D27F07" w:rsidRPr="00DD6E6B">
              <w:rPr>
                <w:color w:val="0D0D0D" w:themeColor="text1" w:themeTint="F2"/>
                <w:spacing w:val="-4"/>
                <w:lang w:val="en-GB"/>
              </w:rPr>
              <w:t>0</w:t>
            </w:r>
            <w:r w:rsidR="004775F8" w:rsidRPr="00DD6E6B">
              <w:rPr>
                <w:color w:val="0D0D0D" w:themeColor="text1" w:themeTint="F2"/>
                <w:spacing w:val="-4"/>
                <w:lang w:val="en-GB"/>
              </w:rPr>
              <w:t>.</w:t>
            </w:r>
            <w:r w:rsidR="00D27F07" w:rsidRPr="00DD6E6B">
              <w:rPr>
                <w:color w:val="0D0D0D" w:themeColor="text1" w:themeTint="F2"/>
                <w:spacing w:val="-4"/>
                <w:lang w:val="en-GB"/>
              </w:rPr>
              <w:t>2%</w:t>
            </w:r>
            <w:r w:rsidR="004775F8" w:rsidRPr="00DD6E6B">
              <w:rPr>
                <w:color w:val="0D0D0D" w:themeColor="text1" w:themeTint="F2"/>
                <w:spacing w:val="-4"/>
                <w:lang w:val="en-GB"/>
              </w:rPr>
              <w:t xml:space="preserve"> in Q2</w:t>
            </w:r>
            <w:r w:rsidR="00D27F07" w:rsidRPr="00DD6E6B">
              <w:rPr>
                <w:color w:val="0D0D0D" w:themeColor="text1" w:themeTint="F2"/>
                <w:spacing w:val="-4"/>
                <w:lang w:val="en-GB"/>
              </w:rPr>
              <w:t xml:space="preserve">. </w:t>
            </w:r>
            <w:r w:rsidR="00542795" w:rsidRPr="00DD6E6B">
              <w:rPr>
                <w:color w:val="0D0D0D" w:themeColor="text1" w:themeTint="F2"/>
                <w:spacing w:val="-4"/>
                <w:lang w:val="en-GB"/>
              </w:rPr>
              <w:t>Weight-signif</w:t>
            </w:r>
            <w:r w:rsidR="006C6272" w:rsidRPr="00DD6E6B">
              <w:rPr>
                <w:color w:val="0D0D0D" w:themeColor="text1" w:themeTint="F2"/>
                <w:spacing w:val="-4"/>
                <w:lang w:val="en-GB"/>
              </w:rPr>
              <w:t>i</w:t>
            </w:r>
            <w:r w:rsidR="00013C4C" w:rsidRPr="00DD6E6B">
              <w:rPr>
                <w:color w:val="0D0D0D" w:themeColor="text1" w:themeTint="F2"/>
                <w:spacing w:val="-4"/>
                <w:lang w:val="en-GB"/>
              </w:rPr>
              <w:t xml:space="preserve">cant branches of services (incl. public) </w:t>
            </w:r>
            <w:r w:rsidR="00AA28CE" w:rsidRPr="00DD6E6B">
              <w:rPr>
                <w:color w:val="0D0D0D" w:themeColor="text1" w:themeTint="F2"/>
                <w:spacing w:val="-4"/>
                <w:lang w:val="en-GB"/>
              </w:rPr>
              <w:t xml:space="preserve">mostly participated on this </w:t>
            </w:r>
            <w:r w:rsidR="008140E8" w:rsidRPr="00DD6E6B">
              <w:rPr>
                <w:color w:val="0D0D0D" w:themeColor="text1" w:themeTint="F2"/>
                <w:spacing w:val="-4"/>
                <w:lang w:val="en-GB"/>
              </w:rPr>
              <w:t>slowdown</w:t>
            </w:r>
            <w:r w:rsidR="00D27F07" w:rsidRPr="00DD6E6B">
              <w:rPr>
                <w:color w:val="0D0D0D" w:themeColor="text1" w:themeTint="F2"/>
                <w:spacing w:val="-4"/>
                <w:lang w:val="en-GB"/>
              </w:rPr>
              <w:t xml:space="preserve">, </w:t>
            </w:r>
            <w:r w:rsidR="00357940" w:rsidRPr="00DD6E6B">
              <w:rPr>
                <w:color w:val="0D0D0D" w:themeColor="text1" w:themeTint="F2"/>
                <w:spacing w:val="-4"/>
                <w:lang w:val="en-GB"/>
              </w:rPr>
              <w:t xml:space="preserve">easing of performance in otherwise long-term dynamic branch of information and communication </w:t>
            </w:r>
            <w:r w:rsidR="003A4E88" w:rsidRPr="00DD6E6B">
              <w:rPr>
                <w:color w:val="0D0D0D" w:themeColor="text1" w:themeTint="F2"/>
                <w:spacing w:val="-4"/>
                <w:lang w:val="en-GB"/>
              </w:rPr>
              <w:t xml:space="preserve">also </w:t>
            </w:r>
            <w:r w:rsidR="009F5554" w:rsidRPr="00DD6E6B">
              <w:rPr>
                <w:color w:val="0D0D0D" w:themeColor="text1" w:themeTint="F2"/>
                <w:spacing w:val="-4"/>
                <w:lang w:val="en-GB"/>
              </w:rPr>
              <w:t>played a role here</w:t>
            </w:r>
            <w:r w:rsidR="00D27F07" w:rsidRPr="00DD6E6B">
              <w:rPr>
                <w:color w:val="0D0D0D" w:themeColor="text1" w:themeTint="F2"/>
                <w:spacing w:val="-4"/>
                <w:lang w:val="en-GB"/>
              </w:rPr>
              <w:t xml:space="preserve">. </w:t>
            </w:r>
            <w:r w:rsidR="001E1CD5" w:rsidRPr="00DD6E6B">
              <w:rPr>
                <w:color w:val="0D0D0D" w:themeColor="text1" w:themeTint="F2"/>
                <w:spacing w:val="-4"/>
                <w:lang w:val="en-GB"/>
              </w:rPr>
              <w:t xml:space="preserve">The </w:t>
            </w:r>
            <w:r w:rsidR="002658BF">
              <w:rPr>
                <w:color w:val="0D0D0D" w:themeColor="text1" w:themeTint="F2"/>
                <w:spacing w:val="-4"/>
                <w:lang w:val="en-GB"/>
              </w:rPr>
              <w:t xml:space="preserve">total </w:t>
            </w:r>
            <w:r w:rsidR="001E1CD5" w:rsidRPr="00DD6E6B">
              <w:rPr>
                <w:color w:val="0D0D0D" w:themeColor="text1" w:themeTint="F2"/>
                <w:spacing w:val="-4"/>
                <w:lang w:val="en-GB"/>
              </w:rPr>
              <w:t xml:space="preserve">GVA </w:t>
            </w:r>
            <w:r w:rsidR="00482047" w:rsidRPr="00DD6E6B">
              <w:rPr>
                <w:color w:val="0D0D0D" w:themeColor="text1" w:themeTint="F2"/>
                <w:spacing w:val="-4"/>
                <w:lang w:val="en-GB"/>
              </w:rPr>
              <w:t xml:space="preserve">grew by </w:t>
            </w:r>
            <w:r w:rsidR="00D27F07" w:rsidRPr="00DD6E6B">
              <w:rPr>
                <w:color w:val="0D0D0D" w:themeColor="text1" w:themeTint="F2"/>
                <w:spacing w:val="-4"/>
                <w:lang w:val="en-GB"/>
              </w:rPr>
              <w:t>0</w:t>
            </w:r>
            <w:r w:rsidR="00482047" w:rsidRPr="00DD6E6B">
              <w:rPr>
                <w:color w:val="0D0D0D" w:themeColor="text1" w:themeTint="F2"/>
                <w:spacing w:val="-4"/>
                <w:lang w:val="en-GB"/>
              </w:rPr>
              <w:t>.</w:t>
            </w:r>
            <w:r w:rsidR="00D27F07" w:rsidRPr="00DD6E6B">
              <w:rPr>
                <w:color w:val="0D0D0D" w:themeColor="text1" w:themeTint="F2"/>
                <w:spacing w:val="-4"/>
                <w:lang w:val="en-GB"/>
              </w:rPr>
              <w:t>8%</w:t>
            </w:r>
            <w:r w:rsidR="00482047" w:rsidRPr="00DD6E6B">
              <w:rPr>
                <w:color w:val="0D0D0D" w:themeColor="text1" w:themeTint="F2"/>
                <w:spacing w:val="-4"/>
                <w:lang w:val="en-GB"/>
              </w:rPr>
              <w:t xml:space="preserve"> year-on-year for the whole H1 2023</w:t>
            </w:r>
            <w:r w:rsidR="00D27F07" w:rsidRPr="00DD6E6B">
              <w:rPr>
                <w:color w:val="0D0D0D" w:themeColor="text1" w:themeTint="F2"/>
                <w:spacing w:val="-4"/>
                <w:lang w:val="en-GB"/>
              </w:rPr>
              <w:t xml:space="preserve">. </w:t>
            </w:r>
            <w:r w:rsidR="009F13D3" w:rsidRPr="00DD6E6B">
              <w:rPr>
                <w:color w:val="0D0D0D" w:themeColor="text1" w:themeTint="F2"/>
                <w:spacing w:val="-4"/>
                <w:lang w:val="en-GB"/>
              </w:rPr>
              <w:t xml:space="preserve">Manufacturing, whose performance strengthened by </w:t>
            </w:r>
            <w:r w:rsidR="00D27F07" w:rsidRPr="00DD6E6B">
              <w:rPr>
                <w:color w:val="0D0D0D" w:themeColor="text1" w:themeTint="F2"/>
                <w:spacing w:val="-6"/>
                <w:lang w:val="en-GB"/>
              </w:rPr>
              <w:t>3</w:t>
            </w:r>
            <w:r w:rsidR="009F13D3" w:rsidRPr="00DD6E6B">
              <w:rPr>
                <w:color w:val="0D0D0D" w:themeColor="text1" w:themeTint="F2"/>
                <w:spacing w:val="-6"/>
                <w:lang w:val="en-GB"/>
              </w:rPr>
              <w:t>.</w:t>
            </w:r>
            <w:r w:rsidR="00D27F07" w:rsidRPr="00DD6E6B">
              <w:rPr>
                <w:color w:val="0D0D0D" w:themeColor="text1" w:themeTint="F2"/>
                <w:spacing w:val="-6"/>
                <w:lang w:val="en-GB"/>
              </w:rPr>
              <w:t>8% a</w:t>
            </w:r>
            <w:r w:rsidR="009F13D3" w:rsidRPr="00DD6E6B">
              <w:rPr>
                <w:color w:val="0D0D0D" w:themeColor="text1" w:themeTint="F2"/>
                <w:spacing w:val="-6"/>
                <w:lang w:val="en-GB"/>
              </w:rPr>
              <w:t>nd contributed</w:t>
            </w:r>
            <w:r w:rsidR="00717127" w:rsidRPr="00DD6E6B">
              <w:rPr>
                <w:color w:val="0D0D0D" w:themeColor="text1" w:themeTint="F2"/>
                <w:spacing w:val="-6"/>
                <w:lang w:val="en-GB"/>
              </w:rPr>
              <w:t xml:space="preserve"> </w:t>
            </w:r>
            <w:r w:rsidR="002658BF">
              <w:rPr>
                <w:color w:val="0D0D0D" w:themeColor="text1" w:themeTint="F2"/>
                <w:spacing w:val="-6"/>
                <w:lang w:val="en-GB"/>
              </w:rPr>
              <w:t>+</w:t>
            </w:r>
            <w:r w:rsidR="00D27F07" w:rsidRPr="00DD6E6B">
              <w:rPr>
                <w:color w:val="0D0D0D" w:themeColor="text1" w:themeTint="F2"/>
                <w:spacing w:val="-6"/>
                <w:lang w:val="en-GB"/>
              </w:rPr>
              <w:t>0</w:t>
            </w:r>
            <w:r w:rsidR="009F13D3" w:rsidRPr="00DD6E6B">
              <w:rPr>
                <w:color w:val="0D0D0D" w:themeColor="text1" w:themeTint="F2"/>
                <w:spacing w:val="-6"/>
                <w:lang w:val="en-GB"/>
              </w:rPr>
              <w:t>.</w:t>
            </w:r>
            <w:r w:rsidR="00D27F07" w:rsidRPr="00DD6E6B">
              <w:rPr>
                <w:color w:val="0D0D0D" w:themeColor="text1" w:themeTint="F2"/>
                <w:spacing w:val="-6"/>
                <w:lang w:val="en-GB"/>
              </w:rPr>
              <w:t>9 p.</w:t>
            </w:r>
            <w:r w:rsidR="0013645A" w:rsidRPr="00DD6E6B">
              <w:rPr>
                <w:color w:val="0D0D0D" w:themeColor="text1" w:themeTint="F2"/>
                <w:spacing w:val="-6"/>
                <w:lang w:val="en-GB"/>
              </w:rPr>
              <w:t xml:space="preserve"> </w:t>
            </w:r>
            <w:r w:rsidR="009F13D3" w:rsidRPr="00DD6E6B">
              <w:rPr>
                <w:color w:val="0D0D0D" w:themeColor="text1" w:themeTint="F2"/>
                <w:spacing w:val="-6"/>
                <w:lang w:val="en-GB"/>
              </w:rPr>
              <w:t>p</w:t>
            </w:r>
            <w:r w:rsidR="00D27F07" w:rsidRPr="00DD6E6B">
              <w:rPr>
                <w:color w:val="0D0D0D" w:themeColor="text1" w:themeTint="F2"/>
                <w:spacing w:val="-6"/>
                <w:lang w:val="en-GB"/>
              </w:rPr>
              <w:t>.</w:t>
            </w:r>
            <w:r w:rsidR="009F13D3" w:rsidRPr="00DD6E6B">
              <w:rPr>
                <w:color w:val="0D0D0D" w:themeColor="text1" w:themeTint="F2"/>
                <w:spacing w:val="-6"/>
                <w:lang w:val="en-GB"/>
              </w:rPr>
              <w:t xml:space="preserve"> to the total GVA</w:t>
            </w:r>
            <w:r w:rsidR="00717127" w:rsidRPr="00DD6E6B">
              <w:rPr>
                <w:color w:val="0D0D0D" w:themeColor="text1" w:themeTint="F2"/>
                <w:spacing w:val="-6"/>
                <w:lang w:val="en-GB"/>
              </w:rPr>
              <w:t>,</w:t>
            </w:r>
            <w:r w:rsidR="009F13D3" w:rsidRPr="00DD6E6B">
              <w:rPr>
                <w:color w:val="0D0D0D" w:themeColor="text1" w:themeTint="F2"/>
                <w:spacing w:val="-6"/>
                <w:lang w:val="en-GB"/>
              </w:rPr>
              <w:t xml:space="preserve"> had a significant impact here. </w:t>
            </w:r>
            <w:r w:rsidR="00A9383D" w:rsidRPr="00DD6E6B">
              <w:rPr>
                <w:color w:val="0D0D0D" w:themeColor="text1" w:themeTint="F2"/>
                <w:spacing w:val="-6"/>
                <w:lang w:val="en-GB"/>
              </w:rPr>
              <w:t xml:space="preserve">Mainly mining and </w:t>
            </w:r>
            <w:r w:rsidR="00FF4E3F" w:rsidRPr="00DD6E6B">
              <w:rPr>
                <w:color w:val="0D0D0D" w:themeColor="text1" w:themeTint="F2"/>
                <w:spacing w:val="-6"/>
                <w:lang w:val="en-GB"/>
              </w:rPr>
              <w:t xml:space="preserve">energetics </w:t>
            </w:r>
            <w:r w:rsidR="00D27F07" w:rsidRPr="00DD6E6B">
              <w:rPr>
                <w:color w:val="0D0D0D" w:themeColor="text1" w:themeTint="F2"/>
                <w:spacing w:val="-6"/>
                <w:lang w:val="en-GB"/>
              </w:rPr>
              <w:t>(−0</w:t>
            </w:r>
            <w:r w:rsidR="00FF4E3F" w:rsidRPr="00DD6E6B">
              <w:rPr>
                <w:color w:val="0D0D0D" w:themeColor="text1" w:themeTint="F2"/>
                <w:spacing w:val="-6"/>
                <w:lang w:val="en-GB"/>
              </w:rPr>
              <w:t>.</w:t>
            </w:r>
            <w:r w:rsidR="00D27F07" w:rsidRPr="00DD6E6B">
              <w:rPr>
                <w:color w:val="0D0D0D" w:themeColor="text1" w:themeTint="F2"/>
                <w:spacing w:val="-6"/>
                <w:lang w:val="en-GB"/>
              </w:rPr>
              <w:t>4 p.</w:t>
            </w:r>
            <w:r w:rsidR="00FF4E3F" w:rsidRPr="00DD6E6B">
              <w:rPr>
                <w:color w:val="0D0D0D" w:themeColor="text1" w:themeTint="F2"/>
                <w:spacing w:val="-6"/>
                <w:lang w:val="en-GB"/>
              </w:rPr>
              <w:t xml:space="preserve"> p</w:t>
            </w:r>
            <w:r w:rsidR="00D27F07" w:rsidRPr="00DD6E6B">
              <w:rPr>
                <w:color w:val="0D0D0D" w:themeColor="text1" w:themeTint="F2"/>
                <w:spacing w:val="-6"/>
                <w:lang w:val="en-GB"/>
              </w:rPr>
              <w:t xml:space="preserve">.), </w:t>
            </w:r>
            <w:r w:rsidR="00FF4E3F" w:rsidRPr="00DD6E6B">
              <w:rPr>
                <w:color w:val="0D0D0D" w:themeColor="text1" w:themeTint="F2"/>
                <w:spacing w:val="-6"/>
                <w:lang w:val="en-GB"/>
              </w:rPr>
              <w:t xml:space="preserve">construction </w:t>
            </w:r>
            <w:r w:rsidR="00D27F07" w:rsidRPr="00DD6E6B">
              <w:rPr>
                <w:color w:val="0D0D0D" w:themeColor="text1" w:themeTint="F2"/>
                <w:spacing w:val="-6"/>
                <w:lang w:val="en-GB"/>
              </w:rPr>
              <w:t>(−0</w:t>
            </w:r>
            <w:r w:rsidR="00FF4E3F" w:rsidRPr="00DD6E6B">
              <w:rPr>
                <w:color w:val="0D0D0D" w:themeColor="text1" w:themeTint="F2"/>
                <w:spacing w:val="-6"/>
                <w:lang w:val="en-GB"/>
              </w:rPr>
              <w:t>.</w:t>
            </w:r>
            <w:r w:rsidR="00D27F07" w:rsidRPr="00DD6E6B">
              <w:rPr>
                <w:color w:val="0D0D0D" w:themeColor="text1" w:themeTint="F2"/>
                <w:spacing w:val="-6"/>
                <w:lang w:val="en-GB"/>
              </w:rPr>
              <w:t>2 p.</w:t>
            </w:r>
            <w:r w:rsidR="00FF4E3F" w:rsidRPr="00DD6E6B">
              <w:rPr>
                <w:color w:val="0D0D0D" w:themeColor="text1" w:themeTint="F2"/>
                <w:spacing w:val="-6"/>
                <w:lang w:val="en-GB"/>
              </w:rPr>
              <w:t xml:space="preserve"> p.</w:t>
            </w:r>
            <w:r w:rsidR="00D27F07" w:rsidRPr="00DD6E6B">
              <w:rPr>
                <w:color w:val="0D0D0D" w:themeColor="text1" w:themeTint="F2"/>
                <w:spacing w:val="-6"/>
                <w:lang w:val="en-GB"/>
              </w:rPr>
              <w:t>)</w:t>
            </w:r>
            <w:r w:rsidR="00D27F07" w:rsidRPr="00DD6E6B">
              <w:rPr>
                <w:color w:val="0D0D0D" w:themeColor="text1" w:themeTint="F2"/>
                <w:spacing w:val="-4"/>
                <w:lang w:val="en-GB"/>
              </w:rPr>
              <w:t xml:space="preserve"> a</w:t>
            </w:r>
            <w:r w:rsidR="002658BF">
              <w:rPr>
                <w:color w:val="0D0D0D" w:themeColor="text1" w:themeTint="F2"/>
                <w:spacing w:val="-4"/>
                <w:lang w:val="en-GB"/>
              </w:rPr>
              <w:t>nd also</w:t>
            </w:r>
            <w:r w:rsidR="00FF4E3F" w:rsidRPr="00DD6E6B">
              <w:rPr>
                <w:color w:val="0D0D0D" w:themeColor="text1" w:themeTint="F2"/>
                <w:spacing w:val="-4"/>
                <w:lang w:val="en-GB"/>
              </w:rPr>
              <w:t xml:space="preserve"> trade, transportation, accommodation and food service </w:t>
            </w:r>
            <w:r w:rsidR="00D27F07" w:rsidRPr="00DD6E6B">
              <w:rPr>
                <w:color w:val="0D0D0D" w:themeColor="text1" w:themeTint="F2"/>
                <w:spacing w:val="-4"/>
                <w:lang w:val="en-GB"/>
              </w:rPr>
              <w:t>(−0</w:t>
            </w:r>
            <w:r w:rsidR="00FF4E3F" w:rsidRPr="00DD6E6B">
              <w:rPr>
                <w:color w:val="0D0D0D" w:themeColor="text1" w:themeTint="F2"/>
                <w:spacing w:val="-4"/>
                <w:lang w:val="en-GB"/>
              </w:rPr>
              <w:t>.</w:t>
            </w:r>
            <w:r w:rsidR="00D27F07" w:rsidRPr="00DD6E6B">
              <w:rPr>
                <w:color w:val="0D0D0D" w:themeColor="text1" w:themeTint="F2"/>
                <w:spacing w:val="-4"/>
                <w:lang w:val="en-GB"/>
              </w:rPr>
              <w:t xml:space="preserve">3 p. </w:t>
            </w:r>
            <w:r w:rsidR="00FF4E3F" w:rsidRPr="00DD6E6B">
              <w:rPr>
                <w:color w:val="0D0D0D" w:themeColor="text1" w:themeTint="F2"/>
                <w:spacing w:val="-4"/>
                <w:lang w:val="en-GB"/>
              </w:rPr>
              <w:t>p</w:t>
            </w:r>
            <w:r w:rsidR="00D27F07" w:rsidRPr="00DD6E6B">
              <w:rPr>
                <w:color w:val="0D0D0D" w:themeColor="text1" w:themeTint="F2"/>
                <w:spacing w:val="-4"/>
                <w:lang w:val="en-GB"/>
              </w:rPr>
              <w:t>.)</w:t>
            </w:r>
            <w:r w:rsidR="00A9383D" w:rsidRPr="00DD6E6B">
              <w:rPr>
                <w:color w:val="0D0D0D" w:themeColor="text1" w:themeTint="F2"/>
                <w:spacing w:val="-4"/>
                <w:lang w:val="en-GB"/>
              </w:rPr>
              <w:t xml:space="preserve"> worked in the opposite direction</w:t>
            </w:r>
            <w:r w:rsidR="00D27F07" w:rsidRPr="00DD6E6B">
              <w:rPr>
                <w:color w:val="0D0D0D" w:themeColor="text1" w:themeTint="F2"/>
                <w:spacing w:val="-4"/>
                <w:lang w:val="en-GB"/>
              </w:rPr>
              <w:t>.</w:t>
            </w:r>
          </w:p>
        </w:tc>
      </w:tr>
      <w:tr w:rsidR="00D27F07" w:rsidRPr="00DD6E6B" w14:paraId="5235ECD9" w14:textId="77777777" w:rsidTr="00D80129">
        <w:trPr>
          <w:trHeight w:val="145"/>
        </w:trPr>
        <w:tc>
          <w:tcPr>
            <w:tcW w:w="1678" w:type="dxa"/>
            <w:tcBorders>
              <w:top w:val="nil"/>
              <w:left w:val="nil"/>
              <w:bottom w:val="nil"/>
              <w:right w:val="nil"/>
            </w:tcBorders>
            <w:shd w:val="clear" w:color="auto" w:fill="auto"/>
            <w:tcMar>
              <w:left w:w="0" w:type="dxa"/>
            </w:tcMar>
          </w:tcPr>
          <w:p w14:paraId="52BFE300" w14:textId="785BE06A" w:rsidR="00D27F07" w:rsidRPr="00DD6E6B" w:rsidRDefault="001C59ED" w:rsidP="00D42399">
            <w:pPr>
              <w:pStyle w:val="Marginlie"/>
              <w:rPr>
                <w:color w:val="0D0D0D" w:themeColor="text1" w:themeTint="F2"/>
                <w:spacing w:val="-5"/>
                <w:lang w:val="en-GB"/>
              </w:rPr>
            </w:pPr>
            <w:r w:rsidRPr="00DD6E6B">
              <w:rPr>
                <w:color w:val="0D0D0D" w:themeColor="text1" w:themeTint="F2"/>
                <w:spacing w:val="-5"/>
                <w:lang w:val="en-GB"/>
              </w:rPr>
              <w:t xml:space="preserve">Mainly pork stood behind the decrease of production of meat in H1, similarly to the last year. </w:t>
            </w:r>
            <w:r w:rsidR="004E4882" w:rsidRPr="00DD6E6B">
              <w:rPr>
                <w:color w:val="0D0D0D" w:themeColor="text1" w:themeTint="F2"/>
                <w:spacing w:val="-5"/>
                <w:lang w:val="en-GB"/>
              </w:rPr>
              <w:t xml:space="preserve">Mild growth of </w:t>
            </w:r>
            <w:r w:rsidR="005036DC" w:rsidRPr="00DD6E6B">
              <w:rPr>
                <w:color w:val="0D0D0D" w:themeColor="text1" w:themeTint="F2"/>
                <w:spacing w:val="-5"/>
                <w:lang w:val="en-GB"/>
              </w:rPr>
              <w:t xml:space="preserve">milk production continued. </w:t>
            </w:r>
          </w:p>
        </w:tc>
        <w:tc>
          <w:tcPr>
            <w:tcW w:w="194" w:type="dxa"/>
            <w:tcBorders>
              <w:top w:val="nil"/>
              <w:left w:val="nil"/>
              <w:bottom w:val="nil"/>
              <w:right w:val="nil"/>
            </w:tcBorders>
            <w:shd w:val="clear" w:color="auto" w:fill="auto"/>
            <w:tcMar>
              <w:left w:w="0" w:type="dxa"/>
            </w:tcMar>
          </w:tcPr>
          <w:p w14:paraId="2674612D"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9C0BD95" w14:textId="7AED76A0" w:rsidR="00D27F07" w:rsidRPr="009A3047" w:rsidRDefault="00AF4181" w:rsidP="00D42399">
            <w:pPr>
              <w:rPr>
                <w:spacing w:val="-2"/>
                <w:lang w:val="en-GB"/>
              </w:rPr>
            </w:pPr>
            <w:r w:rsidRPr="009A3047">
              <w:rPr>
                <w:spacing w:val="-2"/>
                <w:lang w:val="en-GB"/>
              </w:rPr>
              <w:t xml:space="preserve">Difficult situation </w:t>
            </w:r>
            <w:r w:rsidR="00341E9A" w:rsidRPr="009A3047">
              <w:rPr>
                <w:spacing w:val="-2"/>
                <w:lang w:val="en-GB"/>
              </w:rPr>
              <w:t xml:space="preserve">of some primary producers associated with the considerable rise of prices </w:t>
            </w:r>
            <w:r w:rsidR="00B21AE3" w:rsidRPr="009A3047">
              <w:rPr>
                <w:spacing w:val="-2"/>
                <w:lang w:val="en-GB"/>
              </w:rPr>
              <w:t xml:space="preserve">of </w:t>
            </w:r>
            <w:r w:rsidR="00D8088C" w:rsidRPr="009A3047">
              <w:rPr>
                <w:spacing w:val="-2"/>
                <w:lang w:val="en-GB"/>
              </w:rPr>
              <w:t>inputs (</w:t>
            </w:r>
            <w:r w:rsidR="000715E5" w:rsidRPr="009A3047">
              <w:rPr>
                <w:spacing w:val="-2"/>
                <w:lang w:val="en-GB"/>
              </w:rPr>
              <w:t xml:space="preserve">feed, </w:t>
            </w:r>
            <w:r w:rsidR="00A45366" w:rsidRPr="009A3047">
              <w:rPr>
                <w:spacing w:val="-2"/>
                <w:lang w:val="en-GB"/>
              </w:rPr>
              <w:t>energy)</w:t>
            </w:r>
            <w:r w:rsidR="000F656A" w:rsidRPr="009A3047">
              <w:rPr>
                <w:spacing w:val="-2"/>
                <w:lang w:val="en-GB"/>
              </w:rPr>
              <w:t xml:space="preserve">, </w:t>
            </w:r>
            <w:r w:rsidR="005F008C" w:rsidRPr="009A3047">
              <w:rPr>
                <w:spacing w:val="-2"/>
                <w:lang w:val="en-GB"/>
              </w:rPr>
              <w:t xml:space="preserve">fluctuating development of </w:t>
            </w:r>
            <w:r w:rsidR="00417997" w:rsidRPr="009A3047">
              <w:rPr>
                <w:spacing w:val="-2"/>
                <w:lang w:val="en-GB"/>
              </w:rPr>
              <w:t xml:space="preserve">prices paid to producers for meat as well as its </w:t>
            </w:r>
            <w:r w:rsidR="004E4882" w:rsidRPr="009A3047">
              <w:rPr>
                <w:spacing w:val="-2"/>
                <w:lang w:val="en-GB"/>
              </w:rPr>
              <w:t xml:space="preserve">declining domestic consumption </w:t>
            </w:r>
            <w:r w:rsidR="009717D0" w:rsidRPr="009A3047">
              <w:rPr>
                <w:spacing w:val="-2"/>
                <w:lang w:val="en-GB"/>
              </w:rPr>
              <w:t>persisted in the animal production.</w:t>
            </w:r>
            <w:r w:rsidR="0092543F" w:rsidRPr="009A3047">
              <w:rPr>
                <w:spacing w:val="-2"/>
                <w:lang w:val="en-GB"/>
              </w:rPr>
              <w:t xml:space="preserve"> Decrease of the </w:t>
            </w:r>
            <w:r w:rsidR="00A476A5" w:rsidRPr="009A3047">
              <w:rPr>
                <w:spacing w:val="-2"/>
                <w:lang w:val="en-GB"/>
              </w:rPr>
              <w:t xml:space="preserve">physical production of meat, </w:t>
            </w:r>
            <w:r w:rsidR="00424E7C" w:rsidRPr="009A3047">
              <w:rPr>
                <w:spacing w:val="-2"/>
                <w:lang w:val="en-GB"/>
              </w:rPr>
              <w:t xml:space="preserve">perceptible on the domestic </w:t>
            </w:r>
            <w:r w:rsidR="002A7B5E" w:rsidRPr="009A3047">
              <w:rPr>
                <w:spacing w:val="-2"/>
                <w:lang w:val="en-GB"/>
              </w:rPr>
              <w:t>slaughterhouses throughout the whole last year</w:t>
            </w:r>
            <w:r w:rsidR="009A3047" w:rsidRPr="009A3047">
              <w:rPr>
                <w:spacing w:val="-2"/>
                <w:lang w:val="en-GB"/>
              </w:rPr>
              <w:t>, continued</w:t>
            </w:r>
            <w:r w:rsidR="00EF1931" w:rsidRPr="009A3047">
              <w:rPr>
                <w:spacing w:val="-2"/>
                <w:lang w:val="en-GB"/>
              </w:rPr>
              <w:t xml:space="preserve">. </w:t>
            </w:r>
            <w:r w:rsidR="002658BF" w:rsidRPr="009A3047">
              <w:rPr>
                <w:spacing w:val="-2"/>
                <w:lang w:val="en-GB"/>
              </w:rPr>
              <w:t xml:space="preserve">In H1 2023 </w:t>
            </w:r>
            <w:r w:rsidR="009A3047" w:rsidRPr="009A3047">
              <w:rPr>
                <w:spacing w:val="-2"/>
                <w:lang w:val="en-GB"/>
              </w:rPr>
              <w:t>2.5% the total meat production declined by 2.5% year-on-year</w:t>
            </w:r>
            <w:r w:rsidR="00D27F07" w:rsidRPr="009A3047">
              <w:rPr>
                <w:spacing w:val="-2"/>
                <w:lang w:val="en-GB"/>
              </w:rPr>
              <w:t>.</w:t>
            </w:r>
            <w:r w:rsidR="00AA0F90" w:rsidRPr="009A3047">
              <w:rPr>
                <w:spacing w:val="-2"/>
                <w:lang w:val="en-GB"/>
              </w:rPr>
              <w:t xml:space="preserve"> Recovery of</w:t>
            </w:r>
            <w:r w:rsidR="0019524B" w:rsidRPr="009A3047">
              <w:rPr>
                <w:spacing w:val="-2"/>
                <w:lang w:val="en-GB"/>
              </w:rPr>
              <w:t xml:space="preserve"> production of beef </w:t>
            </w:r>
            <w:r w:rsidR="00D27F07" w:rsidRPr="009A3047">
              <w:rPr>
                <w:spacing w:val="-2"/>
                <w:lang w:val="en-GB"/>
              </w:rPr>
              <w:t>(</w:t>
            </w:r>
            <w:r w:rsidR="009A3047" w:rsidRPr="009A3047">
              <w:rPr>
                <w:spacing w:val="-2"/>
                <w:lang w:val="en-GB"/>
              </w:rPr>
              <w:t>+</w:t>
            </w:r>
            <w:r w:rsidR="00D27F07" w:rsidRPr="009A3047">
              <w:rPr>
                <w:spacing w:val="-2"/>
                <w:lang w:val="en-GB"/>
              </w:rPr>
              <w:t>2</w:t>
            </w:r>
            <w:r w:rsidR="0019524B" w:rsidRPr="009A3047">
              <w:rPr>
                <w:spacing w:val="-2"/>
                <w:lang w:val="en-GB"/>
              </w:rPr>
              <w:t>.</w:t>
            </w:r>
            <w:r w:rsidR="00D27F07" w:rsidRPr="009A3047">
              <w:rPr>
                <w:spacing w:val="-2"/>
                <w:lang w:val="en-GB"/>
              </w:rPr>
              <w:t>0%) a</w:t>
            </w:r>
            <w:r w:rsidR="0019524B" w:rsidRPr="009A3047">
              <w:rPr>
                <w:spacing w:val="-2"/>
                <w:lang w:val="en-GB"/>
              </w:rPr>
              <w:t xml:space="preserve">nd stagnation of output of </w:t>
            </w:r>
            <w:r w:rsidR="00AD432F" w:rsidRPr="009A3047">
              <w:rPr>
                <w:spacing w:val="-2"/>
                <w:lang w:val="en-GB"/>
              </w:rPr>
              <w:t xml:space="preserve">poultry could not offset the deeper slump of pork output </w:t>
            </w:r>
            <w:r w:rsidR="006033A4" w:rsidRPr="009A3047">
              <w:rPr>
                <w:spacing w:val="-2"/>
                <w:lang w:val="en-GB"/>
              </w:rPr>
              <w:t>(</w:t>
            </w:r>
            <w:r w:rsidR="006033A4" w:rsidRPr="009A3047">
              <w:rPr>
                <w:color w:val="000000"/>
                <w:spacing w:val="-2"/>
                <w:shd w:val="clear" w:color="auto" w:fill="FFFFFF"/>
              </w:rPr>
              <w:t>–</w:t>
            </w:r>
            <w:r w:rsidR="00D27F07" w:rsidRPr="009A3047">
              <w:rPr>
                <w:spacing w:val="-2"/>
                <w:lang w:val="en-GB"/>
              </w:rPr>
              <w:t>5</w:t>
            </w:r>
            <w:r w:rsidR="00AD432F" w:rsidRPr="009A3047">
              <w:rPr>
                <w:spacing w:val="-2"/>
                <w:lang w:val="en-GB"/>
              </w:rPr>
              <w:t>.</w:t>
            </w:r>
            <w:r w:rsidR="00D27F07" w:rsidRPr="009A3047">
              <w:rPr>
                <w:spacing w:val="-2"/>
                <w:lang w:val="en-GB"/>
              </w:rPr>
              <w:t>8%)</w:t>
            </w:r>
            <w:r w:rsidR="00D27F07" w:rsidRPr="009A3047">
              <w:rPr>
                <w:rStyle w:val="Znakapoznpodarou"/>
                <w:spacing w:val="-2"/>
                <w:lang w:val="en-GB"/>
              </w:rPr>
              <w:footnoteReference w:id="16"/>
            </w:r>
            <w:r w:rsidR="00D27F07" w:rsidRPr="009A3047">
              <w:rPr>
                <w:spacing w:val="-2"/>
                <w:lang w:val="en-GB"/>
              </w:rPr>
              <w:t xml:space="preserve">. </w:t>
            </w:r>
            <w:r w:rsidR="001C1C1D" w:rsidRPr="009A3047">
              <w:rPr>
                <w:spacing w:val="-2"/>
                <w:lang w:val="en-GB"/>
              </w:rPr>
              <w:t xml:space="preserve">Decrease of </w:t>
            </w:r>
            <w:r w:rsidR="00203C5D" w:rsidRPr="009A3047">
              <w:rPr>
                <w:spacing w:val="-2"/>
                <w:lang w:val="en-GB"/>
              </w:rPr>
              <w:t xml:space="preserve">the overall domestic output of pork was in fact nearly double </w:t>
            </w:r>
            <w:r w:rsidR="006033A4" w:rsidRPr="009A3047">
              <w:rPr>
                <w:spacing w:val="-2"/>
                <w:lang w:val="en-GB"/>
              </w:rPr>
              <w:t>(</w:t>
            </w:r>
            <w:r w:rsidR="006033A4" w:rsidRPr="009A3047">
              <w:rPr>
                <w:color w:val="000000"/>
                <w:spacing w:val="-2"/>
                <w:shd w:val="clear" w:color="auto" w:fill="FFFFFF"/>
              </w:rPr>
              <w:t>–</w:t>
            </w:r>
            <w:r w:rsidR="00D27F07" w:rsidRPr="009A3047">
              <w:rPr>
                <w:spacing w:val="-2"/>
                <w:lang w:val="en-GB"/>
              </w:rPr>
              <w:t>11</w:t>
            </w:r>
            <w:r w:rsidR="00203C5D" w:rsidRPr="009A3047">
              <w:rPr>
                <w:spacing w:val="-2"/>
                <w:lang w:val="en-GB"/>
              </w:rPr>
              <w:t>.</w:t>
            </w:r>
            <w:r w:rsidR="00D27F07" w:rsidRPr="009A3047">
              <w:rPr>
                <w:spacing w:val="-2"/>
                <w:lang w:val="en-GB"/>
              </w:rPr>
              <w:t xml:space="preserve">2%), </w:t>
            </w:r>
            <w:r w:rsidR="00C53239" w:rsidRPr="009A3047">
              <w:rPr>
                <w:spacing w:val="-2"/>
                <w:lang w:val="en-GB"/>
              </w:rPr>
              <w:t>since</w:t>
            </w:r>
            <w:r w:rsidR="00D40E1F" w:rsidRPr="009A3047">
              <w:rPr>
                <w:spacing w:val="-2"/>
                <w:lang w:val="en-GB"/>
              </w:rPr>
              <w:t xml:space="preserve"> the export of live pigs </w:t>
            </w:r>
            <w:r w:rsidR="00BF267B" w:rsidRPr="009A3047">
              <w:rPr>
                <w:spacing w:val="-2"/>
                <w:lang w:val="en-GB"/>
              </w:rPr>
              <w:t xml:space="preserve">for slaughter abroad </w:t>
            </w:r>
            <w:r w:rsidR="00D40E1F" w:rsidRPr="009A3047">
              <w:rPr>
                <w:spacing w:val="-2"/>
                <w:lang w:val="en-GB"/>
              </w:rPr>
              <w:t>dived (by more than 50%) compared to the last year</w:t>
            </w:r>
            <w:r w:rsidR="00D27F07" w:rsidRPr="009A3047">
              <w:rPr>
                <w:spacing w:val="-2"/>
                <w:lang w:val="en-GB"/>
              </w:rPr>
              <w:t xml:space="preserve">. </w:t>
            </w:r>
            <w:r w:rsidR="00AC40BF" w:rsidRPr="009A3047">
              <w:rPr>
                <w:spacing w:val="-2"/>
                <w:lang w:val="en-GB"/>
              </w:rPr>
              <w:t xml:space="preserve">Dairy farming remained </w:t>
            </w:r>
            <w:r w:rsidR="00254865" w:rsidRPr="009A3047">
              <w:rPr>
                <w:spacing w:val="-2"/>
                <w:lang w:val="en-GB"/>
              </w:rPr>
              <w:t xml:space="preserve">a stabilizing segment for the whole animal production in the CR. </w:t>
            </w:r>
            <w:r w:rsidR="00647EDC" w:rsidRPr="009A3047">
              <w:rPr>
                <w:spacing w:val="-2"/>
                <w:lang w:val="en-GB"/>
              </w:rPr>
              <w:t xml:space="preserve">The long-term trend of milk production growth, also supported by high </w:t>
            </w:r>
            <w:r w:rsidR="008D52AA" w:rsidRPr="009A3047">
              <w:rPr>
                <w:spacing w:val="-2"/>
                <w:lang w:val="en-GB"/>
              </w:rPr>
              <w:t xml:space="preserve">milk yield continued this year. </w:t>
            </w:r>
            <w:r w:rsidR="00675CB1" w:rsidRPr="009A3047">
              <w:rPr>
                <w:rStyle w:val="normaltextrun"/>
                <w:rFonts w:eastAsia="MS Gothic" w:cs="Arial"/>
                <w:spacing w:val="-2"/>
                <w:szCs w:val="20"/>
                <w:lang w:val="en-GB"/>
              </w:rPr>
              <w:t>D</w:t>
            </w:r>
            <w:r w:rsidR="00675CB1" w:rsidRPr="009A3047">
              <w:rPr>
                <w:rStyle w:val="normaltextrun"/>
                <w:rFonts w:eastAsia="MS Gothic" w:cs="Arial"/>
                <w:spacing w:val="-2"/>
                <w:lang w:val="en-GB"/>
              </w:rPr>
              <w:t xml:space="preserve">omestic producers </w:t>
            </w:r>
            <w:r w:rsidR="004333DF" w:rsidRPr="009A3047">
              <w:rPr>
                <w:rStyle w:val="normaltextrun"/>
                <w:rFonts w:eastAsia="MS Gothic" w:cs="Arial"/>
                <w:spacing w:val="-2"/>
                <w:lang w:val="en-GB"/>
              </w:rPr>
              <w:t>sold by 1.6% litres</w:t>
            </w:r>
            <w:r w:rsidR="00590390" w:rsidRPr="009A3047">
              <w:rPr>
                <w:rStyle w:val="normaltextrun"/>
                <w:rFonts w:eastAsia="MS Gothic" w:cs="Arial"/>
                <w:spacing w:val="-2"/>
                <w:lang w:val="en-GB"/>
              </w:rPr>
              <w:t xml:space="preserve"> </w:t>
            </w:r>
            <w:r w:rsidR="004333DF" w:rsidRPr="009A3047">
              <w:rPr>
                <w:rStyle w:val="normaltextrun"/>
                <w:rFonts w:eastAsia="MS Gothic" w:cs="Arial"/>
                <w:spacing w:val="-2"/>
                <w:lang w:val="en-GB"/>
              </w:rPr>
              <w:t>o</w:t>
            </w:r>
            <w:r w:rsidR="002658BF" w:rsidRPr="009A3047">
              <w:rPr>
                <w:rStyle w:val="normaltextrun"/>
                <w:rFonts w:eastAsia="MS Gothic" w:cs="Arial"/>
                <w:spacing w:val="-2"/>
                <w:lang w:val="en-GB"/>
              </w:rPr>
              <w:t>f milk more year-on-year in H1.</w:t>
            </w:r>
          </w:p>
        </w:tc>
      </w:tr>
      <w:tr w:rsidR="00D27F07" w:rsidRPr="00DD6E6B" w14:paraId="123F1EC9" w14:textId="77777777" w:rsidTr="00D80129">
        <w:trPr>
          <w:trHeight w:val="145"/>
        </w:trPr>
        <w:tc>
          <w:tcPr>
            <w:tcW w:w="1678" w:type="dxa"/>
            <w:tcBorders>
              <w:top w:val="nil"/>
              <w:left w:val="nil"/>
              <w:bottom w:val="nil"/>
              <w:right w:val="nil"/>
            </w:tcBorders>
            <w:shd w:val="clear" w:color="auto" w:fill="auto"/>
            <w:tcMar>
              <w:left w:w="0" w:type="dxa"/>
            </w:tcMar>
          </w:tcPr>
          <w:p w14:paraId="79CC1400" w14:textId="37F434DD" w:rsidR="00D27F07" w:rsidRPr="00DD6E6B" w:rsidRDefault="00E73065" w:rsidP="00D42399">
            <w:pPr>
              <w:pStyle w:val="Marginlie"/>
              <w:rPr>
                <w:color w:val="0D0D0D" w:themeColor="text1" w:themeTint="F2"/>
                <w:spacing w:val="-4"/>
                <w:lang w:val="en-GB"/>
              </w:rPr>
            </w:pPr>
            <w:r w:rsidRPr="00DD6E6B">
              <w:rPr>
                <w:color w:val="0D0D0D" w:themeColor="text1" w:themeTint="F2"/>
                <w:spacing w:val="-4"/>
                <w:lang w:val="en-GB"/>
              </w:rPr>
              <w:t>Based on t</w:t>
            </w:r>
            <w:r w:rsidR="0006210C">
              <w:rPr>
                <w:color w:val="0D0D0D" w:themeColor="text1" w:themeTint="F2"/>
                <w:spacing w:val="-4"/>
                <w:lang w:val="en-GB"/>
              </w:rPr>
              <w:t>he August estimation of harvest</w:t>
            </w:r>
            <w:r w:rsidR="00717A77" w:rsidRPr="00DD6E6B">
              <w:rPr>
                <w:color w:val="0D0D0D" w:themeColor="text1" w:themeTint="F2"/>
                <w:spacing w:val="-4"/>
                <w:lang w:val="en-GB"/>
              </w:rPr>
              <w:t xml:space="preserve">, crop </w:t>
            </w:r>
            <w:r w:rsidR="003409CA" w:rsidRPr="00DD6E6B">
              <w:rPr>
                <w:color w:val="0D0D0D" w:themeColor="text1" w:themeTint="F2"/>
                <w:spacing w:val="-4"/>
                <w:lang w:val="en-GB"/>
              </w:rPr>
              <w:t xml:space="preserve">slightly exceeding the average </w:t>
            </w:r>
            <w:r w:rsidR="00871F67" w:rsidRPr="00DD6E6B">
              <w:rPr>
                <w:color w:val="0D0D0D" w:themeColor="text1" w:themeTint="F2"/>
                <w:spacing w:val="-4"/>
                <w:lang w:val="en-GB"/>
              </w:rPr>
              <w:t xml:space="preserve">of </w:t>
            </w:r>
            <w:r w:rsidR="003409CA" w:rsidRPr="00DD6E6B">
              <w:rPr>
                <w:color w:val="0D0D0D" w:themeColor="text1" w:themeTint="F2"/>
                <w:spacing w:val="-4"/>
                <w:lang w:val="en-GB"/>
              </w:rPr>
              <w:t>t</w:t>
            </w:r>
            <w:r w:rsidR="00B564F1" w:rsidRPr="00DD6E6B">
              <w:rPr>
                <w:color w:val="0D0D0D" w:themeColor="text1" w:themeTint="F2"/>
                <w:spacing w:val="-4"/>
                <w:lang w:val="en-GB"/>
              </w:rPr>
              <w:t>he last five-year period</w:t>
            </w:r>
            <w:r w:rsidR="003409CA" w:rsidRPr="00DD6E6B">
              <w:rPr>
                <w:color w:val="0D0D0D" w:themeColor="text1" w:themeTint="F2"/>
                <w:spacing w:val="-4"/>
                <w:lang w:val="en-GB"/>
              </w:rPr>
              <w:t xml:space="preserve"> can be expected for both </w:t>
            </w:r>
            <w:r w:rsidR="00111F64" w:rsidRPr="00DD6E6B">
              <w:rPr>
                <w:color w:val="0D0D0D" w:themeColor="text1" w:themeTint="F2"/>
                <w:spacing w:val="-4"/>
                <w:lang w:val="en-GB"/>
              </w:rPr>
              <w:t xml:space="preserve">cereals and </w:t>
            </w:r>
            <w:r w:rsidR="00970B25" w:rsidRPr="00DD6E6B">
              <w:rPr>
                <w:color w:val="0D0D0D" w:themeColor="text1" w:themeTint="F2"/>
                <w:spacing w:val="-4"/>
                <w:lang w:val="en-GB"/>
              </w:rPr>
              <w:t>oilseed rape</w:t>
            </w:r>
            <w:r w:rsidR="00B564F1" w:rsidRPr="00DD6E6B">
              <w:rPr>
                <w:color w:val="0D0D0D" w:themeColor="text1" w:themeTint="F2"/>
                <w:spacing w:val="-4"/>
                <w:lang w:val="en-GB"/>
              </w:rPr>
              <w:t xml:space="preserve">. </w:t>
            </w:r>
            <w:r w:rsidR="0006210C">
              <w:rPr>
                <w:color w:val="0D0D0D" w:themeColor="text1" w:themeTint="F2"/>
                <w:spacing w:val="-4"/>
                <w:lang w:val="en-GB"/>
              </w:rPr>
              <w:t xml:space="preserve"> </w:t>
            </w:r>
          </w:p>
        </w:tc>
        <w:tc>
          <w:tcPr>
            <w:tcW w:w="194" w:type="dxa"/>
            <w:tcBorders>
              <w:top w:val="nil"/>
              <w:left w:val="nil"/>
              <w:bottom w:val="nil"/>
              <w:right w:val="nil"/>
            </w:tcBorders>
            <w:shd w:val="clear" w:color="auto" w:fill="auto"/>
            <w:tcMar>
              <w:left w:w="0" w:type="dxa"/>
            </w:tcMar>
          </w:tcPr>
          <w:p w14:paraId="252835AB"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129FA9BB" w14:textId="7A08AD61" w:rsidR="00D27F07" w:rsidRPr="00DD6E6B" w:rsidRDefault="00E63157" w:rsidP="00D42399">
            <w:pPr>
              <w:spacing w:after="180"/>
              <w:rPr>
                <w:spacing w:val="-4"/>
                <w:lang w:val="en-GB"/>
              </w:rPr>
            </w:pPr>
            <w:r w:rsidRPr="00DD6E6B">
              <w:rPr>
                <w:spacing w:val="-4"/>
                <w:lang w:val="en-GB"/>
              </w:rPr>
              <w:t xml:space="preserve">According to </w:t>
            </w:r>
            <w:r w:rsidR="00D84F3F" w:rsidRPr="00DD6E6B">
              <w:rPr>
                <w:spacing w:val="-4"/>
                <w:lang w:val="en-GB"/>
              </w:rPr>
              <w:t xml:space="preserve">the </w:t>
            </w:r>
            <w:r w:rsidR="00B42127" w:rsidRPr="00DD6E6B">
              <w:rPr>
                <w:spacing w:val="-4"/>
                <w:lang w:val="en-GB"/>
              </w:rPr>
              <w:t xml:space="preserve">progress of harvests </w:t>
            </w:r>
            <w:r w:rsidR="00D84F3F" w:rsidRPr="00DD6E6B">
              <w:rPr>
                <w:spacing w:val="-4"/>
                <w:lang w:val="en-GB"/>
              </w:rPr>
              <w:t xml:space="preserve">so far, </w:t>
            </w:r>
            <w:r w:rsidR="00B42127" w:rsidRPr="00DD6E6B">
              <w:rPr>
                <w:spacing w:val="-4"/>
                <w:lang w:val="en-GB"/>
              </w:rPr>
              <w:t xml:space="preserve">a </w:t>
            </w:r>
            <w:r w:rsidR="00D84F3F" w:rsidRPr="00DD6E6B">
              <w:rPr>
                <w:spacing w:val="-4"/>
                <w:lang w:val="en-GB"/>
              </w:rPr>
              <w:t>stabilised</w:t>
            </w:r>
            <w:r w:rsidR="00BF0FD7" w:rsidRPr="00DD6E6B">
              <w:rPr>
                <w:spacing w:val="-4"/>
                <w:lang w:val="en-GB"/>
              </w:rPr>
              <w:t xml:space="preserve"> situation can also be expected in the domestic plant production. </w:t>
            </w:r>
            <w:r w:rsidRPr="00DD6E6B">
              <w:rPr>
                <w:spacing w:val="-4"/>
                <w:lang w:val="en-GB"/>
              </w:rPr>
              <w:t>Based on the third estimation of harvests (</w:t>
            </w:r>
            <w:r w:rsidR="00955BD4" w:rsidRPr="00DD6E6B">
              <w:rPr>
                <w:spacing w:val="-4"/>
                <w:lang w:val="en-GB"/>
              </w:rPr>
              <w:t>CZSO</w:t>
            </w:r>
            <w:r w:rsidR="00D27F07" w:rsidRPr="00DD6E6B">
              <w:rPr>
                <w:rStyle w:val="normaltextrun"/>
                <w:rFonts w:eastAsia="MS Gothic" w:cs="Arial"/>
                <w:color w:val="0D0D0D" w:themeColor="text1" w:themeTint="F2"/>
                <w:szCs w:val="20"/>
                <w:lang w:val="en-GB"/>
              </w:rPr>
              <w:t xml:space="preserve">, </w:t>
            </w:r>
            <w:r w:rsidR="007A3DF9" w:rsidRPr="00DD6E6B">
              <w:rPr>
                <w:rStyle w:val="normaltextrun"/>
                <w:rFonts w:eastAsia="MS Gothic" w:cs="Arial"/>
                <w:color w:val="0D0D0D" w:themeColor="text1" w:themeTint="F2"/>
                <w:szCs w:val="20"/>
                <w:lang w:val="en-GB"/>
              </w:rPr>
              <w:t>a</w:t>
            </w:r>
            <w:r w:rsidR="007A3DF9" w:rsidRPr="00DD6E6B">
              <w:rPr>
                <w:rStyle w:val="normaltextrun"/>
                <w:rFonts w:eastAsia="MS Gothic" w:cs="Arial"/>
                <w:color w:val="0D0D0D" w:themeColor="text1" w:themeTint="F2"/>
                <w:lang w:val="en-GB"/>
              </w:rPr>
              <w:t xml:space="preserve">s of </w:t>
            </w:r>
            <w:r w:rsidR="00D27F07" w:rsidRPr="00DD6E6B">
              <w:rPr>
                <w:rStyle w:val="normaltextrun"/>
                <w:rFonts w:eastAsia="MS Gothic" w:cs="Arial"/>
                <w:color w:val="0D0D0D" w:themeColor="text1" w:themeTint="F2"/>
                <w:szCs w:val="20"/>
                <w:lang w:val="en-GB"/>
              </w:rPr>
              <w:t>15.8.)</w:t>
            </w:r>
            <w:r w:rsidR="001458AC" w:rsidRPr="00DD6E6B">
              <w:rPr>
                <w:rStyle w:val="normaltextrun"/>
                <w:rFonts w:eastAsia="MS Gothic" w:cs="Arial"/>
                <w:color w:val="0D0D0D" w:themeColor="text1" w:themeTint="F2"/>
                <w:szCs w:val="20"/>
                <w:lang w:val="en-GB"/>
              </w:rPr>
              <w:t xml:space="preserve"> </w:t>
            </w:r>
            <w:r w:rsidR="003D5175" w:rsidRPr="00DD6E6B">
              <w:rPr>
                <w:rStyle w:val="normaltextrun"/>
                <w:rFonts w:eastAsia="MS Gothic" w:cs="Arial"/>
                <w:color w:val="0D0D0D" w:themeColor="text1" w:themeTint="F2"/>
                <w:szCs w:val="20"/>
                <w:lang w:val="en-GB"/>
              </w:rPr>
              <w:t xml:space="preserve">the cereal crop </w:t>
            </w:r>
            <w:r w:rsidR="00D27F07" w:rsidRPr="00DD6E6B">
              <w:rPr>
                <w:rStyle w:val="normaltextrun"/>
                <w:rFonts w:eastAsia="MS Gothic" w:cs="Arial"/>
                <w:szCs w:val="20"/>
                <w:lang w:val="en-GB"/>
              </w:rPr>
              <w:t>(</w:t>
            </w:r>
            <w:r w:rsidR="003D5175" w:rsidRPr="00DD6E6B">
              <w:rPr>
                <w:rStyle w:val="normaltextrun"/>
                <w:rFonts w:eastAsia="MS Gothic" w:cs="Arial"/>
                <w:szCs w:val="20"/>
                <w:lang w:val="en-GB"/>
              </w:rPr>
              <w:t>also</w:t>
            </w:r>
            <w:r w:rsidR="003D5175" w:rsidRPr="00DD6E6B">
              <w:rPr>
                <w:rStyle w:val="normaltextrun"/>
                <w:rFonts w:eastAsia="MS Gothic" w:cs="Arial"/>
                <w:lang w:val="en-GB"/>
              </w:rPr>
              <w:t xml:space="preserve"> calculating the grain maize</w:t>
            </w:r>
            <w:r w:rsidR="00D27F07" w:rsidRPr="00DD6E6B">
              <w:rPr>
                <w:rStyle w:val="normaltextrun"/>
                <w:rFonts w:eastAsia="MS Gothic" w:cs="Arial"/>
                <w:szCs w:val="20"/>
                <w:lang w:val="en-GB"/>
              </w:rPr>
              <w:t>)</w:t>
            </w:r>
            <w:r w:rsidR="003D5175" w:rsidRPr="00DD6E6B">
              <w:rPr>
                <w:rStyle w:val="normaltextrun"/>
                <w:rFonts w:eastAsia="MS Gothic" w:cs="Arial"/>
                <w:szCs w:val="20"/>
                <w:lang w:val="en-GB"/>
              </w:rPr>
              <w:t xml:space="preserve"> is expected in the size of </w:t>
            </w:r>
            <w:r w:rsidR="00D27F07" w:rsidRPr="00DD6E6B">
              <w:rPr>
                <w:rStyle w:val="normaltextrun"/>
                <w:rFonts w:eastAsia="MS Gothic" w:cs="Arial"/>
                <w:szCs w:val="20"/>
                <w:lang w:val="en-GB"/>
              </w:rPr>
              <w:t>7</w:t>
            </w:r>
            <w:r w:rsidR="003D5175" w:rsidRPr="00DD6E6B">
              <w:rPr>
                <w:rStyle w:val="normaltextrun"/>
                <w:rFonts w:eastAsia="MS Gothic" w:cs="Arial"/>
                <w:szCs w:val="20"/>
                <w:lang w:val="en-GB"/>
              </w:rPr>
              <w:t>.</w:t>
            </w:r>
            <w:r w:rsidR="00D27F07" w:rsidRPr="00DD6E6B">
              <w:rPr>
                <w:rStyle w:val="normaltextrun"/>
                <w:rFonts w:eastAsia="MS Gothic" w:cs="Arial"/>
                <w:szCs w:val="20"/>
                <w:lang w:val="en-GB"/>
              </w:rPr>
              <w:t>905</w:t>
            </w:r>
            <w:r w:rsidR="00A609BD" w:rsidRPr="00DD6E6B">
              <w:rPr>
                <w:rStyle w:val="normaltextrun"/>
                <w:rFonts w:eastAsia="MS Gothic" w:cs="Arial"/>
                <w:szCs w:val="20"/>
                <w:lang w:val="en-GB"/>
              </w:rPr>
              <w:t xml:space="preserve"> million tonnes</w:t>
            </w:r>
            <w:r w:rsidR="00D27F07" w:rsidRPr="00DD6E6B">
              <w:rPr>
                <w:rStyle w:val="normaltextrun"/>
                <w:rFonts w:eastAsia="MS Gothic" w:cs="Arial"/>
                <w:color w:val="000000"/>
                <w:szCs w:val="20"/>
                <w:lang w:val="en-GB"/>
              </w:rPr>
              <w:t xml:space="preserve">, </w:t>
            </w:r>
            <w:r w:rsidR="00A609BD" w:rsidRPr="00DD6E6B">
              <w:rPr>
                <w:rStyle w:val="normaltextrun"/>
                <w:rFonts w:eastAsia="MS Gothic" w:cs="Arial"/>
                <w:color w:val="000000"/>
                <w:szCs w:val="20"/>
                <w:lang w:val="en-GB"/>
              </w:rPr>
              <w:t xml:space="preserve">for rape then </w:t>
            </w:r>
            <w:r w:rsidR="00D27F07" w:rsidRPr="00DD6E6B">
              <w:rPr>
                <w:rStyle w:val="normaltextrun"/>
                <w:rFonts w:eastAsia="MS Gothic" w:cs="Arial"/>
                <w:szCs w:val="20"/>
                <w:lang w:val="en-GB"/>
              </w:rPr>
              <w:t>1</w:t>
            </w:r>
            <w:r w:rsidR="00A609BD" w:rsidRPr="00DD6E6B">
              <w:rPr>
                <w:rStyle w:val="normaltextrun"/>
                <w:rFonts w:eastAsia="MS Gothic" w:cs="Arial"/>
                <w:szCs w:val="20"/>
                <w:lang w:val="en-GB"/>
              </w:rPr>
              <w:t>.</w:t>
            </w:r>
            <w:r w:rsidR="00D27F07" w:rsidRPr="00DD6E6B">
              <w:rPr>
                <w:rStyle w:val="normaltextrun"/>
                <w:rFonts w:eastAsia="MS Gothic" w:cs="Arial"/>
                <w:szCs w:val="20"/>
                <w:lang w:val="en-GB"/>
              </w:rPr>
              <w:t>274</w:t>
            </w:r>
            <w:r w:rsidR="00A609BD" w:rsidRPr="00DD6E6B">
              <w:rPr>
                <w:rStyle w:val="normaltextrun"/>
                <w:rFonts w:eastAsia="MS Gothic" w:cs="Arial"/>
                <w:szCs w:val="20"/>
                <w:lang w:val="en-GB"/>
              </w:rPr>
              <w:t xml:space="preserve"> million tonnes</w:t>
            </w:r>
            <w:r w:rsidR="00D27F07" w:rsidRPr="00DD6E6B">
              <w:rPr>
                <w:rStyle w:val="Znakapoznpodarou"/>
                <w:rFonts w:eastAsia="MS Gothic"/>
                <w:color w:val="000000"/>
                <w:szCs w:val="20"/>
                <w:lang w:val="en-GB"/>
              </w:rPr>
              <w:footnoteReference w:id="17"/>
            </w:r>
            <w:r w:rsidR="003D5175" w:rsidRPr="00DD6E6B">
              <w:rPr>
                <w:rStyle w:val="normaltextrun"/>
                <w:rFonts w:eastAsia="MS Gothic" w:cs="Arial"/>
                <w:szCs w:val="20"/>
                <w:lang w:val="en-GB"/>
              </w:rPr>
              <w:t xml:space="preserve"> so far this year</w:t>
            </w:r>
            <w:r w:rsidR="00D27F07" w:rsidRPr="00DD6E6B">
              <w:rPr>
                <w:rStyle w:val="normaltextrun"/>
                <w:rFonts w:eastAsia="MS Gothic" w:cs="Arial"/>
                <w:color w:val="000000"/>
                <w:szCs w:val="20"/>
                <w:lang w:val="en-GB"/>
              </w:rPr>
              <w:t>.</w:t>
            </w:r>
            <w:r w:rsidR="00D27F07" w:rsidRPr="00DD6E6B">
              <w:rPr>
                <w:rStyle w:val="Nadpis3Char"/>
                <w:rFonts w:cs="Arial"/>
                <w:color w:val="000000"/>
                <w:sz w:val="20"/>
                <w:szCs w:val="20"/>
                <w:lang w:val="en-GB"/>
              </w:rPr>
              <w:t xml:space="preserve"> </w:t>
            </w:r>
            <w:r w:rsidR="006D388D" w:rsidRPr="00DD6E6B">
              <w:rPr>
                <w:rStyle w:val="Nadpis3Char"/>
                <w:rFonts w:cs="Arial"/>
                <w:b w:val="0"/>
                <w:bCs w:val="0"/>
                <w:color w:val="000000"/>
                <w:sz w:val="20"/>
                <w:szCs w:val="20"/>
                <w:lang w:val="en-GB"/>
              </w:rPr>
              <w:t>Harvest of cereals i</w:t>
            </w:r>
            <w:r w:rsidR="00A609BD" w:rsidRPr="00DD6E6B">
              <w:rPr>
                <w:rStyle w:val="Nadpis3Char"/>
                <w:rFonts w:cs="Arial"/>
                <w:b w:val="0"/>
                <w:bCs w:val="0"/>
                <w:color w:val="000000"/>
                <w:sz w:val="20"/>
                <w:szCs w:val="20"/>
                <w:lang w:val="en-GB"/>
              </w:rPr>
              <w:t xml:space="preserve">s lower year-on-year </w:t>
            </w:r>
            <w:r w:rsidR="00D27F07" w:rsidRPr="00DD6E6B">
              <w:rPr>
                <w:rStyle w:val="normaltextrun"/>
                <w:rFonts w:eastAsia="MS Gothic" w:cs="Arial"/>
                <w:color w:val="000000"/>
                <w:szCs w:val="20"/>
                <w:lang w:val="en-GB"/>
              </w:rPr>
              <w:t>(</w:t>
            </w:r>
            <w:r w:rsidR="00A609BD" w:rsidRPr="00DD6E6B">
              <w:rPr>
                <w:rStyle w:val="normaltextrun"/>
                <w:rFonts w:eastAsia="MS Gothic" w:cs="Arial"/>
                <w:color w:val="000000"/>
                <w:szCs w:val="20"/>
                <w:lang w:val="en-GB"/>
              </w:rPr>
              <w:t>b</w:t>
            </w:r>
            <w:r w:rsidR="00A609BD" w:rsidRPr="00DD6E6B">
              <w:rPr>
                <w:rStyle w:val="normaltextrun"/>
                <w:rFonts w:eastAsia="MS Gothic"/>
                <w:lang w:val="en-GB"/>
              </w:rPr>
              <w:t xml:space="preserve">y </w:t>
            </w:r>
            <w:r w:rsidR="00D27F07" w:rsidRPr="00DD6E6B">
              <w:rPr>
                <w:rStyle w:val="normaltextrun"/>
                <w:rFonts w:eastAsia="MS Gothic" w:cs="Arial"/>
                <w:color w:val="000000"/>
                <w:szCs w:val="20"/>
                <w:lang w:val="en-GB"/>
              </w:rPr>
              <w:t>3</w:t>
            </w:r>
            <w:r w:rsidR="00A609BD"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7%), </w:t>
            </w:r>
            <w:r w:rsidR="00B7564A" w:rsidRPr="00DD6E6B">
              <w:rPr>
                <w:rStyle w:val="normaltextrun"/>
                <w:rFonts w:eastAsia="MS Gothic" w:cs="Arial"/>
                <w:color w:val="000000"/>
                <w:szCs w:val="20"/>
                <w:lang w:val="en-GB"/>
              </w:rPr>
              <w:t>h</w:t>
            </w:r>
            <w:r w:rsidR="00B7564A" w:rsidRPr="00DD6E6B">
              <w:rPr>
                <w:rStyle w:val="normaltextrun"/>
                <w:rFonts w:eastAsia="MS Gothic"/>
                <w:lang w:val="en-GB"/>
              </w:rPr>
              <w:t xml:space="preserve">owever </w:t>
            </w:r>
            <w:r w:rsidR="00A609BD" w:rsidRPr="00DD6E6B">
              <w:rPr>
                <w:rStyle w:val="normaltextrun"/>
                <w:rFonts w:eastAsia="MS Gothic"/>
                <w:lang w:val="en-GB"/>
              </w:rPr>
              <w:t xml:space="preserve">it </w:t>
            </w:r>
            <w:r w:rsidR="00B7564A" w:rsidRPr="00DD6E6B">
              <w:rPr>
                <w:rStyle w:val="normaltextrun"/>
                <w:rFonts w:eastAsia="MS Gothic"/>
                <w:lang w:val="en-GB"/>
              </w:rPr>
              <w:t xml:space="preserve">still exceeds the level from the last five-year period </w:t>
            </w:r>
            <w:r w:rsidR="00D27F07" w:rsidRPr="00DD6E6B">
              <w:rPr>
                <w:rStyle w:val="normaltextrun"/>
                <w:rFonts w:eastAsia="MS Gothic" w:cs="Arial"/>
                <w:color w:val="000000"/>
                <w:szCs w:val="20"/>
                <w:lang w:val="en-GB"/>
              </w:rPr>
              <w:t>(+1</w:t>
            </w:r>
            <w:r w:rsidR="00B7564A"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0%) a</w:t>
            </w:r>
            <w:r w:rsidR="007A3DF9" w:rsidRPr="00DD6E6B">
              <w:rPr>
                <w:rStyle w:val="normaltextrun"/>
                <w:rFonts w:eastAsia="MS Gothic" w:cs="Arial"/>
                <w:color w:val="000000"/>
                <w:szCs w:val="20"/>
                <w:lang w:val="en-GB"/>
              </w:rPr>
              <w:t>n</w:t>
            </w:r>
            <w:r w:rsidR="007A3DF9" w:rsidRPr="00DD6E6B">
              <w:rPr>
                <w:rStyle w:val="normaltextrun"/>
                <w:rFonts w:eastAsia="MS Gothic" w:cs="Arial"/>
                <w:color w:val="000000"/>
                <w:lang w:val="en-GB"/>
              </w:rPr>
              <w:t xml:space="preserve">d only minimally </w:t>
            </w:r>
            <w:r w:rsidR="003724CE" w:rsidRPr="00DD6E6B">
              <w:rPr>
                <w:rStyle w:val="normaltextrun"/>
                <w:rFonts w:eastAsia="MS Gothic" w:cs="Arial"/>
                <w:color w:val="000000"/>
                <w:lang w:val="en-GB"/>
              </w:rPr>
              <w:t>lags</w:t>
            </w:r>
            <w:r w:rsidR="007A3DF9" w:rsidRPr="00DD6E6B">
              <w:rPr>
                <w:rStyle w:val="normaltextrun"/>
                <w:rFonts w:eastAsia="MS Gothic" w:cs="Arial"/>
                <w:color w:val="000000"/>
                <w:lang w:val="en-GB"/>
              </w:rPr>
              <w:t xml:space="preserve"> behind the average from the period of years </w:t>
            </w:r>
            <w:r w:rsidR="006033A4">
              <w:rPr>
                <w:rStyle w:val="normaltextrun"/>
                <w:rFonts w:eastAsia="MS Gothic" w:cs="Arial"/>
                <w:color w:val="000000"/>
                <w:szCs w:val="20"/>
                <w:lang w:val="en-GB"/>
              </w:rPr>
              <w:t>2013–2022 (</w:t>
            </w:r>
            <w:r w:rsidR="006033A4">
              <w:rPr>
                <w:color w:val="000000"/>
                <w:shd w:val="clear" w:color="auto" w:fill="FFFFFF"/>
              </w:rPr>
              <w:t>–</w:t>
            </w:r>
            <w:r w:rsidR="00D27F07" w:rsidRPr="00DD6E6B">
              <w:rPr>
                <w:rStyle w:val="normaltextrun"/>
                <w:rFonts w:eastAsia="MS Gothic" w:cs="Arial"/>
                <w:color w:val="000000"/>
                <w:szCs w:val="20"/>
                <w:lang w:val="en-GB"/>
              </w:rPr>
              <w:t>0</w:t>
            </w:r>
            <w:r w:rsidR="007A3DF9"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8%, </w:t>
            </w:r>
            <w:r w:rsidR="007A3DF9" w:rsidRPr="00DD6E6B">
              <w:rPr>
                <w:rStyle w:val="normaltextrun"/>
                <w:rFonts w:eastAsia="MS Gothic" w:cs="Arial"/>
                <w:color w:val="000000"/>
                <w:szCs w:val="20"/>
                <w:lang w:val="en-GB"/>
              </w:rPr>
              <w:t xml:space="preserve">solely due to the </w:t>
            </w:r>
            <w:r w:rsidR="009B1EC3" w:rsidRPr="00DD6E6B">
              <w:rPr>
                <w:rStyle w:val="normaltextrun"/>
                <w:rFonts w:eastAsia="MS Gothic" w:cs="Arial"/>
                <w:color w:val="000000"/>
                <w:szCs w:val="20"/>
                <w:lang w:val="en-GB"/>
              </w:rPr>
              <w:t xml:space="preserve">reduction </w:t>
            </w:r>
            <w:r w:rsidR="00CD24B5" w:rsidRPr="00DD6E6B">
              <w:rPr>
                <w:rStyle w:val="normaltextrun"/>
                <w:rFonts w:eastAsia="MS Gothic" w:cs="Arial"/>
                <w:color w:val="000000"/>
                <w:szCs w:val="20"/>
                <w:lang w:val="en-GB"/>
              </w:rPr>
              <w:t xml:space="preserve">of </w:t>
            </w:r>
            <w:r w:rsidR="00A609BD" w:rsidRPr="00DD6E6B">
              <w:rPr>
                <w:rStyle w:val="normaltextrun"/>
                <w:rFonts w:eastAsia="MS Gothic" w:cs="Arial"/>
                <w:color w:val="000000"/>
                <w:szCs w:val="20"/>
                <w:lang w:val="en-GB"/>
              </w:rPr>
              <w:t>sowing area</w:t>
            </w:r>
            <w:r w:rsidR="00D27F07" w:rsidRPr="00DD6E6B">
              <w:rPr>
                <w:rStyle w:val="normaltextrun"/>
                <w:rFonts w:eastAsia="MS Gothic" w:cs="Arial"/>
                <w:color w:val="000000"/>
                <w:szCs w:val="20"/>
                <w:lang w:val="en-GB"/>
              </w:rPr>
              <w:t xml:space="preserve">). </w:t>
            </w:r>
            <w:r w:rsidR="001C1978" w:rsidRPr="00DD6E6B">
              <w:rPr>
                <w:rStyle w:val="normaltextrun"/>
                <w:rFonts w:eastAsia="MS Gothic" w:cs="Arial"/>
                <w:color w:val="000000"/>
                <w:szCs w:val="20"/>
                <w:lang w:val="en-GB"/>
              </w:rPr>
              <w:t xml:space="preserve">Similar is also valid for rape, whose harvest however exceeded the five-year average more distinctly </w:t>
            </w:r>
            <w:r w:rsidR="00D27F07" w:rsidRPr="00DD6E6B">
              <w:rPr>
                <w:rStyle w:val="normaltextrun"/>
                <w:rFonts w:eastAsia="MS Gothic" w:cs="Arial"/>
                <w:color w:val="000000"/>
                <w:szCs w:val="20"/>
                <w:lang w:val="en-GB"/>
              </w:rPr>
              <w:t>(</w:t>
            </w:r>
            <w:r w:rsidR="001C1978" w:rsidRPr="00DD6E6B">
              <w:rPr>
                <w:rStyle w:val="normaltextrun"/>
                <w:rFonts w:eastAsia="MS Gothic" w:cs="Arial"/>
                <w:color w:val="000000"/>
                <w:szCs w:val="20"/>
                <w:lang w:val="en-GB"/>
              </w:rPr>
              <w:t xml:space="preserve">by </w:t>
            </w:r>
            <w:r w:rsidR="00D27F07" w:rsidRPr="00DD6E6B">
              <w:rPr>
                <w:rStyle w:val="normaltextrun"/>
                <w:rFonts w:eastAsia="MS Gothic" w:cs="Arial"/>
                <w:color w:val="000000"/>
                <w:szCs w:val="20"/>
                <w:lang w:val="en-GB"/>
              </w:rPr>
              <w:t>6</w:t>
            </w:r>
            <w:r w:rsidR="001C1978"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1%)</w:t>
            </w:r>
            <w:r w:rsidR="001C1978" w:rsidRPr="00DD6E6B">
              <w:rPr>
                <w:rStyle w:val="normaltextrun"/>
                <w:rFonts w:eastAsia="MS Gothic" w:cs="Arial"/>
                <w:color w:val="000000"/>
                <w:szCs w:val="20"/>
                <w:lang w:val="en-GB"/>
              </w:rPr>
              <w:t xml:space="preserve"> and also grew faster year-on-year </w:t>
            </w:r>
            <w:r w:rsidR="00D27F07" w:rsidRPr="00DD6E6B">
              <w:rPr>
                <w:rStyle w:val="normaltextrun"/>
                <w:rFonts w:eastAsia="MS Gothic" w:cs="Arial"/>
                <w:color w:val="000000"/>
                <w:szCs w:val="20"/>
                <w:lang w:val="en-GB"/>
              </w:rPr>
              <w:t>(+9</w:t>
            </w:r>
            <w:r w:rsidR="001C1978" w:rsidRPr="00DD6E6B">
              <w:rPr>
                <w:rStyle w:val="normaltextrun"/>
                <w:rFonts w:eastAsia="MS Gothic" w:cs="Arial"/>
                <w:color w:val="000000"/>
                <w:szCs w:val="20"/>
                <w:lang w:val="en-GB"/>
              </w:rPr>
              <w:t>.</w:t>
            </w:r>
            <w:r w:rsidR="00D27F07" w:rsidRPr="00DD6E6B">
              <w:rPr>
                <w:rStyle w:val="normaltextrun"/>
                <w:rFonts w:eastAsia="MS Gothic" w:cs="Arial"/>
                <w:color w:val="000000"/>
                <w:szCs w:val="20"/>
                <w:lang w:val="en-GB"/>
              </w:rPr>
              <w:t xml:space="preserve">2%, </w:t>
            </w:r>
            <w:r w:rsidR="003724CE" w:rsidRPr="00DD6E6B">
              <w:rPr>
                <w:rStyle w:val="normaltextrun"/>
                <w:rFonts w:eastAsia="MS Gothic" w:cs="Arial"/>
                <w:color w:val="000000"/>
                <w:szCs w:val="20"/>
                <w:lang w:val="en-GB"/>
              </w:rPr>
              <w:t>exclusively due to the enlarged area under crop</w:t>
            </w:r>
            <w:r w:rsidR="00D27F07" w:rsidRPr="00DD6E6B">
              <w:rPr>
                <w:rStyle w:val="normaltextrun"/>
                <w:rFonts w:eastAsia="MS Gothic" w:cs="Arial"/>
                <w:color w:val="000000"/>
                <w:szCs w:val="20"/>
                <w:lang w:val="en-GB"/>
              </w:rPr>
              <w:t xml:space="preserve">). </w:t>
            </w:r>
            <w:r w:rsidR="0006210C">
              <w:rPr>
                <w:rStyle w:val="normaltextrun"/>
                <w:rFonts w:eastAsia="MS Gothic" w:cs="Arial"/>
                <w:color w:val="000000"/>
                <w:szCs w:val="20"/>
                <w:lang w:val="en-GB"/>
              </w:rPr>
              <w:t>However, c</w:t>
            </w:r>
            <w:r w:rsidR="00467174" w:rsidRPr="00DD6E6B">
              <w:rPr>
                <w:rStyle w:val="normaltextrun"/>
                <w:rFonts w:eastAsia="MS Gothic" w:cs="Arial"/>
                <w:color w:val="000000"/>
                <w:szCs w:val="20"/>
                <w:lang w:val="en-GB"/>
              </w:rPr>
              <w:t xml:space="preserve">urrent estimations of harvest are less </w:t>
            </w:r>
            <w:r w:rsidR="00D756D1" w:rsidRPr="00DD6E6B">
              <w:rPr>
                <w:rStyle w:val="normaltextrun"/>
                <w:rFonts w:eastAsia="MS Gothic" w:cs="Arial"/>
                <w:color w:val="000000"/>
                <w:szCs w:val="20"/>
                <w:lang w:val="en-GB"/>
              </w:rPr>
              <w:t xml:space="preserve">favourable </w:t>
            </w:r>
            <w:r w:rsidR="00467174" w:rsidRPr="00DD6E6B">
              <w:rPr>
                <w:rStyle w:val="normaltextrun"/>
                <w:rFonts w:eastAsia="MS Gothic" w:cs="Arial"/>
                <w:color w:val="000000"/>
                <w:szCs w:val="20"/>
                <w:lang w:val="en-GB"/>
              </w:rPr>
              <w:t>for some other plants</w:t>
            </w:r>
            <w:r w:rsidR="00D27F07" w:rsidRPr="00DD6E6B">
              <w:rPr>
                <w:rStyle w:val="Znakapoznpodarou"/>
                <w:rFonts w:eastAsia="MS Gothic"/>
                <w:color w:val="000000"/>
                <w:szCs w:val="20"/>
                <w:lang w:val="en-GB"/>
              </w:rPr>
              <w:footnoteReference w:id="18"/>
            </w:r>
            <w:r w:rsidR="00D27F07" w:rsidRPr="00DD6E6B">
              <w:rPr>
                <w:rStyle w:val="normaltextrun"/>
                <w:rFonts w:eastAsia="MS Gothic" w:cs="Arial"/>
                <w:color w:val="000000"/>
                <w:szCs w:val="20"/>
                <w:lang w:val="en-GB"/>
              </w:rPr>
              <w:t xml:space="preserve">. </w:t>
            </w:r>
          </w:p>
        </w:tc>
      </w:tr>
      <w:tr w:rsidR="00D27F07" w:rsidRPr="00DD6E6B" w14:paraId="6CB6F972" w14:textId="77777777" w:rsidTr="00D80129">
        <w:trPr>
          <w:trHeight w:val="145"/>
        </w:trPr>
        <w:tc>
          <w:tcPr>
            <w:tcW w:w="1678" w:type="dxa"/>
            <w:tcBorders>
              <w:top w:val="nil"/>
              <w:left w:val="nil"/>
              <w:bottom w:val="nil"/>
              <w:right w:val="nil"/>
            </w:tcBorders>
            <w:shd w:val="clear" w:color="auto" w:fill="auto"/>
            <w:tcMar>
              <w:left w:w="0" w:type="dxa"/>
            </w:tcMar>
          </w:tcPr>
          <w:p w14:paraId="1A8CD32C" w14:textId="3C0D6B84" w:rsidR="00D27F07" w:rsidRPr="00DD6E6B" w:rsidRDefault="00B564F1" w:rsidP="00D42399">
            <w:pPr>
              <w:pStyle w:val="Marginlie"/>
              <w:rPr>
                <w:color w:val="0D0D0D" w:themeColor="text1" w:themeTint="F2"/>
                <w:spacing w:val="-4"/>
                <w:lang w:val="en-GB"/>
              </w:rPr>
            </w:pPr>
            <w:r w:rsidRPr="00DD6E6B">
              <w:rPr>
                <w:color w:val="0D0D0D" w:themeColor="text1" w:themeTint="F2"/>
                <w:spacing w:val="-4"/>
                <w:lang w:val="en-GB"/>
              </w:rPr>
              <w:t xml:space="preserve">Quarter-on-quarter growth of the industrial output renewed </w:t>
            </w:r>
            <w:r w:rsidR="000711D6" w:rsidRPr="00DD6E6B">
              <w:rPr>
                <w:color w:val="0D0D0D" w:themeColor="text1" w:themeTint="F2"/>
                <w:spacing w:val="-4"/>
                <w:lang w:val="en-GB"/>
              </w:rPr>
              <w:t xml:space="preserve">following the shallow recession </w:t>
            </w:r>
            <w:r w:rsidR="00095360" w:rsidRPr="00DD6E6B">
              <w:rPr>
                <w:color w:val="0D0D0D" w:themeColor="text1" w:themeTint="F2"/>
                <w:spacing w:val="-4"/>
                <w:lang w:val="en-GB"/>
              </w:rPr>
              <w:t>from the turn of years 2</w:t>
            </w:r>
            <w:r w:rsidR="00D27F07" w:rsidRPr="00DD6E6B">
              <w:rPr>
                <w:color w:val="0D0D0D" w:themeColor="text1" w:themeTint="F2"/>
                <w:spacing w:val="-4"/>
                <w:lang w:val="en-GB"/>
              </w:rPr>
              <w:t>022 a</w:t>
            </w:r>
            <w:r w:rsidR="00095360" w:rsidRPr="00DD6E6B">
              <w:rPr>
                <w:color w:val="0D0D0D" w:themeColor="text1" w:themeTint="F2"/>
                <w:spacing w:val="-4"/>
                <w:lang w:val="en-GB"/>
              </w:rPr>
              <w:t>nd</w:t>
            </w:r>
            <w:r w:rsidR="00D27F07" w:rsidRPr="00DD6E6B">
              <w:rPr>
                <w:color w:val="0D0D0D" w:themeColor="text1" w:themeTint="F2"/>
                <w:spacing w:val="-4"/>
                <w:lang w:val="en-GB"/>
              </w:rPr>
              <w:t xml:space="preserve"> 2023. </w:t>
            </w:r>
          </w:p>
          <w:p w14:paraId="5A7D86BE" w14:textId="17B788FA" w:rsidR="00D27F07" w:rsidRPr="00DD6E6B" w:rsidRDefault="006B133E" w:rsidP="00D42399">
            <w:pPr>
              <w:pStyle w:val="Marginlie"/>
              <w:rPr>
                <w:color w:val="0D0D0D" w:themeColor="text1" w:themeTint="F2"/>
                <w:spacing w:val="-4"/>
                <w:lang w:val="en-GB"/>
              </w:rPr>
            </w:pPr>
            <w:r w:rsidRPr="00DD6E6B">
              <w:rPr>
                <w:color w:val="0D0D0D" w:themeColor="text1" w:themeTint="F2"/>
                <w:spacing w:val="-4"/>
                <w:lang w:val="en-GB"/>
              </w:rPr>
              <w:lastRenderedPageBreak/>
              <w:t xml:space="preserve">Majority of industrial </w:t>
            </w:r>
            <w:r w:rsidR="006367CA" w:rsidRPr="00DD6E6B">
              <w:rPr>
                <w:color w:val="0D0D0D" w:themeColor="text1" w:themeTint="F2"/>
                <w:spacing w:val="-4"/>
                <w:lang w:val="en-GB"/>
              </w:rPr>
              <w:t>activities</w:t>
            </w:r>
            <w:r w:rsidRPr="00DD6E6B">
              <w:rPr>
                <w:color w:val="0D0D0D" w:themeColor="text1" w:themeTint="F2"/>
                <w:spacing w:val="-4"/>
                <w:lang w:val="en-GB"/>
              </w:rPr>
              <w:t xml:space="preserve"> however still struggled </w:t>
            </w:r>
            <w:r w:rsidR="006367CA" w:rsidRPr="00DD6E6B">
              <w:rPr>
                <w:color w:val="0D0D0D" w:themeColor="text1" w:themeTint="F2"/>
                <w:spacing w:val="-4"/>
                <w:lang w:val="en-GB"/>
              </w:rPr>
              <w:t xml:space="preserve">both </w:t>
            </w:r>
            <w:r w:rsidRPr="00DD6E6B">
              <w:rPr>
                <w:color w:val="0D0D0D" w:themeColor="text1" w:themeTint="F2"/>
                <w:spacing w:val="-4"/>
                <w:lang w:val="en-GB"/>
              </w:rPr>
              <w:t xml:space="preserve">with </w:t>
            </w:r>
            <w:r w:rsidR="006367CA" w:rsidRPr="00DD6E6B">
              <w:rPr>
                <w:color w:val="0D0D0D" w:themeColor="text1" w:themeTint="F2"/>
                <w:spacing w:val="-4"/>
                <w:lang w:val="en-GB"/>
              </w:rPr>
              <w:t xml:space="preserve">lowered demand and raised production costs. </w:t>
            </w:r>
          </w:p>
        </w:tc>
        <w:tc>
          <w:tcPr>
            <w:tcW w:w="194" w:type="dxa"/>
            <w:tcBorders>
              <w:top w:val="nil"/>
              <w:left w:val="nil"/>
              <w:bottom w:val="nil"/>
              <w:right w:val="nil"/>
            </w:tcBorders>
            <w:shd w:val="clear" w:color="auto" w:fill="auto"/>
            <w:tcMar>
              <w:left w:w="0" w:type="dxa"/>
            </w:tcMar>
          </w:tcPr>
          <w:p w14:paraId="1CA71146"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04E73A2" w14:textId="140DFAC7" w:rsidR="00D27F07" w:rsidRPr="00DD6E6B" w:rsidRDefault="00E455A7" w:rsidP="00B7374C">
            <w:pPr>
              <w:spacing w:after="180"/>
              <w:rPr>
                <w:spacing w:val="-4"/>
                <w:lang w:val="en-GB"/>
              </w:rPr>
            </w:pPr>
            <w:r w:rsidRPr="00DD6E6B">
              <w:rPr>
                <w:color w:val="0D0D0D" w:themeColor="text1" w:themeTint="F2"/>
                <w:spacing w:val="-4"/>
                <w:lang w:val="en-GB"/>
              </w:rPr>
              <w:t>The d</w:t>
            </w:r>
            <w:r w:rsidR="00A147AC" w:rsidRPr="00DD6E6B">
              <w:rPr>
                <w:color w:val="0D0D0D" w:themeColor="text1" w:themeTint="F2"/>
                <w:spacing w:val="-4"/>
                <w:lang w:val="en-GB"/>
              </w:rPr>
              <w:t>omestic industry</w:t>
            </w:r>
            <w:r w:rsidRPr="00DD6E6B">
              <w:rPr>
                <w:color w:val="0D0D0D" w:themeColor="text1" w:themeTint="F2"/>
                <w:spacing w:val="-4"/>
                <w:lang w:val="en-GB"/>
              </w:rPr>
              <w:t xml:space="preserve"> thanks to the sound investment activity in the CR</w:t>
            </w:r>
            <w:r w:rsidR="00D27F07" w:rsidRPr="00DD6E6B">
              <w:rPr>
                <w:rStyle w:val="Znakapoznpodarou"/>
                <w:color w:val="0D0D0D" w:themeColor="text1" w:themeTint="F2"/>
                <w:spacing w:val="-4"/>
                <w:lang w:val="en-GB"/>
              </w:rPr>
              <w:footnoteReference w:id="19"/>
            </w:r>
            <w:r w:rsidR="00D27F07" w:rsidRPr="00DD6E6B">
              <w:rPr>
                <w:color w:val="0D0D0D" w:themeColor="text1" w:themeTint="F2"/>
                <w:spacing w:val="-4"/>
                <w:lang w:val="en-GB"/>
              </w:rPr>
              <w:t xml:space="preserve"> </w:t>
            </w:r>
            <w:r w:rsidRPr="00DD6E6B">
              <w:rPr>
                <w:color w:val="0D0D0D" w:themeColor="text1" w:themeTint="F2"/>
                <w:spacing w:val="-4"/>
                <w:lang w:val="en-GB"/>
              </w:rPr>
              <w:t xml:space="preserve">as well as branch diversification has fairly well coped </w:t>
            </w:r>
            <w:r w:rsidR="004F72C6" w:rsidRPr="00DD6E6B">
              <w:rPr>
                <w:color w:val="0D0D0D" w:themeColor="text1" w:themeTint="F2"/>
                <w:spacing w:val="-4"/>
                <w:lang w:val="en-GB"/>
              </w:rPr>
              <w:t xml:space="preserve">with </w:t>
            </w:r>
            <w:r w:rsidRPr="00DD6E6B">
              <w:rPr>
                <w:color w:val="0D0D0D" w:themeColor="text1" w:themeTint="F2"/>
                <w:spacing w:val="-4"/>
                <w:lang w:val="en-GB"/>
              </w:rPr>
              <w:t xml:space="preserve">the </w:t>
            </w:r>
            <w:r w:rsidR="00B7374C">
              <w:rPr>
                <w:color w:val="0D0D0D" w:themeColor="text1" w:themeTint="F2"/>
                <w:spacing w:val="-4"/>
                <w:lang w:val="en-GB"/>
              </w:rPr>
              <w:t>challenging</w:t>
            </w:r>
            <w:r w:rsidR="004F72C6" w:rsidRPr="00DD6E6B">
              <w:rPr>
                <w:color w:val="0D0D0D" w:themeColor="text1" w:themeTint="F2"/>
                <w:spacing w:val="-4"/>
                <w:lang w:val="en-GB"/>
              </w:rPr>
              <w:t xml:space="preserve"> internal and </w:t>
            </w:r>
            <w:r w:rsidRPr="00DD6E6B">
              <w:rPr>
                <w:color w:val="0D0D0D" w:themeColor="text1" w:themeTint="F2"/>
                <w:spacing w:val="-4"/>
                <w:lang w:val="en-GB"/>
              </w:rPr>
              <w:t>external</w:t>
            </w:r>
            <w:r w:rsidR="004F72C6" w:rsidRPr="00DD6E6B">
              <w:rPr>
                <w:color w:val="0D0D0D" w:themeColor="text1" w:themeTint="F2"/>
                <w:spacing w:val="-4"/>
                <w:lang w:val="en-GB"/>
              </w:rPr>
              <w:t xml:space="preserve"> economic and political conditions</w:t>
            </w:r>
            <w:r w:rsidRPr="00DD6E6B">
              <w:rPr>
                <w:color w:val="0D0D0D" w:themeColor="text1" w:themeTint="F2"/>
                <w:spacing w:val="-4"/>
                <w:lang w:val="en-GB"/>
              </w:rPr>
              <w:t xml:space="preserve"> so far</w:t>
            </w:r>
            <w:r w:rsidR="00D27F07" w:rsidRPr="00DD6E6B">
              <w:rPr>
                <w:color w:val="0D0D0D" w:themeColor="text1" w:themeTint="F2"/>
                <w:spacing w:val="-4"/>
                <w:lang w:val="en-GB"/>
              </w:rPr>
              <w:t xml:space="preserve">. </w:t>
            </w:r>
            <w:r w:rsidR="00390A99" w:rsidRPr="00DD6E6B">
              <w:rPr>
                <w:color w:val="0D0D0D" w:themeColor="text1" w:themeTint="F2"/>
                <w:spacing w:val="-4"/>
                <w:lang w:val="en-GB"/>
              </w:rPr>
              <w:t>Eq</w:t>
            </w:r>
            <w:r w:rsidR="00B7374C">
              <w:rPr>
                <w:color w:val="0D0D0D" w:themeColor="text1" w:themeTint="F2"/>
                <w:spacing w:val="-4"/>
                <w:lang w:val="en-GB"/>
              </w:rPr>
              <w:t>ually to the Czech economy its i</w:t>
            </w:r>
            <w:r w:rsidR="00390A99" w:rsidRPr="00DD6E6B">
              <w:rPr>
                <w:color w:val="0D0D0D" w:themeColor="text1" w:themeTint="F2"/>
                <w:spacing w:val="-4"/>
                <w:lang w:val="en-GB"/>
              </w:rPr>
              <w:t xml:space="preserve">ndustry also found itself in a shallow recession at the turn of years </w:t>
            </w:r>
            <w:r w:rsidR="00D27F07" w:rsidRPr="00DD6E6B">
              <w:rPr>
                <w:color w:val="0D0D0D" w:themeColor="text1" w:themeTint="F2"/>
                <w:spacing w:val="-4"/>
                <w:lang w:val="en-GB"/>
              </w:rPr>
              <w:t>2022 a</w:t>
            </w:r>
            <w:r w:rsidR="00390A99" w:rsidRPr="00DD6E6B">
              <w:rPr>
                <w:color w:val="0D0D0D" w:themeColor="text1" w:themeTint="F2"/>
                <w:spacing w:val="-4"/>
                <w:lang w:val="en-GB"/>
              </w:rPr>
              <w:t>nd</w:t>
            </w:r>
            <w:r w:rsidR="00D27F07" w:rsidRPr="00DD6E6B">
              <w:rPr>
                <w:color w:val="0D0D0D" w:themeColor="text1" w:themeTint="F2"/>
                <w:spacing w:val="-4"/>
                <w:lang w:val="en-GB"/>
              </w:rPr>
              <w:t xml:space="preserve"> 2023, </w:t>
            </w:r>
            <w:r w:rsidR="00390A99" w:rsidRPr="00DD6E6B">
              <w:rPr>
                <w:color w:val="0D0D0D" w:themeColor="text1" w:themeTint="F2"/>
                <w:spacing w:val="-4"/>
                <w:lang w:val="en-GB"/>
              </w:rPr>
              <w:t xml:space="preserve">which is also confirmed by the fact, that unlike number of other branches it was simultaneously afflicted by the reduction of </w:t>
            </w:r>
            <w:r w:rsidR="00390A99" w:rsidRPr="00DD6E6B">
              <w:rPr>
                <w:color w:val="0D0D0D" w:themeColor="text1" w:themeTint="F2"/>
                <w:spacing w:val="-4"/>
                <w:lang w:val="en-GB"/>
              </w:rPr>
              <w:lastRenderedPageBreak/>
              <w:t xml:space="preserve">employment as well. </w:t>
            </w:r>
            <w:r w:rsidR="00F14922" w:rsidRPr="00DD6E6B">
              <w:rPr>
                <w:color w:val="0D0D0D" w:themeColor="text1" w:themeTint="F2"/>
                <w:spacing w:val="-4"/>
                <w:lang w:val="en-GB"/>
              </w:rPr>
              <w:t>The quarter-on-quarter growth of the industrial production</w:t>
            </w:r>
            <w:r w:rsidR="00D27F07" w:rsidRPr="00DD6E6B">
              <w:rPr>
                <w:rStyle w:val="Znakapoznpodarou"/>
                <w:color w:val="0D0D0D" w:themeColor="text1" w:themeTint="F2"/>
                <w:spacing w:val="-4"/>
                <w:lang w:val="en-GB"/>
              </w:rPr>
              <w:footnoteReference w:id="20"/>
            </w:r>
            <w:r w:rsidR="00D27F07" w:rsidRPr="00DD6E6B">
              <w:rPr>
                <w:color w:val="0D0D0D" w:themeColor="text1" w:themeTint="F2"/>
                <w:spacing w:val="-4"/>
                <w:lang w:val="en-GB"/>
              </w:rPr>
              <w:t xml:space="preserve"> </w:t>
            </w:r>
            <w:r w:rsidR="00F14922" w:rsidRPr="00DD6E6B">
              <w:rPr>
                <w:color w:val="0D0D0D" w:themeColor="text1" w:themeTint="F2"/>
                <w:spacing w:val="-4"/>
                <w:lang w:val="en-GB"/>
              </w:rPr>
              <w:t xml:space="preserve">renewed in Q2 2023 </w:t>
            </w:r>
            <w:r w:rsidR="00D27F07" w:rsidRPr="00DD6E6B">
              <w:rPr>
                <w:color w:val="0D0D0D" w:themeColor="text1" w:themeTint="F2"/>
                <w:spacing w:val="-4"/>
                <w:lang w:val="en-GB"/>
              </w:rPr>
              <w:t>(+0</w:t>
            </w:r>
            <w:r w:rsidR="00F14922" w:rsidRPr="00DD6E6B">
              <w:rPr>
                <w:color w:val="0D0D0D" w:themeColor="text1" w:themeTint="F2"/>
                <w:spacing w:val="-4"/>
                <w:lang w:val="en-GB"/>
              </w:rPr>
              <w:t>.</w:t>
            </w:r>
            <w:r w:rsidR="00D27F07" w:rsidRPr="00DD6E6B">
              <w:rPr>
                <w:color w:val="0D0D0D" w:themeColor="text1" w:themeTint="F2"/>
                <w:spacing w:val="-4"/>
                <w:lang w:val="en-GB"/>
              </w:rPr>
              <w:t>8%) a</w:t>
            </w:r>
            <w:r w:rsidR="00A62555" w:rsidRPr="00DD6E6B">
              <w:rPr>
                <w:color w:val="0D0D0D" w:themeColor="text1" w:themeTint="F2"/>
                <w:spacing w:val="-4"/>
                <w:lang w:val="en-GB"/>
              </w:rPr>
              <w:t>nd the industrial output thus again tightly clim</w:t>
            </w:r>
            <w:r w:rsidR="00F14922" w:rsidRPr="00DD6E6B">
              <w:rPr>
                <w:color w:val="0D0D0D" w:themeColor="text1" w:themeTint="F2"/>
                <w:spacing w:val="-4"/>
                <w:lang w:val="en-GB"/>
              </w:rPr>
              <w:t>bed</w:t>
            </w:r>
            <w:r w:rsidR="00A62555" w:rsidRPr="00DD6E6B">
              <w:rPr>
                <w:color w:val="0D0D0D" w:themeColor="text1" w:themeTint="F2"/>
                <w:spacing w:val="-4"/>
                <w:lang w:val="en-GB"/>
              </w:rPr>
              <w:t xml:space="preserve"> up above the level f</w:t>
            </w:r>
            <w:r w:rsidR="00917FBC" w:rsidRPr="00DD6E6B">
              <w:rPr>
                <w:color w:val="0D0D0D" w:themeColor="text1" w:themeTint="F2"/>
                <w:spacing w:val="-4"/>
                <w:lang w:val="en-GB"/>
              </w:rPr>
              <w:t>ro</w:t>
            </w:r>
            <w:r w:rsidR="00A62555" w:rsidRPr="00DD6E6B">
              <w:rPr>
                <w:color w:val="0D0D0D" w:themeColor="text1" w:themeTint="F2"/>
                <w:spacing w:val="-4"/>
                <w:lang w:val="en-GB"/>
              </w:rPr>
              <w:t xml:space="preserve">m the peak of the pre-pandemic boom. </w:t>
            </w:r>
            <w:r w:rsidR="001E3AC7" w:rsidRPr="00DD6E6B">
              <w:rPr>
                <w:color w:val="0D0D0D" w:themeColor="text1" w:themeTint="F2"/>
                <w:spacing w:val="-4"/>
                <w:lang w:val="en-GB"/>
              </w:rPr>
              <w:t xml:space="preserve">Nevertheless only its manufacturing part and there essentially only the manufacturing of motor vehicles </w:t>
            </w:r>
            <w:r w:rsidR="00D27F07" w:rsidRPr="00DD6E6B">
              <w:rPr>
                <w:color w:val="0D0D0D" w:themeColor="text1" w:themeTint="F2"/>
                <w:spacing w:val="-4"/>
                <w:lang w:val="en-GB"/>
              </w:rPr>
              <w:t>(</w:t>
            </w:r>
            <w:r w:rsidR="00A62555" w:rsidRPr="00DD6E6B">
              <w:rPr>
                <w:color w:val="0D0D0D" w:themeColor="text1" w:themeTint="F2"/>
                <w:spacing w:val="-4"/>
                <w:lang w:val="en-GB"/>
              </w:rPr>
              <w:t>including some tied sub-branches</w:t>
            </w:r>
            <w:r w:rsidR="00D27F07" w:rsidRPr="00DD6E6B">
              <w:rPr>
                <w:color w:val="0D0D0D" w:themeColor="text1" w:themeTint="F2"/>
                <w:spacing w:val="-4"/>
                <w:lang w:val="en-GB"/>
              </w:rPr>
              <w:t xml:space="preserve">) </w:t>
            </w:r>
            <w:r w:rsidR="001E3AC7" w:rsidRPr="00DD6E6B">
              <w:rPr>
                <w:color w:val="0D0D0D" w:themeColor="text1" w:themeTint="F2"/>
                <w:spacing w:val="-4"/>
                <w:lang w:val="en-GB"/>
              </w:rPr>
              <w:t xml:space="preserve">together with small, but dynamic field </w:t>
            </w:r>
            <w:r w:rsidR="00D27F07" w:rsidRPr="00DD6E6B">
              <w:rPr>
                <w:color w:val="0D0D0D" w:themeColor="text1" w:themeTint="F2"/>
                <w:spacing w:val="-4"/>
                <w:lang w:val="en-GB"/>
              </w:rPr>
              <w:t xml:space="preserve">– </w:t>
            </w:r>
            <w:r w:rsidR="00A62555" w:rsidRPr="00DD6E6B">
              <w:rPr>
                <w:color w:val="0D0D0D" w:themeColor="text1" w:themeTint="F2"/>
                <w:spacing w:val="-4"/>
                <w:lang w:val="en-GB"/>
              </w:rPr>
              <w:t>pharmaceutics</w:t>
            </w:r>
            <w:r w:rsidR="001E3AC7" w:rsidRPr="00DD6E6B">
              <w:rPr>
                <w:color w:val="0D0D0D" w:themeColor="text1" w:themeTint="F2"/>
                <w:spacing w:val="-4"/>
                <w:lang w:val="en-GB"/>
              </w:rPr>
              <w:t xml:space="preserve"> </w:t>
            </w:r>
            <w:r w:rsidR="00B7374C">
              <w:rPr>
                <w:color w:val="0D0D0D" w:themeColor="text1" w:themeTint="F2"/>
                <w:spacing w:val="-4"/>
                <w:lang w:val="en-GB"/>
              </w:rPr>
              <w:t xml:space="preserve">stood behind </w:t>
            </w:r>
            <w:r w:rsidR="001E3AC7" w:rsidRPr="00DD6E6B">
              <w:rPr>
                <w:color w:val="0D0D0D" w:themeColor="text1" w:themeTint="F2"/>
                <w:spacing w:val="-4"/>
                <w:lang w:val="en-GB"/>
              </w:rPr>
              <w:t>this year’s recover</w:t>
            </w:r>
            <w:r w:rsidR="00917FBC" w:rsidRPr="00DD6E6B">
              <w:rPr>
                <w:color w:val="0D0D0D" w:themeColor="text1" w:themeTint="F2"/>
                <w:spacing w:val="-4"/>
                <w:lang w:val="en-GB"/>
              </w:rPr>
              <w:t>y</w:t>
            </w:r>
            <w:r w:rsidR="001E3AC7" w:rsidRPr="00DD6E6B">
              <w:rPr>
                <w:color w:val="0D0D0D" w:themeColor="text1" w:themeTint="F2"/>
                <w:spacing w:val="-4"/>
                <w:lang w:val="en-GB"/>
              </w:rPr>
              <w:t xml:space="preserve"> of industry. These branches thus softened the impact of the reduced output of several energy intensive activities as well as other industry segments struck by the </w:t>
            </w:r>
            <w:r w:rsidR="00D27F07" w:rsidRPr="00DD6E6B">
              <w:rPr>
                <w:color w:val="0D0D0D" w:themeColor="text1" w:themeTint="F2"/>
                <w:spacing w:val="-4"/>
                <w:lang w:val="en-GB"/>
              </w:rPr>
              <w:t>cy</w:t>
            </w:r>
            <w:r w:rsidR="00A62555" w:rsidRPr="00DD6E6B">
              <w:rPr>
                <w:color w:val="0D0D0D" w:themeColor="text1" w:themeTint="F2"/>
                <w:spacing w:val="-4"/>
                <w:lang w:val="en-GB"/>
              </w:rPr>
              <w:t>clical contraction in the demand</w:t>
            </w:r>
            <w:r w:rsidR="00D27F07" w:rsidRPr="00DD6E6B">
              <w:rPr>
                <w:color w:val="0D0D0D" w:themeColor="text1" w:themeTint="F2"/>
                <w:spacing w:val="-4"/>
                <w:lang w:val="en-GB"/>
              </w:rPr>
              <w:t>.</w:t>
            </w:r>
          </w:p>
        </w:tc>
      </w:tr>
      <w:tr w:rsidR="00D27F07" w:rsidRPr="00DD6E6B" w14:paraId="7CE587B2" w14:textId="77777777" w:rsidTr="00D80129">
        <w:trPr>
          <w:trHeight w:val="145"/>
        </w:trPr>
        <w:tc>
          <w:tcPr>
            <w:tcW w:w="1678" w:type="dxa"/>
            <w:tcBorders>
              <w:top w:val="nil"/>
              <w:left w:val="nil"/>
              <w:bottom w:val="nil"/>
              <w:right w:val="nil"/>
            </w:tcBorders>
            <w:shd w:val="clear" w:color="auto" w:fill="auto"/>
            <w:tcMar>
              <w:left w:w="0" w:type="dxa"/>
            </w:tcMar>
          </w:tcPr>
          <w:p w14:paraId="428C8453" w14:textId="31735A34" w:rsidR="00D27F07" w:rsidRPr="00DD6E6B" w:rsidRDefault="00D4653E" w:rsidP="00D42399">
            <w:pPr>
              <w:pStyle w:val="Marginlie"/>
              <w:rPr>
                <w:color w:val="0D0D0D" w:themeColor="text1" w:themeTint="F2"/>
                <w:spacing w:val="-4"/>
                <w:lang w:val="en-GB"/>
              </w:rPr>
            </w:pPr>
            <w:r w:rsidRPr="00DD6E6B">
              <w:rPr>
                <w:color w:val="0D0D0D" w:themeColor="text1" w:themeTint="F2"/>
                <w:spacing w:val="-4"/>
                <w:lang w:val="en-GB"/>
              </w:rPr>
              <w:lastRenderedPageBreak/>
              <w:t xml:space="preserve">Without motor vehicle manufacturing the industrial output would considerably </w:t>
            </w:r>
            <w:r w:rsidR="00564C19" w:rsidRPr="00DD6E6B">
              <w:rPr>
                <w:color w:val="0D0D0D" w:themeColor="text1" w:themeTint="F2"/>
                <w:spacing w:val="-4"/>
                <w:lang w:val="en-GB"/>
              </w:rPr>
              <w:t>fall</w:t>
            </w:r>
            <w:r w:rsidRPr="00DD6E6B">
              <w:rPr>
                <w:color w:val="0D0D0D" w:themeColor="text1" w:themeTint="F2"/>
                <w:spacing w:val="-4"/>
                <w:lang w:val="en-GB"/>
              </w:rPr>
              <w:t xml:space="preserve"> year-on-year</w:t>
            </w:r>
            <w:r w:rsidR="00D27F07" w:rsidRPr="00DD6E6B">
              <w:rPr>
                <w:color w:val="0D0D0D" w:themeColor="text1" w:themeTint="F2"/>
                <w:spacing w:val="-4"/>
                <w:lang w:val="en-GB"/>
              </w:rPr>
              <w:t xml:space="preserve">, </w:t>
            </w:r>
            <w:r w:rsidRPr="00DD6E6B">
              <w:rPr>
                <w:color w:val="0D0D0D" w:themeColor="text1" w:themeTint="F2"/>
                <w:spacing w:val="-4"/>
                <w:lang w:val="en-GB"/>
              </w:rPr>
              <w:t xml:space="preserve">since the performance of more than two thirds of industrial branches was declining. </w:t>
            </w:r>
          </w:p>
          <w:p w14:paraId="23BD2C03" w14:textId="77777777" w:rsidR="00D27F07" w:rsidRPr="00DD6E6B" w:rsidRDefault="00D27F07" w:rsidP="00D42399">
            <w:pPr>
              <w:pStyle w:val="Marginlie"/>
              <w:rPr>
                <w:color w:val="0D0D0D" w:themeColor="text1" w:themeTint="F2"/>
                <w:spacing w:val="-4"/>
                <w:lang w:val="en-GB"/>
              </w:rPr>
            </w:pPr>
          </w:p>
          <w:p w14:paraId="2B4E29FC" w14:textId="77777777" w:rsidR="00D27F07" w:rsidRPr="00DD6E6B" w:rsidRDefault="00D27F07" w:rsidP="00D42399">
            <w:pPr>
              <w:pStyle w:val="Marginlie"/>
              <w:rPr>
                <w:color w:val="0D0D0D" w:themeColor="text1" w:themeTint="F2"/>
                <w:spacing w:val="-4"/>
                <w:lang w:val="en-GB"/>
              </w:rPr>
            </w:pPr>
          </w:p>
          <w:p w14:paraId="70AD798B" w14:textId="77777777" w:rsidR="00D27F07" w:rsidRPr="00DD6E6B" w:rsidRDefault="00D27F07" w:rsidP="00D42399">
            <w:pPr>
              <w:pStyle w:val="Marginlie"/>
              <w:rPr>
                <w:color w:val="0D0D0D" w:themeColor="text1" w:themeTint="F2"/>
                <w:spacing w:val="-4"/>
                <w:lang w:val="en-GB"/>
              </w:rPr>
            </w:pPr>
          </w:p>
          <w:p w14:paraId="4A1CB0E6" w14:textId="485A4ECB" w:rsidR="00D27F07" w:rsidRPr="00DD6E6B" w:rsidRDefault="00D27F07" w:rsidP="00D42399">
            <w:pPr>
              <w:pStyle w:val="Marginlie"/>
              <w:rPr>
                <w:color w:val="0D0D0D" w:themeColor="text1" w:themeTint="F2"/>
                <w:spacing w:val="-4"/>
                <w:lang w:val="en-GB"/>
              </w:rPr>
            </w:pPr>
            <w:r w:rsidRPr="00DD6E6B">
              <w:rPr>
                <w:color w:val="0D0D0D" w:themeColor="text1" w:themeTint="F2"/>
                <w:spacing w:val="-4"/>
                <w:lang w:val="en-GB"/>
              </w:rPr>
              <w:t>S</w:t>
            </w:r>
            <w:r w:rsidR="00D4653E" w:rsidRPr="00DD6E6B">
              <w:rPr>
                <w:color w:val="0D0D0D" w:themeColor="text1" w:themeTint="F2"/>
                <w:spacing w:val="-4"/>
                <w:lang w:val="en-GB"/>
              </w:rPr>
              <w:t xml:space="preserve">wift growth of manufacturing of other transport vehicles was mainly stimulated by the domestic demand. </w:t>
            </w:r>
          </w:p>
          <w:p w14:paraId="49BB3481" w14:textId="77777777" w:rsidR="00D27F07" w:rsidRPr="00DD6E6B" w:rsidRDefault="00D27F07" w:rsidP="00D42399">
            <w:pPr>
              <w:pStyle w:val="Marginlie"/>
              <w:rPr>
                <w:color w:val="0D0D0D" w:themeColor="text1" w:themeTint="F2"/>
                <w:spacing w:val="-4"/>
                <w:lang w:val="en-GB"/>
              </w:rPr>
            </w:pPr>
          </w:p>
        </w:tc>
        <w:tc>
          <w:tcPr>
            <w:tcW w:w="194" w:type="dxa"/>
            <w:tcBorders>
              <w:top w:val="nil"/>
              <w:left w:val="nil"/>
              <w:bottom w:val="nil"/>
              <w:right w:val="nil"/>
            </w:tcBorders>
            <w:shd w:val="clear" w:color="auto" w:fill="auto"/>
            <w:tcMar>
              <w:left w:w="0" w:type="dxa"/>
            </w:tcMar>
          </w:tcPr>
          <w:p w14:paraId="2DDA279C"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52E50FC" w14:textId="1677FC8A" w:rsidR="00D27F07" w:rsidRPr="00DD6E6B" w:rsidRDefault="00142062" w:rsidP="00D42399">
            <w:pPr>
              <w:spacing w:after="180"/>
              <w:rPr>
                <w:spacing w:val="-5"/>
                <w:lang w:val="en-GB"/>
              </w:rPr>
            </w:pPr>
            <w:r w:rsidRPr="00DD6E6B">
              <w:rPr>
                <w:spacing w:val="-5"/>
                <w:lang w:val="en-GB"/>
              </w:rPr>
              <w:t xml:space="preserve">In the year-on-year view the moderate growth of industrial production continued </w:t>
            </w:r>
            <w:r w:rsidR="00D27F07" w:rsidRPr="00DD6E6B">
              <w:rPr>
                <w:spacing w:val="-5"/>
                <w:lang w:val="en-GB"/>
              </w:rPr>
              <w:t>(+1</w:t>
            </w:r>
            <w:r w:rsidRPr="00DD6E6B">
              <w:rPr>
                <w:spacing w:val="-5"/>
                <w:lang w:val="en-GB"/>
              </w:rPr>
              <w:t>.</w:t>
            </w:r>
            <w:r w:rsidR="00D27F07" w:rsidRPr="00DD6E6B">
              <w:rPr>
                <w:spacing w:val="-5"/>
                <w:lang w:val="en-GB"/>
              </w:rPr>
              <w:t>1%</w:t>
            </w:r>
            <w:r w:rsidRPr="00DD6E6B">
              <w:rPr>
                <w:spacing w:val="-5"/>
                <w:lang w:val="en-GB"/>
              </w:rPr>
              <w:t xml:space="preserve"> in H1 2023</w:t>
            </w:r>
            <w:r w:rsidR="00204EF3" w:rsidRPr="00DD6E6B">
              <w:rPr>
                <w:spacing w:val="-5"/>
                <w:lang w:val="en-GB"/>
              </w:rPr>
              <w:t>)</w:t>
            </w:r>
            <w:r w:rsidRPr="00DD6E6B">
              <w:rPr>
                <w:spacing w:val="-5"/>
                <w:lang w:val="en-GB"/>
              </w:rPr>
              <w:t xml:space="preserve">. Manufacturers of motor vehicles </w:t>
            </w:r>
            <w:r w:rsidR="00D27F07" w:rsidRPr="00DD6E6B">
              <w:rPr>
                <w:spacing w:val="-5"/>
                <w:lang w:val="en-GB"/>
              </w:rPr>
              <w:t>(</w:t>
            </w:r>
            <w:r w:rsidRPr="00DD6E6B">
              <w:rPr>
                <w:spacing w:val="-5"/>
                <w:lang w:val="en-GB"/>
              </w:rPr>
              <w:t xml:space="preserve">contribution </w:t>
            </w:r>
            <w:r w:rsidR="00D27F07" w:rsidRPr="00DD6E6B">
              <w:rPr>
                <w:spacing w:val="-5"/>
                <w:lang w:val="en-GB"/>
              </w:rPr>
              <w:t>+4</w:t>
            </w:r>
            <w:r w:rsidRPr="00DD6E6B">
              <w:rPr>
                <w:spacing w:val="-5"/>
                <w:lang w:val="en-GB"/>
              </w:rPr>
              <w:t>.</w:t>
            </w:r>
            <w:r w:rsidR="00D27F07" w:rsidRPr="00DD6E6B">
              <w:rPr>
                <w:spacing w:val="-5"/>
                <w:lang w:val="en-GB"/>
              </w:rPr>
              <w:t xml:space="preserve">5 p. </w:t>
            </w:r>
            <w:r w:rsidRPr="00DD6E6B">
              <w:rPr>
                <w:spacing w:val="-5"/>
                <w:lang w:val="en-GB"/>
              </w:rPr>
              <w:t>p</w:t>
            </w:r>
            <w:r w:rsidR="00D27F07" w:rsidRPr="00DD6E6B">
              <w:rPr>
                <w:spacing w:val="-5"/>
                <w:lang w:val="en-GB"/>
              </w:rPr>
              <w:t xml:space="preserve">.), </w:t>
            </w:r>
            <w:r w:rsidR="00564C19" w:rsidRPr="00DD6E6B">
              <w:rPr>
                <w:spacing w:val="-5"/>
                <w:lang w:val="en-GB"/>
              </w:rPr>
              <w:t xml:space="preserve">whose sales swiftly grew both abroad and locally </w:t>
            </w:r>
            <w:r w:rsidRPr="00DD6E6B">
              <w:rPr>
                <w:spacing w:val="-5"/>
                <w:lang w:val="en-GB"/>
              </w:rPr>
              <w:t>played a key role here</w:t>
            </w:r>
            <w:r w:rsidR="00D27F07" w:rsidRPr="00DD6E6B">
              <w:rPr>
                <w:spacing w:val="-5"/>
                <w:lang w:val="en-GB"/>
              </w:rPr>
              <w:t xml:space="preserve">. </w:t>
            </w:r>
            <w:r w:rsidRPr="00DD6E6B">
              <w:rPr>
                <w:spacing w:val="-5"/>
                <w:lang w:val="en-GB"/>
              </w:rPr>
              <w:t>In contrast</w:t>
            </w:r>
            <w:r w:rsidR="00EC79DD">
              <w:rPr>
                <w:spacing w:val="-5"/>
                <w:lang w:val="en-GB"/>
              </w:rPr>
              <w:t>,</w:t>
            </w:r>
            <w:r w:rsidRPr="00DD6E6B">
              <w:rPr>
                <w:spacing w:val="-5"/>
                <w:lang w:val="en-GB"/>
              </w:rPr>
              <w:t xml:space="preserve"> the ou</w:t>
            </w:r>
            <w:r w:rsidR="00564C19" w:rsidRPr="00DD6E6B">
              <w:rPr>
                <w:spacing w:val="-5"/>
                <w:lang w:val="en-GB"/>
              </w:rPr>
              <w:t>t</w:t>
            </w:r>
            <w:r w:rsidRPr="00DD6E6B">
              <w:rPr>
                <w:spacing w:val="-5"/>
                <w:lang w:val="en-GB"/>
              </w:rPr>
              <w:t xml:space="preserve">put of more than two thirds of industrial branches remained below the last year’s level. </w:t>
            </w:r>
            <w:r w:rsidR="00D27F07" w:rsidRPr="00DD6E6B">
              <w:rPr>
                <w:spacing w:val="-5"/>
                <w:lang w:val="en-GB"/>
              </w:rPr>
              <w:t>Produ</w:t>
            </w:r>
            <w:r w:rsidR="002D67B7" w:rsidRPr="00DD6E6B">
              <w:rPr>
                <w:spacing w:val="-5"/>
                <w:lang w:val="en-GB"/>
              </w:rPr>
              <w:t>ction in the manufacturing of motor vehicles was on the other hand nearly by one quarter higher, specifically thanks to the manufacturers of motor vehicles as well as parts</w:t>
            </w:r>
            <w:r w:rsidR="00EB7AAD">
              <w:rPr>
                <w:spacing w:val="-5"/>
                <w:lang w:val="en-GB"/>
              </w:rPr>
              <w:t xml:space="preserve"> and accessories</w:t>
            </w:r>
            <w:r w:rsidR="00D27F07" w:rsidRPr="00DD6E6B">
              <w:rPr>
                <w:spacing w:val="-5"/>
                <w:lang w:val="en-GB"/>
              </w:rPr>
              <w:t>.</w:t>
            </w:r>
            <w:r w:rsidR="002D67B7" w:rsidRPr="00DD6E6B">
              <w:rPr>
                <w:spacing w:val="-5"/>
                <w:lang w:val="en-GB"/>
              </w:rPr>
              <w:t xml:space="preserve"> For the most part it however represented a compensation of lower production from the period at the beginning of last year (when the difficulties in the supplier chains escalated </w:t>
            </w:r>
            <w:r w:rsidR="00995960" w:rsidRPr="00DD6E6B">
              <w:rPr>
                <w:spacing w:val="-5"/>
                <w:lang w:val="en-GB"/>
              </w:rPr>
              <w:t>due to frozen production of some source components in China as well as Ukraine</w:t>
            </w:r>
            <w:r w:rsidR="00D27F07" w:rsidRPr="00DD6E6B">
              <w:rPr>
                <w:color w:val="0D0D0D" w:themeColor="text1" w:themeTint="F2"/>
                <w:spacing w:val="-5"/>
                <w:lang w:val="en-GB"/>
              </w:rPr>
              <w:t xml:space="preserve">). </w:t>
            </w:r>
            <w:r w:rsidR="0029574D" w:rsidRPr="00DD6E6B">
              <w:rPr>
                <w:color w:val="0D0D0D" w:themeColor="text1" w:themeTint="F2"/>
                <w:spacing w:val="-5"/>
                <w:lang w:val="en-GB"/>
              </w:rPr>
              <w:t>Data related to the physical production</w:t>
            </w:r>
            <w:r w:rsidR="00D27F07" w:rsidRPr="00DD6E6B">
              <w:rPr>
                <w:rStyle w:val="Znakapoznpodarou"/>
                <w:color w:val="0D0D0D" w:themeColor="text1" w:themeTint="F2"/>
                <w:spacing w:val="-5"/>
                <w:lang w:val="en-GB"/>
              </w:rPr>
              <w:footnoteReference w:id="21"/>
            </w:r>
            <w:r w:rsidR="0029574D" w:rsidRPr="00DD6E6B">
              <w:rPr>
                <w:color w:val="0D0D0D" w:themeColor="text1" w:themeTint="F2"/>
                <w:spacing w:val="-5"/>
                <w:lang w:val="en-GB"/>
              </w:rPr>
              <w:t xml:space="preserve"> also substantiate the expansion of motor vehicle manufacturing</w:t>
            </w:r>
            <w:r w:rsidR="00D27F07" w:rsidRPr="00DD6E6B">
              <w:rPr>
                <w:color w:val="0D0D0D" w:themeColor="text1" w:themeTint="F2"/>
                <w:spacing w:val="-5"/>
                <w:lang w:val="en-GB"/>
              </w:rPr>
              <w:t>.</w:t>
            </w:r>
            <w:r w:rsidR="0029574D" w:rsidRPr="00DD6E6B">
              <w:rPr>
                <w:color w:val="0D0D0D" w:themeColor="text1" w:themeTint="F2"/>
                <w:spacing w:val="-5"/>
                <w:lang w:val="en-GB"/>
              </w:rPr>
              <w:t xml:space="preserve"> The improvement of the formerly stranded supplies of some production components was reflected in the considerably heightened utilisation of the production capacities of the motor vehicle industry. </w:t>
            </w:r>
            <w:r w:rsidR="009C205B" w:rsidRPr="00DD6E6B">
              <w:rPr>
                <w:color w:val="0D0D0D" w:themeColor="text1" w:themeTint="F2"/>
                <w:spacing w:val="-5"/>
                <w:lang w:val="en-GB"/>
              </w:rPr>
              <w:t xml:space="preserve">It exceeded </w:t>
            </w:r>
            <w:r w:rsidR="00D27F07" w:rsidRPr="00DD6E6B">
              <w:rPr>
                <w:color w:val="0D0D0D" w:themeColor="text1" w:themeTint="F2"/>
                <w:spacing w:val="-5"/>
                <w:lang w:val="en-GB"/>
              </w:rPr>
              <w:t>92%</w:t>
            </w:r>
            <w:r w:rsidR="009C205B" w:rsidRPr="00DD6E6B">
              <w:rPr>
                <w:color w:val="0D0D0D" w:themeColor="text1" w:themeTint="F2"/>
                <w:spacing w:val="-5"/>
                <w:lang w:val="en-GB"/>
              </w:rPr>
              <w:t xml:space="preserve"> at the beginning of both Q2 and </w:t>
            </w:r>
            <w:r w:rsidR="00A34FCE">
              <w:rPr>
                <w:color w:val="0D0D0D" w:themeColor="text1" w:themeTint="F2"/>
                <w:spacing w:val="-5"/>
                <w:lang w:val="en-GB"/>
              </w:rPr>
              <w:t>Q</w:t>
            </w:r>
            <w:r w:rsidR="009C205B" w:rsidRPr="00DD6E6B">
              <w:rPr>
                <w:color w:val="0D0D0D" w:themeColor="text1" w:themeTint="F2"/>
                <w:spacing w:val="-5"/>
                <w:lang w:val="en-GB"/>
              </w:rPr>
              <w:t>3 2023</w:t>
            </w:r>
            <w:r w:rsidR="00D27F07" w:rsidRPr="00DD6E6B">
              <w:rPr>
                <w:color w:val="0D0D0D" w:themeColor="text1" w:themeTint="F2"/>
                <w:spacing w:val="-5"/>
                <w:lang w:val="en-GB"/>
              </w:rPr>
              <w:t xml:space="preserve"> (</w:t>
            </w:r>
            <w:r w:rsidR="009C205B" w:rsidRPr="00DD6E6B">
              <w:rPr>
                <w:color w:val="0D0D0D" w:themeColor="text1" w:themeTint="F2"/>
                <w:spacing w:val="-5"/>
                <w:lang w:val="en-GB"/>
              </w:rPr>
              <w:t xml:space="preserve">together with petrochemicals it was the highest among </w:t>
            </w:r>
            <w:r w:rsidR="00A34FCE">
              <w:rPr>
                <w:color w:val="0D0D0D" w:themeColor="text1" w:themeTint="F2"/>
                <w:spacing w:val="-5"/>
                <w:lang w:val="en-GB"/>
              </w:rPr>
              <w:t>all main manufacturing branche</w:t>
            </w:r>
            <w:r w:rsidR="009C205B" w:rsidRPr="00DD6E6B">
              <w:rPr>
                <w:color w:val="0D0D0D" w:themeColor="text1" w:themeTint="F2"/>
                <w:spacing w:val="-5"/>
                <w:lang w:val="en-GB"/>
              </w:rPr>
              <w:t>s</w:t>
            </w:r>
            <w:r w:rsidR="00D27F07" w:rsidRPr="00DD6E6B">
              <w:rPr>
                <w:color w:val="0D0D0D" w:themeColor="text1" w:themeTint="F2"/>
                <w:spacing w:val="-5"/>
                <w:lang w:val="en-GB"/>
              </w:rPr>
              <w:t>) a</w:t>
            </w:r>
            <w:r w:rsidR="0029574D" w:rsidRPr="00DD6E6B">
              <w:rPr>
                <w:color w:val="0D0D0D" w:themeColor="text1" w:themeTint="F2"/>
                <w:spacing w:val="-5"/>
                <w:lang w:val="en-GB"/>
              </w:rPr>
              <w:t>nd returned to its pre-crisis level.</w:t>
            </w:r>
            <w:r w:rsidR="00D27F07" w:rsidRPr="00DD6E6B">
              <w:rPr>
                <w:color w:val="0D0D0D" w:themeColor="text1" w:themeTint="F2"/>
                <w:spacing w:val="-5"/>
                <w:lang w:val="en-GB"/>
              </w:rPr>
              <w:t xml:space="preserve"> </w:t>
            </w:r>
            <w:r w:rsidR="00691DDB" w:rsidRPr="00DD6E6B">
              <w:rPr>
                <w:color w:val="0D0D0D" w:themeColor="text1" w:themeTint="F2"/>
                <w:spacing w:val="-5"/>
                <w:lang w:val="en-GB"/>
              </w:rPr>
              <w:t xml:space="preserve">Mainly due to the effect of domestic demand the activity of manufacturing of other </w:t>
            </w:r>
            <w:r w:rsidR="00D27F07" w:rsidRPr="00DD6E6B">
              <w:rPr>
                <w:color w:val="0D0D0D" w:themeColor="text1" w:themeTint="F2"/>
                <w:spacing w:val="-5"/>
                <w:lang w:val="en-GB"/>
              </w:rPr>
              <w:t>(</w:t>
            </w:r>
            <w:r w:rsidR="00691DDB" w:rsidRPr="00DD6E6B">
              <w:rPr>
                <w:color w:val="0D0D0D" w:themeColor="text1" w:themeTint="F2"/>
                <w:spacing w:val="-5"/>
                <w:lang w:val="en-GB"/>
              </w:rPr>
              <w:t>mainly rail</w:t>
            </w:r>
            <w:r w:rsidR="00D27F07" w:rsidRPr="00DD6E6B">
              <w:rPr>
                <w:color w:val="0D0D0D" w:themeColor="text1" w:themeTint="F2"/>
                <w:spacing w:val="-5"/>
                <w:lang w:val="en-GB"/>
              </w:rPr>
              <w:t>)</w:t>
            </w:r>
            <w:r w:rsidR="00691DDB" w:rsidRPr="00DD6E6B">
              <w:rPr>
                <w:color w:val="0D0D0D" w:themeColor="text1" w:themeTint="F2"/>
                <w:spacing w:val="-5"/>
                <w:lang w:val="en-GB"/>
              </w:rPr>
              <w:t xml:space="preserve"> transport vehicles also thrived</w:t>
            </w:r>
            <w:r w:rsidR="00D27F07" w:rsidRPr="00DD6E6B">
              <w:rPr>
                <w:color w:val="0D0D0D" w:themeColor="text1" w:themeTint="F2"/>
                <w:spacing w:val="-5"/>
                <w:lang w:val="en-GB"/>
              </w:rPr>
              <w:t xml:space="preserve">, </w:t>
            </w:r>
            <w:r w:rsidR="00691DDB" w:rsidRPr="00DD6E6B">
              <w:rPr>
                <w:color w:val="0D0D0D" w:themeColor="text1" w:themeTint="F2"/>
                <w:spacing w:val="-5"/>
                <w:lang w:val="en-GB"/>
              </w:rPr>
              <w:t>the production increased nearly by one fifth thanks to the completion of significant long-term production orders year-on-year in H1 here</w:t>
            </w:r>
            <w:r w:rsidR="00D27F07" w:rsidRPr="00DD6E6B">
              <w:rPr>
                <w:color w:val="0D0D0D" w:themeColor="text1" w:themeTint="F2"/>
                <w:spacing w:val="-5"/>
                <w:lang w:val="en-GB"/>
              </w:rPr>
              <w:t xml:space="preserve"> (</w:t>
            </w:r>
            <w:r w:rsidR="0029574D" w:rsidRPr="00DD6E6B">
              <w:rPr>
                <w:color w:val="0D0D0D" w:themeColor="text1" w:themeTint="F2"/>
                <w:spacing w:val="-5"/>
                <w:lang w:val="en-GB"/>
              </w:rPr>
              <w:t xml:space="preserve">it added </w:t>
            </w:r>
            <w:r w:rsidR="008351FE">
              <w:rPr>
                <w:color w:val="0D0D0D" w:themeColor="text1" w:themeTint="F2"/>
                <w:spacing w:val="-5"/>
                <w:lang w:val="en-GB"/>
              </w:rPr>
              <w:t>“</w:t>
            </w:r>
            <w:r w:rsidR="0029574D" w:rsidRPr="00DD6E6B">
              <w:rPr>
                <w:color w:val="0D0D0D" w:themeColor="text1" w:themeTint="F2"/>
                <w:spacing w:val="-5"/>
                <w:lang w:val="en-GB"/>
              </w:rPr>
              <w:t>only</w:t>
            </w:r>
            <w:r w:rsidR="008351FE">
              <w:rPr>
                <w:color w:val="0D0D0D" w:themeColor="text1" w:themeTint="F2"/>
                <w:spacing w:val="-5"/>
                <w:lang w:val="en-GB"/>
              </w:rPr>
              <w:t>”</w:t>
            </w:r>
            <w:r w:rsidR="00D27F07" w:rsidRPr="00DD6E6B">
              <w:rPr>
                <w:color w:val="0D0D0D" w:themeColor="text1" w:themeTint="F2"/>
                <w:spacing w:val="-5"/>
                <w:lang w:val="en-GB"/>
              </w:rPr>
              <w:t xml:space="preserve"> 0</w:t>
            </w:r>
            <w:r w:rsidR="0029574D" w:rsidRPr="00DD6E6B">
              <w:rPr>
                <w:color w:val="0D0D0D" w:themeColor="text1" w:themeTint="F2"/>
                <w:spacing w:val="-5"/>
                <w:lang w:val="en-GB"/>
              </w:rPr>
              <w:t>.</w:t>
            </w:r>
            <w:r w:rsidR="00D27F07" w:rsidRPr="00DD6E6B">
              <w:rPr>
                <w:color w:val="0D0D0D" w:themeColor="text1" w:themeTint="F2"/>
                <w:spacing w:val="-5"/>
                <w:lang w:val="en-GB"/>
              </w:rPr>
              <w:t>4 p.</w:t>
            </w:r>
            <w:r w:rsidR="0029574D" w:rsidRPr="00DD6E6B">
              <w:rPr>
                <w:color w:val="0D0D0D" w:themeColor="text1" w:themeTint="F2"/>
                <w:spacing w:val="-5"/>
                <w:lang w:val="en-GB"/>
              </w:rPr>
              <w:t xml:space="preserve"> p. to the growth of the total industry</w:t>
            </w:r>
            <w:r w:rsidR="00D27F07" w:rsidRPr="00DD6E6B">
              <w:rPr>
                <w:color w:val="0D0D0D" w:themeColor="text1" w:themeTint="F2"/>
                <w:spacing w:val="-5"/>
                <w:lang w:val="en-GB"/>
              </w:rPr>
              <w:t>).</w:t>
            </w:r>
          </w:p>
        </w:tc>
      </w:tr>
      <w:tr w:rsidR="00D27F07" w:rsidRPr="00DD6E6B" w14:paraId="67FB07EB" w14:textId="77777777" w:rsidTr="00D80129">
        <w:trPr>
          <w:trHeight w:val="145"/>
        </w:trPr>
        <w:tc>
          <w:tcPr>
            <w:tcW w:w="1678" w:type="dxa"/>
            <w:tcBorders>
              <w:top w:val="nil"/>
              <w:left w:val="nil"/>
              <w:bottom w:val="nil"/>
              <w:right w:val="nil"/>
            </w:tcBorders>
            <w:shd w:val="clear" w:color="auto" w:fill="auto"/>
            <w:tcMar>
              <w:left w:w="0" w:type="dxa"/>
            </w:tcMar>
          </w:tcPr>
          <w:p w14:paraId="0C93A1B1" w14:textId="5D3537A8" w:rsidR="00D27F07" w:rsidRPr="00DD6E6B" w:rsidRDefault="00E7590D" w:rsidP="00D42399">
            <w:pPr>
              <w:pStyle w:val="Marginlie"/>
              <w:rPr>
                <w:color w:val="0D0D0D" w:themeColor="text1" w:themeTint="F2"/>
                <w:spacing w:val="-5"/>
                <w:lang w:val="en-GB"/>
              </w:rPr>
            </w:pPr>
            <w:r w:rsidRPr="00DD6E6B">
              <w:rPr>
                <w:color w:val="0D0D0D" w:themeColor="text1" w:themeTint="F2"/>
                <w:spacing w:val="-5"/>
                <w:lang w:val="en-GB"/>
              </w:rPr>
              <w:t xml:space="preserve">Output slightly grew </w:t>
            </w:r>
            <w:r w:rsidR="008F6577" w:rsidRPr="00DD6E6B">
              <w:rPr>
                <w:color w:val="0D0D0D" w:themeColor="text1" w:themeTint="F2"/>
                <w:spacing w:val="-5"/>
                <w:lang w:val="en-GB"/>
              </w:rPr>
              <w:t xml:space="preserve">in machinery or electrical engineering, among small branches then especially in </w:t>
            </w:r>
            <w:r w:rsidR="006544E5" w:rsidRPr="00DD6E6B">
              <w:rPr>
                <w:color w:val="0D0D0D" w:themeColor="text1" w:themeTint="F2"/>
                <w:spacing w:val="-5"/>
                <w:lang w:val="en-GB"/>
              </w:rPr>
              <w:t xml:space="preserve">the field of pharmacy. </w:t>
            </w:r>
          </w:p>
        </w:tc>
        <w:tc>
          <w:tcPr>
            <w:tcW w:w="194" w:type="dxa"/>
            <w:tcBorders>
              <w:top w:val="nil"/>
              <w:left w:val="nil"/>
              <w:bottom w:val="nil"/>
              <w:right w:val="nil"/>
            </w:tcBorders>
            <w:shd w:val="clear" w:color="auto" w:fill="auto"/>
            <w:tcMar>
              <w:left w:w="0" w:type="dxa"/>
            </w:tcMar>
          </w:tcPr>
          <w:p w14:paraId="16AEB7AE"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47C9406A" w14:textId="1456C8D2" w:rsidR="00D27F07" w:rsidRPr="00DD6E6B" w:rsidRDefault="006413FC" w:rsidP="00D42399">
            <w:pPr>
              <w:spacing w:after="0"/>
              <w:rPr>
                <w:spacing w:val="-5"/>
                <w:lang w:val="en-GB"/>
              </w:rPr>
            </w:pPr>
            <w:r w:rsidRPr="00DD6E6B">
              <w:rPr>
                <w:spacing w:val="-5"/>
                <w:lang w:val="en-GB"/>
              </w:rPr>
              <w:t xml:space="preserve">Development of motor </w:t>
            </w:r>
            <w:r w:rsidR="00B25531" w:rsidRPr="00DD6E6B">
              <w:rPr>
                <w:spacing w:val="-5"/>
                <w:lang w:val="en-GB"/>
              </w:rPr>
              <w:t xml:space="preserve">vehicle manufacturing also supported the </w:t>
            </w:r>
            <w:r w:rsidR="00606269" w:rsidRPr="00DD6E6B">
              <w:rPr>
                <w:spacing w:val="-5"/>
                <w:lang w:val="en-GB"/>
              </w:rPr>
              <w:t>attached</w:t>
            </w:r>
            <w:r w:rsidR="00291882" w:rsidRPr="00DD6E6B">
              <w:rPr>
                <w:spacing w:val="-5"/>
                <w:lang w:val="en-GB"/>
              </w:rPr>
              <w:t xml:space="preserve"> branch of the electrical </w:t>
            </w:r>
            <w:r w:rsidR="00643D34" w:rsidRPr="00DD6E6B">
              <w:rPr>
                <w:spacing w:val="-5"/>
                <w:lang w:val="en-GB"/>
              </w:rPr>
              <w:t>engineering</w:t>
            </w:r>
            <w:r w:rsidR="00D27F07" w:rsidRPr="00DD6E6B">
              <w:rPr>
                <w:spacing w:val="-5"/>
                <w:lang w:val="en-GB"/>
              </w:rPr>
              <w:t xml:space="preserve">, </w:t>
            </w:r>
            <w:r w:rsidR="00142062" w:rsidRPr="00DD6E6B">
              <w:rPr>
                <w:spacing w:val="-5"/>
                <w:lang w:val="en-GB"/>
              </w:rPr>
              <w:t>where mainly the foreign demand assisted the mild growth of output in H</w:t>
            </w:r>
            <w:r w:rsidR="00D27F07" w:rsidRPr="00DD6E6B">
              <w:rPr>
                <w:spacing w:val="-5"/>
                <w:lang w:val="en-GB"/>
              </w:rPr>
              <w:t>1</w:t>
            </w:r>
            <w:r w:rsidR="00142062" w:rsidRPr="00DD6E6B">
              <w:rPr>
                <w:spacing w:val="-5"/>
                <w:lang w:val="en-GB"/>
              </w:rPr>
              <w:t xml:space="preserve"> </w:t>
            </w:r>
            <w:r w:rsidR="008C5AA7">
              <w:rPr>
                <w:spacing w:val="-5"/>
                <w:lang w:val="en-GB"/>
              </w:rPr>
              <w:t xml:space="preserve">2023 </w:t>
            </w:r>
            <w:r w:rsidR="00D27F07" w:rsidRPr="00DD6E6B">
              <w:rPr>
                <w:spacing w:val="-5"/>
                <w:lang w:val="en-GB"/>
              </w:rPr>
              <w:t>(+5</w:t>
            </w:r>
            <w:r w:rsidR="00142062" w:rsidRPr="00DD6E6B">
              <w:rPr>
                <w:spacing w:val="-5"/>
                <w:lang w:val="en-GB"/>
              </w:rPr>
              <w:t>.</w:t>
            </w:r>
            <w:r w:rsidR="00D27F07" w:rsidRPr="00DD6E6B">
              <w:rPr>
                <w:spacing w:val="-5"/>
                <w:lang w:val="en-GB"/>
              </w:rPr>
              <w:t>1%</w:t>
            </w:r>
            <w:r w:rsidR="00142062" w:rsidRPr="00DD6E6B">
              <w:rPr>
                <w:spacing w:val="-5"/>
                <w:lang w:val="en-GB"/>
              </w:rPr>
              <w:t xml:space="preserve"> year-on-year</w:t>
            </w:r>
            <w:r w:rsidR="00D27F07" w:rsidRPr="00DD6E6B">
              <w:rPr>
                <w:spacing w:val="-5"/>
                <w:lang w:val="en-GB"/>
              </w:rPr>
              <w:t>)</w:t>
            </w:r>
            <w:r w:rsidR="00142062" w:rsidRPr="00DD6E6B">
              <w:rPr>
                <w:spacing w:val="-5"/>
                <w:lang w:val="en-GB"/>
              </w:rPr>
              <w:t xml:space="preserve">. On the contrary </w:t>
            </w:r>
            <w:r w:rsidR="00C4755A" w:rsidRPr="00DD6E6B">
              <w:rPr>
                <w:spacing w:val="-5"/>
                <w:lang w:val="en-GB"/>
              </w:rPr>
              <w:t xml:space="preserve">larger </w:t>
            </w:r>
            <w:r w:rsidR="00105643" w:rsidRPr="00DD6E6B">
              <w:rPr>
                <w:spacing w:val="-5"/>
                <w:lang w:val="en-GB"/>
              </w:rPr>
              <w:t xml:space="preserve">domestic sales </w:t>
            </w:r>
            <w:r w:rsidR="00CA557E" w:rsidRPr="00DD6E6B">
              <w:rPr>
                <w:spacing w:val="-5"/>
                <w:lang w:val="en-GB"/>
              </w:rPr>
              <w:t>stood primarily behind the strengthened production in ot</w:t>
            </w:r>
            <w:r w:rsidR="000124E7" w:rsidRPr="00DD6E6B">
              <w:rPr>
                <w:spacing w:val="-5"/>
                <w:lang w:val="en-GB"/>
              </w:rPr>
              <w:t>h</w:t>
            </w:r>
            <w:r w:rsidR="00CA557E" w:rsidRPr="00DD6E6B">
              <w:rPr>
                <w:spacing w:val="-5"/>
                <w:lang w:val="en-GB"/>
              </w:rPr>
              <w:t xml:space="preserve">er weight significant activities – machinery </w:t>
            </w:r>
            <w:r w:rsidR="00D27F07" w:rsidRPr="00DD6E6B">
              <w:rPr>
                <w:spacing w:val="-5"/>
                <w:lang w:val="en-GB"/>
              </w:rPr>
              <w:t>(+4</w:t>
            </w:r>
            <w:r w:rsidR="00CA557E" w:rsidRPr="00DD6E6B">
              <w:rPr>
                <w:spacing w:val="-5"/>
                <w:lang w:val="en-GB"/>
              </w:rPr>
              <w:t>.</w:t>
            </w:r>
            <w:r w:rsidR="00D27F07" w:rsidRPr="00DD6E6B">
              <w:rPr>
                <w:spacing w:val="-5"/>
                <w:lang w:val="en-GB"/>
              </w:rPr>
              <w:t xml:space="preserve">2%) </w:t>
            </w:r>
            <w:r w:rsidR="000124E7" w:rsidRPr="00DD6E6B">
              <w:rPr>
                <w:spacing w:val="-5"/>
                <w:lang w:val="en-GB"/>
              </w:rPr>
              <w:t xml:space="preserve">as well as manufacturing of computers, electronic and optical appliances </w:t>
            </w:r>
            <w:r w:rsidR="00D27F07" w:rsidRPr="00DD6E6B">
              <w:rPr>
                <w:spacing w:val="-5"/>
                <w:lang w:val="en-GB"/>
              </w:rPr>
              <w:t>(</w:t>
            </w:r>
            <w:r w:rsidR="008C5AA7">
              <w:rPr>
                <w:spacing w:val="-5"/>
                <w:lang w:val="en-GB"/>
              </w:rPr>
              <w:t>+</w:t>
            </w:r>
            <w:r w:rsidR="00D27F07" w:rsidRPr="00DD6E6B">
              <w:rPr>
                <w:spacing w:val="-5"/>
                <w:lang w:val="en-GB"/>
              </w:rPr>
              <w:t>3</w:t>
            </w:r>
            <w:r w:rsidR="000124E7" w:rsidRPr="00DD6E6B">
              <w:rPr>
                <w:spacing w:val="-5"/>
                <w:lang w:val="en-GB"/>
              </w:rPr>
              <w:t>.</w:t>
            </w:r>
            <w:r w:rsidR="00D27F07" w:rsidRPr="00DD6E6B">
              <w:rPr>
                <w:spacing w:val="-5"/>
                <w:lang w:val="en-GB"/>
              </w:rPr>
              <w:t xml:space="preserve">5%), </w:t>
            </w:r>
            <w:r w:rsidR="00345489" w:rsidRPr="00DD6E6B">
              <w:rPr>
                <w:spacing w:val="-5"/>
                <w:lang w:val="en-GB"/>
              </w:rPr>
              <w:t xml:space="preserve">where the effect of </w:t>
            </w:r>
            <w:r w:rsidR="00FA2F0B" w:rsidRPr="00DD6E6B">
              <w:rPr>
                <w:spacing w:val="-5"/>
                <w:lang w:val="en-GB"/>
              </w:rPr>
              <w:t xml:space="preserve">dynamically growing market in the area of photovoltaics </w:t>
            </w:r>
            <w:r w:rsidR="00345489" w:rsidRPr="00DD6E6B">
              <w:rPr>
                <w:color w:val="0D0D0D" w:themeColor="text1" w:themeTint="F2"/>
                <w:spacing w:val="-4"/>
                <w:lang w:val="en-GB"/>
              </w:rPr>
              <w:t>was also felt</w:t>
            </w:r>
            <w:r w:rsidR="00FA2F0B" w:rsidRPr="00DD6E6B">
              <w:rPr>
                <w:color w:val="0D0D0D" w:themeColor="text1" w:themeTint="F2"/>
                <w:spacing w:val="-4"/>
                <w:lang w:val="en-GB"/>
              </w:rPr>
              <w:t xml:space="preserve"> positively</w:t>
            </w:r>
            <w:r w:rsidR="00D27F07" w:rsidRPr="00DD6E6B">
              <w:rPr>
                <w:spacing w:val="-5"/>
                <w:lang w:val="en-GB"/>
              </w:rPr>
              <w:t xml:space="preserve">. </w:t>
            </w:r>
            <w:r w:rsidR="00EF583F" w:rsidRPr="00DD6E6B">
              <w:rPr>
                <w:spacing w:val="-5"/>
                <w:lang w:val="en-GB"/>
              </w:rPr>
              <w:t xml:space="preserve">Among smaller branches </w:t>
            </w:r>
            <w:r w:rsidR="00B25AD0" w:rsidRPr="00DD6E6B">
              <w:rPr>
                <w:spacing w:val="-5"/>
                <w:lang w:val="en-GB"/>
              </w:rPr>
              <w:t xml:space="preserve">the long-term growing and considerably pro-export pharmaceutical industry </w:t>
            </w:r>
            <w:r w:rsidR="008C5AA7" w:rsidRPr="00DD6E6B">
              <w:rPr>
                <w:spacing w:val="-5"/>
                <w:lang w:val="en-GB"/>
              </w:rPr>
              <w:t xml:space="preserve">thrived </w:t>
            </w:r>
            <w:r w:rsidR="00D27F07" w:rsidRPr="00DD6E6B">
              <w:rPr>
                <w:spacing w:val="-5"/>
                <w:lang w:val="en-GB"/>
              </w:rPr>
              <w:t>(+11</w:t>
            </w:r>
            <w:r w:rsidR="00B25AD0" w:rsidRPr="00DD6E6B">
              <w:rPr>
                <w:spacing w:val="-5"/>
                <w:lang w:val="en-GB"/>
              </w:rPr>
              <w:t>.</w:t>
            </w:r>
            <w:r w:rsidR="00D27F07" w:rsidRPr="00DD6E6B">
              <w:rPr>
                <w:spacing w:val="-5"/>
                <w:lang w:val="en-GB"/>
              </w:rPr>
              <w:t>7%, +31</w:t>
            </w:r>
            <w:r w:rsidR="00B25AD0" w:rsidRPr="00DD6E6B">
              <w:rPr>
                <w:spacing w:val="-5"/>
                <w:lang w:val="en-GB"/>
              </w:rPr>
              <w:t>.</w:t>
            </w:r>
            <w:r w:rsidR="00D27F07" w:rsidRPr="00DD6E6B">
              <w:rPr>
                <w:spacing w:val="-5"/>
                <w:lang w:val="en-GB"/>
              </w:rPr>
              <w:t>5%</w:t>
            </w:r>
            <w:r w:rsidR="00B25AD0" w:rsidRPr="00DD6E6B">
              <w:rPr>
                <w:spacing w:val="-5"/>
                <w:lang w:val="en-GB"/>
              </w:rPr>
              <w:t xml:space="preserve"> against H1 2019</w:t>
            </w:r>
            <w:r w:rsidR="00D27F07" w:rsidRPr="00DD6E6B">
              <w:rPr>
                <w:spacing w:val="-5"/>
                <w:lang w:val="en-GB"/>
              </w:rPr>
              <w:t>)</w:t>
            </w:r>
            <w:r w:rsidR="008C5AA7">
              <w:rPr>
                <w:spacing w:val="-5"/>
                <w:lang w:val="en-GB"/>
              </w:rPr>
              <w:t>.</w:t>
            </w:r>
            <w:r w:rsidR="00D27F07" w:rsidRPr="00DD6E6B">
              <w:rPr>
                <w:spacing w:val="-5"/>
                <w:lang w:val="en-GB"/>
              </w:rPr>
              <w:t xml:space="preserve"> </w:t>
            </w:r>
            <w:r w:rsidR="008C5AA7">
              <w:rPr>
                <w:spacing w:val="-5"/>
                <w:lang w:val="en-GB"/>
              </w:rPr>
              <w:t>F</w:t>
            </w:r>
            <w:r w:rsidR="007F452F" w:rsidRPr="00DD6E6B">
              <w:rPr>
                <w:spacing w:val="-5"/>
                <w:lang w:val="en-GB"/>
              </w:rPr>
              <w:t xml:space="preserve">oreign sales greatly assisted the revival of </w:t>
            </w:r>
            <w:r w:rsidR="00A07B79" w:rsidRPr="00DD6E6B">
              <w:rPr>
                <w:spacing w:val="-5"/>
                <w:lang w:val="en-GB"/>
              </w:rPr>
              <w:t>leather manu</w:t>
            </w:r>
            <w:r w:rsidR="001263D2" w:rsidRPr="00DD6E6B">
              <w:rPr>
                <w:spacing w:val="-5"/>
                <w:lang w:val="en-GB"/>
              </w:rPr>
              <w:t xml:space="preserve">facturing and </w:t>
            </w:r>
            <w:r w:rsidR="00B93EC3" w:rsidRPr="00DD6E6B">
              <w:rPr>
                <w:spacing w:val="-5"/>
                <w:lang w:val="en-GB"/>
              </w:rPr>
              <w:t xml:space="preserve">footwear industry </w:t>
            </w:r>
            <w:r w:rsidR="00D27F07" w:rsidRPr="00DD6E6B">
              <w:rPr>
                <w:spacing w:val="-5"/>
                <w:lang w:val="en-GB"/>
              </w:rPr>
              <w:t>(+7</w:t>
            </w:r>
            <w:r w:rsidR="00B93EC3" w:rsidRPr="00DD6E6B">
              <w:rPr>
                <w:spacing w:val="-5"/>
                <w:lang w:val="en-GB"/>
              </w:rPr>
              <w:t>.</w:t>
            </w:r>
            <w:r w:rsidR="00D27F07" w:rsidRPr="00DD6E6B">
              <w:rPr>
                <w:spacing w:val="-5"/>
                <w:lang w:val="en-GB"/>
              </w:rPr>
              <w:t>4%</w:t>
            </w:r>
            <w:r w:rsidR="00B93EC3" w:rsidRPr="00DD6E6B">
              <w:rPr>
                <w:spacing w:val="-5"/>
                <w:lang w:val="en-GB"/>
              </w:rPr>
              <w:t xml:space="preserve"> year-on-year</w:t>
            </w:r>
            <w:r w:rsidR="00D27F07" w:rsidRPr="00DD6E6B">
              <w:rPr>
                <w:spacing w:val="-5"/>
                <w:lang w:val="en-GB"/>
              </w:rPr>
              <w:t xml:space="preserve">). </w:t>
            </w:r>
            <w:r w:rsidR="00BD6D4D" w:rsidRPr="00DD6E6B">
              <w:rPr>
                <w:spacing w:val="-5"/>
                <w:lang w:val="en-GB"/>
              </w:rPr>
              <w:t>All above</w:t>
            </w:r>
            <w:r w:rsidR="00EC79DD">
              <w:rPr>
                <w:spacing w:val="-5"/>
                <w:lang w:val="en-GB"/>
              </w:rPr>
              <w:t>-</w:t>
            </w:r>
            <w:r w:rsidR="00BD6D4D" w:rsidRPr="00DD6E6B">
              <w:rPr>
                <w:spacing w:val="-5"/>
                <w:lang w:val="en-GB"/>
              </w:rPr>
              <w:t xml:space="preserve">mentioned </w:t>
            </w:r>
            <w:r w:rsidR="008E68DF" w:rsidRPr="00DD6E6B">
              <w:rPr>
                <w:spacing w:val="-5"/>
                <w:lang w:val="en-GB"/>
              </w:rPr>
              <w:t xml:space="preserve">activities contributed even </w:t>
            </w:r>
            <w:r w:rsidR="008C5AA7">
              <w:rPr>
                <w:spacing w:val="-5"/>
                <w:lang w:val="en-GB"/>
              </w:rPr>
              <w:t>+</w:t>
            </w:r>
            <w:r w:rsidR="008E68DF" w:rsidRPr="00DD6E6B">
              <w:rPr>
                <w:spacing w:val="-5"/>
                <w:lang w:val="en-GB"/>
              </w:rPr>
              <w:t>1 p. p.</w:t>
            </w:r>
            <w:r w:rsidR="00B93EC3" w:rsidRPr="00DD6E6B">
              <w:rPr>
                <w:spacing w:val="-5"/>
                <w:lang w:val="en-GB"/>
              </w:rPr>
              <w:t xml:space="preserve"> to the </w:t>
            </w:r>
            <w:r w:rsidR="003D4927" w:rsidRPr="00DD6E6B">
              <w:rPr>
                <w:spacing w:val="-5"/>
                <w:lang w:val="en-GB"/>
              </w:rPr>
              <w:t>industry performance growth this year.</w:t>
            </w:r>
            <w:r w:rsidR="00D27F07" w:rsidRPr="00DD6E6B">
              <w:rPr>
                <w:spacing w:val="-5"/>
                <w:lang w:val="en-GB"/>
              </w:rPr>
              <w:t xml:space="preserve"> </w:t>
            </w:r>
          </w:p>
          <w:p w14:paraId="0EB8F0D0" w14:textId="77777777" w:rsidR="00D27F07" w:rsidRPr="00DD6E6B" w:rsidRDefault="00D27F07" w:rsidP="00D42399">
            <w:pPr>
              <w:spacing w:after="0"/>
              <w:rPr>
                <w:spacing w:val="-5"/>
                <w:lang w:val="en-GB"/>
              </w:rPr>
            </w:pPr>
          </w:p>
        </w:tc>
      </w:tr>
      <w:tr w:rsidR="00D27F07" w:rsidRPr="00DD6E6B" w14:paraId="67E8AFCE" w14:textId="77777777" w:rsidTr="00D80129">
        <w:trPr>
          <w:trHeight w:val="145"/>
        </w:trPr>
        <w:tc>
          <w:tcPr>
            <w:tcW w:w="1678" w:type="dxa"/>
            <w:tcBorders>
              <w:top w:val="nil"/>
              <w:left w:val="nil"/>
              <w:bottom w:val="nil"/>
              <w:right w:val="nil"/>
            </w:tcBorders>
            <w:shd w:val="clear" w:color="auto" w:fill="auto"/>
            <w:tcMar>
              <w:left w:w="0" w:type="dxa"/>
            </w:tcMar>
          </w:tcPr>
          <w:p w14:paraId="246BB098" w14:textId="5E674C78" w:rsidR="00D27F07" w:rsidRPr="00DD6E6B" w:rsidRDefault="008C5AA7" w:rsidP="00D42399">
            <w:pPr>
              <w:pStyle w:val="Marginlie"/>
              <w:rPr>
                <w:color w:val="0D0D0D" w:themeColor="text1" w:themeTint="F2"/>
                <w:spacing w:val="-5"/>
                <w:lang w:val="en-GB"/>
              </w:rPr>
            </w:pPr>
            <w:r>
              <w:rPr>
                <w:color w:val="0D0D0D" w:themeColor="text1" w:themeTint="F2"/>
                <w:spacing w:val="-5"/>
                <w:lang w:val="en-GB"/>
              </w:rPr>
              <w:t>Output</w:t>
            </w:r>
            <w:r w:rsidR="00AE75C1" w:rsidRPr="00DD6E6B">
              <w:rPr>
                <w:color w:val="0D0D0D" w:themeColor="text1" w:themeTint="F2"/>
                <w:spacing w:val="-5"/>
                <w:lang w:val="en-GB"/>
              </w:rPr>
              <w:t xml:space="preserve"> of the most energy </w:t>
            </w:r>
            <w:r w:rsidR="00AA1F81" w:rsidRPr="00DD6E6B">
              <w:rPr>
                <w:color w:val="0D0D0D" w:themeColor="text1" w:themeTint="F2"/>
                <w:spacing w:val="-5"/>
                <w:lang w:val="en-GB"/>
              </w:rPr>
              <w:t>intensive</w:t>
            </w:r>
            <w:r w:rsidR="00AE75C1" w:rsidRPr="00DD6E6B">
              <w:rPr>
                <w:color w:val="0D0D0D" w:themeColor="text1" w:themeTint="F2"/>
                <w:spacing w:val="-5"/>
                <w:lang w:val="en-GB"/>
              </w:rPr>
              <w:t xml:space="preserve"> </w:t>
            </w:r>
            <w:r w:rsidR="008D5D64" w:rsidRPr="00DD6E6B">
              <w:rPr>
                <w:color w:val="0D0D0D" w:themeColor="text1" w:themeTint="F2"/>
                <w:spacing w:val="-5"/>
                <w:lang w:val="en-GB"/>
              </w:rPr>
              <w:t>manufacturing branches</w:t>
            </w:r>
            <w:r>
              <w:rPr>
                <w:color w:val="0D0D0D" w:themeColor="text1" w:themeTint="F2"/>
                <w:spacing w:val="-5"/>
                <w:lang w:val="en-GB"/>
              </w:rPr>
              <w:t xml:space="preserve"> was</w:t>
            </w:r>
            <w:r w:rsidR="00363152" w:rsidRPr="00DD6E6B">
              <w:rPr>
                <w:color w:val="0D0D0D" w:themeColor="text1" w:themeTint="F2"/>
                <w:spacing w:val="-5"/>
                <w:lang w:val="en-GB"/>
              </w:rPr>
              <w:t xml:space="preserve"> still s</w:t>
            </w:r>
            <w:r w:rsidR="006906C6" w:rsidRPr="00DD6E6B">
              <w:rPr>
                <w:color w:val="0D0D0D" w:themeColor="text1" w:themeTint="F2"/>
                <w:spacing w:val="-5"/>
                <w:lang w:val="en-GB"/>
              </w:rPr>
              <w:t xml:space="preserve">ubdued. </w:t>
            </w:r>
            <w:r w:rsidR="00B70570" w:rsidRPr="00DD6E6B">
              <w:rPr>
                <w:color w:val="0D0D0D" w:themeColor="text1" w:themeTint="F2"/>
                <w:spacing w:val="-5"/>
                <w:lang w:val="en-GB"/>
              </w:rPr>
              <w:t xml:space="preserve">Output plunged by nearly one fifth in metallurgy. </w:t>
            </w:r>
          </w:p>
        </w:tc>
        <w:tc>
          <w:tcPr>
            <w:tcW w:w="194" w:type="dxa"/>
            <w:tcBorders>
              <w:top w:val="nil"/>
              <w:left w:val="nil"/>
              <w:bottom w:val="nil"/>
              <w:right w:val="nil"/>
            </w:tcBorders>
            <w:shd w:val="clear" w:color="auto" w:fill="auto"/>
            <w:tcMar>
              <w:left w:w="0" w:type="dxa"/>
            </w:tcMar>
          </w:tcPr>
          <w:p w14:paraId="5262721D" w14:textId="77777777" w:rsidR="00D27F07" w:rsidRPr="00DD6E6B" w:rsidRDefault="00D27F07" w:rsidP="00D4239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25C09389" w14:textId="044480BD" w:rsidR="00D27F07" w:rsidRPr="00DD6E6B" w:rsidRDefault="008C5AA7" w:rsidP="006033A4">
            <w:pPr>
              <w:spacing w:after="220"/>
              <w:rPr>
                <w:color w:val="0D0D0D" w:themeColor="text1" w:themeTint="F2"/>
                <w:spacing w:val="-4"/>
                <w:lang w:val="en-GB"/>
              </w:rPr>
            </w:pPr>
            <w:r>
              <w:rPr>
                <w:color w:val="0D0D0D" w:themeColor="text1" w:themeTint="F2"/>
                <w:spacing w:val="-4"/>
                <w:lang w:val="en-GB"/>
              </w:rPr>
              <w:t>Significant and energy-</w:t>
            </w:r>
            <w:r w:rsidR="00A02969" w:rsidRPr="00DD6E6B">
              <w:rPr>
                <w:color w:val="0D0D0D" w:themeColor="text1" w:themeTint="F2"/>
                <w:spacing w:val="-4"/>
                <w:lang w:val="en-GB"/>
              </w:rPr>
              <w:t>intensive</w:t>
            </w:r>
            <w:r w:rsidR="0079495C" w:rsidRPr="00DD6E6B">
              <w:rPr>
                <w:color w:val="0D0D0D" w:themeColor="text1" w:themeTint="F2"/>
                <w:spacing w:val="-4"/>
                <w:lang w:val="en-GB"/>
              </w:rPr>
              <w:t xml:space="preserve"> branches of chemical and metallurgical industry or manufacturing of construction </w:t>
            </w:r>
            <w:r w:rsidR="003E2754" w:rsidRPr="00DD6E6B">
              <w:rPr>
                <w:color w:val="0D0D0D" w:themeColor="text1" w:themeTint="F2"/>
                <w:spacing w:val="-4"/>
                <w:lang w:val="en-GB"/>
              </w:rPr>
              <w:t>materials</w:t>
            </w:r>
            <w:r>
              <w:rPr>
                <w:color w:val="0D0D0D" w:themeColor="text1" w:themeTint="F2"/>
                <w:spacing w:val="-4"/>
                <w:lang w:val="en-GB"/>
              </w:rPr>
              <w:t xml:space="preserve"> (</w:t>
            </w:r>
            <w:r w:rsidRPr="008C5AA7">
              <w:rPr>
                <w:color w:val="0D0D0D" w:themeColor="text1" w:themeTint="F2"/>
                <w:spacing w:val="-4"/>
                <w:lang w:val="en-GB"/>
              </w:rPr>
              <w:t>non-metallic mineral products</w:t>
            </w:r>
            <w:r>
              <w:rPr>
                <w:color w:val="0D0D0D" w:themeColor="text1" w:themeTint="F2"/>
                <w:spacing w:val="-4"/>
                <w:lang w:val="en-GB"/>
              </w:rPr>
              <w:t>)</w:t>
            </w:r>
            <w:r w:rsidR="003E2754" w:rsidRPr="00DD6E6B">
              <w:rPr>
                <w:color w:val="0D0D0D" w:themeColor="text1" w:themeTint="F2"/>
                <w:spacing w:val="-4"/>
                <w:lang w:val="en-GB"/>
              </w:rPr>
              <w:t xml:space="preserve"> </w:t>
            </w:r>
            <w:r w:rsidR="002D67B7" w:rsidRPr="00DD6E6B">
              <w:rPr>
                <w:color w:val="0D0D0D" w:themeColor="text1" w:themeTint="F2"/>
                <w:spacing w:val="-4"/>
                <w:lang w:val="en-GB"/>
              </w:rPr>
              <w:t>encountered persisting serious difficulties</w:t>
            </w:r>
            <w:r w:rsidR="00D27F07" w:rsidRPr="00DD6E6B">
              <w:rPr>
                <w:color w:val="0D0D0D" w:themeColor="text1" w:themeTint="F2"/>
                <w:spacing w:val="-4"/>
                <w:lang w:val="en-GB"/>
              </w:rPr>
              <w:t xml:space="preserve">. </w:t>
            </w:r>
            <w:r w:rsidR="002D67B7" w:rsidRPr="00DD6E6B">
              <w:rPr>
                <w:color w:val="0D0D0D" w:themeColor="text1" w:themeTint="F2"/>
                <w:spacing w:val="-4"/>
                <w:lang w:val="en-GB"/>
              </w:rPr>
              <w:t xml:space="preserve">Sharp hike of prices of inputs in the last year together with the ongoing weak domestic as well as </w:t>
            </w:r>
            <w:r w:rsidR="00CB57F9" w:rsidRPr="00DD6E6B">
              <w:rPr>
                <w:color w:val="0D0D0D" w:themeColor="text1" w:themeTint="F2"/>
                <w:spacing w:val="-4"/>
                <w:lang w:val="en-GB"/>
              </w:rPr>
              <w:t>foreign</w:t>
            </w:r>
            <w:r w:rsidR="002D67B7" w:rsidRPr="00DD6E6B">
              <w:rPr>
                <w:color w:val="0D0D0D" w:themeColor="text1" w:themeTint="F2"/>
                <w:spacing w:val="-4"/>
                <w:lang w:val="en-GB"/>
              </w:rPr>
              <w:t xml:space="preserve"> demand resulted in double digit year-on-year output downturn in H1 2023</w:t>
            </w:r>
            <w:r w:rsidR="00D27F07" w:rsidRPr="00DD6E6B">
              <w:rPr>
                <w:color w:val="0D0D0D" w:themeColor="text1" w:themeTint="F2"/>
                <w:spacing w:val="-4"/>
                <w:lang w:val="en-GB"/>
              </w:rPr>
              <w:t xml:space="preserve">, </w:t>
            </w:r>
            <w:r w:rsidR="000E12B0" w:rsidRPr="00DD6E6B">
              <w:rPr>
                <w:color w:val="0D0D0D" w:themeColor="text1" w:themeTint="F2"/>
                <w:spacing w:val="-4"/>
                <w:lang w:val="en-GB"/>
              </w:rPr>
              <w:t xml:space="preserve">which </w:t>
            </w:r>
            <w:r w:rsidR="00875AA2" w:rsidRPr="00DD6E6B">
              <w:rPr>
                <w:color w:val="0D0D0D" w:themeColor="text1" w:themeTint="F2"/>
                <w:spacing w:val="-4"/>
                <w:lang w:val="en-GB"/>
              </w:rPr>
              <w:t xml:space="preserve">e.g. in metallurgy </w:t>
            </w:r>
            <w:r w:rsidR="00D27F07" w:rsidRPr="00DD6E6B">
              <w:rPr>
                <w:color w:val="0D0D0D" w:themeColor="text1" w:themeTint="F2"/>
                <w:spacing w:val="-4"/>
                <w:lang w:val="en-GB"/>
              </w:rPr>
              <w:t>(</w:t>
            </w:r>
            <w:r w:rsidR="00875AA2" w:rsidRPr="00DD6E6B">
              <w:rPr>
                <w:color w:val="0D0D0D" w:themeColor="text1" w:themeTint="F2"/>
                <w:spacing w:val="-4"/>
                <w:lang w:val="en-GB"/>
              </w:rPr>
              <w:t xml:space="preserve">including </w:t>
            </w:r>
            <w:r w:rsidR="006F0D61" w:rsidRPr="00DD6E6B">
              <w:rPr>
                <w:color w:val="0D0D0D" w:themeColor="text1" w:themeTint="F2"/>
                <w:spacing w:val="-4"/>
                <w:lang w:val="en-GB"/>
              </w:rPr>
              <w:t>foundry industry</w:t>
            </w:r>
            <w:r w:rsidR="00D27F07" w:rsidRPr="00DD6E6B">
              <w:rPr>
                <w:color w:val="0D0D0D" w:themeColor="text1" w:themeTint="F2"/>
                <w:spacing w:val="-4"/>
                <w:lang w:val="en-GB"/>
              </w:rPr>
              <w:t xml:space="preserve">) </w:t>
            </w:r>
            <w:r w:rsidR="00875AA2" w:rsidRPr="00DD6E6B">
              <w:rPr>
                <w:color w:val="0D0D0D" w:themeColor="text1" w:themeTint="F2"/>
                <w:spacing w:val="-4"/>
                <w:lang w:val="en-GB"/>
              </w:rPr>
              <w:t xml:space="preserve">arrived at </w:t>
            </w:r>
            <w:r w:rsidR="00D27F07" w:rsidRPr="00DD6E6B">
              <w:rPr>
                <w:color w:val="0D0D0D" w:themeColor="text1" w:themeTint="F2"/>
                <w:spacing w:val="-4"/>
                <w:lang w:val="en-GB"/>
              </w:rPr>
              <w:t>18% (</w:t>
            </w:r>
            <w:r w:rsidR="00FC6A52" w:rsidRPr="00DD6E6B">
              <w:rPr>
                <w:color w:val="0D0D0D" w:themeColor="text1" w:themeTint="F2"/>
                <w:spacing w:val="-4"/>
                <w:lang w:val="en-GB"/>
              </w:rPr>
              <w:t xml:space="preserve">the output of this branch also lagged similarly </w:t>
            </w:r>
            <w:r w:rsidR="00A85537" w:rsidRPr="00DD6E6B">
              <w:rPr>
                <w:color w:val="0D0D0D" w:themeColor="text1" w:themeTint="F2"/>
                <w:spacing w:val="-4"/>
                <w:lang w:val="en-GB"/>
              </w:rPr>
              <w:t>behind the pre-crisis year 2</w:t>
            </w:r>
            <w:r w:rsidR="00D27F07" w:rsidRPr="00DD6E6B">
              <w:rPr>
                <w:color w:val="0D0D0D" w:themeColor="text1" w:themeTint="F2"/>
                <w:spacing w:val="-4"/>
                <w:lang w:val="en-GB"/>
              </w:rPr>
              <w:t xml:space="preserve">019). </w:t>
            </w:r>
            <w:r w:rsidR="006160AC" w:rsidRPr="00DD6E6B">
              <w:rPr>
                <w:color w:val="0D0D0D" w:themeColor="text1" w:themeTint="F2"/>
                <w:spacing w:val="-4"/>
                <w:lang w:val="en-GB"/>
              </w:rPr>
              <w:t xml:space="preserve">Above stated </w:t>
            </w:r>
            <w:r w:rsidR="002D20A4" w:rsidRPr="00DD6E6B">
              <w:rPr>
                <w:color w:val="0D0D0D" w:themeColor="text1" w:themeTint="F2"/>
                <w:spacing w:val="-4"/>
                <w:lang w:val="en-GB"/>
              </w:rPr>
              <w:t xml:space="preserve">activities </w:t>
            </w:r>
            <w:r w:rsidR="006160AC" w:rsidRPr="00DD6E6B">
              <w:rPr>
                <w:color w:val="0D0D0D" w:themeColor="text1" w:themeTint="F2"/>
                <w:spacing w:val="-4"/>
                <w:lang w:val="en-GB"/>
              </w:rPr>
              <w:t>also considerably</w:t>
            </w:r>
            <w:r w:rsidR="00A23BB7" w:rsidRPr="00DD6E6B">
              <w:rPr>
                <w:color w:val="0D0D0D" w:themeColor="text1" w:themeTint="F2"/>
                <w:spacing w:val="-4"/>
                <w:lang w:val="en-GB"/>
              </w:rPr>
              <w:t xml:space="preserve"> marked the </w:t>
            </w:r>
            <w:r w:rsidR="00342CE7" w:rsidRPr="00DD6E6B">
              <w:rPr>
                <w:color w:val="0D0D0D" w:themeColor="text1" w:themeTint="F2"/>
                <w:spacing w:val="-4"/>
                <w:lang w:val="en-GB"/>
              </w:rPr>
              <w:t xml:space="preserve">performance of the whole industry </w:t>
            </w:r>
            <w:r w:rsidR="00D27F07" w:rsidRPr="00DD6E6B">
              <w:rPr>
                <w:color w:val="0D0D0D" w:themeColor="text1" w:themeTint="F2"/>
                <w:spacing w:val="-4"/>
                <w:lang w:val="en-GB"/>
              </w:rPr>
              <w:t>(</w:t>
            </w:r>
            <w:r w:rsidR="00342CE7" w:rsidRPr="00DD6E6B">
              <w:rPr>
                <w:color w:val="0D0D0D" w:themeColor="text1" w:themeTint="F2"/>
                <w:spacing w:val="-4"/>
                <w:lang w:val="en-GB"/>
              </w:rPr>
              <w:t xml:space="preserve">contribution </w:t>
            </w:r>
            <w:r w:rsidR="00D27F07" w:rsidRPr="00DD6E6B">
              <w:rPr>
                <w:color w:val="0D0D0D" w:themeColor="text1" w:themeTint="F2"/>
                <w:spacing w:val="-4"/>
                <w:lang w:val="en-GB"/>
              </w:rPr>
              <w:t>−1</w:t>
            </w:r>
            <w:r w:rsidR="00342CE7" w:rsidRPr="00DD6E6B">
              <w:rPr>
                <w:color w:val="0D0D0D" w:themeColor="text1" w:themeTint="F2"/>
                <w:spacing w:val="-4"/>
                <w:lang w:val="en-GB"/>
              </w:rPr>
              <w:t>.</w:t>
            </w:r>
            <w:r w:rsidR="00D27F07" w:rsidRPr="00DD6E6B">
              <w:rPr>
                <w:color w:val="0D0D0D" w:themeColor="text1" w:themeTint="F2"/>
                <w:spacing w:val="-4"/>
                <w:lang w:val="en-GB"/>
              </w:rPr>
              <w:t xml:space="preserve">9 p. </w:t>
            </w:r>
            <w:r w:rsidR="00342CE7" w:rsidRPr="00DD6E6B">
              <w:rPr>
                <w:color w:val="0D0D0D" w:themeColor="text1" w:themeTint="F2"/>
                <w:spacing w:val="-4"/>
                <w:lang w:val="en-GB"/>
              </w:rPr>
              <w:t>p</w:t>
            </w:r>
            <w:r w:rsidR="00D27F07" w:rsidRPr="00DD6E6B">
              <w:rPr>
                <w:color w:val="0D0D0D" w:themeColor="text1" w:themeTint="F2"/>
                <w:spacing w:val="-4"/>
                <w:lang w:val="en-GB"/>
              </w:rPr>
              <w:t xml:space="preserve">.). </w:t>
            </w:r>
            <w:r w:rsidR="0026237D" w:rsidRPr="00DD6E6B">
              <w:rPr>
                <w:color w:val="0D0D0D" w:themeColor="text1" w:themeTint="F2"/>
                <w:spacing w:val="-4"/>
                <w:lang w:val="en-GB"/>
              </w:rPr>
              <w:t>Diversified</w:t>
            </w:r>
            <w:r w:rsidR="0016187F" w:rsidRPr="00DD6E6B">
              <w:rPr>
                <w:color w:val="0D0D0D" w:themeColor="text1" w:themeTint="F2"/>
                <w:spacing w:val="-4"/>
                <w:lang w:val="en-GB"/>
              </w:rPr>
              <w:t xml:space="preserve"> </w:t>
            </w:r>
            <w:r>
              <w:rPr>
                <w:color w:val="0D0D0D" w:themeColor="text1" w:themeTint="F2"/>
                <w:spacing w:val="-4"/>
                <w:lang w:val="en-GB"/>
              </w:rPr>
              <w:t>branch of the</w:t>
            </w:r>
            <w:r w:rsidRPr="008C5AA7">
              <w:rPr>
                <w:color w:val="0D0D0D" w:themeColor="text1" w:themeTint="F2"/>
                <w:spacing w:val="-4"/>
                <w:lang w:val="en-GB"/>
              </w:rPr>
              <w:t xml:space="preserve"> fabricated metal products</w:t>
            </w:r>
            <w:r>
              <w:rPr>
                <w:color w:val="0D0D0D" w:themeColor="text1" w:themeTint="F2"/>
                <w:spacing w:val="-4"/>
                <w:lang w:val="en-GB"/>
              </w:rPr>
              <w:t>, where the decrease was</w:t>
            </w:r>
            <w:r w:rsidR="00793684" w:rsidRPr="00DD6E6B">
              <w:rPr>
                <w:color w:val="0D0D0D" w:themeColor="text1" w:themeTint="F2"/>
                <w:spacing w:val="-4"/>
                <w:lang w:val="en-GB"/>
              </w:rPr>
              <w:t xml:space="preserve"> </w:t>
            </w:r>
            <w:r>
              <w:rPr>
                <w:color w:val="0D0D0D" w:themeColor="text1" w:themeTint="F2"/>
                <w:spacing w:val="-4"/>
                <w:lang w:val="en-GB"/>
              </w:rPr>
              <w:t xml:space="preserve">much smaller </w:t>
            </w:r>
            <w:r w:rsidR="006033A4">
              <w:rPr>
                <w:color w:val="0D0D0D" w:themeColor="text1" w:themeTint="F2"/>
                <w:spacing w:val="-4"/>
                <w:lang w:val="en-GB"/>
              </w:rPr>
              <w:t>(</w:t>
            </w:r>
            <w:r w:rsidR="006033A4">
              <w:rPr>
                <w:color w:val="000000"/>
                <w:shd w:val="clear" w:color="auto" w:fill="FFFFFF"/>
              </w:rPr>
              <w:t>–</w:t>
            </w:r>
            <w:r w:rsidR="00D27F07" w:rsidRPr="00DD6E6B">
              <w:rPr>
                <w:color w:val="0D0D0D" w:themeColor="text1" w:themeTint="F2"/>
                <w:spacing w:val="-4"/>
                <w:lang w:val="en-GB"/>
              </w:rPr>
              <w:t>2</w:t>
            </w:r>
            <w:r w:rsidR="00793684" w:rsidRPr="00DD6E6B">
              <w:rPr>
                <w:color w:val="0D0D0D" w:themeColor="text1" w:themeTint="F2"/>
                <w:spacing w:val="-4"/>
                <w:lang w:val="en-GB"/>
              </w:rPr>
              <w:t>.</w:t>
            </w:r>
            <w:r w:rsidR="00D27F07" w:rsidRPr="00DD6E6B">
              <w:rPr>
                <w:color w:val="0D0D0D" w:themeColor="text1" w:themeTint="F2"/>
                <w:spacing w:val="-4"/>
                <w:lang w:val="en-GB"/>
              </w:rPr>
              <w:t>4%)</w:t>
            </w:r>
            <w:r w:rsidR="001B77D2" w:rsidRPr="00DD6E6B">
              <w:rPr>
                <w:color w:val="0D0D0D" w:themeColor="text1" w:themeTint="F2"/>
                <w:spacing w:val="-4"/>
                <w:lang w:val="en-GB"/>
              </w:rPr>
              <w:t xml:space="preserve"> fared notably better</w:t>
            </w:r>
            <w:r w:rsidR="00D27F07" w:rsidRPr="00DD6E6B">
              <w:rPr>
                <w:color w:val="0D0D0D" w:themeColor="text1" w:themeTint="F2"/>
                <w:spacing w:val="-4"/>
                <w:lang w:val="en-GB"/>
              </w:rPr>
              <w:t xml:space="preserve">. </w:t>
            </w:r>
            <w:r w:rsidR="001B77D2" w:rsidRPr="00DD6E6B">
              <w:rPr>
                <w:color w:val="0D0D0D" w:themeColor="text1" w:themeTint="F2"/>
                <w:spacing w:val="-4"/>
                <w:lang w:val="en-GB"/>
              </w:rPr>
              <w:t xml:space="preserve">Downturn of the energy </w:t>
            </w:r>
            <w:r w:rsidR="00163567" w:rsidRPr="00DD6E6B">
              <w:rPr>
                <w:color w:val="0D0D0D" w:themeColor="text1" w:themeTint="F2"/>
                <w:spacing w:val="-4"/>
                <w:lang w:val="en-GB"/>
              </w:rPr>
              <w:t>intensive</w:t>
            </w:r>
            <w:r w:rsidR="001B77D2" w:rsidRPr="00DD6E6B">
              <w:rPr>
                <w:color w:val="0D0D0D" w:themeColor="text1" w:themeTint="F2"/>
                <w:spacing w:val="-4"/>
                <w:lang w:val="en-GB"/>
              </w:rPr>
              <w:t xml:space="preserve"> segments could have </w:t>
            </w:r>
            <w:r w:rsidR="001B77D2" w:rsidRPr="00DD6E6B">
              <w:rPr>
                <w:color w:val="0D0D0D" w:themeColor="text1" w:themeTint="F2"/>
                <w:spacing w:val="-4"/>
                <w:lang w:val="en-GB"/>
              </w:rPr>
              <w:lastRenderedPageBreak/>
              <w:t xml:space="preserve">been </w:t>
            </w:r>
            <w:r w:rsidR="00163567" w:rsidRPr="00DD6E6B">
              <w:rPr>
                <w:color w:val="0D0D0D" w:themeColor="text1" w:themeTint="F2"/>
                <w:spacing w:val="-4"/>
                <w:lang w:val="en-GB"/>
              </w:rPr>
              <w:t>partially</w:t>
            </w:r>
            <w:r w:rsidR="006033A4">
              <w:rPr>
                <w:color w:val="0D0D0D" w:themeColor="text1" w:themeTint="F2"/>
                <w:spacing w:val="-4"/>
                <w:lang w:val="en-GB"/>
              </w:rPr>
              <w:t xml:space="preserve"> offset </w:t>
            </w:r>
            <w:r w:rsidR="00AC6FE4" w:rsidRPr="00DD6E6B">
              <w:rPr>
                <w:color w:val="0D0D0D" w:themeColor="text1" w:themeTint="F2"/>
                <w:spacing w:val="-4"/>
                <w:lang w:val="en-GB"/>
              </w:rPr>
              <w:t xml:space="preserve">by the development of </w:t>
            </w:r>
            <w:r w:rsidRPr="008C5AA7">
              <w:rPr>
                <w:color w:val="0D0D0D" w:themeColor="text1" w:themeTint="F2"/>
                <w:spacing w:val="-4"/>
                <w:lang w:val="en-GB"/>
              </w:rPr>
              <w:t>production of military equipment</w:t>
            </w:r>
            <w:r w:rsidR="00163567" w:rsidRPr="00DD6E6B">
              <w:rPr>
                <w:color w:val="0D0D0D" w:themeColor="text1" w:themeTint="F2"/>
                <w:spacing w:val="-4"/>
                <w:lang w:val="en-GB"/>
              </w:rPr>
              <w:t xml:space="preserve"> </w:t>
            </w:r>
            <w:r w:rsidR="00AC6FE4" w:rsidRPr="00DD6E6B">
              <w:rPr>
                <w:color w:val="0D0D0D" w:themeColor="text1" w:themeTint="F2"/>
                <w:spacing w:val="-4"/>
                <w:lang w:val="en-GB"/>
              </w:rPr>
              <w:t xml:space="preserve">here. </w:t>
            </w:r>
            <w:r w:rsidR="008E5E8E" w:rsidRPr="00DD6E6B">
              <w:rPr>
                <w:color w:val="0D0D0D" w:themeColor="text1" w:themeTint="F2"/>
                <w:spacing w:val="-4"/>
                <w:lang w:val="en-GB"/>
              </w:rPr>
              <w:t xml:space="preserve">Manufacture of rubber and plastic products </w:t>
            </w:r>
            <w:r w:rsidR="006033A4">
              <w:rPr>
                <w:color w:val="0D0D0D" w:themeColor="text1" w:themeTint="F2"/>
                <w:spacing w:val="-4"/>
                <w:lang w:val="en-GB"/>
              </w:rPr>
              <w:t>(</w:t>
            </w:r>
            <w:r w:rsidR="006033A4">
              <w:rPr>
                <w:color w:val="000000"/>
                <w:shd w:val="clear" w:color="auto" w:fill="FFFFFF"/>
              </w:rPr>
              <w:t>–</w:t>
            </w:r>
            <w:r w:rsidR="00D27F07" w:rsidRPr="00DD6E6B">
              <w:rPr>
                <w:color w:val="0D0D0D" w:themeColor="text1" w:themeTint="F2"/>
                <w:spacing w:val="-4"/>
                <w:lang w:val="en-GB"/>
              </w:rPr>
              <w:t>3</w:t>
            </w:r>
            <w:r w:rsidR="00971D19" w:rsidRPr="00DD6E6B">
              <w:rPr>
                <w:color w:val="0D0D0D" w:themeColor="text1" w:themeTint="F2"/>
                <w:spacing w:val="-4"/>
                <w:lang w:val="en-GB"/>
              </w:rPr>
              <w:t>.</w:t>
            </w:r>
            <w:r w:rsidR="00D27F07" w:rsidRPr="00DD6E6B">
              <w:rPr>
                <w:color w:val="0D0D0D" w:themeColor="text1" w:themeTint="F2"/>
                <w:spacing w:val="-4"/>
                <w:lang w:val="en-GB"/>
              </w:rPr>
              <w:t xml:space="preserve">7%), </w:t>
            </w:r>
            <w:r w:rsidR="002C7B33" w:rsidRPr="00DD6E6B">
              <w:rPr>
                <w:color w:val="0D0D0D" w:themeColor="text1" w:themeTint="F2"/>
                <w:spacing w:val="-4"/>
                <w:lang w:val="en-GB"/>
              </w:rPr>
              <w:t xml:space="preserve">which partially benefited </w:t>
            </w:r>
            <w:r>
              <w:rPr>
                <w:color w:val="0D0D0D" w:themeColor="text1" w:themeTint="F2"/>
                <w:spacing w:val="-4"/>
                <w:lang w:val="en-GB"/>
              </w:rPr>
              <w:t>from</w:t>
            </w:r>
            <w:r w:rsidR="009463E1" w:rsidRPr="00DD6E6B">
              <w:rPr>
                <w:color w:val="0D0D0D" w:themeColor="text1" w:themeTint="F2"/>
                <w:spacing w:val="-4"/>
                <w:lang w:val="en-GB"/>
              </w:rPr>
              <w:t xml:space="preserve"> demand in the associated manufacturing of motor vehicles </w:t>
            </w:r>
            <w:r w:rsidR="00791D9E" w:rsidRPr="00DD6E6B">
              <w:rPr>
                <w:color w:val="0D0D0D" w:themeColor="text1" w:themeTint="F2"/>
                <w:spacing w:val="-4"/>
                <w:lang w:val="en-GB"/>
              </w:rPr>
              <w:t>also attained</w:t>
            </w:r>
            <w:r w:rsidR="000B617A" w:rsidRPr="00DD6E6B">
              <w:rPr>
                <w:color w:val="0D0D0D" w:themeColor="text1" w:themeTint="F2"/>
                <w:spacing w:val="-4"/>
                <w:lang w:val="en-GB"/>
              </w:rPr>
              <w:t xml:space="preserve"> a milder slump of production</w:t>
            </w:r>
            <w:r w:rsidR="00D27F07" w:rsidRPr="00DD6E6B">
              <w:rPr>
                <w:color w:val="0D0D0D" w:themeColor="text1" w:themeTint="F2"/>
                <w:spacing w:val="-4"/>
                <w:lang w:val="en-GB"/>
              </w:rPr>
              <w:t xml:space="preserve">. </w:t>
            </w:r>
          </w:p>
        </w:tc>
      </w:tr>
      <w:tr w:rsidR="00D27F07" w:rsidRPr="00DD6E6B" w14:paraId="75F880DB" w14:textId="77777777" w:rsidTr="00D80129">
        <w:trPr>
          <w:trHeight w:val="145"/>
        </w:trPr>
        <w:tc>
          <w:tcPr>
            <w:tcW w:w="1678" w:type="dxa"/>
            <w:tcBorders>
              <w:top w:val="nil"/>
              <w:left w:val="nil"/>
              <w:bottom w:val="nil"/>
              <w:right w:val="nil"/>
            </w:tcBorders>
            <w:shd w:val="clear" w:color="auto" w:fill="auto"/>
            <w:tcMar>
              <w:left w:w="0" w:type="dxa"/>
            </w:tcMar>
          </w:tcPr>
          <w:p w14:paraId="64AD6526" w14:textId="2BAD0F99" w:rsidR="00D27F07" w:rsidRPr="00DD6E6B" w:rsidRDefault="00D27F07" w:rsidP="00D42399">
            <w:pPr>
              <w:pStyle w:val="Marginlie"/>
              <w:rPr>
                <w:color w:val="0D0D0D" w:themeColor="text1" w:themeTint="F2"/>
                <w:spacing w:val="-4"/>
                <w:lang w:val="en-GB"/>
              </w:rPr>
            </w:pPr>
            <w:r w:rsidRPr="00DD6E6B">
              <w:rPr>
                <w:color w:val="0D0D0D" w:themeColor="text1" w:themeTint="F2"/>
                <w:spacing w:val="-4"/>
                <w:lang w:val="en-GB"/>
              </w:rPr>
              <w:lastRenderedPageBreak/>
              <w:t>D</w:t>
            </w:r>
            <w:r w:rsidR="000C08B1" w:rsidRPr="00DD6E6B">
              <w:rPr>
                <w:color w:val="0D0D0D" w:themeColor="text1" w:themeTint="F2"/>
                <w:spacing w:val="-4"/>
                <w:lang w:val="en-GB"/>
              </w:rPr>
              <w:t>ouble</w:t>
            </w:r>
            <w:r w:rsidR="00033605" w:rsidRPr="00DD6E6B">
              <w:rPr>
                <w:color w:val="0D0D0D" w:themeColor="text1" w:themeTint="F2"/>
                <w:spacing w:val="-4"/>
                <w:lang w:val="en-GB"/>
              </w:rPr>
              <w:t>-</w:t>
            </w:r>
            <w:r w:rsidR="000C08B1" w:rsidRPr="00DD6E6B">
              <w:rPr>
                <w:color w:val="0D0D0D" w:themeColor="text1" w:themeTint="F2"/>
                <w:spacing w:val="-4"/>
                <w:lang w:val="en-GB"/>
              </w:rPr>
              <w:t>digit decrease of production afflicted</w:t>
            </w:r>
            <w:r w:rsidR="001718E1" w:rsidRPr="00DD6E6B">
              <w:rPr>
                <w:color w:val="0D0D0D" w:themeColor="text1" w:themeTint="F2"/>
                <w:spacing w:val="-4"/>
                <w:lang w:val="en-GB"/>
              </w:rPr>
              <w:t xml:space="preserve"> printing</w:t>
            </w:r>
            <w:r w:rsidR="00B014F7" w:rsidRPr="00DD6E6B">
              <w:rPr>
                <w:color w:val="0D0D0D" w:themeColor="text1" w:themeTint="F2"/>
                <w:spacing w:val="-4"/>
                <w:lang w:val="en-GB"/>
              </w:rPr>
              <w:t xml:space="preserve"> industry, manufacture of textiles or furniture. </w:t>
            </w:r>
            <w:r w:rsidRPr="00DD6E6B">
              <w:rPr>
                <w:color w:val="0D0D0D" w:themeColor="text1" w:themeTint="F2"/>
                <w:spacing w:val="-4"/>
                <w:lang w:val="en-GB"/>
              </w:rPr>
              <w:t xml:space="preserve"> </w:t>
            </w:r>
          </w:p>
          <w:p w14:paraId="6B0E518C" w14:textId="77777777" w:rsidR="00D27F07" w:rsidRPr="00DD6E6B" w:rsidRDefault="00D27F07" w:rsidP="00D42399">
            <w:pPr>
              <w:pStyle w:val="Marginlie"/>
              <w:rPr>
                <w:color w:val="0D0D0D" w:themeColor="text1" w:themeTint="F2"/>
                <w:spacing w:val="-4"/>
                <w:lang w:val="en-GB"/>
              </w:rPr>
            </w:pPr>
          </w:p>
          <w:p w14:paraId="1F5B5389" w14:textId="77777777" w:rsidR="00D27F07" w:rsidRPr="00DD6E6B" w:rsidRDefault="00D27F07" w:rsidP="00D42399">
            <w:pPr>
              <w:pStyle w:val="Marginlie"/>
              <w:rPr>
                <w:color w:val="0D0D0D" w:themeColor="text1" w:themeTint="F2"/>
                <w:spacing w:val="-4"/>
                <w:lang w:val="en-GB"/>
              </w:rPr>
            </w:pPr>
          </w:p>
          <w:p w14:paraId="0DA062FF" w14:textId="492C88E2" w:rsidR="00D27F07" w:rsidRPr="00DD6E6B" w:rsidRDefault="00B014F7" w:rsidP="00D42399">
            <w:pPr>
              <w:pStyle w:val="Marginlie"/>
              <w:rPr>
                <w:color w:val="0D0D0D" w:themeColor="text1" w:themeTint="F2"/>
                <w:spacing w:val="-4"/>
                <w:lang w:val="en-GB"/>
              </w:rPr>
            </w:pPr>
            <w:r w:rsidRPr="00DD6E6B">
              <w:rPr>
                <w:color w:val="0D0D0D" w:themeColor="text1" w:themeTint="F2"/>
                <w:spacing w:val="-4"/>
                <w:lang w:val="en-GB"/>
              </w:rPr>
              <w:t>Falling purchasing pow</w:t>
            </w:r>
            <w:r w:rsidR="007E5815" w:rsidRPr="00DD6E6B">
              <w:rPr>
                <w:color w:val="0D0D0D" w:themeColor="text1" w:themeTint="F2"/>
                <w:spacing w:val="-4"/>
                <w:lang w:val="en-GB"/>
              </w:rPr>
              <w:t>er of</w:t>
            </w:r>
            <w:r w:rsidRPr="00DD6E6B">
              <w:rPr>
                <w:color w:val="0D0D0D" w:themeColor="text1" w:themeTint="F2"/>
                <w:spacing w:val="-4"/>
                <w:lang w:val="en-GB"/>
              </w:rPr>
              <w:t xml:space="preserve"> domestic households led to lower production in </w:t>
            </w:r>
            <w:r w:rsidR="007E5815" w:rsidRPr="00DD6E6B">
              <w:rPr>
                <w:color w:val="0D0D0D" w:themeColor="text1" w:themeTint="F2"/>
                <w:spacing w:val="-4"/>
                <w:lang w:val="en-GB"/>
              </w:rPr>
              <w:t xml:space="preserve">both food and beverage industry. </w:t>
            </w:r>
          </w:p>
        </w:tc>
        <w:tc>
          <w:tcPr>
            <w:tcW w:w="194" w:type="dxa"/>
            <w:tcBorders>
              <w:top w:val="nil"/>
              <w:left w:val="nil"/>
              <w:bottom w:val="nil"/>
              <w:right w:val="nil"/>
            </w:tcBorders>
            <w:shd w:val="clear" w:color="auto" w:fill="auto"/>
            <w:tcMar>
              <w:left w:w="0" w:type="dxa"/>
            </w:tcMar>
          </w:tcPr>
          <w:p w14:paraId="5D029B44" w14:textId="77777777" w:rsidR="00D27F07" w:rsidRPr="00DD6E6B" w:rsidRDefault="00D27F07" w:rsidP="00D4239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480B563F" w14:textId="1D7A3E76" w:rsidR="00D27F07" w:rsidRPr="00DD6E6B" w:rsidRDefault="00F56250" w:rsidP="00D42399">
            <w:pPr>
              <w:spacing w:after="200"/>
              <w:rPr>
                <w:color w:val="0D0D0D" w:themeColor="text1" w:themeTint="F2"/>
                <w:spacing w:val="-4"/>
                <w:lang w:val="en-GB"/>
              </w:rPr>
            </w:pPr>
            <w:r w:rsidRPr="00DD6E6B">
              <w:rPr>
                <w:color w:val="0D0D0D" w:themeColor="text1" w:themeTint="F2"/>
                <w:spacing w:val="-4"/>
                <w:lang w:val="en-GB"/>
              </w:rPr>
              <w:t xml:space="preserve">The majority of smaller manufacturing activities also faced the </w:t>
            </w:r>
            <w:r w:rsidR="000317F0" w:rsidRPr="00DD6E6B">
              <w:rPr>
                <w:color w:val="0D0D0D" w:themeColor="text1" w:themeTint="F2"/>
                <w:spacing w:val="-4"/>
                <w:lang w:val="en-GB"/>
              </w:rPr>
              <w:t>reduced demand in H1</w:t>
            </w:r>
            <w:r w:rsidR="00D27F07" w:rsidRPr="00DD6E6B">
              <w:rPr>
                <w:color w:val="0D0D0D" w:themeColor="text1" w:themeTint="F2"/>
                <w:spacing w:val="-4"/>
                <w:lang w:val="en-GB"/>
              </w:rPr>
              <w:t xml:space="preserve">. </w:t>
            </w:r>
            <w:r w:rsidR="00A75684" w:rsidRPr="00DD6E6B">
              <w:rPr>
                <w:color w:val="0D0D0D" w:themeColor="text1" w:themeTint="F2"/>
                <w:spacing w:val="-4"/>
                <w:lang w:val="en-GB"/>
              </w:rPr>
              <w:t xml:space="preserve">The output thus plummeted </w:t>
            </w:r>
            <w:r w:rsidR="00014731" w:rsidRPr="00DD6E6B">
              <w:rPr>
                <w:color w:val="0D0D0D" w:themeColor="text1" w:themeTint="F2"/>
                <w:spacing w:val="-4"/>
                <w:lang w:val="en-GB"/>
              </w:rPr>
              <w:t xml:space="preserve">by </w:t>
            </w:r>
            <w:r w:rsidR="00D27F07" w:rsidRPr="00DD6E6B">
              <w:rPr>
                <w:color w:val="0D0D0D" w:themeColor="text1" w:themeTint="F2"/>
                <w:spacing w:val="-4"/>
                <w:lang w:val="en-GB"/>
              </w:rPr>
              <w:t>18</w:t>
            </w:r>
            <w:r w:rsidR="00014731" w:rsidRPr="00DD6E6B">
              <w:rPr>
                <w:color w:val="0D0D0D" w:themeColor="text1" w:themeTint="F2"/>
                <w:spacing w:val="-4"/>
                <w:lang w:val="en-GB"/>
              </w:rPr>
              <w:t>.</w:t>
            </w:r>
            <w:r w:rsidR="00D27F07" w:rsidRPr="00DD6E6B">
              <w:rPr>
                <w:color w:val="0D0D0D" w:themeColor="text1" w:themeTint="F2"/>
                <w:spacing w:val="-4"/>
                <w:lang w:val="en-GB"/>
              </w:rPr>
              <w:t>4%</w:t>
            </w:r>
            <w:r w:rsidR="00014731" w:rsidRPr="00DD6E6B">
              <w:rPr>
                <w:color w:val="0D0D0D" w:themeColor="text1" w:themeTint="F2"/>
                <w:spacing w:val="-4"/>
                <w:lang w:val="en-GB"/>
              </w:rPr>
              <w:t xml:space="preserve"> year-on-year in the printing industry</w:t>
            </w:r>
            <w:r w:rsidR="00D27F07" w:rsidRPr="00DD6E6B">
              <w:rPr>
                <w:color w:val="0D0D0D" w:themeColor="text1" w:themeTint="F2"/>
                <w:spacing w:val="-4"/>
                <w:lang w:val="en-GB"/>
              </w:rPr>
              <w:t xml:space="preserve">, </w:t>
            </w:r>
            <w:r w:rsidR="00014731" w:rsidRPr="00DD6E6B">
              <w:rPr>
                <w:color w:val="0D0D0D" w:themeColor="text1" w:themeTint="F2"/>
                <w:spacing w:val="-4"/>
                <w:lang w:val="en-GB"/>
              </w:rPr>
              <w:t xml:space="preserve">by </w:t>
            </w:r>
            <w:r w:rsidR="00D27F07" w:rsidRPr="00DD6E6B">
              <w:rPr>
                <w:color w:val="0D0D0D" w:themeColor="text1" w:themeTint="F2"/>
                <w:spacing w:val="-4"/>
                <w:lang w:val="en-GB"/>
              </w:rPr>
              <w:t>11</w:t>
            </w:r>
            <w:r w:rsidR="00014731" w:rsidRPr="00DD6E6B">
              <w:rPr>
                <w:color w:val="0D0D0D" w:themeColor="text1" w:themeTint="F2"/>
                <w:spacing w:val="-4"/>
                <w:lang w:val="en-GB"/>
              </w:rPr>
              <w:t>.</w:t>
            </w:r>
            <w:r w:rsidR="00D27F07" w:rsidRPr="00DD6E6B">
              <w:rPr>
                <w:color w:val="0D0D0D" w:themeColor="text1" w:themeTint="F2"/>
                <w:spacing w:val="-4"/>
                <w:lang w:val="en-GB"/>
              </w:rPr>
              <w:t>7%</w:t>
            </w:r>
            <w:r w:rsidR="00014731" w:rsidRPr="00DD6E6B">
              <w:rPr>
                <w:color w:val="0D0D0D" w:themeColor="text1" w:themeTint="F2"/>
                <w:spacing w:val="-4"/>
                <w:lang w:val="en-GB"/>
              </w:rPr>
              <w:t xml:space="preserve"> in manufacturing of textile products</w:t>
            </w:r>
            <w:r w:rsidR="00D27F07" w:rsidRPr="00DD6E6B">
              <w:rPr>
                <w:color w:val="0D0D0D" w:themeColor="text1" w:themeTint="F2"/>
                <w:spacing w:val="-4"/>
                <w:lang w:val="en-GB"/>
              </w:rPr>
              <w:t xml:space="preserve">. </w:t>
            </w:r>
            <w:r w:rsidR="00D66CCD" w:rsidRPr="00DD6E6B">
              <w:rPr>
                <w:color w:val="0D0D0D" w:themeColor="text1" w:themeTint="F2"/>
                <w:spacing w:val="-4"/>
                <w:lang w:val="en-GB"/>
              </w:rPr>
              <w:t xml:space="preserve">Approximately </w:t>
            </w:r>
            <w:r w:rsidR="00D27F07" w:rsidRPr="00DD6E6B">
              <w:rPr>
                <w:color w:val="0D0D0D" w:themeColor="text1" w:themeTint="F2"/>
                <w:spacing w:val="-4"/>
                <w:lang w:val="en-GB"/>
              </w:rPr>
              <w:t xml:space="preserve">10% </w:t>
            </w:r>
            <w:r w:rsidR="00477469" w:rsidRPr="00DD6E6B">
              <w:rPr>
                <w:color w:val="0D0D0D" w:themeColor="text1" w:themeTint="F2"/>
                <w:spacing w:val="-4"/>
                <w:lang w:val="en-GB"/>
              </w:rPr>
              <w:t xml:space="preserve">production slump </w:t>
            </w:r>
            <w:r w:rsidR="007343C9">
              <w:rPr>
                <w:color w:val="0D0D0D" w:themeColor="text1" w:themeTint="F2"/>
                <w:spacing w:val="-4"/>
                <w:lang w:val="en-GB"/>
              </w:rPr>
              <w:t>(</w:t>
            </w:r>
            <w:r w:rsidR="00477469" w:rsidRPr="00DD6E6B">
              <w:rPr>
                <w:color w:val="0D0D0D" w:themeColor="text1" w:themeTint="F2"/>
                <w:spacing w:val="-4"/>
                <w:lang w:val="en-GB"/>
              </w:rPr>
              <w:t>commenced last year</w:t>
            </w:r>
            <w:r w:rsidR="007343C9">
              <w:rPr>
                <w:color w:val="0D0D0D" w:themeColor="text1" w:themeTint="F2"/>
                <w:spacing w:val="-4"/>
                <w:lang w:val="en-GB"/>
              </w:rPr>
              <w:t>)</w:t>
            </w:r>
            <w:r w:rsidR="00477469" w:rsidRPr="00DD6E6B">
              <w:rPr>
                <w:color w:val="0D0D0D" w:themeColor="text1" w:themeTint="F2"/>
                <w:spacing w:val="-4"/>
                <w:lang w:val="en-GB"/>
              </w:rPr>
              <w:t xml:space="preserve"> </w:t>
            </w:r>
            <w:r w:rsidR="008D6FA1" w:rsidRPr="00DD6E6B">
              <w:rPr>
                <w:color w:val="0D0D0D" w:themeColor="text1" w:themeTint="F2"/>
                <w:spacing w:val="-4"/>
                <w:lang w:val="en-GB"/>
              </w:rPr>
              <w:t>continued</w:t>
            </w:r>
            <w:r w:rsidR="00D66CCD" w:rsidRPr="00DD6E6B">
              <w:rPr>
                <w:color w:val="0D0D0D" w:themeColor="text1" w:themeTint="F2"/>
                <w:spacing w:val="-4"/>
                <w:lang w:val="en-GB"/>
              </w:rPr>
              <w:t xml:space="preserve"> in the wood industry</w:t>
            </w:r>
            <w:r w:rsidR="00D27F07" w:rsidRPr="00DD6E6B">
              <w:rPr>
                <w:color w:val="0D0D0D" w:themeColor="text1" w:themeTint="F2"/>
                <w:spacing w:val="-4"/>
                <w:lang w:val="en-GB"/>
              </w:rPr>
              <w:t xml:space="preserve">. </w:t>
            </w:r>
            <w:r w:rsidR="00F710A4" w:rsidRPr="00DD6E6B">
              <w:rPr>
                <w:color w:val="0D0D0D" w:themeColor="text1" w:themeTint="F2"/>
                <w:spacing w:val="-4"/>
                <w:lang w:val="en-GB"/>
              </w:rPr>
              <w:t xml:space="preserve">The effect of the lower </w:t>
            </w:r>
            <w:r w:rsidR="00D72986" w:rsidRPr="00DD6E6B">
              <w:rPr>
                <w:color w:val="0D0D0D" w:themeColor="text1" w:themeTint="F2"/>
                <w:spacing w:val="-4"/>
                <w:lang w:val="en-GB"/>
              </w:rPr>
              <w:t xml:space="preserve">wood logging </w:t>
            </w:r>
            <w:r w:rsidR="006B21A0" w:rsidRPr="00DD6E6B">
              <w:rPr>
                <w:color w:val="0D0D0D" w:themeColor="text1" w:themeTint="F2"/>
                <w:spacing w:val="-4"/>
                <w:lang w:val="en-GB"/>
              </w:rPr>
              <w:t xml:space="preserve">due to gradual decline of the bark beetle calamity </w:t>
            </w:r>
            <w:r w:rsidR="00127256" w:rsidRPr="00DD6E6B">
              <w:rPr>
                <w:color w:val="0D0D0D" w:themeColor="text1" w:themeTint="F2"/>
                <w:spacing w:val="-4"/>
                <w:lang w:val="en-GB"/>
              </w:rPr>
              <w:t>outweighed</w:t>
            </w:r>
            <w:r w:rsidR="00452FE9" w:rsidRPr="00DD6E6B">
              <w:rPr>
                <w:color w:val="0D0D0D" w:themeColor="text1" w:themeTint="F2"/>
                <w:spacing w:val="-4"/>
                <w:lang w:val="en-GB"/>
              </w:rPr>
              <w:t xml:space="preserve"> the impact of the rising demand for wood </w:t>
            </w:r>
            <w:r w:rsidR="00B3082E" w:rsidRPr="00DD6E6B">
              <w:rPr>
                <w:color w:val="0D0D0D" w:themeColor="text1" w:themeTint="F2"/>
                <w:spacing w:val="-4"/>
                <w:lang w:val="en-GB"/>
              </w:rPr>
              <w:t>ignited</w:t>
            </w:r>
            <w:r w:rsidR="00127256" w:rsidRPr="00DD6E6B">
              <w:rPr>
                <w:color w:val="0D0D0D" w:themeColor="text1" w:themeTint="F2"/>
                <w:spacing w:val="-4"/>
                <w:lang w:val="en-GB"/>
              </w:rPr>
              <w:t xml:space="preserve"> by the energy crisis. </w:t>
            </w:r>
            <w:r w:rsidR="00B1192D" w:rsidRPr="00DD6E6B">
              <w:rPr>
                <w:color w:val="0D0D0D" w:themeColor="text1" w:themeTint="F2"/>
                <w:spacing w:val="-4"/>
                <w:lang w:val="en-GB"/>
              </w:rPr>
              <w:t xml:space="preserve">Also in the attached manufacturing of paper products the performance </w:t>
            </w:r>
            <w:r w:rsidR="00B3082E" w:rsidRPr="00DD6E6B">
              <w:rPr>
                <w:color w:val="0D0D0D" w:themeColor="text1" w:themeTint="F2"/>
                <w:spacing w:val="-4"/>
                <w:lang w:val="en-GB"/>
              </w:rPr>
              <w:t xml:space="preserve">dived by nearly one tenth year-on-year this year, </w:t>
            </w:r>
            <w:r w:rsidR="00862D2B" w:rsidRPr="00DD6E6B">
              <w:rPr>
                <w:color w:val="0D0D0D" w:themeColor="text1" w:themeTint="F2"/>
                <w:spacing w:val="-4"/>
                <w:lang w:val="en-GB"/>
              </w:rPr>
              <w:t xml:space="preserve">in manufacturing of </w:t>
            </w:r>
            <w:r w:rsidR="00AE14A7" w:rsidRPr="00DD6E6B">
              <w:rPr>
                <w:color w:val="0D0D0D" w:themeColor="text1" w:themeTint="F2"/>
                <w:spacing w:val="-4"/>
                <w:lang w:val="en-GB"/>
              </w:rPr>
              <w:t>furniture</w:t>
            </w:r>
            <w:r w:rsidR="00862D2B" w:rsidRPr="00DD6E6B">
              <w:rPr>
                <w:color w:val="0D0D0D" w:themeColor="text1" w:themeTint="F2"/>
                <w:spacing w:val="-4"/>
                <w:lang w:val="en-GB"/>
              </w:rPr>
              <w:t xml:space="preserve"> hit mainly by </w:t>
            </w:r>
            <w:r w:rsidR="00221139" w:rsidRPr="00DD6E6B">
              <w:rPr>
                <w:color w:val="0D0D0D" w:themeColor="text1" w:themeTint="F2"/>
                <w:spacing w:val="-4"/>
                <w:lang w:val="en-GB"/>
              </w:rPr>
              <w:t xml:space="preserve">weak sales abroad then by </w:t>
            </w:r>
            <w:r w:rsidR="00AE14A7" w:rsidRPr="00DD6E6B">
              <w:rPr>
                <w:color w:val="0D0D0D" w:themeColor="text1" w:themeTint="F2"/>
                <w:spacing w:val="-4"/>
                <w:lang w:val="en-GB"/>
              </w:rPr>
              <w:t xml:space="preserve">entire </w:t>
            </w:r>
            <w:r w:rsidR="00221139" w:rsidRPr="00DD6E6B">
              <w:rPr>
                <w:color w:val="0D0D0D" w:themeColor="text1" w:themeTint="F2"/>
                <w:spacing w:val="-4"/>
                <w:lang w:val="en-GB"/>
              </w:rPr>
              <w:t xml:space="preserve">one sixth. </w:t>
            </w:r>
            <w:r w:rsidR="009A09E1" w:rsidRPr="00DD6E6B">
              <w:rPr>
                <w:color w:val="0D0D0D" w:themeColor="text1" w:themeTint="F2"/>
                <w:spacing w:val="-4"/>
                <w:lang w:val="en-GB"/>
              </w:rPr>
              <w:t xml:space="preserve">High growth of production costs together with </w:t>
            </w:r>
            <w:r w:rsidR="001273CF" w:rsidRPr="00DD6E6B">
              <w:rPr>
                <w:color w:val="0D0D0D" w:themeColor="text1" w:themeTint="F2"/>
                <w:spacing w:val="-4"/>
                <w:lang w:val="en-GB"/>
              </w:rPr>
              <w:t xml:space="preserve">falling consumption of domestic households led to lower production of both beverages </w:t>
            </w:r>
            <w:r w:rsidR="006033A4">
              <w:rPr>
                <w:color w:val="0D0D0D" w:themeColor="text1" w:themeTint="F2"/>
                <w:spacing w:val="-3"/>
                <w:lang w:val="en-GB"/>
              </w:rPr>
              <w:t>(</w:t>
            </w:r>
            <w:r w:rsidR="006033A4">
              <w:rPr>
                <w:color w:val="000000"/>
                <w:shd w:val="clear" w:color="auto" w:fill="FFFFFF"/>
              </w:rPr>
              <w:t>–</w:t>
            </w:r>
            <w:r w:rsidR="00D27F07" w:rsidRPr="00DD6E6B">
              <w:rPr>
                <w:color w:val="0D0D0D" w:themeColor="text1" w:themeTint="F2"/>
                <w:spacing w:val="-3"/>
                <w:lang w:val="en-GB"/>
              </w:rPr>
              <w:t>2</w:t>
            </w:r>
            <w:r w:rsidR="001273CF" w:rsidRPr="00DD6E6B">
              <w:rPr>
                <w:color w:val="0D0D0D" w:themeColor="text1" w:themeTint="F2"/>
                <w:spacing w:val="-3"/>
                <w:lang w:val="en-GB"/>
              </w:rPr>
              <w:t>.</w:t>
            </w:r>
            <w:r w:rsidR="00D27F07" w:rsidRPr="00DD6E6B">
              <w:rPr>
                <w:color w:val="0D0D0D" w:themeColor="text1" w:themeTint="F2"/>
                <w:spacing w:val="-3"/>
                <w:lang w:val="en-GB"/>
              </w:rPr>
              <w:t xml:space="preserve">7%) </w:t>
            </w:r>
            <w:r w:rsidR="001273CF" w:rsidRPr="00DD6E6B">
              <w:rPr>
                <w:color w:val="0D0D0D" w:themeColor="text1" w:themeTint="F2"/>
                <w:spacing w:val="-3"/>
                <w:lang w:val="en-GB"/>
              </w:rPr>
              <w:t xml:space="preserve">or food industry </w:t>
            </w:r>
            <w:r w:rsidR="006033A4">
              <w:rPr>
                <w:color w:val="0D0D0D" w:themeColor="text1" w:themeTint="F2"/>
                <w:spacing w:val="-3"/>
                <w:lang w:val="en-GB"/>
              </w:rPr>
              <w:t>(</w:t>
            </w:r>
            <w:r w:rsidR="006033A4">
              <w:rPr>
                <w:color w:val="000000"/>
                <w:shd w:val="clear" w:color="auto" w:fill="FFFFFF"/>
              </w:rPr>
              <w:t>–</w:t>
            </w:r>
            <w:r w:rsidR="00D27F07" w:rsidRPr="00DD6E6B">
              <w:rPr>
                <w:color w:val="0D0D0D" w:themeColor="text1" w:themeTint="F2"/>
                <w:spacing w:val="-3"/>
                <w:lang w:val="en-GB"/>
              </w:rPr>
              <w:t>3</w:t>
            </w:r>
            <w:r w:rsidR="00330A2C" w:rsidRPr="00DD6E6B">
              <w:rPr>
                <w:color w:val="0D0D0D" w:themeColor="text1" w:themeTint="F2"/>
                <w:spacing w:val="-3"/>
                <w:lang w:val="en-GB"/>
              </w:rPr>
              <w:t>.</w:t>
            </w:r>
            <w:r w:rsidR="00D27F07" w:rsidRPr="00DD6E6B">
              <w:rPr>
                <w:color w:val="0D0D0D" w:themeColor="text1" w:themeTint="F2"/>
                <w:spacing w:val="-3"/>
                <w:lang w:val="en-GB"/>
              </w:rPr>
              <w:t xml:space="preserve">6%, </w:t>
            </w:r>
            <w:r w:rsidR="00330A2C" w:rsidRPr="00DD6E6B">
              <w:rPr>
                <w:color w:val="0D0D0D" w:themeColor="text1" w:themeTint="F2"/>
                <w:spacing w:val="-3"/>
                <w:lang w:val="en-GB"/>
              </w:rPr>
              <w:t xml:space="preserve">the worst half-yearly </w:t>
            </w:r>
            <w:r w:rsidR="00AE4A50" w:rsidRPr="00DD6E6B">
              <w:rPr>
                <w:color w:val="0D0D0D" w:themeColor="text1" w:themeTint="F2"/>
                <w:spacing w:val="-3"/>
                <w:lang w:val="en-GB"/>
              </w:rPr>
              <w:t xml:space="preserve">result since the end of year </w:t>
            </w:r>
            <w:r w:rsidR="00D27F07" w:rsidRPr="00DD6E6B">
              <w:rPr>
                <w:color w:val="0D0D0D" w:themeColor="text1" w:themeTint="F2"/>
                <w:spacing w:val="-3"/>
                <w:lang w:val="en-GB"/>
              </w:rPr>
              <w:t>2011).</w:t>
            </w:r>
            <w:r w:rsidR="00D27F07" w:rsidRPr="00DD6E6B">
              <w:rPr>
                <w:color w:val="0D0D0D" w:themeColor="text1" w:themeTint="F2"/>
                <w:spacing w:val="-4"/>
                <w:lang w:val="en-GB"/>
              </w:rPr>
              <w:t xml:space="preserve"> </w:t>
            </w:r>
          </w:p>
        </w:tc>
      </w:tr>
      <w:tr w:rsidR="00D27F07" w:rsidRPr="00DD6E6B" w14:paraId="1EDA50E8" w14:textId="77777777" w:rsidTr="00D80129">
        <w:trPr>
          <w:trHeight w:val="170"/>
        </w:trPr>
        <w:tc>
          <w:tcPr>
            <w:tcW w:w="1678" w:type="dxa"/>
            <w:vMerge w:val="restart"/>
            <w:tcBorders>
              <w:top w:val="nil"/>
              <w:left w:val="nil"/>
              <w:bottom w:val="nil"/>
              <w:right w:val="nil"/>
            </w:tcBorders>
            <w:shd w:val="clear" w:color="auto" w:fill="auto"/>
            <w:tcMar>
              <w:left w:w="0" w:type="dxa"/>
            </w:tcMar>
          </w:tcPr>
          <w:p w14:paraId="52195147" w14:textId="77777777" w:rsidR="00D27F07" w:rsidRPr="00DD6E6B" w:rsidRDefault="00D27F07" w:rsidP="00D4239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304FF666"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06AC6639" w14:textId="25DD6CE6" w:rsidR="00D27F07" w:rsidRPr="00DD6E6B" w:rsidRDefault="000C08B1" w:rsidP="00024D0A">
            <w:pPr>
              <w:spacing w:after="0"/>
              <w:rPr>
                <w:spacing w:val="-2"/>
                <w:lang w:val="en-GB"/>
              </w:rPr>
            </w:pPr>
            <w:r w:rsidRPr="00DD6E6B">
              <w:rPr>
                <w:rFonts w:cs="Arial"/>
                <w:b/>
                <w:bCs/>
                <w:color w:val="000000"/>
                <w:spacing w:val="-2"/>
                <w:szCs w:val="20"/>
                <w:lang w:val="en-GB"/>
              </w:rPr>
              <w:t xml:space="preserve">Chart </w:t>
            </w:r>
            <w:r w:rsidR="00D27F07" w:rsidRPr="00DD6E6B">
              <w:rPr>
                <w:rFonts w:cs="Arial"/>
                <w:b/>
                <w:bCs/>
                <w:color w:val="000000"/>
                <w:spacing w:val="-2"/>
                <w:szCs w:val="20"/>
                <w:lang w:val="en-GB"/>
              </w:rPr>
              <w:t xml:space="preserve">4 </w:t>
            </w:r>
            <w:r w:rsidR="00024D0A" w:rsidRPr="00877F35">
              <w:rPr>
                <w:b/>
                <w:spacing w:val="-2"/>
                <w:lang w:val="en-GB"/>
              </w:rPr>
              <w:t xml:space="preserve">Contributions of sub-branches to the year-on-year change of the industrial production </w:t>
            </w:r>
            <w:r w:rsidR="00024D0A" w:rsidRPr="00877F35">
              <w:rPr>
                <w:spacing w:val="-2"/>
                <w:lang w:val="en-GB"/>
              </w:rPr>
              <w:t>(adjusted for calendar effects, real, in p.p.),</w:t>
            </w:r>
            <w:r w:rsidR="00024D0A" w:rsidRPr="00877F35">
              <w:rPr>
                <w:b/>
                <w:bCs/>
                <w:spacing w:val="-2"/>
                <w:lang w:val="en-GB"/>
              </w:rPr>
              <w:t xml:space="preserve"> production in the whole industry of CR, Germany and E</w:t>
            </w:r>
            <w:r w:rsidR="00024D0A" w:rsidRPr="00877F35">
              <w:rPr>
                <w:b/>
                <w:spacing w:val="-2"/>
                <w:lang w:val="en-GB"/>
              </w:rPr>
              <w:t xml:space="preserve">U27 </w:t>
            </w:r>
            <w:r w:rsidR="00024D0A" w:rsidRPr="00877F35">
              <w:rPr>
                <w:spacing w:val="-2"/>
                <w:lang w:val="en-GB"/>
              </w:rPr>
              <w:t>(seasonally adjust</w:t>
            </w:r>
            <w:r w:rsidR="004819D1">
              <w:rPr>
                <w:spacing w:val="-2"/>
                <w:lang w:val="en-GB"/>
              </w:rPr>
              <w:t>ed, base of 2015=100</w:t>
            </w:r>
            <w:r w:rsidR="00024D0A" w:rsidRPr="00DD6E6B">
              <w:rPr>
                <w:spacing w:val="-2"/>
                <w:lang w:val="en-GB"/>
              </w:rPr>
              <w:t>)</w:t>
            </w:r>
          </w:p>
        </w:tc>
      </w:tr>
      <w:tr w:rsidR="00D27F07" w:rsidRPr="00DD6E6B" w14:paraId="4C286A51" w14:textId="77777777" w:rsidTr="00D80129">
        <w:tblPrEx>
          <w:tblCellMar>
            <w:left w:w="70" w:type="dxa"/>
            <w:right w:w="70" w:type="dxa"/>
          </w:tblCellMar>
        </w:tblPrEx>
        <w:trPr>
          <w:trHeight w:val="170"/>
        </w:trPr>
        <w:tc>
          <w:tcPr>
            <w:tcW w:w="1678" w:type="dxa"/>
            <w:vMerge/>
            <w:tcBorders>
              <w:top w:val="nil"/>
              <w:left w:val="nil"/>
              <w:bottom w:val="nil"/>
              <w:right w:val="nil"/>
            </w:tcBorders>
            <w:shd w:val="clear" w:color="auto" w:fill="auto"/>
          </w:tcPr>
          <w:p w14:paraId="385E9099" w14:textId="77777777" w:rsidR="00D27F07" w:rsidRPr="00DD6E6B" w:rsidRDefault="00D27F07" w:rsidP="00D42399">
            <w:pPr>
              <w:pStyle w:val="Marginlie"/>
              <w:rPr>
                <w:lang w:val="en-GB"/>
              </w:rPr>
            </w:pPr>
          </w:p>
        </w:tc>
        <w:tc>
          <w:tcPr>
            <w:tcW w:w="194" w:type="dxa"/>
            <w:vMerge/>
            <w:tcBorders>
              <w:top w:val="nil"/>
              <w:left w:val="nil"/>
              <w:bottom w:val="nil"/>
              <w:right w:val="nil"/>
            </w:tcBorders>
            <w:shd w:val="clear" w:color="auto" w:fill="auto"/>
          </w:tcPr>
          <w:p w14:paraId="1EDE1FE4"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Pr>
          <w:p w14:paraId="4A7A2D4B" w14:textId="3500DC38" w:rsidR="00D27F07" w:rsidRPr="00DD6E6B" w:rsidRDefault="00024D0A" w:rsidP="00D42399">
            <w:pPr>
              <w:spacing w:after="0"/>
              <w:rPr>
                <w:spacing w:val="-6"/>
                <w:lang w:val="en-GB"/>
              </w:rPr>
            </w:pPr>
            <w:r>
              <w:rPr>
                <w:noProof/>
              </w:rPr>
              <w:drawing>
                <wp:inline distT="0" distB="0" distL="0" distR="0" wp14:anchorId="7D0D15CD" wp14:editId="5FE15511">
                  <wp:extent cx="4735830" cy="3769743"/>
                  <wp:effectExtent l="0" t="0" r="7620" b="254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D27F07" w:rsidRPr="00DD6E6B" w14:paraId="31CFE33F" w14:textId="77777777" w:rsidTr="00D80129">
        <w:trPr>
          <w:trHeight w:val="170"/>
        </w:trPr>
        <w:tc>
          <w:tcPr>
            <w:tcW w:w="1678" w:type="dxa"/>
            <w:vMerge/>
            <w:tcBorders>
              <w:top w:val="nil"/>
              <w:left w:val="nil"/>
              <w:bottom w:val="nil"/>
              <w:right w:val="nil"/>
            </w:tcBorders>
            <w:shd w:val="clear" w:color="auto" w:fill="auto"/>
            <w:tcMar>
              <w:left w:w="0" w:type="dxa"/>
            </w:tcMar>
          </w:tcPr>
          <w:p w14:paraId="4583779F" w14:textId="77777777" w:rsidR="00D27F07" w:rsidRPr="00DD6E6B" w:rsidRDefault="00D27F07" w:rsidP="00D42399">
            <w:pPr>
              <w:pStyle w:val="Marginlie"/>
              <w:rPr>
                <w:lang w:val="en-GB"/>
              </w:rPr>
            </w:pPr>
          </w:p>
        </w:tc>
        <w:tc>
          <w:tcPr>
            <w:tcW w:w="194" w:type="dxa"/>
            <w:vMerge/>
            <w:tcBorders>
              <w:top w:val="nil"/>
              <w:left w:val="nil"/>
              <w:bottom w:val="nil"/>
              <w:right w:val="nil"/>
            </w:tcBorders>
            <w:shd w:val="clear" w:color="auto" w:fill="auto"/>
            <w:tcMar>
              <w:left w:w="0" w:type="dxa"/>
            </w:tcMar>
          </w:tcPr>
          <w:p w14:paraId="5F90F291" w14:textId="77777777" w:rsidR="00D27F07" w:rsidRPr="00DD6E6B" w:rsidRDefault="00D27F07" w:rsidP="00D4239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6CCDD881" w14:textId="68FEFE86" w:rsidR="00024D0A" w:rsidRDefault="000C08B1" w:rsidP="00024D0A">
            <w:pPr>
              <w:tabs>
                <w:tab w:val="right" w:pos="7683"/>
              </w:tabs>
              <w:spacing w:after="0" w:line="240" w:lineRule="auto"/>
              <w:jc w:val="left"/>
              <w:rPr>
                <w:rFonts w:cs="Arial"/>
                <w:sz w:val="14"/>
                <w:szCs w:val="14"/>
                <w:lang w:val="en-GB"/>
              </w:rPr>
            </w:pPr>
            <w:r w:rsidRPr="00DD6E6B">
              <w:rPr>
                <w:rFonts w:cs="Arial"/>
                <w:sz w:val="14"/>
                <w:szCs w:val="14"/>
                <w:lang w:val="en-GB"/>
              </w:rPr>
              <w:t>Note</w:t>
            </w:r>
            <w:r w:rsidR="00D27F07" w:rsidRPr="00DD6E6B">
              <w:rPr>
                <w:rFonts w:cs="Arial"/>
                <w:sz w:val="14"/>
                <w:szCs w:val="14"/>
                <w:lang w:val="en-GB"/>
              </w:rPr>
              <w:t xml:space="preserve">: </w:t>
            </w:r>
            <w:r w:rsidR="00EB1E1E" w:rsidRPr="00DD6E6B">
              <w:rPr>
                <w:rFonts w:cs="Arial"/>
                <w:sz w:val="14"/>
                <w:szCs w:val="14"/>
                <w:lang w:val="en-GB"/>
              </w:rPr>
              <w:t>Sal</w:t>
            </w:r>
            <w:r w:rsidR="00024D0A">
              <w:rPr>
                <w:rFonts w:cs="Arial"/>
                <w:sz w:val="14"/>
                <w:szCs w:val="14"/>
                <w:lang w:val="en-GB"/>
              </w:rPr>
              <w:t>es are given in current prices</w:t>
            </w:r>
            <w:r w:rsidR="00D27F07" w:rsidRPr="00DD6E6B">
              <w:rPr>
                <w:rFonts w:cs="Arial"/>
                <w:sz w:val="14"/>
                <w:szCs w:val="14"/>
                <w:lang w:val="en-GB"/>
              </w:rPr>
              <w:t xml:space="preserve"> </w:t>
            </w:r>
          </w:p>
          <w:p w14:paraId="56B67C6A" w14:textId="7651D366" w:rsidR="00276498" w:rsidRPr="00024D0A" w:rsidRDefault="000C08B1" w:rsidP="004A5CBF">
            <w:pPr>
              <w:tabs>
                <w:tab w:val="right" w:pos="7683"/>
              </w:tabs>
              <w:spacing w:after="200" w:line="240" w:lineRule="auto"/>
              <w:jc w:val="left"/>
              <w:rPr>
                <w:rFonts w:cs="Arial"/>
                <w:sz w:val="14"/>
                <w:szCs w:val="14"/>
                <w:lang w:val="en-GB"/>
              </w:rPr>
            </w:pPr>
            <w:r w:rsidRPr="00DD6E6B">
              <w:rPr>
                <w:rFonts w:cs="Arial"/>
                <w:sz w:val="14"/>
                <w:szCs w:val="14"/>
                <w:lang w:val="en-GB"/>
              </w:rPr>
              <w:t>Source</w:t>
            </w:r>
            <w:r w:rsidR="00D27F07" w:rsidRPr="00DD6E6B">
              <w:rPr>
                <w:rFonts w:cs="Arial"/>
                <w:sz w:val="14"/>
                <w:szCs w:val="14"/>
                <w:lang w:val="en-GB"/>
              </w:rPr>
              <w:t xml:space="preserve">: </w:t>
            </w:r>
            <w:r w:rsidRPr="00DD6E6B">
              <w:rPr>
                <w:rFonts w:cs="Arial"/>
                <w:sz w:val="14"/>
                <w:szCs w:val="14"/>
                <w:lang w:val="en-GB"/>
              </w:rPr>
              <w:t>CZSO</w:t>
            </w:r>
            <w:r w:rsidR="00D27F07" w:rsidRPr="00DD6E6B">
              <w:rPr>
                <w:rFonts w:cs="Arial"/>
                <w:sz w:val="14"/>
                <w:szCs w:val="14"/>
                <w:lang w:val="en-GB"/>
              </w:rPr>
              <w:t>, Eurostat</w:t>
            </w:r>
          </w:p>
        </w:tc>
      </w:tr>
      <w:tr w:rsidR="00D80129" w:rsidRPr="00DD6E6B" w14:paraId="7E84102F" w14:textId="77777777" w:rsidTr="00D80129">
        <w:trPr>
          <w:trHeight w:val="170"/>
        </w:trPr>
        <w:tc>
          <w:tcPr>
            <w:tcW w:w="1678" w:type="dxa"/>
            <w:tcBorders>
              <w:top w:val="nil"/>
              <w:left w:val="nil"/>
              <w:bottom w:val="nil"/>
              <w:right w:val="nil"/>
            </w:tcBorders>
            <w:shd w:val="clear" w:color="auto" w:fill="auto"/>
            <w:tcMar>
              <w:left w:w="0" w:type="dxa"/>
            </w:tcMar>
          </w:tcPr>
          <w:p w14:paraId="2BA369E7"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Output downturn in mining of coals as well as construction materials, similarly to the energetics branch deepened in H1. </w:t>
            </w:r>
          </w:p>
          <w:p w14:paraId="3722956A" w14:textId="77777777" w:rsidR="00D80129" w:rsidRPr="00DD6E6B" w:rsidRDefault="00D80129" w:rsidP="00D80129">
            <w:pPr>
              <w:pStyle w:val="Marginlie"/>
              <w:rPr>
                <w:color w:val="0D0D0D" w:themeColor="text1" w:themeTint="F2"/>
                <w:spacing w:val="-4"/>
                <w:lang w:val="en-GB"/>
              </w:rPr>
            </w:pPr>
          </w:p>
          <w:p w14:paraId="44CADCD3" w14:textId="77777777" w:rsidR="00D80129" w:rsidRPr="00DD6E6B" w:rsidRDefault="00D80129" w:rsidP="00D80129">
            <w:pPr>
              <w:pStyle w:val="Marginlie"/>
              <w:rPr>
                <w:color w:val="0D0D0D" w:themeColor="text1" w:themeTint="F2"/>
                <w:spacing w:val="-4"/>
                <w:lang w:val="en-GB"/>
              </w:rPr>
            </w:pPr>
          </w:p>
          <w:p w14:paraId="358651E9" w14:textId="684D07B9" w:rsidR="00D80129" w:rsidRDefault="00D80129" w:rsidP="00D80129">
            <w:pPr>
              <w:pStyle w:val="Marginlie"/>
              <w:rPr>
                <w:color w:val="0D0D0D" w:themeColor="text1" w:themeTint="F2"/>
                <w:spacing w:val="-4"/>
                <w:lang w:val="en-GB"/>
              </w:rPr>
            </w:pPr>
          </w:p>
          <w:p w14:paraId="6E2E2C0E" w14:textId="05C40752" w:rsidR="00D80129" w:rsidRDefault="00D80129" w:rsidP="00D80129">
            <w:pPr>
              <w:pStyle w:val="Marginlie"/>
              <w:rPr>
                <w:color w:val="0D0D0D" w:themeColor="text1" w:themeTint="F2"/>
                <w:spacing w:val="-4"/>
                <w:lang w:val="en-GB"/>
              </w:rPr>
            </w:pPr>
          </w:p>
          <w:p w14:paraId="4C59820C" w14:textId="77777777" w:rsidR="00045447" w:rsidRDefault="00045447" w:rsidP="00D80129">
            <w:pPr>
              <w:pStyle w:val="Marginlie"/>
              <w:rPr>
                <w:color w:val="0D0D0D" w:themeColor="text1" w:themeTint="F2"/>
                <w:spacing w:val="-4"/>
                <w:lang w:val="en-GB"/>
              </w:rPr>
            </w:pPr>
          </w:p>
          <w:p w14:paraId="17462B72" w14:textId="77777777" w:rsidR="00D80129" w:rsidRPr="00DD6E6B" w:rsidRDefault="00D80129" w:rsidP="00D80129">
            <w:pPr>
              <w:pStyle w:val="Marginlie"/>
              <w:rPr>
                <w:color w:val="0D0D0D" w:themeColor="text1" w:themeTint="F2"/>
                <w:spacing w:val="-4"/>
                <w:lang w:val="en-GB"/>
              </w:rPr>
            </w:pPr>
          </w:p>
          <w:p w14:paraId="7D012784" w14:textId="78AA5211" w:rsidR="00D80129" w:rsidRPr="00DD6E6B" w:rsidRDefault="00045447" w:rsidP="00D80129">
            <w:pPr>
              <w:pStyle w:val="Marginlie"/>
              <w:rPr>
                <w:color w:val="0D0D0D" w:themeColor="text1" w:themeTint="F2"/>
                <w:spacing w:val="-4"/>
                <w:lang w:val="en-GB"/>
              </w:rPr>
            </w:pPr>
            <w:r>
              <w:rPr>
                <w:color w:val="0D0D0D" w:themeColor="text1" w:themeTint="F2"/>
                <w:spacing w:val="-4"/>
                <w:lang w:val="en-GB"/>
              </w:rPr>
              <w:lastRenderedPageBreak/>
              <w:t>Weaker demand</w:t>
            </w:r>
            <w:r w:rsidR="00D80129" w:rsidRPr="00DD6E6B">
              <w:rPr>
                <w:color w:val="0D0D0D" w:themeColor="text1" w:themeTint="F2"/>
                <w:spacing w:val="-4"/>
                <w:lang w:val="en-GB"/>
              </w:rPr>
              <w:t xml:space="preserve"> of both households and businesses, which reacted to the turbulent price development in this area stood behind it.</w:t>
            </w:r>
          </w:p>
          <w:p w14:paraId="438B92AC"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5C86B064"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3629D95A" w14:textId="6EB2AAC0" w:rsidR="00D80129" w:rsidRPr="00DD6E6B" w:rsidRDefault="00D80129" w:rsidP="00D80129">
            <w:pPr>
              <w:spacing w:after="200"/>
              <w:rPr>
                <w:rFonts w:cs="Arial"/>
                <w:bCs/>
                <w:color w:val="0D0D0D" w:themeColor="text1" w:themeTint="F2"/>
                <w:spacing w:val="-5"/>
                <w:szCs w:val="20"/>
                <w:lang w:val="en-GB"/>
              </w:rPr>
            </w:pPr>
            <w:r w:rsidRPr="00DD6E6B">
              <w:rPr>
                <w:color w:val="0D0D0D" w:themeColor="text1" w:themeTint="F2"/>
                <w:spacing w:val="-5"/>
                <w:lang w:val="en-GB"/>
              </w:rPr>
              <w:t>Output in the non-manufacturing segment of the industry, which consist</w:t>
            </w:r>
            <w:r w:rsidR="00045447">
              <w:rPr>
                <w:color w:val="0D0D0D" w:themeColor="text1" w:themeTint="F2"/>
                <w:spacing w:val="-5"/>
                <w:lang w:val="en-GB"/>
              </w:rPr>
              <w:t xml:space="preserve">s of largely only energy highly </w:t>
            </w:r>
            <w:r w:rsidRPr="00DD6E6B">
              <w:rPr>
                <w:color w:val="0D0D0D" w:themeColor="text1" w:themeTint="F2"/>
                <w:spacing w:val="-5"/>
                <w:lang w:val="en-GB"/>
              </w:rPr>
              <w:t xml:space="preserve">intensive fields, continued in downturn, whose indications were already apparent towards the end of the last year. Year-on-year plunge of production attained double-digit figures here in H1 2023 and thus reduced the output growth in the whole industry in total by 1.4 p. p. Weight significant branch of energetics played a key part here, with the output falling by 9.3% in Q1 this year and by 14.1% in Q2. Deeper slump at the steam power plants and combined gas/steam plants stood for the major part behind the lower electricity generation (on the contrary the production of the nuclear power plants moderately grew). Next to regular shutdowns of the production facilities, the output of the whole energy industry was connected to the anticipated decrease of the domestic demand (impact of savings in the consumption of </w:t>
            </w:r>
            <w:r w:rsidRPr="00DD6E6B">
              <w:rPr>
                <w:color w:val="0D0D0D" w:themeColor="text1" w:themeTint="F2"/>
                <w:spacing w:val="-5"/>
                <w:lang w:val="en-GB"/>
              </w:rPr>
              <w:lastRenderedPageBreak/>
              <w:t>electricity, natural ga</w:t>
            </w:r>
            <w:r w:rsidR="00045447">
              <w:rPr>
                <w:color w:val="0D0D0D" w:themeColor="text1" w:themeTint="F2"/>
                <w:spacing w:val="-5"/>
                <w:lang w:val="en-GB"/>
              </w:rPr>
              <w:t>s as well as heat in</w:t>
            </w:r>
            <w:r w:rsidRPr="00DD6E6B">
              <w:rPr>
                <w:color w:val="0D0D0D" w:themeColor="text1" w:themeTint="F2"/>
                <w:spacing w:val="-5"/>
                <w:lang w:val="en-GB"/>
              </w:rPr>
              <w:t xml:space="preserve"> both households and businesses</w:t>
            </w:r>
            <w:r w:rsidRPr="00DD6E6B">
              <w:rPr>
                <w:rStyle w:val="Znakapoznpodarou"/>
                <w:color w:val="0D0D0D" w:themeColor="text1" w:themeTint="F2"/>
                <w:spacing w:val="-5"/>
                <w:lang w:val="en-GB"/>
              </w:rPr>
              <w:footnoteReference w:id="22"/>
            </w:r>
            <w:r w:rsidR="00045447">
              <w:rPr>
                <w:color w:val="0D0D0D" w:themeColor="text1" w:themeTint="F2"/>
                <w:spacing w:val="-5"/>
                <w:lang w:val="en-GB"/>
              </w:rPr>
              <w:t xml:space="preserve"> was amplified by the above-</w:t>
            </w:r>
            <w:r w:rsidRPr="00DD6E6B">
              <w:rPr>
                <w:color w:val="0D0D0D" w:themeColor="text1" w:themeTint="F2"/>
                <w:spacing w:val="-5"/>
                <w:lang w:val="en-GB"/>
              </w:rPr>
              <w:t>average temperatures of the winter season)</w:t>
            </w:r>
            <w:r w:rsidRPr="00DD6E6B">
              <w:rPr>
                <w:lang w:val="en-GB"/>
              </w:rPr>
              <w:t>.</w:t>
            </w:r>
            <w:r w:rsidRPr="00DD6E6B">
              <w:rPr>
                <w:color w:val="0D0D0D" w:themeColor="text1" w:themeTint="F2"/>
                <w:spacing w:val="-5"/>
                <w:lang w:val="en-GB"/>
              </w:rPr>
              <w:t xml:space="preserve"> Downturn of production was also deepening in the mining industry during H1 this year. It was especially apparent in the mining of coal, where the performance slumped by nearly 23.3%</w:t>
            </w:r>
            <w:r w:rsidRPr="00DD6E6B">
              <w:rPr>
                <w:rStyle w:val="Znakapoznpodarou"/>
                <w:color w:val="0D0D0D" w:themeColor="text1" w:themeTint="F2"/>
                <w:spacing w:val="-5"/>
                <w:lang w:val="en-GB"/>
              </w:rPr>
              <w:footnoteReference w:id="23"/>
            </w:r>
            <w:r w:rsidRPr="00DD6E6B">
              <w:rPr>
                <w:color w:val="0D0D0D" w:themeColor="text1" w:themeTint="F2"/>
                <w:spacing w:val="-5"/>
                <w:lang w:val="en-GB"/>
              </w:rPr>
              <w:t xml:space="preserve"> in Q2, in lesser extent also in the mining of construction materials </w:t>
            </w:r>
            <w:r>
              <w:rPr>
                <w:color w:val="0D0D0D" w:themeColor="text1" w:themeTint="F2"/>
                <w:spacing w:val="-5"/>
                <w:lang w:val="en-GB"/>
              </w:rPr>
              <w:t>(</w:t>
            </w:r>
            <w:r>
              <w:rPr>
                <w:color w:val="000000"/>
                <w:shd w:val="clear" w:color="auto" w:fill="FFFFFF"/>
              </w:rPr>
              <w:t>–</w:t>
            </w:r>
            <w:r w:rsidRPr="00DD6E6B">
              <w:rPr>
                <w:color w:val="0D0D0D" w:themeColor="text1" w:themeTint="F2"/>
                <w:spacing w:val="-5"/>
                <w:lang w:val="en-GB"/>
              </w:rPr>
              <w:t>16.3%), which was associated with weakening of the demand on the part of builders as well as higher energy intensity of this branch.</w:t>
            </w:r>
          </w:p>
        </w:tc>
      </w:tr>
      <w:tr w:rsidR="00D80129" w:rsidRPr="00DD6E6B" w14:paraId="3FC0B3D4" w14:textId="77777777" w:rsidTr="00D80129">
        <w:trPr>
          <w:trHeight w:val="170"/>
        </w:trPr>
        <w:tc>
          <w:tcPr>
            <w:tcW w:w="1678" w:type="dxa"/>
            <w:tcBorders>
              <w:top w:val="nil"/>
              <w:left w:val="nil"/>
              <w:bottom w:val="nil"/>
              <w:right w:val="nil"/>
            </w:tcBorders>
            <w:shd w:val="clear" w:color="auto" w:fill="auto"/>
            <w:tcMar>
              <w:left w:w="0" w:type="dxa"/>
            </w:tcMar>
          </w:tcPr>
          <w:p w14:paraId="0F4DC194" w14:textId="3C2F130F" w:rsidR="00D80129" w:rsidRPr="00DD6E6B" w:rsidRDefault="0093734C" w:rsidP="00D80129">
            <w:pPr>
              <w:pStyle w:val="Marginlie"/>
              <w:rPr>
                <w:color w:val="0D0D0D" w:themeColor="text1" w:themeTint="F2"/>
                <w:lang w:val="en-GB"/>
              </w:rPr>
            </w:pPr>
            <w:r>
              <w:rPr>
                <w:color w:val="0D0D0D" w:themeColor="text1" w:themeTint="F2"/>
                <w:lang w:val="en-GB"/>
              </w:rPr>
              <w:lastRenderedPageBreak/>
              <w:t>I</w:t>
            </w:r>
            <w:r w:rsidR="00D80129" w:rsidRPr="00DD6E6B">
              <w:rPr>
                <w:color w:val="0D0D0D" w:themeColor="text1" w:themeTint="F2"/>
                <w:lang w:val="en-GB"/>
              </w:rPr>
              <w:t xml:space="preserve">ndustrial businesses </w:t>
            </w:r>
            <w:r>
              <w:rPr>
                <w:color w:val="0D0D0D" w:themeColor="text1" w:themeTint="F2"/>
                <w:lang w:val="en-GB"/>
              </w:rPr>
              <w:t>recorded higher growth of d</w:t>
            </w:r>
            <w:r w:rsidRPr="00DD6E6B">
              <w:rPr>
                <w:color w:val="0D0D0D" w:themeColor="text1" w:themeTint="F2"/>
                <w:lang w:val="en-GB"/>
              </w:rPr>
              <w:t>omestic sales</w:t>
            </w:r>
            <w:r>
              <w:rPr>
                <w:color w:val="0D0D0D" w:themeColor="text1" w:themeTint="F2"/>
                <w:lang w:val="en-GB"/>
              </w:rPr>
              <w:t xml:space="preserve"> than</w:t>
            </w:r>
            <w:r w:rsidR="00D80129" w:rsidRPr="00DD6E6B">
              <w:rPr>
                <w:color w:val="0D0D0D" w:themeColor="text1" w:themeTint="F2"/>
                <w:lang w:val="en-GB"/>
              </w:rPr>
              <w:t xml:space="preserve"> sales from direct export. Sales swiftly grew in mining or food industry, in spite of the decline of real demand. </w:t>
            </w:r>
          </w:p>
        </w:tc>
        <w:tc>
          <w:tcPr>
            <w:tcW w:w="194" w:type="dxa"/>
            <w:tcBorders>
              <w:top w:val="nil"/>
              <w:left w:val="nil"/>
              <w:bottom w:val="nil"/>
              <w:right w:val="nil"/>
            </w:tcBorders>
            <w:shd w:val="clear" w:color="auto" w:fill="auto"/>
            <w:tcMar>
              <w:left w:w="0" w:type="dxa"/>
            </w:tcMar>
          </w:tcPr>
          <w:p w14:paraId="35080E80"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11212622" w14:textId="2D611712" w:rsidR="00D80129" w:rsidRPr="00DD6E6B" w:rsidRDefault="00D80129" w:rsidP="00D80129">
            <w:pPr>
              <w:spacing w:after="200"/>
              <w:rPr>
                <w:rFonts w:cs="Arial"/>
                <w:bCs/>
                <w:color w:val="0D0D0D" w:themeColor="text1" w:themeTint="F2"/>
                <w:spacing w:val="-5"/>
                <w:szCs w:val="20"/>
                <w:lang w:val="en-GB"/>
              </w:rPr>
            </w:pPr>
            <w:r w:rsidRPr="00DD6E6B">
              <w:rPr>
                <w:rFonts w:cs="Arial"/>
                <w:bCs/>
                <w:color w:val="0D0D0D" w:themeColor="text1" w:themeTint="F2"/>
                <w:spacing w:val="-5"/>
                <w:szCs w:val="20"/>
                <w:lang w:val="en-GB"/>
              </w:rPr>
              <w:t>Nominal sales of the industrial businesses</w:t>
            </w:r>
            <w:r w:rsidRPr="00DD6E6B">
              <w:rPr>
                <w:rStyle w:val="Znakapoznpodarou"/>
                <w:bCs/>
                <w:color w:val="0D0D0D" w:themeColor="text1" w:themeTint="F2"/>
                <w:spacing w:val="-5"/>
                <w:szCs w:val="20"/>
                <w:lang w:val="en-GB"/>
              </w:rPr>
              <w:footnoteReference w:id="24"/>
            </w:r>
            <w:r w:rsidRPr="00DD6E6B">
              <w:rPr>
                <w:rFonts w:cs="Arial"/>
                <w:bCs/>
                <w:color w:val="0D0D0D" w:themeColor="text1" w:themeTint="F2"/>
                <w:spacing w:val="-5"/>
                <w:szCs w:val="20"/>
                <w:lang w:val="en-GB"/>
              </w:rPr>
              <w:t xml:space="preserve"> increased by 8.2% year-on-year in H1 2023 (in that already only by 5.4% in Q2). Weakening pace of sales can be for the large part attributed to the gradually subsiding price growth on the side of producers, especially in manufacturing itself. Domestic sales strengthened by 9.9% and thus grew more dynamically compared to sales from direct export for already two years</w:t>
            </w:r>
            <w:r w:rsidRPr="00DD6E6B">
              <w:rPr>
                <w:rStyle w:val="Znakapoznpodarou"/>
                <w:bCs/>
                <w:color w:val="0D0D0D" w:themeColor="text1" w:themeTint="F2"/>
                <w:spacing w:val="-5"/>
                <w:szCs w:val="20"/>
                <w:lang w:val="en-GB"/>
              </w:rPr>
              <w:footnoteReference w:id="25"/>
            </w:r>
            <w:r w:rsidRPr="00DD6E6B">
              <w:rPr>
                <w:rFonts w:cs="Arial"/>
                <w:bCs/>
                <w:color w:val="0D0D0D" w:themeColor="text1" w:themeTint="F2"/>
                <w:spacing w:val="-5"/>
                <w:szCs w:val="20"/>
                <w:lang w:val="en-GB"/>
              </w:rPr>
              <w:t>. Total sales increased the most to the manufacturers of motor vehicles (+27.5%) and manufacturers of other transport vehicles (31.2%). On the other hand</w:t>
            </w:r>
            <w:r>
              <w:rPr>
                <w:rFonts w:cs="Arial"/>
                <w:bCs/>
                <w:color w:val="0D0D0D" w:themeColor="text1" w:themeTint="F2"/>
                <w:spacing w:val="-5"/>
                <w:szCs w:val="20"/>
                <w:lang w:val="en-GB"/>
              </w:rPr>
              <w:t>,</w:t>
            </w:r>
            <w:r w:rsidRPr="00DD6E6B">
              <w:rPr>
                <w:rFonts w:cs="Arial"/>
                <w:bCs/>
                <w:color w:val="0D0D0D" w:themeColor="text1" w:themeTint="F2"/>
                <w:spacing w:val="-5"/>
                <w:szCs w:val="20"/>
                <w:lang w:val="en-GB"/>
              </w:rPr>
              <w:t xml:space="preserve"> they fell in one half of the main industrial branches (even by 22.6% in metallurgy). Sales however briskly grew in some branches affected by the decline of real demand thanks to prevailing price influences (in mining of coal and construction materials, in food or beverage industry). By contrast the sales s</w:t>
            </w:r>
            <w:r>
              <w:rPr>
                <w:rFonts w:cs="Arial"/>
                <w:bCs/>
                <w:color w:val="0D0D0D" w:themeColor="text1" w:themeTint="F2"/>
                <w:spacing w:val="-5"/>
                <w:szCs w:val="20"/>
                <w:lang w:val="en-GB"/>
              </w:rPr>
              <w:t>lightly stayed behind the level </w:t>
            </w:r>
            <w:r w:rsidRPr="00DD6E6B">
              <w:rPr>
                <w:rFonts w:cs="Arial"/>
                <w:bCs/>
                <w:color w:val="0D0D0D" w:themeColor="text1" w:themeTint="F2"/>
                <w:spacing w:val="-5"/>
                <w:szCs w:val="20"/>
                <w:lang w:val="en-GB"/>
              </w:rPr>
              <w:t xml:space="preserve">from H1 2022 in the manufacturing of computers and electronic and optical appliances </w:t>
            </w:r>
            <w:r>
              <w:rPr>
                <w:rFonts w:cs="Arial"/>
                <w:bCs/>
                <w:color w:val="0D0D0D" w:themeColor="text1" w:themeTint="F2"/>
                <w:spacing w:val="-5"/>
                <w:szCs w:val="20"/>
                <w:lang w:val="en-GB"/>
              </w:rPr>
              <w:t>(</w:t>
            </w:r>
            <w:r>
              <w:rPr>
                <w:color w:val="000000"/>
                <w:shd w:val="clear" w:color="auto" w:fill="FFFFFF"/>
              </w:rPr>
              <w:t>–</w:t>
            </w:r>
            <w:r w:rsidRPr="00DD6E6B">
              <w:rPr>
                <w:rFonts w:cs="Arial"/>
                <w:bCs/>
                <w:color w:val="0D0D0D" w:themeColor="text1" w:themeTint="F2"/>
                <w:spacing w:val="-5"/>
                <w:szCs w:val="20"/>
                <w:lang w:val="en-GB"/>
              </w:rPr>
              <w:t>1.3%), even despite the output growing in this branch</w:t>
            </w:r>
            <w:r w:rsidR="0000594E">
              <w:rPr>
                <w:rFonts w:cs="Arial"/>
                <w:bCs/>
                <w:color w:val="0D0D0D" w:themeColor="text1" w:themeTint="F2"/>
                <w:spacing w:val="-5"/>
                <w:szCs w:val="20"/>
                <w:lang w:val="en-GB"/>
              </w:rPr>
              <w:t xml:space="preserve"> this year</w:t>
            </w:r>
            <w:r w:rsidRPr="00DD6E6B">
              <w:rPr>
                <w:rFonts w:cs="Arial"/>
                <w:bCs/>
                <w:color w:val="0D0D0D" w:themeColor="text1" w:themeTint="F2"/>
                <w:spacing w:val="-5"/>
                <w:szCs w:val="20"/>
                <w:lang w:val="en-GB"/>
              </w:rPr>
              <w:t xml:space="preserve">. </w:t>
            </w:r>
          </w:p>
        </w:tc>
      </w:tr>
      <w:tr w:rsidR="00D80129" w:rsidRPr="00DD6E6B" w14:paraId="3B36B5F8" w14:textId="77777777" w:rsidTr="00D80129">
        <w:trPr>
          <w:trHeight w:val="170"/>
        </w:trPr>
        <w:tc>
          <w:tcPr>
            <w:tcW w:w="1678" w:type="dxa"/>
            <w:tcBorders>
              <w:top w:val="nil"/>
              <w:left w:val="nil"/>
              <w:bottom w:val="nil"/>
              <w:right w:val="nil"/>
            </w:tcBorders>
            <w:shd w:val="clear" w:color="auto" w:fill="auto"/>
            <w:tcMar>
              <w:left w:w="0" w:type="dxa"/>
            </w:tcMar>
          </w:tcPr>
          <w:p w14:paraId="5EBF9ECF" w14:textId="2245CB32" w:rsidR="00D80129" w:rsidRPr="00DD6E6B" w:rsidRDefault="00D80129" w:rsidP="00D80129">
            <w:pPr>
              <w:pStyle w:val="Marginlie"/>
              <w:rPr>
                <w:color w:val="0D0D0D" w:themeColor="text1" w:themeTint="F2"/>
                <w:lang w:val="en-GB"/>
              </w:rPr>
            </w:pPr>
            <w:r w:rsidRPr="00DD6E6B">
              <w:rPr>
                <w:color w:val="0D0D0D" w:themeColor="text1" w:themeTint="F2"/>
                <w:lang w:val="en-GB"/>
              </w:rPr>
              <w:t>Value of new industrial orders decreased year-on-year in Q2</w:t>
            </w:r>
            <w:r w:rsidR="0000594E">
              <w:rPr>
                <w:color w:val="0D0D0D" w:themeColor="text1" w:themeTint="F2"/>
                <w:lang w:val="en-GB"/>
              </w:rPr>
              <w:t xml:space="preserve"> 2023</w:t>
            </w:r>
            <w:r w:rsidRPr="00DD6E6B">
              <w:rPr>
                <w:color w:val="0D0D0D" w:themeColor="text1" w:themeTint="F2"/>
                <w:lang w:val="en-GB"/>
              </w:rPr>
              <w:t xml:space="preserve">. </w:t>
            </w:r>
          </w:p>
          <w:p w14:paraId="783C6062" w14:textId="77777777" w:rsidR="00D80129" w:rsidRPr="00DD6E6B" w:rsidRDefault="00D80129" w:rsidP="00D80129">
            <w:pPr>
              <w:pStyle w:val="Marginlie"/>
              <w:rPr>
                <w:color w:val="0D0D0D" w:themeColor="text1" w:themeTint="F2"/>
                <w:lang w:val="en-GB"/>
              </w:rPr>
            </w:pPr>
          </w:p>
          <w:p w14:paraId="3F4A931A" w14:textId="77777777" w:rsidR="00D80129" w:rsidRPr="00DD6E6B" w:rsidRDefault="00D80129" w:rsidP="00D80129">
            <w:pPr>
              <w:pStyle w:val="Marginlie"/>
              <w:rPr>
                <w:color w:val="0D0D0D" w:themeColor="text1" w:themeTint="F2"/>
                <w:lang w:val="en-GB"/>
              </w:rPr>
            </w:pPr>
          </w:p>
          <w:p w14:paraId="2AFA1DE5" w14:textId="77777777" w:rsidR="00D80129" w:rsidRPr="00DD6E6B" w:rsidRDefault="00D80129" w:rsidP="00D80129">
            <w:pPr>
              <w:pStyle w:val="Marginlie"/>
              <w:rPr>
                <w:color w:val="0D0D0D" w:themeColor="text1" w:themeTint="F2"/>
                <w:lang w:val="en-GB"/>
              </w:rPr>
            </w:pPr>
          </w:p>
          <w:p w14:paraId="58599EAD" w14:textId="7C0F72BB" w:rsidR="00D80129" w:rsidRPr="00DD6E6B" w:rsidRDefault="00D80129" w:rsidP="00D80129">
            <w:pPr>
              <w:pStyle w:val="Marginlie"/>
              <w:rPr>
                <w:color w:val="0D0D0D" w:themeColor="text1" w:themeTint="F2"/>
                <w:lang w:val="en-GB"/>
              </w:rPr>
            </w:pPr>
            <w:r w:rsidRPr="00DD6E6B">
              <w:rPr>
                <w:color w:val="0D0D0D" w:themeColor="text1" w:themeTint="F2"/>
                <w:lang w:val="en-GB"/>
              </w:rPr>
              <w:t xml:space="preserve">Only the pharmaceutical industry was sending clear positive signals of expected higher demand. </w:t>
            </w:r>
          </w:p>
        </w:tc>
        <w:tc>
          <w:tcPr>
            <w:tcW w:w="194" w:type="dxa"/>
            <w:tcBorders>
              <w:top w:val="nil"/>
              <w:left w:val="nil"/>
              <w:bottom w:val="nil"/>
              <w:right w:val="nil"/>
            </w:tcBorders>
            <w:shd w:val="clear" w:color="auto" w:fill="auto"/>
            <w:tcMar>
              <w:left w:w="0" w:type="dxa"/>
            </w:tcMar>
          </w:tcPr>
          <w:p w14:paraId="01292D71"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23C0EC51" w14:textId="772E94ED"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The dynamics of new industrial orders featured signs of weakening demand. While in Q1 2023 the nominal value of orders </w:t>
            </w:r>
            <w:r w:rsidR="0000594E">
              <w:rPr>
                <w:color w:val="0D0D0D" w:themeColor="text1" w:themeTint="F2"/>
                <w:spacing w:val="-5"/>
                <w:lang w:val="en-GB"/>
              </w:rPr>
              <w:t>(</w:t>
            </w:r>
            <w:r w:rsidRPr="00DD6E6B">
              <w:rPr>
                <w:color w:val="0D0D0D" w:themeColor="text1" w:themeTint="F2"/>
                <w:spacing w:val="-5"/>
                <w:lang w:val="en-GB"/>
              </w:rPr>
              <w:t>in the monitored industrial branches</w:t>
            </w:r>
            <w:r w:rsidR="0000594E">
              <w:rPr>
                <w:color w:val="0D0D0D" w:themeColor="text1" w:themeTint="F2"/>
                <w:spacing w:val="-5"/>
                <w:lang w:val="en-GB"/>
              </w:rPr>
              <w:t>)</w:t>
            </w:r>
            <w:r w:rsidRPr="00DD6E6B">
              <w:rPr>
                <w:rStyle w:val="Znakapoznpodarou"/>
                <w:color w:val="0D0D0D" w:themeColor="text1" w:themeTint="F2"/>
                <w:spacing w:val="-5"/>
                <w:lang w:val="en-GB"/>
              </w:rPr>
              <w:footnoteReference w:id="26"/>
            </w:r>
            <w:r w:rsidRPr="00DD6E6B">
              <w:rPr>
                <w:color w:val="0D0D0D" w:themeColor="text1" w:themeTint="F2"/>
                <w:spacing w:val="-5"/>
                <w:lang w:val="en-GB"/>
              </w:rPr>
              <w:t xml:space="preserve"> rose by 2.1% year-on-year, it already recorded a decrease of 2.6%</w:t>
            </w:r>
            <w:r w:rsidRPr="00DD6E6B">
              <w:rPr>
                <w:rStyle w:val="Znakapoznpodarou"/>
                <w:color w:val="0D0D0D" w:themeColor="text1" w:themeTint="F2"/>
                <w:spacing w:val="-5"/>
                <w:lang w:val="en-GB"/>
              </w:rPr>
              <w:footnoteReference w:id="27"/>
            </w:r>
            <w:r w:rsidR="0000594E">
              <w:rPr>
                <w:color w:val="0D0D0D" w:themeColor="text1" w:themeTint="F2"/>
                <w:spacing w:val="-5"/>
                <w:lang w:val="en-GB"/>
              </w:rPr>
              <w:t xml:space="preserve"> in Q2</w:t>
            </w:r>
            <w:r w:rsidRPr="00DD6E6B">
              <w:rPr>
                <w:color w:val="0D0D0D" w:themeColor="text1" w:themeTint="F2"/>
                <w:spacing w:val="-5"/>
                <w:lang w:val="en-GB"/>
              </w:rPr>
              <w:t xml:space="preserve"> (the first since the pandemic shutdowns of production in year 2020). The foreign demand signalled faster cooling. Orders from abroad dropped by 3.5% for the whole H1</w:t>
            </w:r>
            <w:r w:rsidR="0000594E">
              <w:rPr>
                <w:color w:val="0D0D0D" w:themeColor="text1" w:themeTint="F2"/>
                <w:spacing w:val="-5"/>
                <w:lang w:val="en-GB"/>
              </w:rPr>
              <w:t xml:space="preserve"> 2023, while</w:t>
            </w:r>
            <w:r w:rsidRPr="00DD6E6B">
              <w:rPr>
                <w:color w:val="0D0D0D" w:themeColor="text1" w:themeTint="F2"/>
                <w:spacing w:val="-5"/>
                <w:lang w:val="en-GB"/>
              </w:rPr>
              <w:t xml:space="preserve"> the domestic ones increased by 6.9% year-on-year. Total volume of orders sank by approximately one fifth in the chemical industry and metallurgy. They however grew </w:t>
            </w:r>
            <w:r w:rsidR="0000594E">
              <w:rPr>
                <w:color w:val="0D0D0D" w:themeColor="text1" w:themeTint="F2"/>
                <w:spacing w:val="-5"/>
                <w:lang w:val="en-GB"/>
              </w:rPr>
              <w:t>(</w:t>
            </w:r>
            <w:r w:rsidRPr="00DD6E6B">
              <w:rPr>
                <w:color w:val="0D0D0D" w:themeColor="text1" w:themeTint="F2"/>
                <w:spacing w:val="-5"/>
                <w:lang w:val="en-GB"/>
              </w:rPr>
              <w:t>also due to the weaker last year’s basis</w:t>
            </w:r>
            <w:r w:rsidR="0000594E">
              <w:rPr>
                <w:color w:val="0D0D0D" w:themeColor="text1" w:themeTint="F2"/>
                <w:spacing w:val="-5"/>
                <w:lang w:val="en-GB"/>
              </w:rPr>
              <w:t>)</w:t>
            </w:r>
            <w:r w:rsidRPr="00DD6E6B">
              <w:rPr>
                <w:color w:val="0D0D0D" w:themeColor="text1" w:themeTint="F2"/>
                <w:spacing w:val="-5"/>
                <w:lang w:val="en-GB"/>
              </w:rPr>
              <w:t xml:space="preserve"> in the motor vehicle manufacturing (+6.5%, in that domestic by 26.9%). The growth was just below 3% in machinery as well as electric</w:t>
            </w:r>
            <w:r w:rsidR="0000594E">
              <w:rPr>
                <w:color w:val="0D0D0D" w:themeColor="text1" w:themeTint="F2"/>
                <w:spacing w:val="-5"/>
                <w:lang w:val="en-GB"/>
              </w:rPr>
              <w:t>al engineering. If we take into account</w:t>
            </w:r>
            <w:r w:rsidRPr="00DD6E6B">
              <w:rPr>
                <w:color w:val="0D0D0D" w:themeColor="text1" w:themeTint="F2"/>
                <w:spacing w:val="-5"/>
                <w:lang w:val="en-GB"/>
              </w:rPr>
              <w:t xml:space="preserve"> the last year’s basis as well as the growth of prices of intermediate inputs</w:t>
            </w:r>
            <w:r w:rsidR="0000594E">
              <w:rPr>
                <w:color w:val="0D0D0D" w:themeColor="text1" w:themeTint="F2"/>
                <w:spacing w:val="-5"/>
                <w:lang w:val="en-GB"/>
              </w:rPr>
              <w:t>,</w:t>
            </w:r>
            <w:r w:rsidRPr="00DD6E6B">
              <w:rPr>
                <w:color w:val="0D0D0D" w:themeColor="text1" w:themeTint="F2"/>
                <w:spacing w:val="-5"/>
                <w:lang w:val="en-GB"/>
              </w:rPr>
              <w:t xml:space="preserve"> only the increase of orders in the pharmaceutical industry (+16.9%) can be assessed as a clear positive signal.</w:t>
            </w:r>
          </w:p>
        </w:tc>
      </w:tr>
      <w:tr w:rsidR="00D80129" w:rsidRPr="00DD6E6B" w14:paraId="7B1BE183" w14:textId="77777777" w:rsidTr="00D80129">
        <w:trPr>
          <w:trHeight w:val="170"/>
        </w:trPr>
        <w:tc>
          <w:tcPr>
            <w:tcW w:w="1678" w:type="dxa"/>
            <w:tcBorders>
              <w:top w:val="nil"/>
              <w:left w:val="nil"/>
              <w:bottom w:val="nil"/>
              <w:right w:val="nil"/>
            </w:tcBorders>
            <w:shd w:val="clear" w:color="auto" w:fill="auto"/>
            <w:tcMar>
              <w:left w:w="0" w:type="dxa"/>
            </w:tcMar>
          </w:tcPr>
          <w:p w14:paraId="583E37E6"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Pessimism of businesses in industry grew to the three-year minimum during Q2 this year.  </w:t>
            </w:r>
          </w:p>
          <w:p w14:paraId="65F3603F" w14:textId="77777777" w:rsidR="00D80129" w:rsidRPr="00DD6E6B" w:rsidRDefault="00D80129" w:rsidP="00D80129">
            <w:pPr>
              <w:pStyle w:val="Marginlie"/>
              <w:rPr>
                <w:color w:val="0D0D0D" w:themeColor="text1" w:themeTint="F2"/>
                <w:spacing w:val="-4"/>
                <w:lang w:val="en-GB"/>
              </w:rPr>
            </w:pPr>
          </w:p>
          <w:p w14:paraId="44C04E18" w14:textId="77777777" w:rsidR="00D80129" w:rsidRPr="00DD6E6B" w:rsidRDefault="00D80129" w:rsidP="00D80129">
            <w:pPr>
              <w:pStyle w:val="Marginlie"/>
              <w:rPr>
                <w:color w:val="0D0D0D" w:themeColor="text1" w:themeTint="F2"/>
                <w:spacing w:val="-4"/>
                <w:lang w:val="en-GB"/>
              </w:rPr>
            </w:pPr>
          </w:p>
          <w:p w14:paraId="2080B634" w14:textId="0EC9E756" w:rsidR="00D80129" w:rsidRDefault="00D80129" w:rsidP="00D80129">
            <w:pPr>
              <w:pStyle w:val="Marginlie"/>
              <w:rPr>
                <w:color w:val="0D0D0D" w:themeColor="text1" w:themeTint="F2"/>
                <w:spacing w:val="-4"/>
                <w:lang w:val="en-GB"/>
              </w:rPr>
            </w:pPr>
          </w:p>
          <w:p w14:paraId="72BC926D" w14:textId="1375347E" w:rsidR="00D80129" w:rsidRDefault="00D80129" w:rsidP="00D80129">
            <w:pPr>
              <w:pStyle w:val="Marginlie"/>
              <w:rPr>
                <w:color w:val="0D0D0D" w:themeColor="text1" w:themeTint="F2"/>
                <w:spacing w:val="-4"/>
                <w:lang w:val="en-GB"/>
              </w:rPr>
            </w:pPr>
          </w:p>
          <w:p w14:paraId="126B91D4" w14:textId="77777777" w:rsidR="00D80129" w:rsidRPr="00DD6E6B" w:rsidRDefault="00D80129" w:rsidP="00D80129">
            <w:pPr>
              <w:pStyle w:val="Marginlie"/>
              <w:rPr>
                <w:color w:val="0D0D0D" w:themeColor="text1" w:themeTint="F2"/>
                <w:spacing w:val="-4"/>
                <w:lang w:val="en-GB"/>
              </w:rPr>
            </w:pPr>
          </w:p>
          <w:p w14:paraId="04DAA74F" w14:textId="77777777" w:rsidR="00D80129" w:rsidRPr="00DD6E6B" w:rsidRDefault="00D80129" w:rsidP="00D80129">
            <w:pPr>
              <w:pStyle w:val="Marginlie"/>
              <w:rPr>
                <w:color w:val="0D0D0D" w:themeColor="text1" w:themeTint="F2"/>
                <w:spacing w:val="-4"/>
                <w:lang w:val="en-GB"/>
              </w:rPr>
            </w:pPr>
            <w:r w:rsidRPr="00DD6E6B">
              <w:rPr>
                <w:spacing w:val="-4"/>
                <w:lang w:val="en-GB"/>
              </w:rPr>
              <w:lastRenderedPageBreak/>
              <w:t xml:space="preserve">Inadequate demand has been the key growth barrier since the beginning of the year. </w:t>
            </w:r>
          </w:p>
          <w:p w14:paraId="71DA4129"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5D02A40D"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495C75B1" w14:textId="6355CCB5" w:rsidR="00D80129" w:rsidRPr="00DD6E6B" w:rsidRDefault="00D80129" w:rsidP="0000594E">
            <w:pPr>
              <w:spacing w:after="200"/>
              <w:rPr>
                <w:color w:val="0D0D0D" w:themeColor="text1" w:themeTint="F2"/>
                <w:spacing w:val="-5"/>
                <w:lang w:val="en-GB"/>
              </w:rPr>
            </w:pPr>
            <w:r w:rsidRPr="0000594E">
              <w:rPr>
                <w:color w:val="0D0D0D" w:themeColor="text1" w:themeTint="F2"/>
                <w:spacing w:val="-4"/>
                <w:lang w:val="en-GB"/>
              </w:rPr>
              <w:t xml:space="preserve">Business confidence in industry was gradually rising </w:t>
            </w:r>
            <w:r w:rsidR="0000594E" w:rsidRPr="0000594E">
              <w:rPr>
                <w:color w:val="0D0D0D" w:themeColor="text1" w:themeTint="F2"/>
                <w:spacing w:val="-4"/>
                <w:lang w:val="en-GB"/>
              </w:rPr>
              <w:t>(</w:t>
            </w:r>
            <w:r w:rsidRPr="0000594E">
              <w:rPr>
                <w:color w:val="0D0D0D" w:themeColor="text1" w:themeTint="F2"/>
                <w:spacing w:val="-4"/>
                <w:lang w:val="en-GB"/>
              </w:rPr>
              <w:t>after subsiding of the “hot phase” of the energy crisis</w:t>
            </w:r>
            <w:r w:rsidR="0000594E" w:rsidRPr="0000594E">
              <w:rPr>
                <w:color w:val="0D0D0D" w:themeColor="text1" w:themeTint="F2"/>
                <w:spacing w:val="-4"/>
                <w:lang w:val="en-GB"/>
              </w:rPr>
              <w:t>)</w:t>
            </w:r>
            <w:r w:rsidRPr="00DD6E6B">
              <w:rPr>
                <w:color w:val="0D0D0D" w:themeColor="text1" w:themeTint="F2"/>
                <w:spacing w:val="-3"/>
                <w:lang w:val="en-GB"/>
              </w:rPr>
              <w:t xml:space="preserve"> during this year’s Spring (it was the highest since the last summer</w:t>
            </w:r>
            <w:r w:rsidR="0000594E">
              <w:rPr>
                <w:color w:val="0D0D0D" w:themeColor="text1" w:themeTint="F2"/>
                <w:spacing w:val="-3"/>
                <w:lang w:val="en-GB"/>
              </w:rPr>
              <w:t>).</w:t>
            </w:r>
            <w:r w:rsidRPr="00DD6E6B">
              <w:rPr>
                <w:color w:val="0D0D0D" w:themeColor="text1" w:themeTint="F2"/>
                <w:spacing w:val="-3"/>
                <w:lang w:val="en-GB"/>
              </w:rPr>
              <w:t xml:space="preserve"> </w:t>
            </w:r>
            <w:r w:rsidRPr="0000594E">
              <w:rPr>
                <w:color w:val="0D0D0D" w:themeColor="text1" w:themeTint="F2"/>
                <w:spacing w:val="-4"/>
                <w:lang w:val="en-GB"/>
              </w:rPr>
              <w:t>The trend however turned around later on and also under the influence of deteriorating economic outlooks in key export destinations the confidence in the domestic industry descended down to three-year minimum. Rising pessimism was closely connected to the worsened assessment of demand, short-term anticipations of own production or economic situation of the company, but also employment</w:t>
            </w:r>
            <w:r w:rsidRPr="0000594E">
              <w:rPr>
                <w:rStyle w:val="Znakapoznpodarou"/>
                <w:color w:val="0D0D0D" w:themeColor="text1" w:themeTint="F2"/>
                <w:spacing w:val="-4"/>
                <w:lang w:val="en-GB"/>
              </w:rPr>
              <w:footnoteReference w:id="28"/>
            </w:r>
            <w:r w:rsidRPr="0000594E">
              <w:rPr>
                <w:color w:val="0D0D0D" w:themeColor="text1" w:themeTint="F2"/>
                <w:spacing w:val="-4"/>
                <w:lang w:val="en-GB"/>
              </w:rPr>
              <w:t>. Mild pessimism regarding current demand prevails in industry for already virtually whole year, which already nearly 45% of businesses</w:t>
            </w:r>
            <w:r w:rsidRPr="0000594E">
              <w:rPr>
                <w:rStyle w:val="Znakapoznpodarou"/>
                <w:color w:val="0D0D0D" w:themeColor="text1" w:themeTint="F2"/>
                <w:spacing w:val="-4"/>
                <w:lang w:val="en-GB"/>
              </w:rPr>
              <w:footnoteReference w:id="29"/>
            </w:r>
            <w:r w:rsidRPr="0000594E">
              <w:rPr>
                <w:color w:val="0D0D0D" w:themeColor="text1" w:themeTint="F2"/>
                <w:spacing w:val="-4"/>
                <w:lang w:val="en-GB"/>
              </w:rPr>
              <w:t xml:space="preserve"> perceived </w:t>
            </w:r>
            <w:r w:rsidRPr="0000594E">
              <w:rPr>
                <w:color w:val="0D0D0D" w:themeColor="text1" w:themeTint="F2"/>
                <w:spacing w:val="-4"/>
                <w:lang w:val="en-GB"/>
              </w:rPr>
              <w:lastRenderedPageBreak/>
              <w:t>as a significant growth barrier in July this year. Sluggish sales are mirrored in higher level of inventory stock. Shortage of labour, similarly to material and equipment limited already “only” one fifth of businesses. Nevertheless, in some industrial branches it still presented a key growth barrier</w:t>
            </w:r>
            <w:r w:rsidRPr="0000594E">
              <w:rPr>
                <w:rStyle w:val="Znakapoznpodarou"/>
                <w:color w:val="0D0D0D" w:themeColor="text1" w:themeTint="F2"/>
                <w:spacing w:val="-4"/>
                <w:lang w:val="en-GB"/>
              </w:rPr>
              <w:footnoteReference w:id="30"/>
            </w:r>
            <w:r w:rsidRPr="0000594E">
              <w:rPr>
                <w:color w:val="0D0D0D" w:themeColor="text1" w:themeTint="F2"/>
                <w:spacing w:val="-4"/>
                <w:lang w:val="en-GB"/>
              </w:rPr>
              <w:t>.</w:t>
            </w:r>
          </w:p>
        </w:tc>
      </w:tr>
      <w:tr w:rsidR="00D80129" w:rsidRPr="00DD6E6B" w14:paraId="0685C929" w14:textId="77777777" w:rsidTr="00D80129">
        <w:trPr>
          <w:trHeight w:val="134"/>
        </w:trPr>
        <w:tc>
          <w:tcPr>
            <w:tcW w:w="1678" w:type="dxa"/>
            <w:vMerge w:val="restart"/>
            <w:tcBorders>
              <w:top w:val="nil"/>
              <w:left w:val="nil"/>
              <w:bottom w:val="nil"/>
              <w:right w:val="nil"/>
            </w:tcBorders>
            <w:shd w:val="clear" w:color="auto" w:fill="auto"/>
            <w:tcMar>
              <w:left w:w="0" w:type="dxa"/>
            </w:tcMar>
          </w:tcPr>
          <w:p w14:paraId="3CEFC891" w14:textId="77777777" w:rsidR="00D80129" w:rsidRPr="00DD6E6B" w:rsidRDefault="00D80129" w:rsidP="00D8012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55EE402F"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30213F4A" w14:textId="7623D14D" w:rsidR="00D80129" w:rsidRPr="00DD6E6B" w:rsidRDefault="00D80129" w:rsidP="00D80129">
            <w:pPr>
              <w:spacing w:after="0"/>
              <w:rPr>
                <w:color w:val="0D0D0D" w:themeColor="text1" w:themeTint="F2"/>
                <w:spacing w:val="-5"/>
                <w:lang w:val="en-GB"/>
              </w:rPr>
            </w:pPr>
            <w:r w:rsidRPr="00DD6E6B">
              <w:rPr>
                <w:b/>
                <w:spacing w:val="-2"/>
                <w:lang w:val="en-GB"/>
              </w:rPr>
              <w:t xml:space="preserve">Chart 5 </w:t>
            </w:r>
            <w:r w:rsidRPr="00877F35">
              <w:rPr>
                <w:b/>
                <w:spacing w:val="-2"/>
                <w:lang w:val="en-GB"/>
              </w:rPr>
              <w:t xml:space="preserve">New orders in industry </w:t>
            </w:r>
            <w:r w:rsidRPr="00877F35">
              <w:rPr>
                <w:bCs/>
                <w:spacing w:val="-2"/>
                <w:lang w:val="en-GB"/>
              </w:rPr>
              <w:t>(nominal, year-on-year change in %)</w:t>
            </w:r>
            <w:r w:rsidRPr="00877F35">
              <w:rPr>
                <w:b/>
                <w:spacing w:val="-2"/>
                <w:lang w:val="en-GB"/>
              </w:rPr>
              <w:t>, utilisation of production capacities, selected barriers to growth in industry</w:t>
            </w:r>
            <w:r>
              <w:rPr>
                <w:spacing w:val="-2"/>
                <w:lang w:val="en-GB"/>
              </w:rPr>
              <w:t>* (in %</w:t>
            </w:r>
            <w:r w:rsidRPr="00877F35">
              <w:rPr>
                <w:spacing w:val="-2"/>
                <w:lang w:val="en-GB"/>
              </w:rPr>
              <w:t>),</w:t>
            </w:r>
            <w:r w:rsidRPr="00877F35">
              <w:rPr>
                <w:b/>
                <w:spacing w:val="-2"/>
                <w:lang w:val="en-GB"/>
              </w:rPr>
              <w:t xml:space="preserve"> balance of business confidence indicator in industry* </w:t>
            </w:r>
            <w:r>
              <w:rPr>
                <w:spacing w:val="-2"/>
                <w:lang w:val="en-GB"/>
              </w:rPr>
              <w:t>(in p. p.</w:t>
            </w:r>
            <w:r w:rsidRPr="00877F35">
              <w:rPr>
                <w:spacing w:val="-2"/>
                <w:lang w:val="en-GB"/>
              </w:rPr>
              <w:t>)</w:t>
            </w:r>
          </w:p>
        </w:tc>
      </w:tr>
      <w:tr w:rsidR="00D80129" w:rsidRPr="00DD6E6B" w14:paraId="50CEF8B4" w14:textId="77777777" w:rsidTr="00D80129">
        <w:tblPrEx>
          <w:tblCellMar>
            <w:left w:w="70" w:type="dxa"/>
            <w:right w:w="70" w:type="dxa"/>
          </w:tblCellMar>
        </w:tblPrEx>
        <w:trPr>
          <w:trHeight w:val="133"/>
        </w:trPr>
        <w:tc>
          <w:tcPr>
            <w:tcW w:w="1678" w:type="dxa"/>
            <w:vMerge/>
            <w:tcBorders>
              <w:top w:val="nil"/>
              <w:left w:val="nil"/>
              <w:bottom w:val="nil"/>
              <w:right w:val="nil"/>
            </w:tcBorders>
            <w:shd w:val="clear" w:color="auto" w:fill="auto"/>
          </w:tcPr>
          <w:p w14:paraId="5582E41D"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Pr>
          <w:p w14:paraId="19760B8C"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60A5B99F" w14:textId="0FBCEFDD" w:rsidR="00D80129" w:rsidRPr="00DD6E6B" w:rsidRDefault="00D80129" w:rsidP="00D80129">
            <w:pPr>
              <w:spacing w:after="0"/>
              <w:rPr>
                <w:color w:val="0D0D0D" w:themeColor="text1" w:themeTint="F2"/>
                <w:spacing w:val="-5"/>
                <w:lang w:val="en-GB"/>
              </w:rPr>
            </w:pPr>
            <w:r>
              <w:rPr>
                <w:noProof/>
              </w:rPr>
              <w:drawing>
                <wp:inline distT="0" distB="0" distL="0" distR="0" wp14:anchorId="5E4AAE6D" wp14:editId="4A54160E">
                  <wp:extent cx="4770120" cy="3726611"/>
                  <wp:effectExtent l="0" t="0" r="0" b="762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80129" w:rsidRPr="00DD6E6B" w14:paraId="09FF7248" w14:textId="77777777" w:rsidTr="00D80129">
        <w:trPr>
          <w:trHeight w:val="133"/>
        </w:trPr>
        <w:tc>
          <w:tcPr>
            <w:tcW w:w="1678" w:type="dxa"/>
            <w:vMerge/>
            <w:tcBorders>
              <w:top w:val="nil"/>
              <w:left w:val="nil"/>
              <w:bottom w:val="nil"/>
              <w:right w:val="nil"/>
            </w:tcBorders>
            <w:shd w:val="clear" w:color="auto" w:fill="auto"/>
            <w:tcMar>
              <w:left w:w="0" w:type="dxa"/>
            </w:tcMar>
          </w:tcPr>
          <w:p w14:paraId="2F27F978"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Mar>
              <w:left w:w="0" w:type="dxa"/>
            </w:tcMar>
          </w:tcPr>
          <w:p w14:paraId="2B9A2F89"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0B74E3CA" w14:textId="77777777" w:rsidR="00D80129" w:rsidRDefault="00D80129" w:rsidP="00D80129">
            <w:pPr>
              <w:spacing w:after="0" w:line="240" w:lineRule="auto"/>
              <w:rPr>
                <w:rFonts w:cs="Arial"/>
                <w:sz w:val="14"/>
                <w:szCs w:val="14"/>
                <w:lang w:val="en-GB"/>
              </w:rPr>
            </w:pPr>
            <w:r w:rsidRPr="00DD6E6B">
              <w:rPr>
                <w:color w:val="0D0D0D" w:themeColor="text1" w:themeTint="F2"/>
                <w:spacing w:val="-5"/>
                <w:lang w:val="en-GB"/>
              </w:rPr>
              <w:t>*</w:t>
            </w:r>
            <w:r w:rsidRPr="00DD6E6B">
              <w:rPr>
                <w:rFonts w:cs="Arial"/>
                <w:sz w:val="14"/>
                <w:szCs w:val="14"/>
                <w:lang w:val="en-GB"/>
              </w:rPr>
              <w:t>Both utilisation of production capacities and growth barriers express the level in the first month of the given quarter, business confidence balance relates to the second month in the quarter. Orders are adjusted for calendar effects; other indicators are seasonally adjusted. Businesses could have indicated more key growth barriers simultaneously.</w:t>
            </w:r>
          </w:p>
          <w:p w14:paraId="551E646C" w14:textId="62EA01F7" w:rsidR="00D80129" w:rsidRPr="00024D0A" w:rsidRDefault="00D80129" w:rsidP="00D80129">
            <w:pPr>
              <w:spacing w:after="200" w:line="240" w:lineRule="auto"/>
              <w:rPr>
                <w:rFonts w:cs="Arial"/>
                <w:sz w:val="14"/>
                <w:szCs w:val="14"/>
                <w:lang w:val="en-GB"/>
              </w:rPr>
            </w:pPr>
            <w:r w:rsidRPr="00DD6E6B">
              <w:rPr>
                <w:rFonts w:cs="Arial"/>
                <w:sz w:val="14"/>
                <w:szCs w:val="14"/>
                <w:lang w:val="en-GB"/>
              </w:rPr>
              <w:t>Source: CZSO</w:t>
            </w:r>
            <w:r>
              <w:rPr>
                <w:rFonts w:cs="Arial"/>
                <w:sz w:val="14"/>
                <w:szCs w:val="14"/>
                <w:lang w:val="en-GB"/>
              </w:rPr>
              <w:t>, Eurostat</w:t>
            </w:r>
          </w:p>
        </w:tc>
      </w:tr>
      <w:tr w:rsidR="00D80129" w:rsidRPr="00DD6E6B" w14:paraId="4CD58B4F" w14:textId="77777777" w:rsidTr="00D80129">
        <w:trPr>
          <w:trHeight w:val="170"/>
        </w:trPr>
        <w:tc>
          <w:tcPr>
            <w:tcW w:w="1678" w:type="dxa"/>
            <w:tcBorders>
              <w:top w:val="nil"/>
              <w:left w:val="nil"/>
              <w:bottom w:val="nil"/>
              <w:right w:val="nil"/>
            </w:tcBorders>
            <w:shd w:val="clear" w:color="auto" w:fill="auto"/>
            <w:tcMar>
              <w:left w:w="0" w:type="dxa"/>
            </w:tcMar>
          </w:tcPr>
          <w:p w14:paraId="04D9A587" w14:textId="4C50D4B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Performance of construction was still affected by significant cost pressures as well as weakening private investment activity.  </w:t>
            </w:r>
          </w:p>
        </w:tc>
        <w:tc>
          <w:tcPr>
            <w:tcW w:w="194" w:type="dxa"/>
            <w:tcBorders>
              <w:top w:val="nil"/>
              <w:left w:val="nil"/>
              <w:bottom w:val="nil"/>
              <w:right w:val="nil"/>
            </w:tcBorders>
            <w:shd w:val="clear" w:color="auto" w:fill="auto"/>
            <w:tcMar>
              <w:left w:w="0" w:type="dxa"/>
            </w:tcMar>
          </w:tcPr>
          <w:p w14:paraId="2CAFD1C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010BAA7" w14:textId="6E3AC042" w:rsidR="00D80129" w:rsidRPr="00DD6E6B" w:rsidRDefault="00D80129" w:rsidP="00731921">
            <w:pPr>
              <w:spacing w:after="200"/>
              <w:rPr>
                <w:color w:val="0D0D0D" w:themeColor="text1" w:themeTint="F2"/>
                <w:spacing w:val="-6"/>
                <w:lang w:val="en-GB"/>
              </w:rPr>
            </w:pPr>
            <w:r w:rsidRPr="00DD6E6B">
              <w:rPr>
                <w:color w:val="0D0D0D" w:themeColor="text1" w:themeTint="F2"/>
                <w:spacing w:val="-6"/>
                <w:lang w:val="en-GB"/>
              </w:rPr>
              <w:t>Construction was still influenced by the rising cost pressures as well as weakening investment activity in the business sphere in H1</w:t>
            </w:r>
            <w:r w:rsidR="00731921">
              <w:rPr>
                <w:color w:val="0D0D0D" w:themeColor="text1" w:themeTint="F2"/>
                <w:spacing w:val="-6"/>
                <w:lang w:val="en-GB"/>
              </w:rPr>
              <w:t xml:space="preserve"> 2023</w:t>
            </w:r>
            <w:r w:rsidRPr="00DD6E6B">
              <w:rPr>
                <w:color w:val="0D0D0D" w:themeColor="text1" w:themeTint="F2"/>
                <w:spacing w:val="-6"/>
                <w:lang w:val="en-GB"/>
              </w:rPr>
              <w:t>. Even though the year-on-year growth of prices of construction materials mitigated (it was already even falling month-on-month during Q2), swift growth of labour cost (affected by long-term shortage of qualitied labour force) prevented larger decrease of realised as well as expected prices of construction production</w:t>
            </w:r>
            <w:r w:rsidRPr="00DD6E6B">
              <w:rPr>
                <w:rStyle w:val="Znakapoznpodarou"/>
                <w:color w:val="0D0D0D" w:themeColor="text1" w:themeTint="F2"/>
                <w:spacing w:val="-6"/>
                <w:lang w:val="en-GB"/>
              </w:rPr>
              <w:footnoteReference w:id="31"/>
            </w:r>
            <w:r w:rsidRPr="00DD6E6B">
              <w:rPr>
                <w:color w:val="0D0D0D" w:themeColor="text1" w:themeTint="F2"/>
                <w:spacing w:val="-6"/>
                <w:lang w:val="en-GB"/>
              </w:rPr>
              <w:t xml:space="preserve">. Weakening of the investment activity was related to the shallow recession </w:t>
            </w:r>
            <w:r w:rsidR="00731921">
              <w:rPr>
                <w:color w:val="0D0D0D" w:themeColor="text1" w:themeTint="F2"/>
                <w:spacing w:val="-6"/>
                <w:lang w:val="en-GB"/>
              </w:rPr>
              <w:t>or</w:t>
            </w:r>
            <w:r w:rsidRPr="00DD6E6B">
              <w:rPr>
                <w:color w:val="0D0D0D" w:themeColor="text1" w:themeTint="F2"/>
                <w:spacing w:val="-6"/>
                <w:lang w:val="en-GB"/>
              </w:rPr>
              <w:t xml:space="preserve"> stagnation of the total economic performance. Deteriorated financial situation of households together with notably sunken accessibility of mortgages fundamentally cooled last year’s boom of the real estate market. Intensified flow of funds from the EU budget intended for the construction as well as upgrade of the transport infrastructure or reduction of the energy performance of buildings </w:t>
            </w:r>
            <w:r w:rsidR="00731921">
              <w:rPr>
                <w:color w:val="0D0D0D" w:themeColor="text1" w:themeTint="F2"/>
                <w:spacing w:val="-6"/>
                <w:lang w:val="en-GB"/>
              </w:rPr>
              <w:t>(</w:t>
            </w:r>
            <w:r w:rsidRPr="00DD6E6B">
              <w:rPr>
                <w:color w:val="0D0D0D" w:themeColor="text1" w:themeTint="F2"/>
                <w:spacing w:val="-6"/>
                <w:lang w:val="en-GB"/>
              </w:rPr>
              <w:t>in the area of housing</w:t>
            </w:r>
            <w:r w:rsidR="00731921">
              <w:rPr>
                <w:color w:val="0D0D0D" w:themeColor="text1" w:themeTint="F2"/>
                <w:spacing w:val="-6"/>
                <w:lang w:val="en-GB"/>
              </w:rPr>
              <w:t>)</w:t>
            </w:r>
            <w:r w:rsidRPr="00DD6E6B">
              <w:rPr>
                <w:color w:val="0D0D0D" w:themeColor="text1" w:themeTint="F2"/>
                <w:spacing w:val="-6"/>
                <w:lang w:val="en-GB"/>
              </w:rPr>
              <w:t xml:space="preserve"> </w:t>
            </w:r>
            <w:r w:rsidRPr="00DD6E6B">
              <w:rPr>
                <w:rStyle w:val="normaltextrun"/>
                <w:rFonts w:eastAsia="MS Gothic" w:cs="Arial"/>
                <w:lang w:val="en-GB"/>
              </w:rPr>
              <w:t>on the contrary operated against deeper slump of the construction performance</w:t>
            </w:r>
            <w:r w:rsidRPr="00DD6E6B">
              <w:rPr>
                <w:rStyle w:val="normaltextrun"/>
                <w:rFonts w:eastAsia="MS Gothic" w:cs="Arial"/>
                <w:szCs w:val="20"/>
                <w:lang w:val="en-GB"/>
              </w:rPr>
              <w:t>.</w:t>
            </w:r>
          </w:p>
        </w:tc>
      </w:tr>
      <w:tr w:rsidR="00D80129" w:rsidRPr="00DD6E6B" w14:paraId="15783060" w14:textId="77777777" w:rsidTr="00D80129">
        <w:trPr>
          <w:trHeight w:val="170"/>
        </w:trPr>
        <w:tc>
          <w:tcPr>
            <w:tcW w:w="1678" w:type="dxa"/>
            <w:tcBorders>
              <w:top w:val="nil"/>
              <w:left w:val="nil"/>
              <w:bottom w:val="nil"/>
              <w:right w:val="nil"/>
            </w:tcBorders>
            <w:shd w:val="clear" w:color="auto" w:fill="auto"/>
            <w:tcMar>
              <w:left w:w="0" w:type="dxa"/>
            </w:tcMar>
          </w:tcPr>
          <w:p w14:paraId="374E2C3E" w14:textId="4DD95E45"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Construction output dropped both year-on-year and quarter-on-quarter in Q2. The reduction of demand was distinctly imprinted in the commenced residential construction, namely across the regions. </w:t>
            </w:r>
          </w:p>
        </w:tc>
        <w:tc>
          <w:tcPr>
            <w:tcW w:w="194" w:type="dxa"/>
            <w:tcBorders>
              <w:top w:val="nil"/>
              <w:left w:val="nil"/>
              <w:bottom w:val="nil"/>
              <w:right w:val="nil"/>
            </w:tcBorders>
            <w:shd w:val="clear" w:color="auto" w:fill="auto"/>
            <w:tcMar>
              <w:left w:w="0" w:type="dxa"/>
            </w:tcMar>
          </w:tcPr>
          <w:p w14:paraId="4D04187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312C8F0A" w14:textId="77428F0D" w:rsidR="00D80129" w:rsidRPr="00DD6E6B" w:rsidRDefault="00D80129" w:rsidP="00D80129">
            <w:pPr>
              <w:spacing w:after="200"/>
              <w:rPr>
                <w:color w:val="0D0D0D" w:themeColor="text1" w:themeTint="F2"/>
                <w:spacing w:val="-6"/>
                <w:lang w:val="en-GB"/>
              </w:rPr>
            </w:pPr>
            <w:r w:rsidRPr="00DD6E6B">
              <w:rPr>
                <w:color w:val="0D0D0D" w:themeColor="text1" w:themeTint="F2"/>
                <w:spacing w:val="-6"/>
                <w:lang w:val="en-GB"/>
              </w:rPr>
              <w:t>Total construction output</w:t>
            </w:r>
            <w:r w:rsidRPr="00DD6E6B">
              <w:rPr>
                <w:rStyle w:val="Znakapoznpodarou"/>
                <w:color w:val="0D0D0D" w:themeColor="text1" w:themeTint="F2"/>
                <w:spacing w:val="-6"/>
                <w:lang w:val="en-GB"/>
              </w:rPr>
              <w:footnoteReference w:id="32"/>
            </w:r>
            <w:r w:rsidRPr="00DD6E6B">
              <w:rPr>
                <w:color w:val="0D0D0D" w:themeColor="text1" w:themeTint="F2"/>
                <w:spacing w:val="-6"/>
                <w:lang w:val="en-GB"/>
              </w:rPr>
              <w:t xml:space="preserve"> has fluctuated this year si</w:t>
            </w:r>
            <w:r w:rsidR="00854F32">
              <w:rPr>
                <w:color w:val="0D0D0D" w:themeColor="text1" w:themeTint="F2"/>
                <w:spacing w:val="-6"/>
                <w:lang w:val="en-GB"/>
              </w:rPr>
              <w:t>nce the beginning of this</w:t>
            </w:r>
            <w:r w:rsidRPr="00DD6E6B">
              <w:rPr>
                <w:color w:val="0D0D0D" w:themeColor="text1" w:themeTint="F2"/>
                <w:spacing w:val="-6"/>
                <w:lang w:val="en-GB"/>
              </w:rPr>
              <w:t xml:space="preserve"> year. It expanded by 2.2% quarter-on-quarter in Q1 (partially thanks to the very mild winter). In the subsequent period</w:t>
            </w:r>
            <w:r>
              <w:rPr>
                <w:color w:val="0D0D0D" w:themeColor="text1" w:themeTint="F2"/>
                <w:spacing w:val="-6"/>
                <w:lang w:val="en-GB"/>
              </w:rPr>
              <w:t>,</w:t>
            </w:r>
            <w:r w:rsidRPr="00DD6E6B">
              <w:rPr>
                <w:color w:val="0D0D0D" w:themeColor="text1" w:themeTint="F2"/>
                <w:spacing w:val="-6"/>
                <w:lang w:val="en-GB"/>
              </w:rPr>
              <w:t xml:space="preserve"> it nevertheless fell by entire 3%, when both the building and civil engineering construction recorded a weaker performance. Construction output mildly decreased year-on-year in H1 (by 2.3%, for the major part under the influence of the civil engineering construction, where the output plunged by 7.2%). The effect of higher last year’s basis was also evident here (the output of the whole industry was at the highest level since the end of year 2009). In building construction, the current cooling of demand is the most realistically captured in the area of commenced residential </w:t>
            </w:r>
            <w:proofErr w:type="gramStart"/>
            <w:r w:rsidRPr="00DD6E6B">
              <w:rPr>
                <w:color w:val="0D0D0D" w:themeColor="text1" w:themeTint="F2"/>
                <w:spacing w:val="-6"/>
                <w:lang w:val="en-GB"/>
              </w:rPr>
              <w:t>construction.</w:t>
            </w:r>
            <w:proofErr w:type="gramEnd"/>
            <w:r w:rsidRPr="00DD6E6B">
              <w:rPr>
                <w:color w:val="0D0D0D" w:themeColor="text1" w:themeTint="F2"/>
                <w:spacing w:val="-6"/>
                <w:lang w:val="en-GB"/>
              </w:rPr>
              <w:t xml:space="preserve"> Number of flats dropped by one fifth</w:t>
            </w:r>
            <w:r w:rsidRPr="00DD6E6B">
              <w:rPr>
                <w:rStyle w:val="Znakapoznpodarou"/>
                <w:color w:val="0D0D0D" w:themeColor="text1" w:themeTint="F2"/>
                <w:spacing w:val="-6"/>
                <w:lang w:val="en-GB"/>
              </w:rPr>
              <w:footnoteReference w:id="33"/>
            </w:r>
            <w:r w:rsidRPr="00DD6E6B">
              <w:rPr>
                <w:color w:val="0D0D0D" w:themeColor="text1" w:themeTint="F2"/>
                <w:spacing w:val="-6"/>
                <w:lang w:val="en-GB"/>
              </w:rPr>
              <w:t xml:space="preserve"> year-on-year in H1</w:t>
            </w:r>
            <w:r w:rsidR="00854F32">
              <w:rPr>
                <w:color w:val="0D0D0D" w:themeColor="text1" w:themeTint="F2"/>
                <w:spacing w:val="-6"/>
                <w:lang w:val="en-GB"/>
              </w:rPr>
              <w:t xml:space="preserve"> 2023</w:t>
            </w:r>
            <w:r w:rsidRPr="00DD6E6B">
              <w:rPr>
                <w:color w:val="0D0D0D" w:themeColor="text1" w:themeTint="F2"/>
                <w:spacing w:val="-6"/>
                <w:lang w:val="en-GB"/>
              </w:rPr>
              <w:t xml:space="preserve"> (to 18.1 thousand, it constituted the lowest level within this part of the year in the last five-year period). The decrease </w:t>
            </w:r>
            <w:r>
              <w:rPr>
                <w:color w:val="0D0D0D" w:themeColor="text1" w:themeTint="F2"/>
                <w:spacing w:val="-6"/>
                <w:lang w:val="en-GB"/>
              </w:rPr>
              <w:t>was widespread</w:t>
            </w:r>
            <w:r w:rsidRPr="00BC14B0">
              <w:rPr>
                <w:color w:val="0D0D0D" w:themeColor="text1" w:themeTint="F2"/>
                <w:spacing w:val="-6"/>
                <w:lang w:val="en-GB"/>
              </w:rPr>
              <w:t xml:space="preserve"> (also in the regional glance), growth trend prevailed only in the peripheral segments </w:t>
            </w:r>
            <w:r w:rsidRPr="00BC14B0">
              <w:rPr>
                <w:rStyle w:val="normaltextrun"/>
                <w:rFonts w:eastAsia="MS Gothic" w:cs="Arial"/>
                <w:szCs w:val="20"/>
                <w:lang w:val="en-GB"/>
              </w:rPr>
              <w:t>(a</w:t>
            </w:r>
            <w:r w:rsidRPr="00BC14B0">
              <w:rPr>
                <w:rStyle w:val="normaltextrun"/>
                <w:rFonts w:eastAsia="MS Gothic" w:cs="Arial"/>
                <w:lang w:val="en-GB"/>
              </w:rPr>
              <w:t>dditional</w:t>
            </w:r>
            <w:r w:rsidRPr="00DD6E6B">
              <w:rPr>
                <w:rStyle w:val="normaltextrun"/>
                <w:rFonts w:eastAsia="MS Gothic" w:cs="Arial"/>
                <w:lang w:val="en-GB"/>
              </w:rPr>
              <w:t xml:space="preserve"> storeys of residential buildings, reconstructions of non-residential buildings</w:t>
            </w:r>
            <w:r w:rsidR="00854F32">
              <w:rPr>
                <w:rStyle w:val="normaltextrun"/>
                <w:rFonts w:eastAsia="MS Gothic" w:cs="Arial"/>
                <w:szCs w:val="20"/>
                <w:lang w:val="en-GB"/>
              </w:rPr>
              <w:t>). Number of completed</w:t>
            </w:r>
            <w:r w:rsidRPr="00DD6E6B">
              <w:rPr>
                <w:rStyle w:val="normaltextrun"/>
                <w:rFonts w:eastAsia="MS Gothic" w:cs="Arial"/>
                <w:szCs w:val="20"/>
                <w:lang w:val="en-GB"/>
              </w:rPr>
              <w:t xml:space="preserve"> flats owing to high quantity of started constructions </w:t>
            </w:r>
            <w:r>
              <w:rPr>
                <w:rStyle w:val="normaltextrun"/>
                <w:rFonts w:eastAsia="MS Gothic" w:cs="Arial"/>
                <w:szCs w:val="20"/>
                <w:lang w:val="en-GB"/>
              </w:rPr>
              <w:t>from</w:t>
            </w:r>
            <w:r w:rsidRPr="00DD6E6B">
              <w:rPr>
                <w:rStyle w:val="normaltextrun"/>
                <w:rFonts w:eastAsia="MS Gothic" w:cs="Arial"/>
                <w:szCs w:val="20"/>
                <w:lang w:val="en-GB"/>
              </w:rPr>
              <w:t xml:space="preserve"> the preceding </w:t>
            </w:r>
            <w:r w:rsidRPr="00BC14B0">
              <w:rPr>
                <w:rStyle w:val="normaltextrun"/>
                <w:rFonts w:eastAsia="MS Gothic" w:cs="Arial"/>
                <w:szCs w:val="20"/>
                <w:lang w:val="en-GB"/>
              </w:rPr>
              <w:t xml:space="preserve">years </w:t>
            </w:r>
            <w:r w:rsidR="00854F32">
              <w:rPr>
                <w:rStyle w:val="normaltextrun"/>
                <w:rFonts w:eastAsia="MS Gothic" w:cs="Arial"/>
                <w:szCs w:val="20"/>
                <w:lang w:val="en-GB"/>
              </w:rPr>
              <w:t xml:space="preserve">still </w:t>
            </w:r>
            <w:r>
              <w:rPr>
                <w:rStyle w:val="normaltextrun"/>
                <w:rFonts w:eastAsia="MS Gothic" w:cs="Arial"/>
                <w:spacing w:val="-2"/>
                <w:szCs w:val="20"/>
                <w:lang w:val="en-GB"/>
              </w:rPr>
              <w:t>continued to slightly grow by means of inertia</w:t>
            </w:r>
            <w:r w:rsidRPr="00DD6E6B">
              <w:rPr>
                <w:rStyle w:val="normaltextrun"/>
                <w:rFonts w:eastAsia="MS Gothic" w:cs="Arial"/>
                <w:spacing w:val="-2"/>
                <w:szCs w:val="20"/>
                <w:lang w:val="en-GB"/>
              </w:rPr>
              <w:t xml:space="preserve"> (+2.9%, to 17.9 thousand).</w:t>
            </w:r>
            <w:r w:rsidRPr="00DD6E6B">
              <w:rPr>
                <w:rStyle w:val="normaltextrun"/>
                <w:rFonts w:eastAsia="MS Gothic" w:cs="Arial"/>
                <w:szCs w:val="20"/>
                <w:lang w:val="en-GB"/>
              </w:rPr>
              <w:t xml:space="preserve"> </w:t>
            </w:r>
          </w:p>
        </w:tc>
      </w:tr>
      <w:tr w:rsidR="00D80129" w:rsidRPr="00DD6E6B" w14:paraId="24BBB0C6" w14:textId="77777777" w:rsidTr="00D80129">
        <w:trPr>
          <w:trHeight w:val="170"/>
        </w:trPr>
        <w:tc>
          <w:tcPr>
            <w:tcW w:w="1678" w:type="dxa"/>
            <w:tcBorders>
              <w:top w:val="nil"/>
              <w:left w:val="nil"/>
              <w:bottom w:val="nil"/>
              <w:right w:val="nil"/>
            </w:tcBorders>
            <w:shd w:val="clear" w:color="auto" w:fill="auto"/>
            <w:tcMar>
              <w:left w:w="0" w:type="dxa"/>
            </w:tcMar>
          </w:tcPr>
          <w:p w14:paraId="3EE4A020" w14:textId="0DF29CDC"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Fall of the value of new construction orders deepened during the year. The size of total stock of work narrowed year-on-year, for the first time in the last five and a half years. </w:t>
            </w:r>
          </w:p>
          <w:p w14:paraId="63DFCFE1" w14:textId="77777777" w:rsidR="00D80129" w:rsidRPr="00DD6E6B" w:rsidRDefault="00D80129" w:rsidP="00D80129">
            <w:pPr>
              <w:pStyle w:val="Marginlie"/>
              <w:rPr>
                <w:color w:val="0D0D0D" w:themeColor="text1" w:themeTint="F2"/>
                <w:spacing w:val="-4"/>
                <w:lang w:val="en-GB"/>
              </w:rPr>
            </w:pPr>
          </w:p>
          <w:p w14:paraId="1C36C5EE" w14:textId="77777777" w:rsidR="00D80129" w:rsidRPr="00DD6E6B" w:rsidRDefault="00D80129" w:rsidP="00D80129">
            <w:pPr>
              <w:pStyle w:val="Marginlie"/>
              <w:rPr>
                <w:color w:val="0D0D0D" w:themeColor="text1" w:themeTint="F2"/>
                <w:spacing w:val="-4"/>
                <w:lang w:val="en-GB"/>
              </w:rPr>
            </w:pPr>
          </w:p>
          <w:p w14:paraId="7C53F11B" w14:textId="77777777" w:rsidR="00D80129" w:rsidRPr="00DD6E6B" w:rsidRDefault="00D80129" w:rsidP="00D80129">
            <w:pPr>
              <w:pStyle w:val="Marginlie"/>
              <w:rPr>
                <w:color w:val="0D0D0D" w:themeColor="text1" w:themeTint="F2"/>
                <w:spacing w:val="-4"/>
                <w:lang w:val="en-GB"/>
              </w:rPr>
            </w:pPr>
          </w:p>
          <w:p w14:paraId="3B559B1C" w14:textId="77777777" w:rsidR="00D80129" w:rsidRPr="00DD6E6B" w:rsidRDefault="00D80129" w:rsidP="00D80129">
            <w:pPr>
              <w:pStyle w:val="Marginlie"/>
              <w:rPr>
                <w:color w:val="0D0D0D" w:themeColor="text1" w:themeTint="F2"/>
                <w:spacing w:val="-4"/>
                <w:lang w:val="en-GB"/>
              </w:rPr>
            </w:pPr>
          </w:p>
          <w:p w14:paraId="5E2C5637" w14:textId="77777777" w:rsidR="00D80129" w:rsidRPr="00DD6E6B" w:rsidRDefault="00D80129" w:rsidP="00D80129">
            <w:pPr>
              <w:pStyle w:val="Marginlie"/>
              <w:rPr>
                <w:color w:val="0D0D0D" w:themeColor="text1" w:themeTint="F2"/>
                <w:spacing w:val="-4"/>
                <w:lang w:val="en-GB"/>
              </w:rPr>
            </w:pPr>
          </w:p>
          <w:p w14:paraId="65F45C09" w14:textId="77777777" w:rsidR="00D80129" w:rsidRPr="00DD6E6B" w:rsidRDefault="00D80129" w:rsidP="00D80129">
            <w:pPr>
              <w:pStyle w:val="Marginlie"/>
              <w:rPr>
                <w:color w:val="0D0D0D" w:themeColor="text1" w:themeTint="F2"/>
                <w:spacing w:val="-4"/>
                <w:lang w:val="en-GB"/>
              </w:rPr>
            </w:pPr>
          </w:p>
          <w:p w14:paraId="6A7BC039" w14:textId="4CC869A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Reconstructions or modernisations mainly contributed to the growth of the value of permitted buildings.  </w:t>
            </w:r>
          </w:p>
        </w:tc>
        <w:tc>
          <w:tcPr>
            <w:tcW w:w="194" w:type="dxa"/>
            <w:tcBorders>
              <w:top w:val="nil"/>
              <w:left w:val="nil"/>
              <w:bottom w:val="nil"/>
              <w:right w:val="nil"/>
            </w:tcBorders>
            <w:shd w:val="clear" w:color="auto" w:fill="auto"/>
            <w:tcMar>
              <w:left w:w="0" w:type="dxa"/>
            </w:tcMar>
          </w:tcPr>
          <w:p w14:paraId="288A4DAF"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5CD2F988" w14:textId="3835EF5F" w:rsidR="00D80129" w:rsidRPr="00DD6E6B" w:rsidRDefault="00D80129" w:rsidP="00B13A1C">
            <w:pPr>
              <w:spacing w:after="200"/>
              <w:rPr>
                <w:rFonts w:cs="Arial"/>
                <w:color w:val="0D0D0D" w:themeColor="text1" w:themeTint="F2"/>
                <w:spacing w:val="-4"/>
                <w:lang w:val="en-GB"/>
              </w:rPr>
            </w:pPr>
            <w:r w:rsidRPr="00DD6E6B">
              <w:rPr>
                <w:rStyle w:val="normaltextrun"/>
                <w:rFonts w:eastAsia="MS Gothic" w:cs="Arial"/>
                <w:szCs w:val="20"/>
                <w:lang w:val="en-GB"/>
              </w:rPr>
              <w:t>G</w:t>
            </w:r>
            <w:r w:rsidRPr="00DD6E6B">
              <w:rPr>
                <w:rStyle w:val="normaltextrun"/>
                <w:rFonts w:eastAsia="MS Gothic" w:cs="Arial"/>
                <w:lang w:val="en-GB"/>
              </w:rPr>
              <w:t xml:space="preserve">rowth of the nominal value of new domestic construction orders </w:t>
            </w:r>
            <w:r w:rsidRPr="00DD6E6B">
              <w:rPr>
                <w:rStyle w:val="normaltextrun"/>
                <w:rFonts w:eastAsia="MS Gothic" w:cs="Arial"/>
                <w:szCs w:val="20"/>
                <w:lang w:val="en-GB"/>
              </w:rPr>
              <w:t>(f</w:t>
            </w:r>
            <w:r w:rsidRPr="00DD6E6B">
              <w:rPr>
                <w:rStyle w:val="normaltextrun"/>
                <w:rFonts w:eastAsia="MS Gothic" w:cs="Arial"/>
                <w:lang w:val="en-GB"/>
              </w:rPr>
              <w:t xml:space="preserve">or construction companies with above </w:t>
            </w:r>
            <w:r w:rsidRPr="00DD6E6B">
              <w:rPr>
                <w:rStyle w:val="normaltextrun"/>
                <w:rFonts w:eastAsia="MS Gothic" w:cs="Arial"/>
                <w:szCs w:val="20"/>
                <w:lang w:val="en-GB"/>
              </w:rPr>
              <w:t>50 e</w:t>
            </w:r>
            <w:r w:rsidRPr="00DD6E6B">
              <w:rPr>
                <w:rStyle w:val="normaltextrun"/>
                <w:rFonts w:eastAsia="MS Gothic" w:cs="Arial"/>
                <w:lang w:val="en-GB"/>
              </w:rPr>
              <w:t>mployees</w:t>
            </w:r>
            <w:r w:rsidRPr="00DD6E6B">
              <w:rPr>
                <w:rStyle w:val="normaltextrun"/>
                <w:rFonts w:eastAsia="MS Gothic" w:cs="Arial"/>
                <w:szCs w:val="20"/>
                <w:lang w:val="en-GB"/>
              </w:rPr>
              <w:t>) f</w:t>
            </w:r>
            <w:r w:rsidRPr="00DD6E6B">
              <w:rPr>
                <w:rStyle w:val="normaltextrun"/>
                <w:rFonts w:eastAsia="MS Gothic" w:cs="Arial"/>
                <w:lang w:val="en-GB"/>
              </w:rPr>
              <w:t xml:space="preserve">ollowing nearly three years of growth ceased this year. The orders plummeted by 15.8% year-on-year for the whole half-year (the most after the crisis year </w:t>
            </w:r>
            <w:r w:rsidR="00854F32">
              <w:rPr>
                <w:rStyle w:val="normaltextrun"/>
                <w:rFonts w:eastAsia="MS Gothic" w:cs="Arial"/>
                <w:szCs w:val="20"/>
                <w:lang w:val="en-GB"/>
              </w:rPr>
              <w:t>2012). I</w:t>
            </w:r>
            <w:r w:rsidRPr="00DD6E6B">
              <w:rPr>
                <w:rStyle w:val="normaltextrun"/>
                <w:rFonts w:eastAsia="MS Gothic" w:cs="Arial"/>
                <w:lang w:val="en-GB"/>
              </w:rPr>
              <w:t xml:space="preserve">n addition the fall deepened since the beginning of this year </w:t>
            </w:r>
            <w:r w:rsidRPr="00DD6E6B">
              <w:rPr>
                <w:rStyle w:val="normaltextrun"/>
                <w:rFonts w:eastAsia="MS Gothic" w:cs="Arial"/>
                <w:szCs w:val="20"/>
                <w:lang w:val="en-GB"/>
              </w:rPr>
              <w:t>(solely due to the civil engin</w:t>
            </w:r>
            <w:r w:rsidR="00854F32">
              <w:rPr>
                <w:rStyle w:val="normaltextrun"/>
                <w:rFonts w:eastAsia="MS Gothic" w:cs="Arial"/>
                <w:szCs w:val="20"/>
                <w:lang w:val="en-GB"/>
              </w:rPr>
              <w:t>eering construction). The value</w:t>
            </w:r>
            <w:r w:rsidRPr="00DD6E6B">
              <w:rPr>
                <w:rStyle w:val="normaltextrun"/>
                <w:rFonts w:eastAsia="MS Gothic" w:cs="Arial"/>
                <w:szCs w:val="20"/>
                <w:lang w:val="en-GB"/>
              </w:rPr>
              <w:t xml:space="preserve"> of all orders thus returned approximately to the level of the year before the last. Total stock of work </w:t>
            </w:r>
            <w:r w:rsidRPr="00DD6E6B">
              <w:rPr>
                <w:rFonts w:cs="Arial"/>
                <w:color w:val="0D0D0D" w:themeColor="text1" w:themeTint="F2"/>
                <w:spacing w:val="-6"/>
                <w:lang w:val="en-GB"/>
              </w:rPr>
              <w:t>(i</w:t>
            </w:r>
            <w:r w:rsidRPr="00DD6E6B">
              <w:rPr>
                <w:color w:val="0D0D0D" w:themeColor="text1" w:themeTint="F2"/>
                <w:spacing w:val="-6"/>
                <w:lang w:val="en-GB"/>
              </w:rPr>
              <w:t>n the form of value of not yet completed construction orders</w:t>
            </w:r>
            <w:r w:rsidRPr="00DD6E6B">
              <w:rPr>
                <w:rFonts w:cs="Arial"/>
                <w:color w:val="0D0D0D" w:themeColor="text1" w:themeTint="F2"/>
                <w:spacing w:val="-4"/>
                <w:lang w:val="en-GB"/>
              </w:rPr>
              <w:t xml:space="preserve">) </w:t>
            </w:r>
            <w:r w:rsidRPr="00DD6E6B">
              <w:rPr>
                <w:color w:val="0D0D0D" w:themeColor="text1" w:themeTint="F2"/>
                <w:spacing w:val="-4"/>
                <w:lang w:val="en-GB"/>
              </w:rPr>
              <w:t xml:space="preserve">was </w:t>
            </w:r>
            <w:r w:rsidRPr="00DD6E6B">
              <w:rPr>
                <w:rFonts w:cs="Arial"/>
                <w:color w:val="0D0D0D" w:themeColor="text1" w:themeTint="F2"/>
                <w:spacing w:val="-4"/>
                <w:lang w:val="en-GB"/>
              </w:rPr>
              <w:t>b</w:t>
            </w:r>
            <w:r w:rsidRPr="00DD6E6B">
              <w:rPr>
                <w:color w:val="0D0D0D" w:themeColor="text1" w:themeTint="F2"/>
                <w:spacing w:val="-4"/>
                <w:lang w:val="en-GB"/>
              </w:rPr>
              <w:t xml:space="preserve">y </w:t>
            </w:r>
            <w:r w:rsidRPr="00DD6E6B">
              <w:rPr>
                <w:rFonts w:cs="Arial"/>
                <w:color w:val="0D0D0D" w:themeColor="text1" w:themeTint="F2"/>
                <w:spacing w:val="-4"/>
                <w:lang w:val="en-GB"/>
              </w:rPr>
              <w:t xml:space="preserve">2.6% </w:t>
            </w:r>
            <w:r w:rsidRPr="00DD6E6B">
              <w:rPr>
                <w:color w:val="0D0D0D" w:themeColor="text1" w:themeTint="F2"/>
                <w:spacing w:val="-4"/>
                <w:lang w:val="en-GB"/>
              </w:rPr>
              <w:t>lower year-on-year at the end of Q2 2023</w:t>
            </w:r>
            <w:r w:rsidRPr="00DD6E6B">
              <w:rPr>
                <w:rFonts w:cs="Arial"/>
                <w:color w:val="0D0D0D" w:themeColor="text1" w:themeTint="F2"/>
                <w:spacing w:val="-4"/>
                <w:lang w:val="en-GB"/>
              </w:rPr>
              <w:t xml:space="preserve">, when it fell for the first time in the last five and a half years. Mainly the private domestic demand shrank, moreover the rather supplementary segment of foreign orders was also falling. Stock of domestic public orders did still mildly grow (+1.1%), but much less than at the end of Q1 2023 (+16.0%). The </w:t>
            </w:r>
            <w:r w:rsidR="00854F32">
              <w:rPr>
                <w:rFonts w:cs="Arial"/>
                <w:szCs w:val="20"/>
                <w:lang w:val="en-GB"/>
              </w:rPr>
              <w:t>approximate value of</w:t>
            </w:r>
            <w:r w:rsidRPr="00DD6E6B">
              <w:rPr>
                <w:rFonts w:cs="Arial"/>
                <w:szCs w:val="20"/>
                <w:lang w:val="en-GB"/>
              </w:rPr>
              <w:t xml:space="preserve"> granted building</w:t>
            </w:r>
            <w:r w:rsidRPr="00DD6E6B">
              <w:rPr>
                <w:spacing w:val="-4"/>
                <w:lang w:val="en-GB"/>
              </w:rPr>
              <w:t xml:space="preserve"> </w:t>
            </w:r>
            <w:r w:rsidRPr="00DD6E6B">
              <w:rPr>
                <w:rFonts w:cs="Arial"/>
                <w:szCs w:val="20"/>
                <w:lang w:val="en-GB"/>
              </w:rPr>
              <w:t>permit</w:t>
            </w:r>
            <w:r w:rsidR="00854F32">
              <w:rPr>
                <w:rFonts w:cs="Arial"/>
                <w:szCs w:val="20"/>
                <w:lang w:val="en-GB"/>
              </w:rPr>
              <w:t>s</w:t>
            </w:r>
            <w:r w:rsidRPr="00DD6E6B">
              <w:rPr>
                <w:rFonts w:cs="Arial"/>
                <w:color w:val="0D0D0D" w:themeColor="text1" w:themeTint="F2"/>
                <w:spacing w:val="-4"/>
                <w:lang w:val="en-GB"/>
              </w:rPr>
              <w:t xml:space="preserve"> also recorded a fa</w:t>
            </w:r>
            <w:r w:rsidR="00B13A1C">
              <w:rPr>
                <w:rFonts w:cs="Arial"/>
                <w:color w:val="0D0D0D" w:themeColor="text1" w:themeTint="F2"/>
                <w:spacing w:val="-4"/>
                <w:lang w:val="en-GB"/>
              </w:rPr>
              <w:t>ding growth during this year. They indicate</w:t>
            </w:r>
            <w:r w:rsidRPr="00DD6E6B">
              <w:rPr>
                <w:rFonts w:cs="Arial"/>
                <w:color w:val="0D0D0D" w:themeColor="text1" w:themeTint="F2"/>
                <w:spacing w:val="-4"/>
                <w:lang w:val="en-GB"/>
              </w:rPr>
              <w:t xml:space="preserve"> investment activity in the medium time horizon. It was by 6.7% higher year-on-year for the whole half-year, thereby it slightly lagged behind the growth of prices of construction works. Higher expected activities of</w:t>
            </w:r>
            <w:r w:rsidR="00B13A1C">
              <w:rPr>
                <w:rFonts w:cs="Arial"/>
                <w:color w:val="0D0D0D" w:themeColor="text1" w:themeTint="F2"/>
                <w:spacing w:val="-4"/>
                <w:lang w:val="en-GB"/>
              </w:rPr>
              <w:t xml:space="preserve"> firms in the area of m</w:t>
            </w:r>
            <w:r w:rsidR="00B13A1C" w:rsidRPr="00B13A1C">
              <w:rPr>
                <w:rFonts w:cs="Arial"/>
                <w:color w:val="0D0D0D" w:themeColor="text1" w:themeTint="F2"/>
                <w:spacing w:val="-4"/>
                <w:lang w:val="en-GB"/>
              </w:rPr>
              <w:t>odifications to completed buildings</w:t>
            </w:r>
            <w:r w:rsidR="00B13A1C">
              <w:rPr>
                <w:rFonts w:cs="Arial"/>
                <w:color w:val="0D0D0D" w:themeColor="text1" w:themeTint="F2"/>
                <w:spacing w:val="-4"/>
                <w:lang w:val="en-GB"/>
              </w:rPr>
              <w:t xml:space="preserve"> </w:t>
            </w:r>
            <w:r w:rsidRPr="00DD6E6B">
              <w:rPr>
                <w:rFonts w:cs="Arial"/>
                <w:color w:val="0D0D0D" w:themeColor="text1" w:themeTint="F2"/>
                <w:spacing w:val="-4"/>
                <w:lang w:val="en-GB"/>
              </w:rPr>
              <w:t>(in all key directions of construction</w:t>
            </w:r>
            <w:r w:rsidRPr="00DD6E6B">
              <w:rPr>
                <w:rFonts w:cs="Arial"/>
                <w:color w:val="0D0D0D" w:themeColor="text1" w:themeTint="F2"/>
                <w:spacing w:val="-5"/>
                <w:lang w:val="en-GB"/>
              </w:rPr>
              <w:t>) and also new construction of engineering (primarily transport)</w:t>
            </w:r>
            <w:r w:rsidRPr="00DD6E6B">
              <w:rPr>
                <w:rFonts w:cs="Arial"/>
                <w:color w:val="0D0D0D" w:themeColor="text1" w:themeTint="F2"/>
                <w:spacing w:val="-4"/>
                <w:lang w:val="en-GB"/>
              </w:rPr>
              <w:t xml:space="preserve"> structures was reflected in the growth of the value of permit</w:t>
            </w:r>
            <w:r w:rsidR="00B13A1C">
              <w:rPr>
                <w:rFonts w:cs="Arial"/>
                <w:color w:val="0D0D0D" w:themeColor="text1" w:themeTint="F2"/>
                <w:spacing w:val="-4"/>
                <w:lang w:val="en-GB"/>
              </w:rPr>
              <w:t>s</w:t>
            </w:r>
            <w:r w:rsidRPr="00DD6E6B">
              <w:rPr>
                <w:rFonts w:cs="Arial"/>
                <w:color w:val="0D0D0D" w:themeColor="text1" w:themeTint="F2"/>
                <w:spacing w:val="-4"/>
                <w:lang w:val="en-GB"/>
              </w:rPr>
              <w:t>. In contrast</w:t>
            </w:r>
            <w:r>
              <w:rPr>
                <w:rFonts w:cs="Arial"/>
                <w:color w:val="0D0D0D" w:themeColor="text1" w:themeTint="F2"/>
                <w:spacing w:val="-4"/>
                <w:lang w:val="en-GB"/>
              </w:rPr>
              <w:t>,</w:t>
            </w:r>
            <w:r w:rsidRPr="00DD6E6B">
              <w:rPr>
                <w:rFonts w:cs="Arial"/>
                <w:color w:val="0D0D0D" w:themeColor="text1" w:themeTint="F2"/>
                <w:spacing w:val="-4"/>
                <w:lang w:val="en-GB"/>
              </w:rPr>
              <w:t xml:space="preserve"> the value of permit</w:t>
            </w:r>
            <w:r w:rsidR="00B13A1C">
              <w:rPr>
                <w:rFonts w:cs="Arial"/>
                <w:color w:val="0D0D0D" w:themeColor="text1" w:themeTint="F2"/>
                <w:spacing w:val="-4"/>
                <w:lang w:val="en-GB"/>
              </w:rPr>
              <w:t>s</w:t>
            </w:r>
            <w:r w:rsidRPr="00DD6E6B">
              <w:rPr>
                <w:rFonts w:cs="Arial"/>
                <w:color w:val="0D0D0D" w:themeColor="text1" w:themeTint="F2"/>
                <w:spacing w:val="-4"/>
                <w:lang w:val="en-GB"/>
              </w:rPr>
              <w:t xml:space="preserve"> for new residential construction sank by nearly one quarter (to 62 CZK bn – the lowest level in the last two years). </w:t>
            </w:r>
          </w:p>
        </w:tc>
      </w:tr>
      <w:tr w:rsidR="00D80129" w:rsidRPr="00DD6E6B" w14:paraId="5F3E6ECA" w14:textId="77777777" w:rsidTr="00D80129">
        <w:trPr>
          <w:trHeight w:val="170"/>
        </w:trPr>
        <w:tc>
          <w:tcPr>
            <w:tcW w:w="1678" w:type="dxa"/>
            <w:tcBorders>
              <w:top w:val="nil"/>
              <w:left w:val="nil"/>
              <w:bottom w:val="nil"/>
              <w:right w:val="nil"/>
            </w:tcBorders>
            <w:shd w:val="clear" w:color="auto" w:fill="auto"/>
            <w:tcMar>
              <w:left w:w="0" w:type="dxa"/>
            </w:tcMar>
          </w:tcPr>
          <w:p w14:paraId="4F7951A7" w14:textId="4A01AB53" w:rsidR="00D80129" w:rsidRPr="00DD6E6B" w:rsidRDefault="00D80129" w:rsidP="00D80129">
            <w:pPr>
              <w:pStyle w:val="Marginlie"/>
              <w:rPr>
                <w:color w:val="0D0D0D" w:themeColor="text1" w:themeTint="F2"/>
                <w:spacing w:val="-4"/>
                <w:lang w:val="en-GB"/>
              </w:rPr>
            </w:pPr>
            <w:r w:rsidRPr="00DD6E6B">
              <w:rPr>
                <w:spacing w:val="-4"/>
                <w:lang w:val="en-GB"/>
              </w:rPr>
              <w:t xml:space="preserve">Pessimism of businesses in construction further deepened this year. Businesses anticipated the decrease of both construction activity and employment. </w:t>
            </w:r>
          </w:p>
        </w:tc>
        <w:tc>
          <w:tcPr>
            <w:tcW w:w="194" w:type="dxa"/>
            <w:tcBorders>
              <w:top w:val="nil"/>
              <w:left w:val="nil"/>
              <w:bottom w:val="nil"/>
              <w:right w:val="nil"/>
            </w:tcBorders>
            <w:shd w:val="clear" w:color="auto" w:fill="auto"/>
            <w:tcMar>
              <w:left w:w="0" w:type="dxa"/>
            </w:tcMar>
          </w:tcPr>
          <w:p w14:paraId="7C3E5692"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E8C163F" w14:textId="26DF8377" w:rsidR="00D80129" w:rsidRPr="00DD6E6B" w:rsidRDefault="00D80129" w:rsidP="00B13A1C">
            <w:pPr>
              <w:spacing w:after="200"/>
              <w:rPr>
                <w:rFonts w:cs="Arial"/>
                <w:color w:val="0D0D0D" w:themeColor="text1" w:themeTint="F2"/>
                <w:spacing w:val="-6"/>
                <w:lang w:val="en-GB"/>
              </w:rPr>
            </w:pPr>
            <w:r w:rsidRPr="00DD6E6B">
              <w:rPr>
                <w:rFonts w:cs="Arial"/>
                <w:color w:val="0D0D0D" w:themeColor="text1" w:themeTint="F2"/>
                <w:spacing w:val="-6"/>
                <w:lang w:val="en-GB"/>
              </w:rPr>
              <w:t>Total business confidence in construction dropped below long-term average (2003–2022) and at the same time</w:t>
            </w:r>
            <w:r>
              <w:rPr>
                <w:rFonts w:cs="Arial"/>
                <w:color w:val="0D0D0D" w:themeColor="text1" w:themeTint="F2"/>
                <w:spacing w:val="-6"/>
                <w:lang w:val="en-GB"/>
              </w:rPr>
              <w:t>,</w:t>
            </w:r>
            <w:r w:rsidRPr="00DD6E6B">
              <w:rPr>
                <w:rFonts w:cs="Arial"/>
                <w:color w:val="0D0D0D" w:themeColor="text1" w:themeTint="F2"/>
                <w:spacing w:val="-6"/>
                <w:lang w:val="en-GB"/>
              </w:rPr>
              <w:t xml:space="preserve"> pessimism attained nearly six-year maximum in July. Despite prevailing adverse view of the current demand</w:t>
            </w:r>
            <w:r>
              <w:rPr>
                <w:rFonts w:cs="Arial"/>
                <w:color w:val="0D0D0D" w:themeColor="text1" w:themeTint="F2"/>
                <w:spacing w:val="-6"/>
                <w:lang w:val="en-GB"/>
              </w:rPr>
              <w:t>,</w:t>
            </w:r>
            <w:r w:rsidRPr="00DD6E6B">
              <w:rPr>
                <w:rFonts w:cs="Arial"/>
                <w:color w:val="0D0D0D" w:themeColor="text1" w:themeTint="F2"/>
                <w:spacing w:val="-6"/>
                <w:lang w:val="en-GB"/>
              </w:rPr>
              <w:t xml:space="preserve"> the construction businesses assessed their current economic situation still slightly positively, the half-year outlook however still brought prevalent pessimism. Negative outlooks deepened in the </w:t>
            </w:r>
            <w:r w:rsidR="00B13A1C">
              <w:rPr>
                <w:rFonts w:cs="Arial"/>
                <w:color w:val="0D0D0D" w:themeColor="text1" w:themeTint="F2"/>
                <w:spacing w:val="-6"/>
                <w:lang w:val="en-GB"/>
              </w:rPr>
              <w:t>construction activity this year.</w:t>
            </w:r>
            <w:r w:rsidRPr="00DD6E6B">
              <w:rPr>
                <w:rFonts w:cs="Arial"/>
                <w:color w:val="0D0D0D" w:themeColor="text1" w:themeTint="F2"/>
                <w:spacing w:val="-6"/>
                <w:lang w:val="en-GB"/>
              </w:rPr>
              <w:t xml:space="preserve"> </w:t>
            </w:r>
            <w:r w:rsidR="00B13A1C">
              <w:rPr>
                <w:rFonts w:cs="Arial"/>
                <w:color w:val="0D0D0D" w:themeColor="text1" w:themeTint="F2"/>
                <w:spacing w:val="-6"/>
                <w:lang w:val="en-GB"/>
              </w:rPr>
              <w:t xml:space="preserve">In August </w:t>
            </w:r>
            <w:r w:rsidRPr="00DD6E6B">
              <w:rPr>
                <w:rFonts w:cs="Arial"/>
                <w:color w:val="0D0D0D" w:themeColor="text1" w:themeTint="F2"/>
                <w:spacing w:val="-6"/>
                <w:lang w:val="en-GB"/>
              </w:rPr>
              <w:t>more than one quarter of businesses anticipated (in the three-month outlook) a decre</w:t>
            </w:r>
            <w:r w:rsidR="00B13A1C">
              <w:rPr>
                <w:rFonts w:cs="Arial"/>
                <w:color w:val="0D0D0D" w:themeColor="text1" w:themeTint="F2"/>
                <w:spacing w:val="-6"/>
                <w:lang w:val="en-GB"/>
              </w:rPr>
              <w:t>ase of own production (on the contrary</w:t>
            </w:r>
            <w:r w:rsidRPr="00DD6E6B">
              <w:rPr>
                <w:rFonts w:cs="Arial"/>
                <w:color w:val="0D0D0D" w:themeColor="text1" w:themeTint="F2"/>
                <w:spacing w:val="-6"/>
                <w:lang w:val="en-GB"/>
              </w:rPr>
              <w:t xml:space="preserve"> one</w:t>
            </w:r>
            <w:r>
              <w:rPr>
                <w:rFonts w:cs="Arial"/>
                <w:color w:val="0D0D0D" w:themeColor="text1" w:themeTint="F2"/>
                <w:spacing w:val="-6"/>
                <w:lang w:val="en-GB"/>
              </w:rPr>
              <w:t>-</w:t>
            </w:r>
            <w:r w:rsidRPr="00DD6E6B">
              <w:rPr>
                <w:rFonts w:cs="Arial"/>
                <w:color w:val="0D0D0D" w:themeColor="text1" w:themeTint="F2"/>
                <w:spacing w:val="-6"/>
                <w:lang w:val="en-GB"/>
              </w:rPr>
              <w:t xml:space="preserve">eighth </w:t>
            </w:r>
            <w:r w:rsidR="00B13A1C">
              <w:rPr>
                <w:rFonts w:cs="Arial"/>
                <w:color w:val="0D0D0D" w:themeColor="text1" w:themeTint="F2"/>
                <w:spacing w:val="-6"/>
                <w:lang w:val="en-GB"/>
              </w:rPr>
              <w:t xml:space="preserve">anticipated </w:t>
            </w:r>
            <w:r w:rsidRPr="00DD6E6B">
              <w:rPr>
                <w:rFonts w:cs="Arial"/>
                <w:color w:val="0D0D0D" w:themeColor="text1" w:themeTint="F2"/>
                <w:spacing w:val="-6"/>
                <w:lang w:val="en-GB"/>
              </w:rPr>
              <w:t xml:space="preserve">growth) </w:t>
            </w:r>
            <w:r w:rsidR="00B13A1C">
              <w:rPr>
                <w:rFonts w:cs="Arial"/>
                <w:color w:val="0D0D0D" w:themeColor="text1" w:themeTint="F2"/>
                <w:spacing w:val="-6"/>
                <w:lang w:val="en-GB"/>
              </w:rPr>
              <w:t xml:space="preserve">and every sixth company </w:t>
            </w:r>
            <w:r w:rsidRPr="00DD6E6B">
              <w:rPr>
                <w:rFonts w:cs="Arial"/>
                <w:color w:val="0D0D0D" w:themeColor="text1" w:themeTint="F2"/>
                <w:spacing w:val="-6"/>
                <w:lang w:val="en-GB"/>
              </w:rPr>
              <w:t>in addition planned to cut employment. The share of businesses, which are limited by inadequate demand grew by one half year-on-year (to 36%</w:t>
            </w:r>
            <w:r w:rsidRPr="00DD6E6B">
              <w:rPr>
                <w:rStyle w:val="Znakapoznpodarou"/>
                <w:color w:val="0D0D0D" w:themeColor="text1" w:themeTint="F2"/>
                <w:spacing w:val="-6"/>
                <w:lang w:val="en-GB"/>
              </w:rPr>
              <w:footnoteReference w:id="34"/>
            </w:r>
            <w:r w:rsidRPr="00DD6E6B">
              <w:rPr>
                <w:rFonts w:cs="Arial"/>
                <w:color w:val="0D0D0D" w:themeColor="text1" w:themeTint="F2"/>
                <w:spacing w:val="-6"/>
                <w:lang w:val="en-GB"/>
              </w:rPr>
              <w:t xml:space="preserve">), the weak demand thus again became the key </w:t>
            </w:r>
            <w:r w:rsidR="00B13A1C">
              <w:rPr>
                <w:rFonts w:cs="Arial"/>
                <w:color w:val="0D0D0D" w:themeColor="text1" w:themeTint="F2"/>
                <w:spacing w:val="-6"/>
                <w:lang w:val="en-GB"/>
              </w:rPr>
              <w:t xml:space="preserve">growth </w:t>
            </w:r>
            <w:r w:rsidRPr="00DD6E6B">
              <w:rPr>
                <w:rFonts w:cs="Arial"/>
                <w:color w:val="0D0D0D" w:themeColor="text1" w:themeTint="F2"/>
                <w:spacing w:val="-6"/>
                <w:lang w:val="en-GB"/>
              </w:rPr>
              <w:t xml:space="preserve">barrier of the whole branch </w:t>
            </w:r>
            <w:r w:rsidR="00B13A1C">
              <w:rPr>
                <w:rFonts w:cs="Arial"/>
                <w:color w:val="0D0D0D" w:themeColor="text1" w:themeTint="F2"/>
                <w:spacing w:val="-6"/>
                <w:lang w:val="en-GB"/>
              </w:rPr>
              <w:t>(</w:t>
            </w:r>
            <w:r w:rsidRPr="00DD6E6B">
              <w:rPr>
                <w:rFonts w:cs="Arial"/>
                <w:color w:val="0D0D0D" w:themeColor="text1" w:themeTint="F2"/>
                <w:spacing w:val="-6"/>
                <w:lang w:val="en-GB"/>
              </w:rPr>
              <w:t>after more than two years</w:t>
            </w:r>
            <w:r w:rsidR="00B13A1C">
              <w:rPr>
                <w:rFonts w:cs="Arial"/>
                <w:color w:val="0D0D0D" w:themeColor="text1" w:themeTint="F2"/>
                <w:spacing w:val="-6"/>
                <w:lang w:val="en-GB"/>
              </w:rPr>
              <w:t>)</w:t>
            </w:r>
            <w:r w:rsidRPr="00DD6E6B">
              <w:rPr>
                <w:rFonts w:cs="Arial"/>
                <w:color w:val="0D0D0D" w:themeColor="text1" w:themeTint="F2"/>
                <w:spacing w:val="-6"/>
                <w:lang w:val="en-GB"/>
              </w:rPr>
              <w:t>. The role of the shortage of material and to a lower extent also labour force by contrast decreased. Still the matter of human resources</w:t>
            </w:r>
            <w:r w:rsidR="005B5629">
              <w:rPr>
                <w:rFonts w:cs="Arial"/>
                <w:color w:val="0D0D0D" w:themeColor="text1" w:themeTint="F2"/>
                <w:spacing w:val="-6"/>
                <w:lang w:val="en-GB"/>
              </w:rPr>
              <w:t xml:space="preserve"> remains an important </w:t>
            </w:r>
            <w:r w:rsidRPr="00DD6E6B">
              <w:rPr>
                <w:rFonts w:cs="Arial"/>
                <w:color w:val="0D0D0D" w:themeColor="text1" w:themeTint="F2"/>
                <w:spacing w:val="-6"/>
                <w:lang w:val="en-GB"/>
              </w:rPr>
              <w:t>barrier (it was pressing mainly in the segment of spec</w:t>
            </w:r>
            <w:r w:rsidR="005B5629">
              <w:rPr>
                <w:rFonts w:cs="Arial"/>
                <w:color w:val="0D0D0D" w:themeColor="text1" w:themeTint="F2"/>
                <w:spacing w:val="-6"/>
                <w:lang w:val="en-GB"/>
              </w:rPr>
              <w:t>ialised construction activities -</w:t>
            </w:r>
            <w:r w:rsidRPr="00DD6E6B">
              <w:rPr>
                <w:rFonts w:cs="Arial"/>
                <w:color w:val="0D0D0D" w:themeColor="text1" w:themeTint="F2"/>
                <w:spacing w:val="-6"/>
                <w:lang w:val="en-GB"/>
              </w:rPr>
              <w:t xml:space="preserve"> small and medium businesses play significant role here).</w:t>
            </w:r>
          </w:p>
        </w:tc>
      </w:tr>
      <w:tr w:rsidR="00D80129" w:rsidRPr="00DD6E6B" w14:paraId="002DF3F3" w14:textId="77777777" w:rsidTr="00D80129">
        <w:trPr>
          <w:trHeight w:val="170"/>
        </w:trPr>
        <w:tc>
          <w:tcPr>
            <w:tcW w:w="1678" w:type="dxa"/>
            <w:vMerge w:val="restart"/>
            <w:tcBorders>
              <w:top w:val="nil"/>
              <w:left w:val="nil"/>
              <w:bottom w:val="nil"/>
              <w:right w:val="nil"/>
            </w:tcBorders>
            <w:shd w:val="clear" w:color="auto" w:fill="auto"/>
            <w:tcMar>
              <w:left w:w="0" w:type="dxa"/>
            </w:tcMar>
          </w:tcPr>
          <w:p w14:paraId="792D179E" w14:textId="77777777" w:rsidR="00D80129" w:rsidRPr="00DD6E6B" w:rsidRDefault="00D80129" w:rsidP="00D80129">
            <w:pPr>
              <w:pStyle w:val="Marginlie"/>
              <w:rPr>
                <w:lang w:val="en-GB"/>
              </w:rPr>
            </w:pPr>
          </w:p>
        </w:tc>
        <w:tc>
          <w:tcPr>
            <w:tcW w:w="194" w:type="dxa"/>
            <w:vMerge w:val="restart"/>
            <w:tcBorders>
              <w:top w:val="nil"/>
              <w:left w:val="nil"/>
              <w:bottom w:val="nil"/>
              <w:right w:val="nil"/>
            </w:tcBorders>
            <w:shd w:val="clear" w:color="auto" w:fill="auto"/>
            <w:tcMar>
              <w:left w:w="0" w:type="dxa"/>
            </w:tcMar>
          </w:tcPr>
          <w:p w14:paraId="51EFF93D"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E398846" w14:textId="1BDCE6E4" w:rsidR="00D80129" w:rsidRPr="00DD6E6B" w:rsidRDefault="00D80129" w:rsidP="00D80129">
            <w:pPr>
              <w:spacing w:after="20"/>
              <w:rPr>
                <w:rFonts w:cs="Arial"/>
                <w:bCs/>
                <w:lang w:val="en-GB"/>
              </w:rPr>
            </w:pPr>
            <w:r w:rsidRPr="00DD6E6B">
              <w:rPr>
                <w:b/>
                <w:spacing w:val="-5"/>
                <w:lang w:val="en-GB"/>
              </w:rPr>
              <w:t xml:space="preserve">Chart 6 </w:t>
            </w:r>
            <w:r w:rsidRPr="00877F35">
              <w:rPr>
                <w:b/>
                <w:spacing w:val="-2"/>
                <w:lang w:val="en-GB"/>
              </w:rPr>
              <w:t xml:space="preserve">Contributions of branches to year-on-year change of construction output </w:t>
            </w:r>
            <w:r w:rsidRPr="00877F35">
              <w:rPr>
                <w:spacing w:val="-2"/>
                <w:lang w:val="en-GB"/>
              </w:rPr>
              <w:t>(real, in p. p.)</w:t>
            </w:r>
            <w:r w:rsidRPr="00877F35">
              <w:rPr>
                <w:b/>
                <w:bCs/>
                <w:spacing w:val="-2"/>
                <w:lang w:val="en-GB"/>
              </w:rPr>
              <w:t xml:space="preserve">, </w:t>
            </w:r>
            <w:r w:rsidRPr="00877F35">
              <w:rPr>
                <w:b/>
                <w:spacing w:val="-2"/>
                <w:lang w:val="en-GB"/>
              </w:rPr>
              <w:t xml:space="preserve">new construction orders </w:t>
            </w:r>
            <w:r w:rsidRPr="00877F35">
              <w:rPr>
                <w:spacing w:val="-2"/>
                <w:lang w:val="en-GB"/>
              </w:rPr>
              <w:t>(</w:t>
            </w:r>
            <w:r w:rsidRPr="00877F35">
              <w:rPr>
                <w:bCs/>
                <w:spacing w:val="-2"/>
                <w:lang w:val="en-GB"/>
              </w:rPr>
              <w:t>nominal, year-on-year, in %)</w:t>
            </w:r>
            <w:r w:rsidRPr="00877F35">
              <w:rPr>
                <w:b/>
                <w:spacing w:val="-2"/>
                <w:lang w:val="en-GB"/>
              </w:rPr>
              <w:t>, balance of business confidence indicator in construction*</w:t>
            </w:r>
            <w:r>
              <w:rPr>
                <w:spacing w:val="-2"/>
                <w:lang w:val="en-GB"/>
              </w:rPr>
              <w:t xml:space="preserve"> (in p. p.</w:t>
            </w:r>
            <w:r w:rsidRPr="00877F35">
              <w:rPr>
                <w:spacing w:val="-2"/>
                <w:lang w:val="en-GB"/>
              </w:rPr>
              <w:t>),</w:t>
            </w:r>
            <w:r w:rsidRPr="00877F35">
              <w:rPr>
                <w:b/>
                <w:spacing w:val="-2"/>
                <w:lang w:val="en-GB"/>
              </w:rPr>
              <w:t xml:space="preserve"> selected barriers to growth in construction</w:t>
            </w:r>
            <w:r>
              <w:rPr>
                <w:spacing w:val="-2"/>
                <w:lang w:val="en-GB"/>
              </w:rPr>
              <w:t>* (in %</w:t>
            </w:r>
            <w:r w:rsidRPr="00877F35">
              <w:rPr>
                <w:spacing w:val="-2"/>
                <w:lang w:val="en-GB"/>
              </w:rPr>
              <w:t>)</w:t>
            </w:r>
          </w:p>
        </w:tc>
      </w:tr>
      <w:tr w:rsidR="00D80129" w:rsidRPr="00DD6E6B" w14:paraId="6D322D02" w14:textId="77777777" w:rsidTr="00D80129">
        <w:tblPrEx>
          <w:tblCellMar>
            <w:left w:w="70" w:type="dxa"/>
            <w:right w:w="70" w:type="dxa"/>
          </w:tblCellMar>
        </w:tblPrEx>
        <w:trPr>
          <w:trHeight w:val="170"/>
        </w:trPr>
        <w:tc>
          <w:tcPr>
            <w:tcW w:w="1678" w:type="dxa"/>
            <w:vMerge/>
            <w:tcBorders>
              <w:top w:val="nil"/>
              <w:left w:val="nil"/>
              <w:bottom w:val="nil"/>
              <w:right w:val="nil"/>
            </w:tcBorders>
            <w:shd w:val="clear" w:color="auto" w:fill="auto"/>
          </w:tcPr>
          <w:p w14:paraId="7DF450F8"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Pr>
          <w:p w14:paraId="20D333EE"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617C00A9" w14:textId="3BA8AC04" w:rsidR="00D80129" w:rsidRPr="00DD6E6B" w:rsidRDefault="00D80129" w:rsidP="00D80129">
            <w:pPr>
              <w:spacing w:after="0"/>
              <w:rPr>
                <w:spacing w:val="-6"/>
                <w:lang w:val="en-GB"/>
              </w:rPr>
            </w:pPr>
            <w:r>
              <w:rPr>
                <w:noProof/>
              </w:rPr>
              <w:drawing>
                <wp:inline distT="0" distB="0" distL="0" distR="0" wp14:anchorId="50DBFB81" wp14:editId="224C6CD7">
                  <wp:extent cx="4681982" cy="3598018"/>
                  <wp:effectExtent l="0" t="0" r="4445" b="254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80129" w:rsidRPr="00DD6E6B" w14:paraId="72E96D08" w14:textId="77777777" w:rsidTr="00D80129">
        <w:trPr>
          <w:trHeight w:val="170"/>
        </w:trPr>
        <w:tc>
          <w:tcPr>
            <w:tcW w:w="1678" w:type="dxa"/>
            <w:vMerge/>
            <w:tcBorders>
              <w:top w:val="nil"/>
              <w:left w:val="nil"/>
              <w:bottom w:val="nil"/>
              <w:right w:val="nil"/>
            </w:tcBorders>
            <w:shd w:val="clear" w:color="auto" w:fill="auto"/>
            <w:tcMar>
              <w:left w:w="0" w:type="dxa"/>
            </w:tcMar>
          </w:tcPr>
          <w:p w14:paraId="38F588DC" w14:textId="77777777" w:rsidR="00D80129" w:rsidRPr="00DD6E6B" w:rsidRDefault="00D80129" w:rsidP="00D80129">
            <w:pPr>
              <w:pStyle w:val="Marginlie"/>
              <w:rPr>
                <w:lang w:val="en-GB"/>
              </w:rPr>
            </w:pPr>
          </w:p>
        </w:tc>
        <w:tc>
          <w:tcPr>
            <w:tcW w:w="194" w:type="dxa"/>
            <w:vMerge/>
            <w:tcBorders>
              <w:top w:val="nil"/>
              <w:left w:val="nil"/>
              <w:bottom w:val="nil"/>
              <w:right w:val="nil"/>
            </w:tcBorders>
            <w:shd w:val="clear" w:color="auto" w:fill="auto"/>
            <w:tcMar>
              <w:left w:w="0" w:type="dxa"/>
            </w:tcMar>
          </w:tcPr>
          <w:p w14:paraId="3E901F63"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45A07B7" w14:textId="77777777" w:rsidR="00D80129" w:rsidRPr="00210BF4" w:rsidRDefault="00D80129" w:rsidP="00D80129">
            <w:pPr>
              <w:spacing w:after="0"/>
              <w:rPr>
                <w:rFonts w:cs="Arial"/>
                <w:sz w:val="14"/>
                <w:szCs w:val="14"/>
                <w:lang w:val="en-GB"/>
              </w:rPr>
            </w:pPr>
            <w:r w:rsidRPr="00210BF4">
              <w:rPr>
                <w:rFonts w:cs="Arial"/>
                <w:sz w:val="14"/>
                <w:szCs w:val="14"/>
                <w:lang w:val="en-GB"/>
              </w:rPr>
              <w:t>Note: Data related to construction output are adjusted for calendar effects.</w:t>
            </w:r>
          </w:p>
          <w:p w14:paraId="3CE6E626" w14:textId="77777777" w:rsidR="00D80129" w:rsidRPr="00210BF4" w:rsidRDefault="00D80129" w:rsidP="00D80129">
            <w:pPr>
              <w:pStyle w:val="Textpoznpodarou"/>
              <w:jc w:val="both"/>
              <w:rPr>
                <w:rFonts w:cs="Arial"/>
                <w:sz w:val="14"/>
                <w:szCs w:val="14"/>
                <w:lang w:val="en-GB"/>
              </w:rPr>
            </w:pPr>
            <w:r w:rsidRPr="00210BF4">
              <w:rPr>
                <w:rFonts w:cs="Arial"/>
                <w:sz w:val="14"/>
                <w:szCs w:val="14"/>
                <w:lang w:val="en-GB"/>
              </w:rPr>
              <w:t>*Balance of business confidence as well as barriers to growth are seasonally adjusted and express the level in the second month of the given quarter. Businesses could have indicated more main barriers simultaneously.</w:t>
            </w:r>
          </w:p>
          <w:p w14:paraId="36624477" w14:textId="01182496" w:rsidR="00D80129" w:rsidRPr="00DD6E6B" w:rsidRDefault="00D80129" w:rsidP="00D80129">
            <w:pPr>
              <w:spacing w:after="200"/>
              <w:rPr>
                <w:b/>
                <w:bCs/>
                <w:spacing w:val="-4"/>
                <w:sz w:val="16"/>
                <w:szCs w:val="16"/>
                <w:lang w:val="en-GB"/>
              </w:rPr>
            </w:pPr>
            <w:r w:rsidRPr="00210BF4">
              <w:rPr>
                <w:rFonts w:cs="Arial"/>
                <w:sz w:val="14"/>
                <w:szCs w:val="14"/>
                <w:lang w:val="en-GB"/>
              </w:rPr>
              <w:t>Source: CZSO, Eurostat.</w:t>
            </w:r>
          </w:p>
        </w:tc>
      </w:tr>
      <w:tr w:rsidR="00D80129" w:rsidRPr="00DD6E6B" w14:paraId="250B4342" w14:textId="77777777" w:rsidTr="00D80129">
        <w:trPr>
          <w:trHeight w:val="170"/>
        </w:trPr>
        <w:tc>
          <w:tcPr>
            <w:tcW w:w="1678" w:type="dxa"/>
            <w:tcBorders>
              <w:top w:val="nil"/>
              <w:left w:val="nil"/>
              <w:bottom w:val="nil"/>
              <w:right w:val="nil"/>
            </w:tcBorders>
            <w:shd w:val="clear" w:color="auto" w:fill="auto"/>
            <w:tcMar>
              <w:left w:w="0" w:type="dxa"/>
            </w:tcMar>
          </w:tcPr>
          <w:p w14:paraId="107B1CCD" w14:textId="179EC9BA" w:rsidR="00D80129" w:rsidRPr="00DD6E6B" w:rsidRDefault="00D80129" w:rsidP="00D80129">
            <w:pPr>
              <w:pStyle w:val="Marginlie"/>
              <w:rPr>
                <w:spacing w:val="-4"/>
                <w:lang w:val="en-GB"/>
              </w:rPr>
            </w:pPr>
            <w:r w:rsidRPr="00DD6E6B">
              <w:rPr>
                <w:spacing w:val="-4"/>
                <w:lang w:val="en-GB"/>
              </w:rPr>
              <w:t xml:space="preserve">Mildly growing segment of engineering construction saved the construction output in the EU from year-on-year decrease. This year’s construction output was above the level from year 2019 already in two thirds of the Union states. </w:t>
            </w:r>
          </w:p>
          <w:p w14:paraId="5E0C9ADE" w14:textId="77777777" w:rsidR="00D80129" w:rsidRPr="00DD6E6B" w:rsidRDefault="00D80129" w:rsidP="00D80129">
            <w:pPr>
              <w:pStyle w:val="Marginlie"/>
              <w:rPr>
                <w:spacing w:val="-4"/>
                <w:lang w:val="en-GB"/>
              </w:rPr>
            </w:pPr>
          </w:p>
        </w:tc>
        <w:tc>
          <w:tcPr>
            <w:tcW w:w="194" w:type="dxa"/>
            <w:tcBorders>
              <w:top w:val="nil"/>
              <w:left w:val="nil"/>
              <w:bottom w:val="nil"/>
              <w:right w:val="nil"/>
            </w:tcBorders>
            <w:shd w:val="clear" w:color="auto" w:fill="auto"/>
            <w:tcMar>
              <w:left w:w="0" w:type="dxa"/>
            </w:tcMar>
          </w:tcPr>
          <w:p w14:paraId="249E31E8"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63ED6367" w14:textId="2542E2BB"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The impacts of the total economic contraction were negatively mirrored in the construction not only in the CR, but also in the vast majority of significant European economies. The construction output in the EU and the euro area increased</w:t>
            </w:r>
            <w:r>
              <w:rPr>
                <w:rFonts w:cs="Arial"/>
                <w:color w:val="0D0D0D" w:themeColor="text1" w:themeTint="F2"/>
                <w:spacing w:val="-6"/>
                <w:lang w:val="en-GB"/>
              </w:rPr>
              <w:t>,</w:t>
            </w:r>
            <w:r w:rsidRPr="00DD6E6B">
              <w:rPr>
                <w:rFonts w:cs="Arial"/>
                <w:color w:val="0D0D0D" w:themeColor="text1" w:themeTint="F2"/>
                <w:spacing w:val="-6"/>
                <w:lang w:val="en-GB"/>
              </w:rPr>
              <w:t xml:space="preserve"> year-on-year</w:t>
            </w:r>
            <w:r>
              <w:rPr>
                <w:rFonts w:cs="Arial"/>
                <w:color w:val="0D0D0D" w:themeColor="text1" w:themeTint="F2"/>
                <w:spacing w:val="-6"/>
                <w:lang w:val="en-GB"/>
              </w:rPr>
              <w:t>,</w:t>
            </w:r>
            <w:r w:rsidRPr="00DD6E6B">
              <w:rPr>
                <w:rFonts w:cs="Arial"/>
                <w:color w:val="0D0D0D" w:themeColor="text1" w:themeTint="F2"/>
                <w:spacing w:val="-6"/>
                <w:lang w:val="en-GB"/>
              </w:rPr>
              <w:t xml:space="preserve"> only by negligible 0.1% and 0.2%</w:t>
            </w:r>
            <w:r>
              <w:rPr>
                <w:rFonts w:cs="Arial"/>
                <w:color w:val="0D0D0D" w:themeColor="text1" w:themeTint="F2"/>
                <w:spacing w:val="-6"/>
                <w:lang w:val="en-GB"/>
              </w:rPr>
              <w:t>,</w:t>
            </w:r>
            <w:r w:rsidRPr="00DD6E6B">
              <w:rPr>
                <w:rFonts w:cs="Arial"/>
                <w:color w:val="0D0D0D" w:themeColor="text1" w:themeTint="F2"/>
                <w:spacing w:val="-6"/>
                <w:lang w:val="en-GB"/>
              </w:rPr>
              <w:t xml:space="preserve"> respectively</w:t>
            </w:r>
            <w:r>
              <w:rPr>
                <w:rFonts w:cs="Arial"/>
                <w:color w:val="0D0D0D" w:themeColor="text1" w:themeTint="F2"/>
                <w:spacing w:val="-6"/>
                <w:lang w:val="en-GB"/>
              </w:rPr>
              <w:t>,</w:t>
            </w:r>
            <w:r w:rsidRPr="00DD6E6B">
              <w:rPr>
                <w:rFonts w:cs="Arial"/>
                <w:color w:val="0D0D0D" w:themeColor="text1" w:themeTint="F2"/>
                <w:spacing w:val="-6"/>
                <w:lang w:val="en-GB"/>
              </w:rPr>
              <w:t xml:space="preserve"> in H1. Accompanied by actual stagnation of the building construction the mild growth of civil engineering construction continued (3.2% and 2.4%</w:t>
            </w:r>
            <w:r>
              <w:rPr>
                <w:rFonts w:cs="Arial"/>
                <w:color w:val="0D0D0D" w:themeColor="text1" w:themeTint="F2"/>
                <w:spacing w:val="-6"/>
                <w:lang w:val="en-GB"/>
              </w:rPr>
              <w:t>,</w:t>
            </w:r>
            <w:r w:rsidRPr="00DD6E6B">
              <w:rPr>
                <w:rFonts w:cs="Arial"/>
                <w:color w:val="0D0D0D" w:themeColor="text1" w:themeTint="F2"/>
                <w:spacing w:val="-6"/>
                <w:lang w:val="en-GB"/>
              </w:rPr>
              <w:t xml:space="preserve"> resp</w:t>
            </w:r>
            <w:r>
              <w:rPr>
                <w:rFonts w:cs="Arial"/>
                <w:color w:val="0D0D0D" w:themeColor="text1" w:themeTint="F2"/>
                <w:spacing w:val="-6"/>
                <w:lang w:val="en-GB"/>
              </w:rPr>
              <w:t>ectively</w:t>
            </w:r>
            <w:r w:rsidRPr="00DD6E6B">
              <w:rPr>
                <w:rFonts w:cs="Arial"/>
                <w:color w:val="0D0D0D" w:themeColor="text1" w:themeTint="F2"/>
                <w:spacing w:val="-6"/>
                <w:lang w:val="en-GB"/>
              </w:rPr>
              <w:t>). Total construction output increased the most in Slovenia (+24%), double-digit pace was also recorded in Greece, Romania and Latvia. On the contrary</w:t>
            </w:r>
            <w:r>
              <w:rPr>
                <w:rFonts w:cs="Arial"/>
                <w:color w:val="0D0D0D" w:themeColor="text1" w:themeTint="F2"/>
                <w:spacing w:val="-6"/>
                <w:lang w:val="en-GB"/>
              </w:rPr>
              <w:t>,</w:t>
            </w:r>
            <w:r w:rsidRPr="00DD6E6B">
              <w:rPr>
                <w:rFonts w:cs="Arial"/>
                <w:color w:val="0D0D0D" w:themeColor="text1" w:themeTint="F2"/>
                <w:spacing w:val="-6"/>
                <w:lang w:val="en-GB"/>
              </w:rPr>
              <w:t xml:space="preserve"> it decreased the most in Estonia, Finland and Hungary – i.e. in states, which also experience a total economic recession. Output mildly decreased in Germany (by 1.4%), it however attained more favourable dynamics than in this country </w:t>
            </w:r>
            <w:r w:rsidR="001C25F9">
              <w:rPr>
                <w:rFonts w:cs="Arial"/>
                <w:color w:val="0D0D0D" w:themeColor="text1" w:themeTint="F2"/>
                <w:spacing w:val="-6"/>
                <w:lang w:val="en-GB"/>
              </w:rPr>
              <w:t>at all our neighbours (e.g. +1.3</w:t>
            </w:r>
            <w:r w:rsidRPr="00DD6E6B">
              <w:rPr>
                <w:rFonts w:cs="Arial"/>
                <w:color w:val="0D0D0D" w:themeColor="text1" w:themeTint="F2"/>
                <w:spacing w:val="-6"/>
                <w:lang w:val="en-GB"/>
              </w:rPr>
              <w:t xml:space="preserve">% in Poland). In comparison to H1 2019, the construction performance was in approximately two thirds of member countries higher this year – the most in Romania and Slovenia (by nearly one half), by 1.7% in the CR, by 5.2% in the EU. Spain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 xml:space="preserve">22%) and Slovakia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12%) considerably lagged behind the pre-crisis level.</w:t>
            </w:r>
          </w:p>
        </w:tc>
      </w:tr>
      <w:tr w:rsidR="00D80129" w:rsidRPr="00DD6E6B" w14:paraId="47BFF957" w14:textId="77777777" w:rsidTr="00D80129">
        <w:trPr>
          <w:trHeight w:val="170"/>
        </w:trPr>
        <w:tc>
          <w:tcPr>
            <w:tcW w:w="1678" w:type="dxa"/>
            <w:tcBorders>
              <w:top w:val="nil"/>
              <w:left w:val="nil"/>
              <w:bottom w:val="nil"/>
              <w:right w:val="nil"/>
            </w:tcBorders>
            <w:shd w:val="clear" w:color="auto" w:fill="auto"/>
            <w:tcMar>
              <w:left w:w="0" w:type="dxa"/>
            </w:tcMar>
          </w:tcPr>
          <w:p w14:paraId="3C1FF07A" w14:textId="7BA85A3A" w:rsidR="00D80129" w:rsidRPr="00DD6E6B" w:rsidRDefault="00D80129" w:rsidP="00D80129">
            <w:pPr>
              <w:pStyle w:val="Marginlie"/>
              <w:rPr>
                <w:lang w:val="en-GB"/>
              </w:rPr>
            </w:pPr>
            <w:r w:rsidRPr="00DD6E6B">
              <w:rPr>
                <w:lang w:val="en-GB"/>
              </w:rPr>
              <w:t xml:space="preserve">Mild quarter-on-quarter decrease of sales in services started in H2 last year persisted. </w:t>
            </w:r>
          </w:p>
        </w:tc>
        <w:tc>
          <w:tcPr>
            <w:tcW w:w="194" w:type="dxa"/>
            <w:tcBorders>
              <w:top w:val="nil"/>
              <w:left w:val="nil"/>
              <w:bottom w:val="nil"/>
              <w:right w:val="nil"/>
            </w:tcBorders>
            <w:shd w:val="clear" w:color="auto" w:fill="auto"/>
            <w:tcMar>
              <w:left w:w="0" w:type="dxa"/>
            </w:tcMar>
          </w:tcPr>
          <w:p w14:paraId="30594652"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6BEB94FF" w14:textId="2A82AFE4"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Halting of the economic growth tightly accompanied by the decrease of private consumption must have been logically manifested in the performance of the services sector. Quarter-on-quarter growth of their sales</w:t>
            </w:r>
            <w:r w:rsidRPr="00DD6E6B">
              <w:rPr>
                <w:color w:val="0D0D0D" w:themeColor="text1" w:themeTint="F2"/>
                <w:spacing w:val="-4"/>
                <w:vertAlign w:val="superscript"/>
                <w:lang w:val="en-GB"/>
              </w:rPr>
              <w:footnoteReference w:id="35"/>
            </w:r>
            <w:r w:rsidRPr="00DD6E6B">
              <w:rPr>
                <w:rFonts w:cs="Arial"/>
                <w:color w:val="0D0D0D" w:themeColor="text1" w:themeTint="F2"/>
                <w:spacing w:val="-6"/>
                <w:lang w:val="en-GB"/>
              </w:rPr>
              <w:t xml:space="preserve">, which lasted since the beginning of year 2021, did not continue in the second half of the last year anymore and recovery has not shown even this year so far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0.7% in Q2</w:t>
            </w:r>
            <w:r>
              <w:rPr>
                <w:rFonts w:cs="Arial"/>
                <w:color w:val="0D0D0D" w:themeColor="text1" w:themeTint="F2"/>
                <w:spacing w:val="-6"/>
                <w:lang w:val="en-GB"/>
              </w:rPr>
              <w:t xml:space="preserve">, </w:t>
            </w:r>
            <w:r>
              <w:rPr>
                <w:color w:val="000000"/>
                <w:shd w:val="clear" w:color="auto" w:fill="FFFFFF"/>
              </w:rPr>
              <w:t>–</w:t>
            </w:r>
            <w:r w:rsidRPr="00DD6E6B">
              <w:rPr>
                <w:rFonts w:cs="Arial"/>
                <w:color w:val="0D0D0D" w:themeColor="text1" w:themeTint="F2"/>
                <w:spacing w:val="-6"/>
                <w:lang w:val="en-GB"/>
              </w:rPr>
              <w:t>1.3% in Q2). The dominant branch of transport and storage stood behind this development of services for this entire period. On the contrary</w:t>
            </w:r>
            <w:r>
              <w:rPr>
                <w:rFonts w:cs="Arial"/>
                <w:color w:val="0D0D0D" w:themeColor="text1" w:themeTint="F2"/>
                <w:spacing w:val="-6"/>
                <w:lang w:val="en-GB"/>
              </w:rPr>
              <w:t>,</w:t>
            </w:r>
            <w:r w:rsidRPr="00DD6E6B">
              <w:rPr>
                <w:rFonts w:cs="Arial"/>
                <w:color w:val="0D0D0D" w:themeColor="text1" w:themeTint="F2"/>
                <w:spacing w:val="-6"/>
                <w:lang w:val="en-GB"/>
              </w:rPr>
              <w:t xml:space="preserve"> the stably growing demand in the area of professional, scientific and technical activities, which typically consists of more sophisticated services for businesses worked against deeper slump of services. Sales in </w:t>
            </w:r>
            <w:r w:rsidRPr="00DD6E6B">
              <w:rPr>
                <w:rFonts w:cs="Arial"/>
                <w:color w:val="0D0D0D" w:themeColor="text1" w:themeTint="F2"/>
                <w:spacing w:val="-6"/>
                <w:lang w:val="en-GB"/>
              </w:rPr>
              <w:lastRenderedPageBreak/>
              <w:t xml:space="preserve">services thus slightly fell in total this year in Q2 (by 0.9%) below the level from the peak of the last pre-crisis boom (Q2 2019). The </w:t>
            </w:r>
            <w:r>
              <w:rPr>
                <w:rFonts w:cs="Arial"/>
                <w:color w:val="0D0D0D" w:themeColor="text1" w:themeTint="F2"/>
                <w:spacing w:val="-6"/>
                <w:lang w:val="en-GB"/>
              </w:rPr>
              <w:t>“</w:t>
            </w:r>
            <w:r w:rsidRPr="00DD6E6B">
              <w:rPr>
                <w:rFonts w:cs="Arial"/>
                <w:color w:val="0D0D0D" w:themeColor="text1" w:themeTint="F2"/>
                <w:spacing w:val="-6"/>
                <w:lang w:val="en-GB"/>
              </w:rPr>
              <w:t>effect of the post-pandemic revival</w:t>
            </w:r>
            <w:r>
              <w:rPr>
                <w:rFonts w:cs="Arial"/>
                <w:color w:val="0D0D0D" w:themeColor="text1" w:themeTint="F2"/>
                <w:spacing w:val="-6"/>
                <w:lang w:val="en-GB"/>
              </w:rPr>
              <w:t>”</w:t>
            </w:r>
            <w:r w:rsidRPr="00DD6E6B">
              <w:rPr>
                <w:rFonts w:cs="Arial"/>
                <w:color w:val="0D0D0D" w:themeColor="text1" w:themeTint="F2"/>
                <w:spacing w:val="-6"/>
                <w:lang w:val="en-GB"/>
              </w:rPr>
              <w:t xml:space="preserve"> of demand presumably already exhausted itself in the majority of services branches and on the contrary the fact, that part of households limited their </w:t>
            </w:r>
            <w:r>
              <w:rPr>
                <w:rFonts w:cs="Arial"/>
                <w:color w:val="0D0D0D" w:themeColor="text1" w:themeTint="F2"/>
                <w:spacing w:val="-6"/>
                <w:lang w:val="en-GB"/>
              </w:rPr>
              <w:t>“</w:t>
            </w:r>
            <w:r w:rsidRPr="00DD6E6B">
              <w:rPr>
                <w:rFonts w:cs="Arial"/>
                <w:color w:val="0D0D0D" w:themeColor="text1" w:themeTint="F2"/>
                <w:spacing w:val="-6"/>
                <w:lang w:val="en-GB"/>
              </w:rPr>
              <w:t>non-essential</w:t>
            </w:r>
            <w:r>
              <w:rPr>
                <w:rFonts w:cs="Arial"/>
                <w:color w:val="0D0D0D" w:themeColor="text1" w:themeTint="F2"/>
                <w:spacing w:val="-6"/>
                <w:lang w:val="en-GB"/>
              </w:rPr>
              <w:t>”</w:t>
            </w:r>
            <w:r w:rsidRPr="00DD6E6B">
              <w:rPr>
                <w:rFonts w:cs="Arial"/>
                <w:color w:val="0D0D0D" w:themeColor="text1" w:themeTint="F2"/>
                <w:spacing w:val="-6"/>
                <w:lang w:val="en-GB"/>
              </w:rPr>
              <w:t xml:space="preserve"> expenditures started to be more evident now. Impacts of high pick-up of prices in the economy also afflicted the business sphere, among other things in the form of heightened need for the optimization of production costs.</w:t>
            </w:r>
          </w:p>
        </w:tc>
      </w:tr>
      <w:tr w:rsidR="00D80129" w:rsidRPr="00DD6E6B" w14:paraId="5F18160C" w14:textId="77777777" w:rsidTr="00D80129">
        <w:trPr>
          <w:trHeight w:val="170"/>
        </w:trPr>
        <w:tc>
          <w:tcPr>
            <w:tcW w:w="1678" w:type="dxa"/>
            <w:tcBorders>
              <w:top w:val="nil"/>
              <w:left w:val="nil"/>
              <w:bottom w:val="nil"/>
              <w:right w:val="nil"/>
            </w:tcBorders>
            <w:shd w:val="clear" w:color="auto" w:fill="auto"/>
            <w:tcMar>
              <w:left w:w="0" w:type="dxa"/>
            </w:tcMar>
          </w:tcPr>
          <w:p w14:paraId="2ACD5E71" w14:textId="564A2818" w:rsidR="00D80129" w:rsidRPr="00DD6E6B" w:rsidRDefault="001C25F9" w:rsidP="00D80129">
            <w:pPr>
              <w:pStyle w:val="Marginlie"/>
              <w:rPr>
                <w:lang w:val="en-GB"/>
              </w:rPr>
            </w:pPr>
            <w:r>
              <w:rPr>
                <w:lang w:val="en-GB"/>
              </w:rPr>
              <w:lastRenderedPageBreak/>
              <w:t>Year-on-year decline</w:t>
            </w:r>
            <w:r w:rsidR="00D80129" w:rsidRPr="00DD6E6B">
              <w:rPr>
                <w:lang w:val="en-GB"/>
              </w:rPr>
              <w:t xml:space="preserve"> of sales in services deepened during H1, mostly as a result of subdued demand in transport and storage. </w:t>
            </w:r>
          </w:p>
        </w:tc>
        <w:tc>
          <w:tcPr>
            <w:tcW w:w="194" w:type="dxa"/>
            <w:tcBorders>
              <w:top w:val="nil"/>
              <w:left w:val="nil"/>
              <w:bottom w:val="nil"/>
              <w:right w:val="nil"/>
            </w:tcBorders>
            <w:shd w:val="clear" w:color="auto" w:fill="auto"/>
            <w:tcMar>
              <w:left w:w="0" w:type="dxa"/>
            </w:tcMar>
          </w:tcPr>
          <w:p w14:paraId="23ACD4BE"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386A3FA3" w14:textId="357E670A"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 xml:space="preserve">In Q1 2023, sales in services went slightly down (by 0.3%), when they decreased for the first time in the last two years. The reduction of sales deepened in the following quarter, as gradually the majority of other branches joined the weak demand in transport and storage. Sales in services thus decreased by 1.8% in the whole H1. The deepest slump of demand affected the branch transportation and storage, where the sales dived by even 8% year-on-year (and contributed −2.5 p. p. to the decrease of all services). Downturn in the segment of warehousing and support activities for transportation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 xml:space="preserve">11.5%, comparably with the whole year 2020) played an essential role here. Sales markedly fell also in the land transport and transport via pipeline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6.9%), which was also influenced by weaker performance of transport via pipeline (after extraordinary last year affected by the energy crisis). Decrease of demand was nevertheless apparent also in the road transport (also due to lower dynamics of foreign trade, mainly import) as well as rail transport. Postal and courier activities recorded more moderate but longer</w:t>
            </w:r>
            <w:r>
              <w:rPr>
                <w:rFonts w:cs="Arial"/>
                <w:color w:val="0D0D0D" w:themeColor="text1" w:themeTint="F2"/>
                <w:spacing w:val="-6"/>
                <w:lang w:val="en-GB"/>
              </w:rPr>
              <w:t>-</w:t>
            </w:r>
            <w:r w:rsidRPr="00DD6E6B">
              <w:rPr>
                <w:rFonts w:cs="Arial"/>
                <w:color w:val="0D0D0D" w:themeColor="text1" w:themeTint="F2"/>
                <w:spacing w:val="-6"/>
                <w:lang w:val="en-GB"/>
              </w:rPr>
              <w:t xml:space="preserve">term year-on-year decrease of sales </w:t>
            </w:r>
            <w:r>
              <w:rPr>
                <w:rFonts w:cs="Arial"/>
                <w:color w:val="0D0D0D" w:themeColor="text1" w:themeTint="F2"/>
                <w:spacing w:val="-6"/>
                <w:lang w:val="en-GB"/>
              </w:rPr>
              <w:t>(</w:t>
            </w:r>
            <w:r>
              <w:rPr>
                <w:color w:val="000000"/>
                <w:shd w:val="clear" w:color="auto" w:fill="FFFFFF"/>
              </w:rPr>
              <w:t>–</w:t>
            </w:r>
            <w:r w:rsidRPr="00DD6E6B">
              <w:rPr>
                <w:rFonts w:cs="Arial"/>
                <w:color w:val="0D0D0D" w:themeColor="text1" w:themeTint="F2"/>
                <w:spacing w:val="-6"/>
                <w:lang w:val="en-GB"/>
              </w:rPr>
              <w:t>2.9%), which was closely linked to the deeper decrease of demand in the area of sales via internet or mail order houses. Still the sales of these activities remained by one fifth above the level from H1 2019 this year. On the contrary sales in the marginal segments of air and water transport has still stayed (despite swift this year’s growth) below the pre-crisis level (by 22.5% and 18.7%</w:t>
            </w:r>
            <w:r>
              <w:rPr>
                <w:rFonts w:cs="Arial"/>
                <w:color w:val="0D0D0D" w:themeColor="text1" w:themeTint="F2"/>
                <w:spacing w:val="-6"/>
                <w:lang w:val="en-GB"/>
              </w:rPr>
              <w:t>,</w:t>
            </w:r>
            <w:r w:rsidRPr="00DD6E6B">
              <w:rPr>
                <w:rFonts w:cs="Arial"/>
                <w:color w:val="0D0D0D" w:themeColor="text1" w:themeTint="F2"/>
                <w:spacing w:val="-6"/>
                <w:lang w:val="en-GB"/>
              </w:rPr>
              <w:t xml:space="preserve"> resp</w:t>
            </w:r>
            <w:r>
              <w:rPr>
                <w:rFonts w:cs="Arial"/>
                <w:color w:val="0D0D0D" w:themeColor="text1" w:themeTint="F2"/>
                <w:spacing w:val="-6"/>
                <w:lang w:val="en-GB"/>
              </w:rPr>
              <w:t>ectively</w:t>
            </w:r>
            <w:r w:rsidRPr="00DD6E6B">
              <w:rPr>
                <w:rFonts w:cs="Arial"/>
                <w:color w:val="0D0D0D" w:themeColor="text1" w:themeTint="F2"/>
                <w:spacing w:val="-6"/>
                <w:lang w:val="en-GB"/>
              </w:rPr>
              <w:t>).</w:t>
            </w:r>
          </w:p>
        </w:tc>
      </w:tr>
      <w:tr w:rsidR="00D80129" w:rsidRPr="00DD6E6B" w14:paraId="2AF9A6AF" w14:textId="77777777" w:rsidTr="00D80129">
        <w:trPr>
          <w:trHeight w:val="170"/>
        </w:trPr>
        <w:tc>
          <w:tcPr>
            <w:tcW w:w="1678" w:type="dxa"/>
            <w:tcBorders>
              <w:top w:val="nil"/>
              <w:left w:val="nil"/>
              <w:bottom w:val="nil"/>
              <w:right w:val="nil"/>
            </w:tcBorders>
            <w:shd w:val="clear" w:color="auto" w:fill="auto"/>
            <w:tcMar>
              <w:left w:w="0" w:type="dxa"/>
            </w:tcMar>
          </w:tcPr>
          <w:p w14:paraId="3A12AF4A" w14:textId="528806D6" w:rsidR="00D80129" w:rsidRPr="00DD6E6B" w:rsidRDefault="00D80129" w:rsidP="00D80129">
            <w:pPr>
              <w:pStyle w:val="Marginlie"/>
              <w:rPr>
                <w:color w:val="0D0D0D" w:themeColor="text1" w:themeTint="F2"/>
                <w:lang w:val="en-GB"/>
              </w:rPr>
            </w:pPr>
            <w:r w:rsidRPr="00DD6E6B">
              <w:rPr>
                <w:color w:val="0D0D0D" w:themeColor="text1" w:themeTint="F2"/>
                <w:lang w:val="en-GB"/>
              </w:rPr>
              <w:t>Swift growth of sales in accommodation was associated with the ongoing revival of tourism. Food service and restaurants were more affected by the impacts of the falling purchasing power of domestic households.</w:t>
            </w:r>
          </w:p>
        </w:tc>
        <w:tc>
          <w:tcPr>
            <w:tcW w:w="194" w:type="dxa"/>
            <w:tcBorders>
              <w:top w:val="nil"/>
              <w:left w:val="nil"/>
              <w:bottom w:val="nil"/>
              <w:right w:val="nil"/>
            </w:tcBorders>
            <w:shd w:val="clear" w:color="auto" w:fill="auto"/>
            <w:tcMar>
              <w:left w:w="0" w:type="dxa"/>
            </w:tcMar>
          </w:tcPr>
          <w:p w14:paraId="79DB770E"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37357BB" w14:textId="25537E34" w:rsidR="00D80129" w:rsidRPr="00DD6E6B" w:rsidRDefault="00D80129" w:rsidP="00D80129">
            <w:pPr>
              <w:spacing w:after="200"/>
              <w:rPr>
                <w:rFonts w:cs="Arial"/>
                <w:color w:val="0D0D0D" w:themeColor="text1" w:themeTint="F2"/>
                <w:spacing w:val="-6"/>
                <w:lang w:val="en-GB"/>
              </w:rPr>
            </w:pPr>
            <w:r w:rsidRPr="00DD6E6B">
              <w:rPr>
                <w:rFonts w:cs="Arial"/>
                <w:color w:val="0D0D0D" w:themeColor="text1" w:themeTint="F2"/>
                <w:spacing w:val="-6"/>
                <w:lang w:val="en-GB"/>
              </w:rPr>
              <w:t xml:space="preserve">Sales dynamics in the sub-branches of the division accommodation, food service and restaurants significantly differed this year. Entities earned by </w:t>
            </w:r>
            <w:r w:rsidRPr="00DD6E6B">
              <w:rPr>
                <w:color w:val="0D0D0D" w:themeColor="text1" w:themeTint="F2"/>
                <w:spacing w:val="-6"/>
                <w:lang w:val="en-GB"/>
              </w:rPr>
              <w:t>13.5% more in accommodation itself year-on-year in H1, because the post crisis recovery of the arrival tourism continued</w:t>
            </w:r>
            <w:r w:rsidRPr="00DD6E6B">
              <w:rPr>
                <w:rStyle w:val="Znakapoznpodarou"/>
                <w:color w:val="0D0D0D" w:themeColor="text1" w:themeTint="F2"/>
                <w:spacing w:val="-6"/>
                <w:lang w:val="en-GB"/>
              </w:rPr>
              <w:footnoteReference w:id="36"/>
            </w:r>
            <w:r w:rsidRPr="00DD6E6B">
              <w:rPr>
                <w:color w:val="0D0D0D" w:themeColor="text1" w:themeTint="F2"/>
                <w:spacing w:val="-6"/>
                <w:lang w:val="en-GB"/>
              </w:rPr>
              <w:t xml:space="preserve">. Only 1.8% increase of sales was recorded in food service and restaurants. Subdued growth of demand was connected to the ongoing considerable decrease of the purchasing power of domestic households here, which led to the cut of their non-essential expenditures. Sales in food service and restaurants fell by 0.9% in the quarter-on-quarter expression in Q2. Sales still significantly lagged behind the year 2019, mainly in accommodation. </w:t>
            </w:r>
          </w:p>
        </w:tc>
      </w:tr>
      <w:tr w:rsidR="00D80129" w:rsidRPr="00DD6E6B" w14:paraId="11A082C9" w14:textId="77777777" w:rsidTr="00D80129">
        <w:trPr>
          <w:trHeight w:val="170"/>
        </w:trPr>
        <w:tc>
          <w:tcPr>
            <w:tcW w:w="1678" w:type="dxa"/>
            <w:tcBorders>
              <w:top w:val="nil"/>
              <w:left w:val="nil"/>
              <w:bottom w:val="nil"/>
              <w:right w:val="nil"/>
            </w:tcBorders>
            <w:shd w:val="clear" w:color="auto" w:fill="auto"/>
            <w:tcMar>
              <w:left w:w="0" w:type="dxa"/>
            </w:tcMar>
          </w:tcPr>
          <w:p w14:paraId="467C43E4" w14:textId="0A8B98B1" w:rsidR="00D80129" w:rsidRPr="00DD6E6B" w:rsidRDefault="00D80129" w:rsidP="00D80129">
            <w:pPr>
              <w:pStyle w:val="Marginlie"/>
              <w:rPr>
                <w:color w:val="0D0D0D" w:themeColor="text1" w:themeTint="F2"/>
                <w:lang w:val="en-GB"/>
              </w:rPr>
            </w:pPr>
            <w:r w:rsidRPr="00DD6E6B">
              <w:rPr>
                <w:color w:val="0D0D0D" w:themeColor="text1" w:themeTint="F2"/>
                <w:lang w:val="en-GB"/>
              </w:rPr>
              <w:t xml:space="preserve">Sales in the area of ICT dropped year-on-year in Q2, nearly across all sub-branches. </w:t>
            </w:r>
          </w:p>
        </w:tc>
        <w:tc>
          <w:tcPr>
            <w:tcW w:w="194" w:type="dxa"/>
            <w:tcBorders>
              <w:top w:val="nil"/>
              <w:left w:val="nil"/>
              <w:bottom w:val="nil"/>
              <w:right w:val="nil"/>
            </w:tcBorders>
            <w:shd w:val="clear" w:color="auto" w:fill="auto"/>
            <w:tcMar>
              <w:left w:w="0" w:type="dxa"/>
            </w:tcMar>
          </w:tcPr>
          <w:p w14:paraId="28456423"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091F522F" w14:textId="69DE6D61" w:rsidR="00D80129" w:rsidRPr="00DD6E6B" w:rsidRDefault="00D80129" w:rsidP="00D80129">
            <w:pPr>
              <w:spacing w:after="200"/>
              <w:rPr>
                <w:color w:val="0D0D0D" w:themeColor="text1" w:themeTint="F2"/>
                <w:spacing w:val="-6"/>
                <w:lang w:val="en-GB"/>
              </w:rPr>
            </w:pPr>
            <w:r w:rsidRPr="00DD6E6B">
              <w:rPr>
                <w:color w:val="0D0D0D" w:themeColor="text1" w:themeTint="F2"/>
                <w:spacing w:val="-4"/>
                <w:lang w:val="en-GB"/>
              </w:rPr>
              <w:t xml:space="preserve">Long- term developing information and communication also felt the signals of stifled demand this year. The sales here in effect rather stagnated year-on-year in H1 (+0.6%), in that they even slightly dropped in Q2 </w:t>
            </w:r>
            <w:r>
              <w:rPr>
                <w:color w:val="0D0D0D" w:themeColor="text1" w:themeTint="F2"/>
                <w:spacing w:val="-4"/>
                <w:lang w:val="en-GB"/>
              </w:rPr>
              <w:t>(</w:t>
            </w:r>
            <w:r>
              <w:rPr>
                <w:color w:val="000000"/>
                <w:shd w:val="clear" w:color="auto" w:fill="FFFFFF"/>
              </w:rPr>
              <w:t>–</w:t>
            </w:r>
            <w:r w:rsidRPr="00DD6E6B">
              <w:rPr>
                <w:color w:val="0D0D0D" w:themeColor="text1" w:themeTint="F2"/>
                <w:spacing w:val="-4"/>
                <w:lang w:val="en-GB"/>
              </w:rPr>
              <w:t xml:space="preserve">1.0%), when the decrease of demand hit nearly all sub-branches. Sales mildly increased in computer programming or consultancy in IT and also in   telecommunications </w:t>
            </w:r>
            <w:r w:rsidRPr="00DD6E6B">
              <w:rPr>
                <w:color w:val="0D0D0D" w:themeColor="text1" w:themeTint="F2"/>
                <w:spacing w:val="-6"/>
                <w:lang w:val="en-GB"/>
              </w:rPr>
              <w:t>in total for the whole H1</w:t>
            </w:r>
            <w:r w:rsidRPr="00DD6E6B">
              <w:rPr>
                <w:color w:val="0D0D0D" w:themeColor="text1" w:themeTint="F2"/>
                <w:spacing w:val="-4"/>
                <w:lang w:val="en-GB"/>
              </w:rPr>
              <w:t>. In contrast</w:t>
            </w:r>
            <w:r>
              <w:rPr>
                <w:color w:val="0D0D0D" w:themeColor="text1" w:themeTint="F2"/>
                <w:spacing w:val="-4"/>
                <w:lang w:val="en-GB"/>
              </w:rPr>
              <w:t>,</w:t>
            </w:r>
            <w:r w:rsidRPr="00DD6E6B">
              <w:rPr>
                <w:color w:val="0D0D0D" w:themeColor="text1" w:themeTint="F2"/>
                <w:spacing w:val="-4"/>
                <w:lang w:val="en-GB"/>
              </w:rPr>
              <w:t xml:space="preserve"> the sales were by 4.8% lower in information and communication</w:t>
            </w:r>
            <w:r w:rsidRPr="00DD6E6B">
              <w:rPr>
                <w:rStyle w:val="Znakapoznpodarou"/>
                <w:color w:val="0D0D0D" w:themeColor="text1" w:themeTint="F2"/>
                <w:spacing w:val="-4"/>
                <w:lang w:val="en-GB"/>
              </w:rPr>
              <w:footnoteReference w:id="37"/>
            </w:r>
            <w:r w:rsidRPr="00DD6E6B">
              <w:rPr>
                <w:color w:val="0D0D0D" w:themeColor="text1" w:themeTint="F2"/>
                <w:spacing w:val="-4"/>
                <w:lang w:val="en-GB"/>
              </w:rPr>
              <w:t xml:space="preserve"> and registered the deepest decrease since H2 2012. Sales for the radio and television programming and broadcasting activities dropped for the second </w:t>
            </w:r>
            <w:r w:rsidRPr="00DD6E6B">
              <w:rPr>
                <w:color w:val="0D0D0D" w:themeColor="text1" w:themeTint="F2"/>
                <w:spacing w:val="-4"/>
                <w:lang w:val="en-GB"/>
              </w:rPr>
              <w:lastRenderedPageBreak/>
              <w:t xml:space="preserve">year in a row, the so called motion picture and music industry also experienced lower demand year-on-year </w:t>
            </w:r>
            <w:r>
              <w:rPr>
                <w:color w:val="0D0D0D" w:themeColor="text1" w:themeTint="F2"/>
                <w:spacing w:val="-4"/>
                <w:lang w:val="en-GB"/>
              </w:rPr>
              <w:t>(</w:t>
            </w:r>
            <w:r>
              <w:rPr>
                <w:color w:val="000000"/>
                <w:shd w:val="clear" w:color="auto" w:fill="FFFFFF"/>
              </w:rPr>
              <w:t>–</w:t>
            </w:r>
            <w:r w:rsidRPr="00DD6E6B">
              <w:rPr>
                <w:color w:val="0D0D0D" w:themeColor="text1" w:themeTint="F2"/>
                <w:spacing w:val="-4"/>
                <w:lang w:val="en-GB"/>
              </w:rPr>
              <w:t>8.7%)</w:t>
            </w:r>
            <w:r w:rsidRPr="00DD6E6B">
              <w:rPr>
                <w:rStyle w:val="Znakapoznpodarou"/>
                <w:color w:val="0D0D0D" w:themeColor="text1" w:themeTint="F2"/>
                <w:spacing w:val="-6"/>
                <w:lang w:val="en-GB"/>
              </w:rPr>
              <w:footnoteReference w:id="38"/>
            </w:r>
            <w:r w:rsidRPr="00DD6E6B">
              <w:rPr>
                <w:color w:val="0D0D0D" w:themeColor="text1" w:themeTint="F2"/>
                <w:spacing w:val="-4"/>
                <w:lang w:val="en-GB"/>
              </w:rPr>
              <w:t>, it was particularly severely hit by the restrictions in the pandemic period (this year’s sales lagged by more than one fifth here compared to year 2019).</w:t>
            </w:r>
          </w:p>
        </w:tc>
      </w:tr>
      <w:tr w:rsidR="00D80129" w:rsidRPr="00DD6E6B" w14:paraId="2D13BD66" w14:textId="77777777" w:rsidTr="00D80129">
        <w:trPr>
          <w:trHeight w:val="170"/>
        </w:trPr>
        <w:tc>
          <w:tcPr>
            <w:tcW w:w="1678" w:type="dxa"/>
            <w:tcBorders>
              <w:top w:val="nil"/>
              <w:left w:val="nil"/>
              <w:bottom w:val="nil"/>
              <w:right w:val="nil"/>
            </w:tcBorders>
            <w:shd w:val="clear" w:color="auto" w:fill="auto"/>
            <w:tcMar>
              <w:left w:w="0" w:type="dxa"/>
            </w:tcMar>
          </w:tcPr>
          <w:p w14:paraId="55C604DA"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28B50300"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4340EEBE" w14:textId="476898EA" w:rsidR="00D80129" w:rsidRPr="00DD6E6B" w:rsidRDefault="00D80129" w:rsidP="00D80129">
            <w:pPr>
              <w:spacing w:after="40"/>
              <w:rPr>
                <w:b/>
                <w:spacing w:val="-4"/>
                <w:lang w:val="en-GB"/>
              </w:rPr>
            </w:pPr>
            <w:r w:rsidRPr="00DD6E6B">
              <w:rPr>
                <w:b/>
                <w:spacing w:val="-4"/>
                <w:lang w:val="en-GB"/>
              </w:rPr>
              <w:t xml:space="preserve">Chart 7 </w:t>
            </w:r>
            <w:r w:rsidRPr="00877F35">
              <w:rPr>
                <w:b/>
                <w:spacing w:val="-2"/>
                <w:lang w:val="en-GB"/>
              </w:rPr>
              <w:t>Contributions of branches to year-on-year change of sales in services</w:t>
            </w:r>
            <w:r w:rsidRPr="00877F35">
              <w:rPr>
                <w:b/>
                <w:bCs/>
                <w:spacing w:val="-2"/>
                <w:lang w:val="en-GB"/>
              </w:rPr>
              <w:t>*</w:t>
            </w:r>
            <w:r w:rsidRPr="00877F35">
              <w:rPr>
                <w:b/>
                <w:spacing w:val="-2"/>
                <w:lang w:val="en-GB"/>
              </w:rPr>
              <w:br/>
            </w:r>
            <w:r w:rsidRPr="00877F35">
              <w:rPr>
                <w:spacing w:val="-2"/>
                <w:lang w:val="en-GB"/>
              </w:rPr>
              <w:t>(real, in p. p),</w:t>
            </w:r>
            <w:r w:rsidRPr="00877F35">
              <w:rPr>
                <w:b/>
                <w:spacing w:val="-2"/>
                <w:lang w:val="en-GB"/>
              </w:rPr>
              <w:t xml:space="preserve"> total sales in services</w:t>
            </w:r>
            <w:r w:rsidRPr="00877F35">
              <w:rPr>
                <w:b/>
                <w:bCs/>
                <w:spacing w:val="-2"/>
                <w:lang w:val="en-GB"/>
              </w:rPr>
              <w:t xml:space="preserve">* </w:t>
            </w:r>
            <w:r>
              <w:rPr>
                <w:spacing w:val="-2"/>
                <w:lang w:val="en-GB"/>
              </w:rPr>
              <w:t>(2015=100</w:t>
            </w:r>
            <w:r w:rsidRPr="00877F35">
              <w:rPr>
                <w:spacing w:val="-2"/>
                <w:lang w:val="en-GB"/>
              </w:rPr>
              <w:t>),</w:t>
            </w:r>
            <w:r w:rsidRPr="00877F35">
              <w:rPr>
                <w:b/>
                <w:spacing w:val="-2"/>
                <w:lang w:val="en-GB"/>
              </w:rPr>
              <w:t xml:space="preserve"> balance of business confidence indicator in services</w:t>
            </w:r>
            <w:r w:rsidRPr="00877F35">
              <w:rPr>
                <w:b/>
                <w:bCs/>
                <w:spacing w:val="-2"/>
                <w:lang w:val="en-GB"/>
              </w:rPr>
              <w:t>**</w:t>
            </w:r>
            <w:r w:rsidRPr="00877F35">
              <w:rPr>
                <w:b/>
                <w:spacing w:val="-2"/>
                <w:lang w:val="en-GB"/>
              </w:rPr>
              <w:t xml:space="preserve"> </w:t>
            </w:r>
            <w:r>
              <w:rPr>
                <w:spacing w:val="-2"/>
                <w:lang w:val="en-GB"/>
              </w:rPr>
              <w:t>(in p. p.</w:t>
            </w:r>
            <w:r w:rsidRPr="00877F35">
              <w:rPr>
                <w:spacing w:val="-2"/>
                <w:lang w:val="en-GB"/>
              </w:rPr>
              <w:t>)</w:t>
            </w:r>
            <w:r w:rsidRPr="00877F35">
              <w:rPr>
                <w:b/>
                <w:bCs/>
                <w:spacing w:val="-2"/>
                <w:lang w:val="en-GB"/>
              </w:rPr>
              <w:t xml:space="preserve">, </w:t>
            </w:r>
            <w:r w:rsidRPr="00877F35">
              <w:rPr>
                <w:b/>
                <w:spacing w:val="-2"/>
                <w:lang w:val="en-GB"/>
              </w:rPr>
              <w:t>barriers to growth</w:t>
            </w:r>
            <w:r>
              <w:rPr>
                <w:b/>
                <w:spacing w:val="-2"/>
                <w:lang w:val="en-GB"/>
              </w:rPr>
              <w:t xml:space="preserve"> in services</w:t>
            </w:r>
            <w:r w:rsidRPr="00877F35">
              <w:rPr>
                <w:b/>
                <w:bCs/>
                <w:spacing w:val="-2"/>
                <w:lang w:val="en-GB"/>
              </w:rPr>
              <w:t>**</w:t>
            </w:r>
            <w:r w:rsidRPr="00877F35">
              <w:rPr>
                <w:b/>
                <w:spacing w:val="-2"/>
                <w:lang w:val="en-GB"/>
              </w:rPr>
              <w:t xml:space="preserve"> </w:t>
            </w:r>
            <w:r>
              <w:rPr>
                <w:spacing w:val="-2"/>
                <w:lang w:val="en-GB"/>
              </w:rPr>
              <w:t>(in %</w:t>
            </w:r>
            <w:r w:rsidRPr="00877F35">
              <w:rPr>
                <w:spacing w:val="-2"/>
                <w:lang w:val="en-GB"/>
              </w:rPr>
              <w:t>)</w:t>
            </w:r>
          </w:p>
        </w:tc>
      </w:tr>
      <w:tr w:rsidR="00D80129" w:rsidRPr="00DD6E6B" w14:paraId="2F4B7EAB" w14:textId="77777777" w:rsidTr="00D80129">
        <w:tblPrEx>
          <w:tblCellMar>
            <w:left w:w="70" w:type="dxa"/>
            <w:right w:w="70" w:type="dxa"/>
          </w:tblCellMar>
        </w:tblPrEx>
        <w:trPr>
          <w:trHeight w:val="170"/>
        </w:trPr>
        <w:tc>
          <w:tcPr>
            <w:tcW w:w="1678" w:type="dxa"/>
            <w:tcBorders>
              <w:top w:val="nil"/>
              <w:left w:val="nil"/>
              <w:bottom w:val="nil"/>
              <w:right w:val="nil"/>
            </w:tcBorders>
            <w:shd w:val="clear" w:color="auto" w:fill="auto"/>
          </w:tcPr>
          <w:p w14:paraId="6955CBBE"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Pr>
          <w:p w14:paraId="1B762220"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1E07E0E5" w14:textId="60C28A02" w:rsidR="00D80129" w:rsidRPr="00DD6E6B" w:rsidRDefault="00D80129" w:rsidP="00D80129">
            <w:pPr>
              <w:spacing w:after="0"/>
              <w:rPr>
                <w:rFonts w:cs="Arial"/>
                <w:sz w:val="14"/>
                <w:szCs w:val="14"/>
                <w:lang w:val="en-GB"/>
              </w:rPr>
            </w:pPr>
            <w:r>
              <w:rPr>
                <w:noProof/>
              </w:rPr>
              <w:drawing>
                <wp:inline distT="0" distB="0" distL="0" distR="0" wp14:anchorId="22354B6A" wp14:editId="719AEF6E">
                  <wp:extent cx="4754880" cy="3636645"/>
                  <wp:effectExtent l="0" t="0" r="7620" b="190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80129" w:rsidRPr="00DD6E6B" w14:paraId="71F2428A" w14:textId="77777777" w:rsidTr="00D80129">
        <w:trPr>
          <w:trHeight w:val="170"/>
        </w:trPr>
        <w:tc>
          <w:tcPr>
            <w:tcW w:w="1678" w:type="dxa"/>
            <w:tcBorders>
              <w:top w:val="nil"/>
              <w:left w:val="nil"/>
              <w:bottom w:val="nil"/>
              <w:right w:val="nil"/>
            </w:tcBorders>
            <w:shd w:val="clear" w:color="auto" w:fill="auto"/>
            <w:tcMar>
              <w:left w:w="0" w:type="dxa"/>
            </w:tcMar>
          </w:tcPr>
          <w:p w14:paraId="7E4738EA"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0D5F5E33"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1EAD814D" w14:textId="5060EEDB" w:rsidR="00D80129" w:rsidRPr="00DD6E6B" w:rsidRDefault="00D80129" w:rsidP="00D80129">
            <w:pPr>
              <w:spacing w:after="0" w:line="240" w:lineRule="auto"/>
              <w:rPr>
                <w:rFonts w:cs="Arial"/>
                <w:spacing w:val="-4"/>
                <w:sz w:val="14"/>
                <w:szCs w:val="14"/>
                <w:lang w:val="en-GB"/>
              </w:rPr>
            </w:pPr>
            <w:r w:rsidRPr="00DD6E6B">
              <w:rPr>
                <w:rFonts w:cs="Arial"/>
                <w:spacing w:val="-4"/>
                <w:sz w:val="14"/>
                <w:szCs w:val="14"/>
                <w:lang w:val="en-GB"/>
              </w:rPr>
              <w:t xml:space="preserve">Note: all data are seasonally adjusted, only contributions of sub-branches to the growth of sales are adjusted solely for calendar effects. </w:t>
            </w:r>
          </w:p>
          <w:p w14:paraId="15F7AF76" w14:textId="0A2A75E7" w:rsidR="00D80129" w:rsidRPr="00DD6E6B" w:rsidRDefault="00D80129" w:rsidP="00D80129">
            <w:pPr>
              <w:spacing w:after="0" w:line="240" w:lineRule="auto"/>
              <w:rPr>
                <w:rFonts w:cs="Arial"/>
                <w:sz w:val="14"/>
                <w:szCs w:val="14"/>
                <w:lang w:val="en-GB"/>
              </w:rPr>
            </w:pPr>
            <w:r w:rsidRPr="00DD6E6B">
              <w:rPr>
                <w:rFonts w:cs="Arial"/>
                <w:sz w:val="14"/>
                <w:szCs w:val="14"/>
                <w:lang w:val="en-GB"/>
              </w:rPr>
              <w:t xml:space="preserve">*Without branches trade, </w:t>
            </w:r>
            <w:r w:rsidRPr="00DD6E6B">
              <w:rPr>
                <w:color w:val="0D0D0D" w:themeColor="text1" w:themeTint="F2"/>
                <w:sz w:val="14"/>
                <w:szCs w:val="14"/>
                <w:lang w:val="en-GB"/>
              </w:rPr>
              <w:t xml:space="preserve">financial activities, insurance activities, science, research and public services. </w:t>
            </w:r>
          </w:p>
          <w:p w14:paraId="5D97A9ED" w14:textId="77777777" w:rsidR="00B117D9" w:rsidRDefault="00D80129" w:rsidP="00D80129">
            <w:pPr>
              <w:spacing w:after="0" w:line="240" w:lineRule="auto"/>
              <w:rPr>
                <w:rFonts w:cs="Arial"/>
                <w:sz w:val="14"/>
                <w:szCs w:val="14"/>
                <w:lang w:val="en-GB"/>
              </w:rPr>
            </w:pPr>
            <w:r w:rsidRPr="00DD6E6B">
              <w:rPr>
                <w:rFonts w:cs="Arial"/>
                <w:sz w:val="14"/>
                <w:szCs w:val="14"/>
                <w:lang w:val="en-GB"/>
              </w:rPr>
              <w:t>**Also involves the financial sector. Balance of busi</w:t>
            </w:r>
            <w:r w:rsidR="00B117D9">
              <w:rPr>
                <w:rFonts w:cs="Arial"/>
                <w:sz w:val="14"/>
                <w:szCs w:val="14"/>
                <w:lang w:val="en-GB"/>
              </w:rPr>
              <w:t xml:space="preserve">ness confidence as well as the </w:t>
            </w:r>
          </w:p>
          <w:p w14:paraId="5D8B9AC2" w14:textId="1C3B9A64" w:rsidR="00D80129" w:rsidRDefault="00B117D9" w:rsidP="00D80129">
            <w:pPr>
              <w:spacing w:after="0" w:line="240" w:lineRule="auto"/>
              <w:rPr>
                <w:rFonts w:cs="Arial"/>
                <w:sz w:val="14"/>
                <w:szCs w:val="14"/>
                <w:lang w:val="en-GB"/>
              </w:rPr>
            </w:pPr>
            <w:r>
              <w:rPr>
                <w:rFonts w:cs="Arial"/>
                <w:sz w:val="14"/>
                <w:szCs w:val="14"/>
                <w:lang w:val="en-GB"/>
              </w:rPr>
              <w:t>B</w:t>
            </w:r>
            <w:r w:rsidR="00D80129" w:rsidRPr="00DD6E6B">
              <w:rPr>
                <w:rFonts w:cs="Arial"/>
                <w:sz w:val="14"/>
                <w:szCs w:val="14"/>
                <w:lang w:val="en-GB"/>
              </w:rPr>
              <w:t xml:space="preserve">arrier to growth express the level in the first </w:t>
            </w:r>
            <w:r w:rsidRPr="00DD6E6B">
              <w:rPr>
                <w:rFonts w:cs="Arial"/>
                <w:sz w:val="14"/>
                <w:szCs w:val="14"/>
                <w:lang w:val="en-GB"/>
              </w:rPr>
              <w:t>month of the given quarter</w:t>
            </w:r>
            <w:r>
              <w:rPr>
                <w:rFonts w:cs="Arial"/>
                <w:sz w:val="14"/>
                <w:szCs w:val="14"/>
                <w:lang w:val="en-GB"/>
              </w:rPr>
              <w:t>, b</w:t>
            </w:r>
            <w:r w:rsidRPr="00DD6E6B">
              <w:rPr>
                <w:rFonts w:cs="Arial"/>
                <w:sz w:val="14"/>
                <w:szCs w:val="14"/>
                <w:lang w:val="en-GB"/>
              </w:rPr>
              <w:t>alance of busi</w:t>
            </w:r>
            <w:r>
              <w:rPr>
                <w:rFonts w:cs="Arial"/>
                <w:sz w:val="14"/>
                <w:szCs w:val="14"/>
                <w:lang w:val="en-GB"/>
              </w:rPr>
              <w:t xml:space="preserve">ness confidence than </w:t>
            </w:r>
            <w:r w:rsidRPr="00210BF4">
              <w:rPr>
                <w:rFonts w:cs="Arial"/>
                <w:sz w:val="14"/>
                <w:szCs w:val="14"/>
                <w:lang w:val="en-GB"/>
              </w:rPr>
              <w:t>in the s</w:t>
            </w:r>
            <w:r>
              <w:rPr>
                <w:rFonts w:cs="Arial"/>
                <w:sz w:val="14"/>
                <w:szCs w:val="14"/>
                <w:lang w:val="en-GB"/>
              </w:rPr>
              <w:t>econd month of the given quarter.</w:t>
            </w:r>
            <w:r w:rsidR="00D80129" w:rsidRPr="00DD6E6B">
              <w:rPr>
                <w:rFonts w:cs="Arial"/>
                <w:spacing w:val="-2"/>
                <w:sz w:val="14"/>
                <w:szCs w:val="14"/>
                <w:lang w:val="en-GB"/>
              </w:rPr>
              <w:t xml:space="preserve"> Businesses could have indicated more key barriers simultaneously</w:t>
            </w:r>
            <w:r w:rsidR="00D80129">
              <w:rPr>
                <w:rFonts w:cs="Arial"/>
                <w:sz w:val="14"/>
                <w:szCs w:val="14"/>
                <w:lang w:val="en-GB"/>
              </w:rPr>
              <w:t>.</w:t>
            </w:r>
          </w:p>
          <w:p w14:paraId="7DEC6BD8" w14:textId="2DB65D49" w:rsidR="00D80129" w:rsidRPr="00024D0A" w:rsidRDefault="00D80129" w:rsidP="00D80129">
            <w:pPr>
              <w:spacing w:after="200" w:line="240" w:lineRule="auto"/>
              <w:rPr>
                <w:rFonts w:cs="Arial"/>
                <w:sz w:val="14"/>
                <w:szCs w:val="14"/>
                <w:lang w:val="en-GB"/>
              </w:rPr>
            </w:pPr>
            <w:r w:rsidRPr="00DD6E6B">
              <w:rPr>
                <w:rFonts w:cs="Arial"/>
                <w:sz w:val="14"/>
                <w:szCs w:val="14"/>
                <w:lang w:val="en-GB"/>
              </w:rPr>
              <w:t>Source: CZSO, Eurostat</w:t>
            </w:r>
          </w:p>
        </w:tc>
      </w:tr>
      <w:tr w:rsidR="00D80129" w:rsidRPr="00DD6E6B" w14:paraId="623E2681" w14:textId="77777777" w:rsidTr="00D80129">
        <w:trPr>
          <w:trHeight w:val="170"/>
        </w:trPr>
        <w:tc>
          <w:tcPr>
            <w:tcW w:w="1678" w:type="dxa"/>
            <w:tcBorders>
              <w:top w:val="nil"/>
              <w:left w:val="nil"/>
              <w:bottom w:val="nil"/>
              <w:right w:val="nil"/>
            </w:tcBorders>
            <w:shd w:val="clear" w:color="auto" w:fill="auto"/>
            <w:tcMar>
              <w:left w:w="0" w:type="dxa"/>
            </w:tcMar>
          </w:tcPr>
          <w:p w14:paraId="75EFA449" w14:textId="1A272918" w:rsidR="00D80129" w:rsidRPr="00DD6E6B" w:rsidRDefault="00D80129" w:rsidP="00D80129">
            <w:pPr>
              <w:pStyle w:val="Marginlie"/>
              <w:rPr>
                <w:lang w:val="en-GB"/>
              </w:rPr>
            </w:pPr>
            <w:r w:rsidRPr="00DD6E6B">
              <w:rPr>
                <w:lang w:val="en-GB"/>
              </w:rPr>
              <w:t xml:space="preserve">Majority of services within administrative and support service activities faced a cyclical downturn of demand. </w:t>
            </w:r>
          </w:p>
          <w:p w14:paraId="057E83FA" w14:textId="77777777" w:rsidR="00D80129" w:rsidRPr="00DD6E6B" w:rsidRDefault="00D80129" w:rsidP="00D80129">
            <w:pPr>
              <w:pStyle w:val="Marginlie"/>
              <w:rPr>
                <w:lang w:val="en-GB"/>
              </w:rPr>
            </w:pPr>
          </w:p>
          <w:p w14:paraId="6199C03F" w14:textId="77777777" w:rsidR="00D80129" w:rsidRPr="00DD6E6B" w:rsidRDefault="00D80129" w:rsidP="00D80129">
            <w:pPr>
              <w:pStyle w:val="Marginlie"/>
              <w:rPr>
                <w:lang w:val="en-GB"/>
              </w:rPr>
            </w:pPr>
          </w:p>
          <w:p w14:paraId="62711417" w14:textId="77777777" w:rsidR="00D80129" w:rsidRPr="00DD6E6B" w:rsidRDefault="00D80129" w:rsidP="00D80129">
            <w:pPr>
              <w:pStyle w:val="Marginlie"/>
              <w:rPr>
                <w:lang w:val="en-GB"/>
              </w:rPr>
            </w:pPr>
          </w:p>
          <w:p w14:paraId="271CA314" w14:textId="77777777" w:rsidR="00D80129" w:rsidRPr="00DD6E6B" w:rsidRDefault="00D80129" w:rsidP="00D80129">
            <w:pPr>
              <w:pStyle w:val="Marginlie"/>
              <w:rPr>
                <w:lang w:val="en-GB"/>
              </w:rPr>
            </w:pPr>
          </w:p>
          <w:p w14:paraId="10A8FF40" w14:textId="343058E5" w:rsidR="00D80129" w:rsidRPr="00DD6E6B" w:rsidRDefault="00D80129" w:rsidP="00D80129">
            <w:pPr>
              <w:pStyle w:val="Marginlie"/>
              <w:rPr>
                <w:lang w:val="en-GB"/>
              </w:rPr>
            </w:pPr>
            <w:r w:rsidRPr="00DD6E6B">
              <w:rPr>
                <w:lang w:val="en-GB"/>
              </w:rPr>
              <w:t xml:space="preserve">Demand for more sophisticated business services has stayed relatively stable so far. </w:t>
            </w:r>
          </w:p>
        </w:tc>
        <w:tc>
          <w:tcPr>
            <w:tcW w:w="194" w:type="dxa"/>
            <w:tcBorders>
              <w:top w:val="nil"/>
              <w:left w:val="nil"/>
              <w:bottom w:val="nil"/>
              <w:right w:val="nil"/>
            </w:tcBorders>
            <w:shd w:val="clear" w:color="auto" w:fill="auto"/>
            <w:tcMar>
              <w:left w:w="0" w:type="dxa"/>
            </w:tcMar>
          </w:tcPr>
          <w:p w14:paraId="3E54EA94" w14:textId="77777777" w:rsidR="00D80129" w:rsidRPr="00DD6E6B" w:rsidRDefault="00D80129" w:rsidP="00D80129">
            <w:pPr>
              <w:pStyle w:val="Textpoznpodarou"/>
              <w:jc w:val="both"/>
              <w:rPr>
                <w:spacing w:val="-6"/>
                <w:lang w:val="en-GB"/>
              </w:rPr>
            </w:pPr>
          </w:p>
        </w:tc>
        <w:tc>
          <w:tcPr>
            <w:tcW w:w="7767" w:type="dxa"/>
            <w:tcBorders>
              <w:top w:val="nil"/>
              <w:left w:val="nil"/>
              <w:bottom w:val="nil"/>
              <w:right w:val="nil"/>
            </w:tcBorders>
            <w:shd w:val="clear" w:color="auto" w:fill="auto"/>
            <w:tcMar>
              <w:left w:w="0" w:type="dxa"/>
            </w:tcMar>
          </w:tcPr>
          <w:p w14:paraId="5AB80FAC" w14:textId="32F14089" w:rsidR="00D80129" w:rsidRPr="00DD6E6B" w:rsidRDefault="00D80129" w:rsidP="00D80129">
            <w:pPr>
              <w:spacing w:after="200"/>
              <w:rPr>
                <w:rFonts w:cs="Arial"/>
                <w:color w:val="0D0D0D" w:themeColor="text1" w:themeTint="F2"/>
                <w:spacing w:val="-2"/>
                <w:lang w:val="en-GB"/>
              </w:rPr>
            </w:pPr>
            <w:r w:rsidRPr="00DD6E6B">
              <w:rPr>
                <w:rFonts w:cs="Arial"/>
                <w:color w:val="0D0D0D" w:themeColor="text1" w:themeTint="F2"/>
                <w:spacing w:val="-2"/>
                <w:lang w:val="en-GB"/>
              </w:rPr>
              <w:t xml:space="preserve">The branch of administrative and support service activities also wrestled with weaker demand, where the sales dropped by 2.4% this year compared to H1 2022. Mainly employment placement agencies, where the sales slumped by 12.1% (even by 21.8% for two years) stood behind it. The demand also fell in other activities sensitively reacting to the business cycle (e.g. for lease and operative lease – mainly of machinery and equipment), firms in the area of security and investigation activities also earned less. Travel agencies and offices, where the sales (thanks to favourable development in the spring months) went mildly up for the whole half-year (+3.5%) fared better. Part of business support service activities, especially those characterised by higher requirements on qualified labour force however still enjoyed relatively stable demand. Thus the sales increased by 3.2% in the group of professional, scientific and technical activities year-on-year in H1. They were driven mainly by legal and accounting activities (+6.4%), followed in short distance then by architectural and engineering activities (+3.3%). Demand for management consultancy activities grew for the third year in a row. After the last year decrease the sales slightly strengthened in the area of advertising this year, however the demand slump continued for market research and public opinion polling.  </w:t>
            </w:r>
          </w:p>
        </w:tc>
      </w:tr>
      <w:tr w:rsidR="00D80129" w:rsidRPr="00DD6E6B" w14:paraId="43C56705" w14:textId="77777777" w:rsidTr="00D80129">
        <w:trPr>
          <w:trHeight w:val="170"/>
        </w:trPr>
        <w:tc>
          <w:tcPr>
            <w:tcW w:w="1678" w:type="dxa"/>
            <w:tcBorders>
              <w:top w:val="nil"/>
              <w:left w:val="nil"/>
              <w:bottom w:val="nil"/>
              <w:right w:val="nil"/>
            </w:tcBorders>
            <w:shd w:val="clear" w:color="auto" w:fill="auto"/>
            <w:tcMar>
              <w:left w:w="0" w:type="dxa"/>
            </w:tcMar>
          </w:tcPr>
          <w:p w14:paraId="055807B8" w14:textId="3CD40637" w:rsidR="00D80129" w:rsidRPr="00DD6E6B" w:rsidRDefault="00D80129" w:rsidP="00D80129">
            <w:pPr>
              <w:pStyle w:val="Marginlie"/>
              <w:rPr>
                <w:lang w:val="en-GB"/>
              </w:rPr>
            </w:pPr>
            <w:r w:rsidRPr="00DD6E6B">
              <w:rPr>
                <w:lang w:val="en-GB"/>
              </w:rPr>
              <w:lastRenderedPageBreak/>
              <w:t xml:space="preserve">Quarter-on-quarter decrease of retail sales continued for the seventh quarter in a row. </w:t>
            </w:r>
          </w:p>
          <w:p w14:paraId="1D2CE40E" w14:textId="77777777" w:rsidR="00D80129" w:rsidRPr="00DD6E6B" w:rsidRDefault="00D80129" w:rsidP="00D80129">
            <w:pPr>
              <w:pStyle w:val="Marginlie"/>
              <w:rPr>
                <w:lang w:val="en-GB"/>
              </w:rPr>
            </w:pPr>
          </w:p>
          <w:p w14:paraId="5E35A821" w14:textId="77777777" w:rsidR="00D80129" w:rsidRPr="00DD6E6B" w:rsidRDefault="00D80129" w:rsidP="00D80129">
            <w:pPr>
              <w:pStyle w:val="Marginlie"/>
              <w:rPr>
                <w:lang w:val="en-GB"/>
              </w:rPr>
            </w:pPr>
          </w:p>
          <w:p w14:paraId="4B7FD8EC" w14:textId="77777777" w:rsidR="00D80129" w:rsidRPr="00DD6E6B" w:rsidRDefault="00D80129" w:rsidP="00D80129">
            <w:pPr>
              <w:pStyle w:val="Marginlie"/>
              <w:rPr>
                <w:lang w:val="en-GB"/>
              </w:rPr>
            </w:pPr>
          </w:p>
          <w:p w14:paraId="02B1B4E6" w14:textId="77777777" w:rsidR="00D80129" w:rsidRPr="00DD6E6B" w:rsidRDefault="00D80129" w:rsidP="00D80129">
            <w:pPr>
              <w:pStyle w:val="Marginlie"/>
              <w:rPr>
                <w:lang w:val="en-GB"/>
              </w:rPr>
            </w:pPr>
          </w:p>
          <w:p w14:paraId="767582E4" w14:textId="77777777" w:rsidR="00D80129" w:rsidRPr="00DD6E6B" w:rsidRDefault="00D80129" w:rsidP="00D80129">
            <w:pPr>
              <w:pStyle w:val="Marginlie"/>
              <w:rPr>
                <w:lang w:val="en-GB"/>
              </w:rPr>
            </w:pPr>
          </w:p>
          <w:p w14:paraId="152B4C89" w14:textId="77777777" w:rsidR="00D80129" w:rsidRPr="00DD6E6B" w:rsidRDefault="00D80129" w:rsidP="00D80129">
            <w:pPr>
              <w:pStyle w:val="Marginlie"/>
              <w:rPr>
                <w:lang w:val="en-GB"/>
              </w:rPr>
            </w:pPr>
          </w:p>
          <w:p w14:paraId="3923D6F2" w14:textId="0BB16A30" w:rsidR="00D80129" w:rsidRPr="00DD6E6B" w:rsidRDefault="00D80129" w:rsidP="00D80129">
            <w:pPr>
              <w:pStyle w:val="Marginlie"/>
              <w:rPr>
                <w:lang w:val="en-GB"/>
              </w:rPr>
            </w:pPr>
            <w:r w:rsidRPr="00DD6E6B">
              <w:rPr>
                <w:lang w:val="en-GB"/>
              </w:rPr>
              <w:t xml:space="preserve">Pessimism of the domestic households decreased since last year’s August, people however remained very cautious regarding planning of large purchases. </w:t>
            </w:r>
          </w:p>
        </w:tc>
        <w:tc>
          <w:tcPr>
            <w:tcW w:w="194" w:type="dxa"/>
            <w:tcBorders>
              <w:top w:val="nil"/>
              <w:left w:val="nil"/>
              <w:bottom w:val="nil"/>
              <w:right w:val="nil"/>
            </w:tcBorders>
            <w:shd w:val="clear" w:color="auto" w:fill="auto"/>
            <w:tcMar>
              <w:left w:w="0" w:type="dxa"/>
            </w:tcMar>
          </w:tcPr>
          <w:p w14:paraId="2EF9DE14" w14:textId="77777777" w:rsidR="00D80129" w:rsidRPr="00DD6E6B" w:rsidRDefault="00D80129" w:rsidP="00D80129">
            <w:pPr>
              <w:pStyle w:val="Textpoznpodarou"/>
              <w:jc w:val="both"/>
              <w:rPr>
                <w:spacing w:val="-6"/>
                <w:lang w:val="en-GB"/>
              </w:rPr>
            </w:pPr>
          </w:p>
        </w:tc>
        <w:tc>
          <w:tcPr>
            <w:tcW w:w="7767" w:type="dxa"/>
            <w:tcBorders>
              <w:top w:val="nil"/>
              <w:left w:val="nil"/>
              <w:bottom w:val="nil"/>
              <w:right w:val="nil"/>
            </w:tcBorders>
            <w:shd w:val="clear" w:color="auto" w:fill="auto"/>
            <w:tcMar>
              <w:left w:w="0" w:type="dxa"/>
            </w:tcMar>
          </w:tcPr>
          <w:p w14:paraId="42C968C7" w14:textId="4D43BE54" w:rsidR="00D80129" w:rsidRPr="00DD6E6B" w:rsidRDefault="00D80129" w:rsidP="00D80129">
            <w:pPr>
              <w:spacing w:after="200"/>
              <w:rPr>
                <w:rFonts w:cs="Arial"/>
                <w:color w:val="0D0D0D" w:themeColor="text1" w:themeTint="F2"/>
                <w:lang w:val="en-GB"/>
              </w:rPr>
            </w:pPr>
            <w:r w:rsidRPr="00DD6E6B">
              <w:rPr>
                <w:rFonts w:cs="Arial"/>
                <w:color w:val="0D0D0D" w:themeColor="text1" w:themeTint="F2"/>
                <w:szCs w:val="20"/>
                <w:lang w:val="en-GB"/>
              </w:rPr>
              <w:t>Retail sales</w:t>
            </w:r>
            <w:r w:rsidRPr="00DD6E6B">
              <w:rPr>
                <w:rStyle w:val="Znakapoznpodarou"/>
                <w:color w:val="0D0D0D" w:themeColor="text1" w:themeTint="F2"/>
                <w:lang w:val="en-GB"/>
              </w:rPr>
              <w:footnoteReference w:id="39"/>
            </w:r>
            <w:r w:rsidRPr="00DD6E6B">
              <w:rPr>
                <w:rFonts w:cs="Arial"/>
                <w:color w:val="0D0D0D" w:themeColor="text1" w:themeTint="F2"/>
                <w:szCs w:val="20"/>
                <w:lang w:val="en-GB"/>
              </w:rPr>
              <w:t xml:space="preserve"> continued in the longer</w:t>
            </w:r>
            <w:r>
              <w:rPr>
                <w:rFonts w:cs="Arial"/>
                <w:color w:val="0D0D0D" w:themeColor="text1" w:themeTint="F2"/>
                <w:szCs w:val="20"/>
                <w:lang w:val="en-GB"/>
              </w:rPr>
              <w:t>-</w:t>
            </w:r>
            <w:r w:rsidRPr="00DD6E6B">
              <w:rPr>
                <w:rFonts w:cs="Arial"/>
                <w:color w:val="0D0D0D" w:themeColor="text1" w:themeTint="F2"/>
                <w:szCs w:val="20"/>
                <w:lang w:val="en-GB"/>
              </w:rPr>
              <w:t xml:space="preserve">term downward trend. They fell by 0.4% quarter-on-quarter at the beginning of this year, the decrease subsequently deepened to 1.1% in Q2. Quarter-on-quarter downturn of demand in retail thus continued for the seventh quarter in a row and to a large extent copied the trend of the total expenditure of households on final consumption. The only significant segment of retail, where the decrease of demand did not manifest in the last quarters was the sale of fuels. The favourable development of prices for motorists aided this result </w:t>
            </w:r>
            <w:r w:rsidRPr="00DD6E6B">
              <w:rPr>
                <w:rFonts w:cs="Arial"/>
                <w:color w:val="0D0D0D" w:themeColor="text1" w:themeTint="F2"/>
                <w:lang w:val="en-GB"/>
              </w:rPr>
              <w:t>(also supported by the temporarily introduced lower rate of consumption tax on diesel fuel). The development of the whole retail was closely related to the prevailing negative sentiment of the domestic consumers. Nevertheless</w:t>
            </w:r>
            <w:r>
              <w:rPr>
                <w:rFonts w:cs="Arial"/>
                <w:color w:val="0D0D0D" w:themeColor="text1" w:themeTint="F2"/>
                <w:lang w:val="en-GB"/>
              </w:rPr>
              <w:t>,</w:t>
            </w:r>
            <w:r w:rsidRPr="00DD6E6B">
              <w:rPr>
                <w:rFonts w:cs="Arial"/>
                <w:color w:val="0D0D0D" w:themeColor="text1" w:themeTint="F2"/>
                <w:lang w:val="en-GB"/>
              </w:rPr>
              <w:t xml:space="preserve"> partial retreat of pessimism of households can be observed in the past months</w:t>
            </w:r>
            <w:r w:rsidRPr="00DD6E6B">
              <w:rPr>
                <w:rStyle w:val="Znakapoznpodarou"/>
                <w:color w:val="0D0D0D" w:themeColor="text1" w:themeTint="F2"/>
                <w:lang w:val="en-GB"/>
              </w:rPr>
              <w:footnoteReference w:id="40"/>
            </w:r>
            <w:r w:rsidRPr="00DD6E6B">
              <w:rPr>
                <w:rFonts w:cs="Arial"/>
                <w:color w:val="0D0D0D" w:themeColor="text1" w:themeTint="F2"/>
                <w:lang w:val="en-GB"/>
              </w:rPr>
              <w:t xml:space="preserve">. Concerns of people about the price growth for the major part dissipated during the spring this year and simultaneously the fear of unemployment already did not significantly overtake the long-term average anymore. The majority of households still however expected that their financial situation, similarly to the total economic situation in the CR, will deteriorate in the upcoming twelve months. That is why people still remained rather cautions in the area of planning of large purchases </w:t>
            </w:r>
            <w:r w:rsidRPr="00DD6E6B">
              <w:rPr>
                <w:rFonts w:cs="Arial"/>
                <w:color w:val="0D0D0D" w:themeColor="text1" w:themeTint="F2"/>
                <w:szCs w:val="20"/>
                <w:lang w:val="en-GB"/>
              </w:rPr>
              <w:t>(especially goods of long-term durability or investment). Business in trade also did not abound with larger optimism anymore. While their confidence was placed near the long-term average this year in Spring, their confidence markedly weakened in August</w:t>
            </w:r>
            <w:r w:rsidRPr="00DD6E6B">
              <w:rPr>
                <w:rStyle w:val="Znakapoznpodarou"/>
                <w:color w:val="0D0D0D" w:themeColor="text1" w:themeTint="F2"/>
                <w:szCs w:val="20"/>
                <w:lang w:val="en-GB"/>
              </w:rPr>
              <w:footnoteReference w:id="41"/>
            </w:r>
            <w:r w:rsidRPr="00DD6E6B">
              <w:rPr>
                <w:rFonts w:cs="Arial"/>
                <w:color w:val="0D0D0D" w:themeColor="text1" w:themeTint="F2"/>
                <w:szCs w:val="20"/>
                <w:lang w:val="en-GB"/>
              </w:rPr>
              <w:t xml:space="preserve">. Rising number of consumers (owing to the arrival of refugees from Ukraine as well as the continuing recovery of tourism) has a partial positive effect on the development of retail, in contrast the still more frequent trips of domestic households for cross border shopping likely have a negative effect.   </w:t>
            </w:r>
          </w:p>
        </w:tc>
      </w:tr>
      <w:tr w:rsidR="00D80129" w:rsidRPr="00DD6E6B" w14:paraId="2FA5B3DB" w14:textId="77777777" w:rsidTr="00D80129">
        <w:trPr>
          <w:trHeight w:val="170"/>
        </w:trPr>
        <w:tc>
          <w:tcPr>
            <w:tcW w:w="1678" w:type="dxa"/>
            <w:tcBorders>
              <w:top w:val="nil"/>
              <w:left w:val="nil"/>
              <w:bottom w:val="nil"/>
              <w:right w:val="nil"/>
            </w:tcBorders>
            <w:shd w:val="clear" w:color="auto" w:fill="auto"/>
            <w:tcMar>
              <w:left w:w="0" w:type="dxa"/>
            </w:tcMar>
          </w:tcPr>
          <w:p w14:paraId="070E04A9" w14:textId="2A785B8C" w:rsidR="00D80129" w:rsidRPr="00DD6E6B" w:rsidRDefault="00D80129" w:rsidP="00D80129">
            <w:pPr>
              <w:pStyle w:val="Marginlie"/>
              <w:rPr>
                <w:lang w:val="en-GB"/>
              </w:rPr>
            </w:pPr>
            <w:r w:rsidRPr="00DD6E6B">
              <w:rPr>
                <w:lang w:val="en-GB"/>
              </w:rPr>
              <w:t xml:space="preserve">Lower sales for non-food goods stood behind the deep year-on-year decrease of the whole retail. Virtually the whole range of products experienced weaker demand. </w:t>
            </w:r>
          </w:p>
          <w:p w14:paraId="3FD572B4" w14:textId="77777777" w:rsidR="00D80129" w:rsidRPr="00DD6E6B" w:rsidRDefault="00D80129" w:rsidP="00D80129">
            <w:pPr>
              <w:pStyle w:val="Marginlie"/>
              <w:rPr>
                <w:lang w:val="en-GB"/>
              </w:rPr>
            </w:pPr>
            <w:r w:rsidRPr="00DD6E6B">
              <w:rPr>
                <w:lang w:val="en-GB"/>
              </w:rPr>
              <w:t>.</w:t>
            </w:r>
          </w:p>
        </w:tc>
        <w:tc>
          <w:tcPr>
            <w:tcW w:w="194" w:type="dxa"/>
            <w:tcBorders>
              <w:top w:val="nil"/>
              <w:left w:val="nil"/>
              <w:bottom w:val="nil"/>
              <w:right w:val="nil"/>
            </w:tcBorders>
            <w:shd w:val="clear" w:color="auto" w:fill="auto"/>
            <w:tcMar>
              <w:left w:w="0" w:type="dxa"/>
            </w:tcMar>
          </w:tcPr>
          <w:p w14:paraId="7A9E3CC7"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238E92E2" w14:textId="5747E956" w:rsidR="00D80129" w:rsidRPr="00DD6E6B" w:rsidRDefault="00D80129" w:rsidP="00D80129">
            <w:pPr>
              <w:spacing w:after="200"/>
              <w:rPr>
                <w:rFonts w:cs="Arial"/>
                <w:color w:val="0D0D0D" w:themeColor="text1" w:themeTint="F2"/>
                <w:szCs w:val="20"/>
                <w:lang w:val="en-GB"/>
              </w:rPr>
            </w:pPr>
            <w:r w:rsidRPr="00DD6E6B">
              <w:rPr>
                <w:rFonts w:cs="Arial"/>
                <w:color w:val="0D0D0D" w:themeColor="text1" w:themeTint="F2"/>
                <w:szCs w:val="20"/>
                <w:lang w:val="en-GB"/>
              </w:rPr>
              <w:t xml:space="preserve"> The retail sales plunged by even 7% year-on-year for H1 2023. Especially the segment of non-food goods </w:t>
            </w:r>
            <w:r>
              <w:rPr>
                <w:rFonts w:cs="Arial"/>
                <w:color w:val="0D0D0D" w:themeColor="text1" w:themeTint="F2"/>
                <w:szCs w:val="20"/>
                <w:lang w:val="en-GB"/>
              </w:rPr>
              <w:t>(</w:t>
            </w:r>
            <w:r>
              <w:rPr>
                <w:color w:val="000000"/>
                <w:shd w:val="clear" w:color="auto" w:fill="FFFFFF"/>
              </w:rPr>
              <w:t>–</w:t>
            </w:r>
            <w:r w:rsidRPr="00DD6E6B">
              <w:rPr>
                <w:rFonts w:cs="Arial"/>
                <w:color w:val="0D0D0D" w:themeColor="text1" w:themeTint="F2"/>
                <w:szCs w:val="20"/>
                <w:lang w:val="en-GB"/>
              </w:rPr>
              <w:t>8.8%, contribution −4.6 p. p.) pulled down the whole branch. T</w:t>
            </w:r>
            <w:r w:rsidRPr="00DD6E6B">
              <w:rPr>
                <w:color w:val="0D0D0D" w:themeColor="text1" w:themeTint="F2"/>
                <w:szCs w:val="20"/>
                <w:lang w:val="en-GB"/>
              </w:rPr>
              <w:t xml:space="preserve">here </w:t>
            </w:r>
            <w:r w:rsidRPr="00DD6E6B">
              <w:rPr>
                <w:color w:val="0D0D0D" w:themeColor="text1" w:themeTint="F2"/>
                <w:lang w:val="en-GB"/>
              </w:rPr>
              <w:t xml:space="preserve">the more than </w:t>
            </w:r>
            <w:r w:rsidRPr="00DD6E6B">
              <w:rPr>
                <w:rFonts w:cs="Arial"/>
                <w:color w:val="0D0D0D" w:themeColor="text1" w:themeTint="F2"/>
                <w:szCs w:val="20"/>
                <w:lang w:val="en-GB"/>
              </w:rPr>
              <w:t>16%</w:t>
            </w:r>
            <w:r w:rsidRPr="00DD6E6B">
              <w:rPr>
                <w:rStyle w:val="normaltextrun"/>
                <w:rFonts w:eastAsia="MS Gothic" w:cs="Arial"/>
                <w:szCs w:val="20"/>
                <w:lang w:val="en-GB"/>
              </w:rPr>
              <w:t xml:space="preserve"> slump of sales for products mostly for households (containing mainly metal hardware, paints, glass, DIY supplies, electro supplies, furniture and lighti</w:t>
            </w:r>
            <w:r w:rsidRPr="00DD6E6B">
              <w:rPr>
                <w:rStyle w:val="normaltextrun"/>
                <w:rFonts w:eastAsia="MS Gothic"/>
                <w:lang w:val="en-GB"/>
              </w:rPr>
              <w:t>ng equipment</w:t>
            </w:r>
            <w:r w:rsidRPr="00DD6E6B">
              <w:rPr>
                <w:rStyle w:val="normaltextrun"/>
                <w:rFonts w:eastAsia="MS Gothic" w:cs="Arial"/>
                <w:szCs w:val="20"/>
                <w:lang w:val="en-GB"/>
              </w:rPr>
              <w:t xml:space="preserve">) became the most evident. </w:t>
            </w:r>
            <w:r w:rsidRPr="00FA1474">
              <w:rPr>
                <w:rStyle w:val="normaltextrun"/>
                <w:rFonts w:eastAsia="MS Gothic" w:cs="Arial"/>
                <w:szCs w:val="20"/>
                <w:lang w:val="en-GB"/>
              </w:rPr>
              <w:t xml:space="preserve">Demand, however, sank in virtually all assortment groups, except for a very small segment of other retail sale in non-specialised stores </w:t>
            </w:r>
            <w:r w:rsidRPr="00FA1474">
              <w:rPr>
                <w:rFonts w:cs="Arial"/>
                <w:color w:val="0D0D0D" w:themeColor="text1" w:themeTint="F2"/>
                <w:szCs w:val="20"/>
                <w:lang w:val="en-GB"/>
              </w:rPr>
              <w:t>(c</w:t>
            </w:r>
            <w:r w:rsidRPr="00FA1474">
              <w:rPr>
                <w:color w:val="0D0D0D" w:themeColor="text1" w:themeTint="F2"/>
                <w:lang w:val="en-GB"/>
              </w:rPr>
              <w:t>onsisting of typically smaller shops oriented at</w:t>
            </w:r>
            <w:r w:rsidRPr="00DD6E6B">
              <w:rPr>
                <w:color w:val="0D0D0D" w:themeColor="text1" w:themeTint="F2"/>
                <w:lang w:val="en-GB"/>
              </w:rPr>
              <w:t xml:space="preserve"> sale of </w:t>
            </w:r>
            <w:r w:rsidRPr="00FA1474">
              <w:rPr>
                <w:color w:val="0D0D0D" w:themeColor="text1" w:themeTint="F2"/>
                <w:lang w:val="en-GB"/>
              </w:rPr>
              <w:t>miscellaneous smallware</w:t>
            </w:r>
            <w:r w:rsidRPr="00207B00">
              <w:rPr>
                <w:color w:val="0D0D0D" w:themeColor="text1" w:themeTint="F2"/>
                <w:lang w:val="en-GB"/>
              </w:rPr>
              <w:t>, usually</w:t>
            </w:r>
            <w:r w:rsidRPr="00DD6E6B">
              <w:rPr>
                <w:color w:val="0D0D0D" w:themeColor="text1" w:themeTint="F2"/>
                <w:lang w:val="en-GB"/>
              </w:rPr>
              <w:t xml:space="preserve"> as discount offers</w:t>
            </w:r>
            <w:r w:rsidRPr="00DD6E6B">
              <w:rPr>
                <w:rFonts w:cs="Arial"/>
                <w:color w:val="0D0D0D" w:themeColor="text1" w:themeTint="F2"/>
                <w:szCs w:val="20"/>
                <w:lang w:val="en-GB"/>
              </w:rPr>
              <w:t xml:space="preserve">). Only minimum decrease of sales in specialised shops occurred for pharmaceutical and medical products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0.1%), c</w:t>
            </w:r>
            <w:r w:rsidRPr="00DD6E6B">
              <w:rPr>
                <w:rStyle w:val="normaltextrun"/>
                <w:rFonts w:eastAsia="MS Gothic"/>
                <w:lang w:val="en-GB"/>
              </w:rPr>
              <w:t xml:space="preserve">osmetic and toilet articles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1.8%) o</w:t>
            </w:r>
            <w:r w:rsidRPr="00DD6E6B">
              <w:rPr>
                <w:rStyle w:val="normaltextrun"/>
                <w:rFonts w:eastAsia="MS Gothic"/>
                <w:lang w:val="en-GB"/>
              </w:rPr>
              <w:t xml:space="preserve">r computer and communication equipment </w:t>
            </w:r>
            <w:r>
              <w:rPr>
                <w:rStyle w:val="normaltextrun"/>
                <w:rFonts w:eastAsia="MS Gothic" w:cs="Arial"/>
                <w:szCs w:val="20"/>
                <w:lang w:val="en-GB"/>
              </w:rPr>
              <w:t>(</w:t>
            </w:r>
            <w:r>
              <w:rPr>
                <w:color w:val="000000"/>
                <w:shd w:val="clear" w:color="auto" w:fill="FFFFFF"/>
              </w:rPr>
              <w:t>–</w:t>
            </w:r>
            <w:r w:rsidRPr="00DD6E6B">
              <w:rPr>
                <w:rStyle w:val="normaltextrun"/>
                <w:rFonts w:eastAsia="MS Gothic" w:cs="Arial"/>
                <w:szCs w:val="20"/>
                <w:lang w:val="en-GB"/>
              </w:rPr>
              <w:t>0.8%). I</w:t>
            </w:r>
            <w:r w:rsidRPr="00DD6E6B">
              <w:rPr>
                <w:rStyle w:val="normaltextrun"/>
                <w:rFonts w:eastAsia="MS Gothic" w:cs="Arial"/>
                <w:lang w:val="en-GB"/>
              </w:rPr>
              <w:t xml:space="preserve">n these areas as the one of the few segments of retail at the same time the demand in this year’s H1 exceeded the level from year 2019. </w:t>
            </w:r>
            <w:r w:rsidRPr="00DD6E6B">
              <w:rPr>
                <w:rFonts w:cs="Arial"/>
                <w:color w:val="0D0D0D" w:themeColor="text1" w:themeTint="F2"/>
                <w:lang w:val="en-GB"/>
              </w:rPr>
              <w:t>Th</w:t>
            </w:r>
            <w:r w:rsidRPr="00DD6E6B">
              <w:rPr>
                <w:color w:val="0D0D0D" w:themeColor="text1" w:themeTint="F2"/>
                <w:lang w:val="en-GB"/>
              </w:rPr>
              <w:t xml:space="preserve">is was still valid also for the sales via internet or courier activities </w:t>
            </w:r>
            <w:r w:rsidRPr="00DD6E6B">
              <w:rPr>
                <w:rFonts w:cs="Arial"/>
                <w:color w:val="0D0D0D" w:themeColor="text1" w:themeTint="F2"/>
                <w:lang w:val="en-GB"/>
              </w:rPr>
              <w:t>(+34.3%), in spite of the sales continuously falling here quarter-on-quarter in the last nine quarters. The sale of food goods also records a persisting decrease of demand in the last quarters. The sales here dived by 7.9% here year-on-year in H1 (they fell by similar pace in both large chains and smaller specialised shops) and were by one tenth lower compared to the pre-crisis year 2019. On the contrary</w:t>
            </w:r>
            <w:r>
              <w:rPr>
                <w:rFonts w:cs="Arial"/>
                <w:color w:val="0D0D0D" w:themeColor="text1" w:themeTint="F2"/>
                <w:lang w:val="en-GB"/>
              </w:rPr>
              <w:t>,</w:t>
            </w:r>
            <w:r w:rsidRPr="00DD6E6B">
              <w:rPr>
                <w:rFonts w:cs="Arial"/>
                <w:color w:val="0D0D0D" w:themeColor="text1" w:themeTint="F2"/>
                <w:lang w:val="en-GB"/>
              </w:rPr>
              <w:t xml:space="preserve"> the sales for non-food goods were still closely above the pre-crisis level this year (+1.7%).</w:t>
            </w:r>
          </w:p>
        </w:tc>
      </w:tr>
      <w:tr w:rsidR="00D80129" w:rsidRPr="00DD6E6B" w14:paraId="18B73C45" w14:textId="77777777" w:rsidTr="00D80129">
        <w:trPr>
          <w:trHeight w:val="170"/>
        </w:trPr>
        <w:tc>
          <w:tcPr>
            <w:tcW w:w="1678" w:type="dxa"/>
            <w:tcBorders>
              <w:top w:val="nil"/>
              <w:left w:val="nil"/>
              <w:bottom w:val="nil"/>
              <w:right w:val="nil"/>
            </w:tcBorders>
            <w:shd w:val="clear" w:color="auto" w:fill="auto"/>
            <w:tcMar>
              <w:left w:w="0" w:type="dxa"/>
            </w:tcMar>
          </w:tcPr>
          <w:p w14:paraId="66F15E84" w14:textId="7BA701B7" w:rsidR="00D80129" w:rsidRPr="00DD6E6B" w:rsidRDefault="00D80129" w:rsidP="00D80129">
            <w:pPr>
              <w:pStyle w:val="Marginlie"/>
              <w:rPr>
                <w:lang w:val="en-GB"/>
              </w:rPr>
            </w:pPr>
            <w:r w:rsidRPr="00DD6E6B">
              <w:rPr>
                <w:lang w:val="en-GB"/>
              </w:rPr>
              <w:t xml:space="preserve">Sales in the motorist segment revived, they were driven by higher demand in the area of purchases of motor vehicles. </w:t>
            </w:r>
          </w:p>
        </w:tc>
        <w:tc>
          <w:tcPr>
            <w:tcW w:w="194" w:type="dxa"/>
            <w:tcBorders>
              <w:top w:val="nil"/>
              <w:left w:val="nil"/>
              <w:bottom w:val="nil"/>
              <w:right w:val="nil"/>
            </w:tcBorders>
            <w:shd w:val="clear" w:color="auto" w:fill="auto"/>
            <w:tcMar>
              <w:left w:w="0" w:type="dxa"/>
            </w:tcMar>
          </w:tcPr>
          <w:p w14:paraId="54C3D162"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774477DC" w14:textId="50F9B899" w:rsidR="00D80129" w:rsidRPr="00DD6E6B" w:rsidRDefault="00D80129" w:rsidP="00D80129">
            <w:pPr>
              <w:spacing w:after="200"/>
              <w:rPr>
                <w:rFonts w:cs="Arial"/>
                <w:color w:val="0D0D0D" w:themeColor="text1" w:themeTint="F2"/>
                <w:szCs w:val="20"/>
                <w:lang w:val="en-GB"/>
              </w:rPr>
            </w:pPr>
            <w:r w:rsidRPr="00DD6E6B">
              <w:rPr>
                <w:rFonts w:cs="Arial"/>
                <w:color w:val="0D0D0D" w:themeColor="text1" w:themeTint="F2"/>
                <w:spacing w:val="-6"/>
                <w:szCs w:val="20"/>
                <w:lang w:val="en-GB"/>
              </w:rPr>
              <w:t xml:space="preserve">Sales in the motorist segment of trade went up year-on-year this year after two years. They were by 3.3% higher year-on-year in H1. Growth was driven by sale of motor vehicles, which was connected to the relatively favourable situation of the whole motor vehicle industry in the CR as well as the EU. In contrast the sales for trade with motor vehicle parts and accessories decreased, the demand for trade, repair and maintenance of motorcycles went down. </w:t>
            </w:r>
            <w:r w:rsidRPr="00DD6E6B">
              <w:rPr>
                <w:rFonts w:cs="Arial"/>
                <w:color w:val="0D0D0D" w:themeColor="text1" w:themeTint="F2"/>
                <w:spacing w:val="-6"/>
                <w:szCs w:val="20"/>
                <w:lang w:val="en-GB"/>
              </w:rPr>
              <w:lastRenderedPageBreak/>
              <w:t xml:space="preserve">Compared to H1 2019, the sales in the whole motorist segment were still slightly lower (by 6.1%) this year, at the same time they lagged approximately comparably in all its sub-branches. </w:t>
            </w:r>
          </w:p>
        </w:tc>
      </w:tr>
      <w:tr w:rsidR="00D80129" w:rsidRPr="00DD6E6B" w14:paraId="28318913" w14:textId="77777777" w:rsidTr="00D80129">
        <w:trPr>
          <w:trHeight w:val="170"/>
        </w:trPr>
        <w:tc>
          <w:tcPr>
            <w:tcW w:w="1678" w:type="dxa"/>
            <w:tcBorders>
              <w:top w:val="nil"/>
              <w:left w:val="nil"/>
              <w:bottom w:val="nil"/>
              <w:right w:val="nil"/>
            </w:tcBorders>
            <w:shd w:val="clear" w:color="auto" w:fill="auto"/>
            <w:tcMar>
              <w:left w:w="0" w:type="dxa"/>
            </w:tcMar>
          </w:tcPr>
          <w:p w14:paraId="02F1A48A" w14:textId="77777777" w:rsidR="00D80129" w:rsidRPr="00DD6E6B" w:rsidRDefault="00D80129" w:rsidP="00D80129">
            <w:pPr>
              <w:pStyle w:val="Marginlie"/>
              <w:rPr>
                <w:color w:val="0D0D0D" w:themeColor="text1" w:themeTint="F2"/>
                <w:lang w:val="en-GB"/>
              </w:rPr>
            </w:pPr>
          </w:p>
        </w:tc>
        <w:tc>
          <w:tcPr>
            <w:tcW w:w="194" w:type="dxa"/>
            <w:tcBorders>
              <w:top w:val="nil"/>
              <w:left w:val="nil"/>
              <w:bottom w:val="nil"/>
              <w:right w:val="nil"/>
            </w:tcBorders>
            <w:shd w:val="clear" w:color="auto" w:fill="auto"/>
            <w:tcMar>
              <w:left w:w="0" w:type="dxa"/>
            </w:tcMar>
          </w:tcPr>
          <w:p w14:paraId="0B41FCA8" w14:textId="77777777" w:rsidR="00D80129" w:rsidRPr="00DD6E6B" w:rsidRDefault="00D80129" w:rsidP="00D80129">
            <w:pPr>
              <w:pStyle w:val="Textpoznpodarou"/>
              <w:jc w:val="both"/>
              <w:rPr>
                <w:color w:val="0D0D0D" w:themeColor="text1" w:themeTint="F2"/>
                <w:spacing w:val="-4"/>
                <w:lang w:val="en-GB"/>
              </w:rPr>
            </w:pPr>
          </w:p>
        </w:tc>
        <w:tc>
          <w:tcPr>
            <w:tcW w:w="7767" w:type="dxa"/>
            <w:tcBorders>
              <w:top w:val="nil"/>
              <w:left w:val="nil"/>
              <w:bottom w:val="nil"/>
              <w:right w:val="nil"/>
            </w:tcBorders>
            <w:shd w:val="clear" w:color="auto" w:fill="auto"/>
            <w:tcMar>
              <w:left w:w="0" w:type="dxa"/>
            </w:tcMar>
          </w:tcPr>
          <w:p w14:paraId="7D866730" w14:textId="5CEF0EC1" w:rsidR="00D80129" w:rsidRPr="00DD6E6B" w:rsidRDefault="00D80129" w:rsidP="00D80129">
            <w:pPr>
              <w:spacing w:after="40"/>
              <w:rPr>
                <w:rFonts w:cs="Arial"/>
                <w:color w:val="0D0D0D" w:themeColor="text1" w:themeTint="F2"/>
                <w:spacing w:val="-4"/>
                <w:szCs w:val="20"/>
                <w:lang w:val="en-GB"/>
              </w:rPr>
            </w:pPr>
            <w:r w:rsidRPr="00DD6E6B">
              <w:rPr>
                <w:b/>
                <w:lang w:val="en-GB"/>
              </w:rPr>
              <w:t xml:space="preserve">Chart 8 </w:t>
            </w:r>
            <w:r w:rsidRPr="00052BEF">
              <w:rPr>
                <w:b/>
                <w:spacing w:val="-4"/>
                <w:lang w:val="en-GB"/>
              </w:rPr>
              <w:t>Contributions of sub-branches to year-on-year change of sales in retail trade</w:t>
            </w:r>
            <w:r w:rsidRPr="00052BEF">
              <w:rPr>
                <w:rFonts w:cs="Arial"/>
                <w:b/>
                <w:bCs/>
                <w:color w:val="0D0D0D" w:themeColor="text1" w:themeTint="F2"/>
                <w:spacing w:val="-4"/>
                <w:lang w:val="en-GB"/>
              </w:rPr>
              <w:t xml:space="preserve">* </w:t>
            </w:r>
            <w:r w:rsidRPr="00052BEF">
              <w:rPr>
                <w:rFonts w:cs="Arial"/>
                <w:color w:val="0D0D0D" w:themeColor="text1" w:themeTint="F2"/>
                <w:spacing w:val="-4"/>
                <w:lang w:val="en-GB"/>
              </w:rPr>
              <w:t xml:space="preserve">(real, in p.p.), </w:t>
            </w:r>
            <w:r w:rsidRPr="00052BEF">
              <w:rPr>
                <w:rFonts w:cs="Arial"/>
                <w:b/>
                <w:bCs/>
                <w:color w:val="0D0D0D" w:themeColor="text1" w:themeTint="F2"/>
                <w:spacing w:val="-4"/>
                <w:szCs w:val="20"/>
                <w:lang w:val="en-GB"/>
              </w:rPr>
              <w:t xml:space="preserve">sales in retail trade, sales for sale of automotive fuel and for sale/repair of motor vehicles** </w:t>
            </w:r>
            <w:r>
              <w:rPr>
                <w:rFonts w:cs="Arial"/>
                <w:color w:val="0D0D0D" w:themeColor="text1" w:themeTint="F2"/>
                <w:spacing w:val="-4"/>
                <w:szCs w:val="20"/>
                <w:lang w:val="en-GB"/>
              </w:rPr>
              <w:t>(real, 2015=100</w:t>
            </w:r>
            <w:r w:rsidRPr="00052BEF">
              <w:rPr>
                <w:rFonts w:cs="Arial"/>
                <w:color w:val="0D0D0D" w:themeColor="text1" w:themeTint="F2"/>
                <w:spacing w:val="-4"/>
                <w:szCs w:val="20"/>
                <w:lang w:val="en-GB"/>
              </w:rPr>
              <w:t>),</w:t>
            </w:r>
            <w:r w:rsidRPr="00052BEF">
              <w:rPr>
                <w:rFonts w:cs="Arial"/>
                <w:b/>
                <w:color w:val="0D0D0D" w:themeColor="text1" w:themeTint="F2"/>
                <w:spacing w:val="-4"/>
                <w:szCs w:val="20"/>
                <w:lang w:val="en-GB"/>
              </w:rPr>
              <w:t xml:space="preserve"> balance of business confidence indicator in retail trade, consumer confidence indicator</w:t>
            </w:r>
            <w:r w:rsidRPr="00052BEF">
              <w:rPr>
                <w:rFonts w:cs="Arial"/>
                <w:b/>
                <w:bCs/>
                <w:color w:val="0D0D0D" w:themeColor="text1" w:themeTint="F2"/>
                <w:spacing w:val="-4"/>
                <w:lang w:val="en-GB"/>
              </w:rPr>
              <w:t xml:space="preserve">*** </w:t>
            </w:r>
            <w:r>
              <w:rPr>
                <w:rFonts w:cs="Arial"/>
                <w:color w:val="0D0D0D" w:themeColor="text1" w:themeTint="F2"/>
                <w:spacing w:val="-4"/>
                <w:lang w:val="en-GB"/>
              </w:rPr>
              <w:t>(in p. p.</w:t>
            </w:r>
            <w:r w:rsidRPr="00052BEF">
              <w:rPr>
                <w:rFonts w:cs="Arial"/>
                <w:color w:val="0D0D0D" w:themeColor="text1" w:themeTint="F2"/>
                <w:spacing w:val="-4"/>
                <w:lang w:val="en-GB"/>
              </w:rPr>
              <w:t>)</w:t>
            </w:r>
          </w:p>
        </w:tc>
      </w:tr>
      <w:tr w:rsidR="00D80129" w:rsidRPr="00DD6E6B" w14:paraId="1FE780B1" w14:textId="77777777" w:rsidTr="00D80129">
        <w:tblPrEx>
          <w:tblCellMar>
            <w:left w:w="70" w:type="dxa"/>
            <w:right w:w="70" w:type="dxa"/>
          </w:tblCellMar>
        </w:tblPrEx>
        <w:trPr>
          <w:trHeight w:val="170"/>
        </w:trPr>
        <w:tc>
          <w:tcPr>
            <w:tcW w:w="1678" w:type="dxa"/>
            <w:tcBorders>
              <w:top w:val="nil"/>
              <w:left w:val="nil"/>
              <w:bottom w:val="nil"/>
              <w:right w:val="nil"/>
            </w:tcBorders>
            <w:shd w:val="clear" w:color="auto" w:fill="auto"/>
          </w:tcPr>
          <w:p w14:paraId="0F647725"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Pr>
          <w:p w14:paraId="1C3B86BB"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Pr>
          <w:p w14:paraId="32AC87EE" w14:textId="5EF722B1" w:rsidR="00D80129" w:rsidRPr="00DD6E6B" w:rsidRDefault="00D80129" w:rsidP="00D80129">
            <w:pPr>
              <w:spacing w:after="0"/>
              <w:rPr>
                <w:rFonts w:cs="Arial"/>
                <w:sz w:val="14"/>
                <w:szCs w:val="14"/>
                <w:lang w:val="en-GB"/>
              </w:rPr>
            </w:pPr>
            <w:r>
              <w:rPr>
                <w:noProof/>
              </w:rPr>
              <w:drawing>
                <wp:inline distT="0" distB="0" distL="0" distR="0" wp14:anchorId="49FAC381" wp14:editId="342B1896">
                  <wp:extent cx="4843495" cy="3716118"/>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80129" w:rsidRPr="00DD6E6B" w14:paraId="41693489" w14:textId="77777777" w:rsidTr="00D80129">
        <w:trPr>
          <w:trHeight w:val="170"/>
        </w:trPr>
        <w:tc>
          <w:tcPr>
            <w:tcW w:w="1678" w:type="dxa"/>
            <w:tcBorders>
              <w:top w:val="nil"/>
              <w:left w:val="nil"/>
              <w:bottom w:val="nil"/>
              <w:right w:val="nil"/>
            </w:tcBorders>
            <w:shd w:val="clear" w:color="auto" w:fill="auto"/>
            <w:tcMar>
              <w:left w:w="0" w:type="dxa"/>
            </w:tcMar>
          </w:tcPr>
          <w:p w14:paraId="0F40C7DE" w14:textId="77777777" w:rsidR="00D80129" w:rsidRPr="00DD6E6B" w:rsidRDefault="00D80129" w:rsidP="00D80129">
            <w:pPr>
              <w:pStyle w:val="Marginlie"/>
              <w:rPr>
                <w:lang w:val="en-GB"/>
              </w:rPr>
            </w:pPr>
          </w:p>
        </w:tc>
        <w:tc>
          <w:tcPr>
            <w:tcW w:w="194" w:type="dxa"/>
            <w:tcBorders>
              <w:top w:val="nil"/>
              <w:left w:val="nil"/>
              <w:bottom w:val="nil"/>
              <w:right w:val="nil"/>
            </w:tcBorders>
            <w:shd w:val="clear" w:color="auto" w:fill="auto"/>
            <w:tcMar>
              <w:left w:w="0" w:type="dxa"/>
            </w:tcMar>
          </w:tcPr>
          <w:p w14:paraId="434040A7" w14:textId="77777777" w:rsidR="00D80129" w:rsidRPr="00DD6E6B" w:rsidRDefault="00D80129" w:rsidP="00D80129">
            <w:pPr>
              <w:pStyle w:val="Textpoznpodarou"/>
              <w:jc w:val="both"/>
              <w:rPr>
                <w:spacing w:val="-4"/>
                <w:lang w:val="en-GB"/>
              </w:rPr>
            </w:pPr>
          </w:p>
        </w:tc>
        <w:tc>
          <w:tcPr>
            <w:tcW w:w="7767" w:type="dxa"/>
            <w:tcBorders>
              <w:top w:val="nil"/>
              <w:left w:val="nil"/>
              <w:bottom w:val="nil"/>
              <w:right w:val="nil"/>
            </w:tcBorders>
            <w:shd w:val="clear" w:color="auto" w:fill="auto"/>
            <w:tcMar>
              <w:left w:w="0" w:type="dxa"/>
            </w:tcMar>
          </w:tcPr>
          <w:p w14:paraId="5C812598" w14:textId="77777777" w:rsidR="00D80129" w:rsidRDefault="00D80129" w:rsidP="00D80129">
            <w:pPr>
              <w:spacing w:after="0" w:line="240" w:lineRule="auto"/>
              <w:rPr>
                <w:rFonts w:cs="Arial"/>
                <w:sz w:val="14"/>
                <w:szCs w:val="14"/>
                <w:lang w:val="en-GB"/>
              </w:rPr>
            </w:pPr>
            <w:r w:rsidRPr="00DD6E6B">
              <w:rPr>
                <w:rFonts w:cs="Arial"/>
                <w:color w:val="0D0D0D" w:themeColor="text1" w:themeTint="F2"/>
                <w:spacing w:val="-6"/>
                <w:lang w:val="en-GB"/>
              </w:rPr>
              <w:t>*</w:t>
            </w:r>
            <w:r w:rsidRPr="00DD6E6B">
              <w:rPr>
                <w:rFonts w:cs="Arial"/>
                <w:sz w:val="14"/>
                <w:szCs w:val="14"/>
                <w:lang w:val="en-GB"/>
              </w:rPr>
              <w:t xml:space="preserve"> Sales are adjusted for calendar effects.</w:t>
            </w:r>
          </w:p>
          <w:p w14:paraId="618C19EC" w14:textId="77777777" w:rsidR="00D80129" w:rsidRPr="00DD6E6B" w:rsidRDefault="00D80129" w:rsidP="00D80129">
            <w:pPr>
              <w:spacing w:after="0" w:line="240" w:lineRule="auto"/>
              <w:rPr>
                <w:rFonts w:cs="Arial"/>
                <w:sz w:val="14"/>
                <w:szCs w:val="14"/>
                <w:lang w:val="en-GB"/>
              </w:rPr>
            </w:pPr>
            <w:r w:rsidRPr="00DD6E6B">
              <w:rPr>
                <w:rFonts w:cs="Arial"/>
                <w:sz w:val="14"/>
                <w:szCs w:val="14"/>
                <w:lang w:val="en-GB"/>
              </w:rPr>
              <w:t xml:space="preserve">** Sales are adjusted for both seasonal and calendar effects. </w:t>
            </w:r>
          </w:p>
          <w:p w14:paraId="56CB6D8A" w14:textId="77777777" w:rsidR="00D80129" w:rsidRDefault="00D80129" w:rsidP="00D80129">
            <w:pPr>
              <w:spacing w:after="0"/>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 Consumer confidence indicator balance is seasonally adjusted and expresses the position in the second month of the given quarter</w:t>
            </w:r>
            <w:r>
              <w:rPr>
                <w:rFonts w:cs="Arial"/>
                <w:color w:val="0D0D0D" w:themeColor="text1" w:themeTint="F2"/>
                <w:spacing w:val="-4"/>
                <w:sz w:val="14"/>
                <w:szCs w:val="14"/>
                <w:lang w:val="en-GB"/>
              </w:rPr>
              <w:t>.</w:t>
            </w:r>
          </w:p>
          <w:p w14:paraId="12A43A9C" w14:textId="55363C2B" w:rsidR="00D80129" w:rsidRPr="00DD6E6B" w:rsidRDefault="00D80129" w:rsidP="00D80129">
            <w:pPr>
              <w:spacing w:after="200" w:line="240" w:lineRule="auto"/>
              <w:rPr>
                <w:rFonts w:cs="Arial"/>
                <w:b/>
                <w:bCs/>
                <w:sz w:val="16"/>
                <w:szCs w:val="16"/>
                <w:lang w:val="en-GB"/>
              </w:rPr>
            </w:pPr>
            <w:r w:rsidRPr="00DD6E6B">
              <w:rPr>
                <w:rFonts w:cs="Arial"/>
                <w:color w:val="0D0D0D" w:themeColor="text1" w:themeTint="F2"/>
                <w:spacing w:val="-4"/>
                <w:sz w:val="14"/>
                <w:szCs w:val="14"/>
                <w:lang w:val="en-GB"/>
              </w:rPr>
              <w:t>Source: CZSO</w:t>
            </w:r>
          </w:p>
        </w:tc>
      </w:tr>
    </w:tbl>
    <w:p w14:paraId="7284C61C" w14:textId="77777777" w:rsidR="00D27F07" w:rsidRPr="00DD6E6B" w:rsidRDefault="00D27F07" w:rsidP="00D27F07">
      <w:pPr>
        <w:spacing w:after="0" w:line="240" w:lineRule="auto"/>
        <w:jc w:val="left"/>
        <w:rPr>
          <w:rFonts w:eastAsia="MS Gothic"/>
          <w:b/>
          <w:bCs/>
          <w:color w:val="71818C"/>
          <w:sz w:val="2"/>
          <w:szCs w:val="2"/>
          <w:lang w:val="en-GB"/>
        </w:rPr>
      </w:pPr>
    </w:p>
    <w:p w14:paraId="10E00B03" w14:textId="77777777" w:rsidR="00D27F07" w:rsidRPr="00DD6E6B" w:rsidRDefault="00D27F07">
      <w:pPr>
        <w:spacing w:after="0" w:line="240" w:lineRule="auto"/>
        <w:jc w:val="left"/>
        <w:rPr>
          <w:rFonts w:eastAsia="MS Gothic"/>
          <w:b/>
          <w:bCs/>
          <w:color w:val="71818C"/>
          <w:sz w:val="32"/>
          <w:szCs w:val="28"/>
          <w:lang w:val="en-GB"/>
        </w:rPr>
      </w:pPr>
      <w:r w:rsidRPr="00DD6E6B">
        <w:rPr>
          <w:lang w:val="en-GB"/>
        </w:rPr>
        <w:br w:type="page"/>
      </w:r>
    </w:p>
    <w:p w14:paraId="44230B59" w14:textId="420AC5E1" w:rsidR="00674BAC" w:rsidRPr="00DD6E6B" w:rsidRDefault="00674BAC" w:rsidP="00674BAC">
      <w:pPr>
        <w:pStyle w:val="Nadpis11"/>
        <w:rPr>
          <w:sz w:val="2"/>
          <w:szCs w:val="2"/>
          <w:lang w:val="en-GB"/>
        </w:rPr>
      </w:pPr>
      <w:bookmarkStart w:id="28" w:name="_Toc148437387"/>
      <w:r w:rsidRPr="00DD6E6B">
        <w:rPr>
          <w:lang w:val="en-GB"/>
        </w:rPr>
        <w:lastRenderedPageBreak/>
        <w:t>4</w:t>
      </w:r>
      <w:bookmarkStart w:id="29" w:name="_Toc511215218"/>
      <w:bookmarkStart w:id="30" w:name="_Toc19090679"/>
      <w:bookmarkStart w:id="31" w:name="_Toc74643856"/>
      <w:bookmarkStart w:id="32" w:name="_Toc42852411"/>
      <w:bookmarkStart w:id="33" w:name="_Toc74643857"/>
      <w:bookmarkEnd w:id="29"/>
      <w:bookmarkEnd w:id="30"/>
      <w:r w:rsidRPr="00DD6E6B">
        <w:rPr>
          <w:lang w:val="en-GB"/>
        </w:rPr>
        <w:t>. </w:t>
      </w:r>
      <w:r w:rsidR="00970EC8" w:rsidRPr="00DD6E6B">
        <w:rPr>
          <w:lang w:val="en-GB"/>
        </w:rPr>
        <w:t>External Relations</w:t>
      </w:r>
      <w:bookmarkEnd w:id="24"/>
      <w:bookmarkEnd w:id="28"/>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674BAC" w:rsidRPr="00DD6E6B" w14:paraId="25DFF376" w14:textId="77777777" w:rsidTr="785B85D1">
        <w:trPr>
          <w:trHeight w:val="145"/>
        </w:trPr>
        <w:tc>
          <w:tcPr>
            <w:tcW w:w="1748" w:type="dxa"/>
            <w:shd w:val="clear" w:color="auto" w:fill="auto"/>
            <w:tcMar>
              <w:left w:w="0" w:type="dxa"/>
            </w:tcMar>
          </w:tcPr>
          <w:p w14:paraId="0F7722A8" w14:textId="39AC6F61" w:rsidR="00674BAC" w:rsidRPr="00DD6E6B" w:rsidRDefault="00970EC8" w:rsidP="00DA0121">
            <w:pPr>
              <w:pStyle w:val="Marginlie"/>
              <w:rPr>
                <w:lang w:val="en-GB"/>
              </w:rPr>
            </w:pPr>
            <w:r w:rsidRPr="00DD6E6B">
              <w:rPr>
                <w:lang w:val="en-GB"/>
              </w:rPr>
              <w:t>Value of export grew in H</w:t>
            </w:r>
            <w:r w:rsidR="00674BAC" w:rsidRPr="00DD6E6B">
              <w:rPr>
                <w:lang w:val="en-GB"/>
              </w:rPr>
              <w:t>1.</w:t>
            </w:r>
            <w:r w:rsidRPr="00DD6E6B">
              <w:rPr>
                <w:lang w:val="en-GB"/>
              </w:rPr>
              <w:t xml:space="preserve"> </w:t>
            </w:r>
            <w:r w:rsidR="004A3E64" w:rsidRPr="00DD6E6B">
              <w:rPr>
                <w:lang w:val="en-GB"/>
              </w:rPr>
              <w:t xml:space="preserve">The year-on-year </w:t>
            </w:r>
            <w:r w:rsidR="00F503BC" w:rsidRPr="00DD6E6B">
              <w:rPr>
                <w:lang w:val="en-GB"/>
              </w:rPr>
              <w:t xml:space="preserve">export dynamics however considerably weakened in Q2 itself. </w:t>
            </w:r>
          </w:p>
        </w:tc>
        <w:tc>
          <w:tcPr>
            <w:tcW w:w="221" w:type="dxa"/>
            <w:shd w:val="clear" w:color="auto" w:fill="auto"/>
            <w:tcMar>
              <w:left w:w="0" w:type="dxa"/>
            </w:tcMar>
          </w:tcPr>
          <w:p w14:paraId="687938C8"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0D8441E0" w14:textId="66CBBA48" w:rsidR="00674BAC" w:rsidRPr="00DD6E6B" w:rsidRDefault="00F503BC" w:rsidP="00DA0121">
            <w:pPr>
              <w:spacing w:after="180"/>
              <w:rPr>
                <w:spacing w:val="-4"/>
                <w:lang w:val="en-GB"/>
              </w:rPr>
            </w:pPr>
            <w:r w:rsidRPr="00DD6E6B">
              <w:rPr>
                <w:spacing w:val="-4"/>
                <w:lang w:val="en-GB"/>
              </w:rPr>
              <w:t>The value of export of goods</w:t>
            </w:r>
            <w:r w:rsidR="00674BAC" w:rsidRPr="00DD6E6B">
              <w:rPr>
                <w:rStyle w:val="Znakapoznpodarou"/>
                <w:spacing w:val="-4"/>
                <w:lang w:val="en-GB"/>
              </w:rPr>
              <w:footnoteReference w:id="42"/>
            </w:r>
            <w:r w:rsidR="00674BAC" w:rsidRPr="00DD6E6B">
              <w:rPr>
                <w:spacing w:val="-4"/>
                <w:lang w:val="en-GB"/>
              </w:rPr>
              <w:t xml:space="preserve"> </w:t>
            </w:r>
            <w:r w:rsidRPr="00DD6E6B">
              <w:rPr>
                <w:spacing w:val="-4"/>
                <w:lang w:val="en-GB"/>
              </w:rPr>
              <w:t xml:space="preserve">attained </w:t>
            </w:r>
            <w:r w:rsidR="00674BAC" w:rsidRPr="00DD6E6B">
              <w:rPr>
                <w:spacing w:val="-4"/>
                <w:lang w:val="en-GB"/>
              </w:rPr>
              <w:t>2</w:t>
            </w:r>
            <w:r w:rsidRPr="00DD6E6B">
              <w:rPr>
                <w:spacing w:val="-4"/>
                <w:lang w:val="en-GB"/>
              </w:rPr>
              <w:t> </w:t>
            </w:r>
            <w:r w:rsidR="00674BAC" w:rsidRPr="00DD6E6B">
              <w:rPr>
                <w:spacing w:val="-4"/>
                <w:lang w:val="en-GB"/>
              </w:rPr>
              <w:t>282</w:t>
            </w:r>
            <w:r w:rsidRPr="00DD6E6B">
              <w:rPr>
                <w:spacing w:val="-4"/>
                <w:lang w:val="en-GB"/>
              </w:rPr>
              <w:t>.</w:t>
            </w:r>
            <w:r w:rsidR="00674BAC" w:rsidRPr="00DD6E6B">
              <w:rPr>
                <w:spacing w:val="-4"/>
                <w:lang w:val="en-GB"/>
              </w:rPr>
              <w:t>0</w:t>
            </w:r>
            <w:r w:rsidRPr="00DD6E6B">
              <w:rPr>
                <w:spacing w:val="-4"/>
                <w:lang w:val="en-GB"/>
              </w:rPr>
              <w:t xml:space="preserve"> CZK bn in H1 2023 and increased by </w:t>
            </w:r>
            <w:r w:rsidR="00674BAC" w:rsidRPr="00DD6E6B">
              <w:rPr>
                <w:spacing w:val="-4"/>
                <w:lang w:val="en-GB"/>
              </w:rPr>
              <w:t>114</w:t>
            </w:r>
            <w:r w:rsidRPr="00DD6E6B">
              <w:rPr>
                <w:spacing w:val="-4"/>
                <w:lang w:val="en-GB"/>
              </w:rPr>
              <w:t>.</w:t>
            </w:r>
            <w:r w:rsidR="00674BAC" w:rsidRPr="00DD6E6B">
              <w:rPr>
                <w:spacing w:val="-4"/>
                <w:lang w:val="en-GB"/>
              </w:rPr>
              <w:t>3</w:t>
            </w:r>
            <w:r w:rsidRPr="00DD6E6B">
              <w:rPr>
                <w:spacing w:val="-4"/>
                <w:lang w:val="en-GB"/>
              </w:rPr>
              <w:t xml:space="preserve"> bn </w:t>
            </w:r>
            <w:r w:rsidR="00674BAC" w:rsidRPr="00DD6E6B">
              <w:rPr>
                <w:spacing w:val="-4"/>
                <w:lang w:val="en-GB"/>
              </w:rPr>
              <w:t>(5</w:t>
            </w:r>
            <w:r w:rsidRPr="00DD6E6B">
              <w:rPr>
                <w:spacing w:val="-4"/>
                <w:lang w:val="en-GB"/>
              </w:rPr>
              <w:t>.</w:t>
            </w:r>
            <w:r w:rsidR="00674BAC" w:rsidRPr="00DD6E6B">
              <w:rPr>
                <w:spacing w:val="-4"/>
                <w:lang w:val="en-GB"/>
              </w:rPr>
              <w:t>3%)</w:t>
            </w:r>
            <w:r w:rsidRPr="00DD6E6B">
              <w:rPr>
                <w:spacing w:val="-4"/>
                <w:lang w:val="en-GB"/>
              </w:rPr>
              <w:t xml:space="preserve"> year-on-year</w:t>
            </w:r>
            <w:r w:rsidR="00674BAC" w:rsidRPr="00DD6E6B">
              <w:rPr>
                <w:spacing w:val="-4"/>
                <w:lang w:val="en-GB"/>
              </w:rPr>
              <w:t xml:space="preserve">. </w:t>
            </w:r>
            <w:r w:rsidR="00F47709" w:rsidRPr="00DD6E6B">
              <w:rPr>
                <w:spacing w:val="-4"/>
                <w:lang w:val="en-GB"/>
              </w:rPr>
              <w:t>The effect of the price growth</w:t>
            </w:r>
            <w:r w:rsidR="00674BAC" w:rsidRPr="00DD6E6B">
              <w:rPr>
                <w:spacing w:val="-4"/>
                <w:lang w:val="en-GB"/>
              </w:rPr>
              <w:t xml:space="preserve">, </w:t>
            </w:r>
            <w:r w:rsidR="00AB719D" w:rsidRPr="00DD6E6B">
              <w:rPr>
                <w:spacing w:val="-4"/>
                <w:lang w:val="en-GB"/>
              </w:rPr>
              <w:t xml:space="preserve">which provided impulse for the </w:t>
            </w:r>
            <w:r w:rsidR="00F47709" w:rsidRPr="00DD6E6B">
              <w:rPr>
                <w:spacing w:val="-4"/>
                <w:lang w:val="en-GB"/>
              </w:rPr>
              <w:t>rise of export in the last year</w:t>
            </w:r>
            <w:r w:rsidR="00674BAC" w:rsidRPr="00DD6E6B">
              <w:rPr>
                <w:spacing w:val="-4"/>
                <w:lang w:val="en-GB"/>
              </w:rPr>
              <w:t xml:space="preserve"> </w:t>
            </w:r>
            <w:r w:rsidR="00763B36" w:rsidRPr="00DD6E6B">
              <w:rPr>
                <w:spacing w:val="-4"/>
                <w:lang w:val="en-GB"/>
              </w:rPr>
              <w:t>evaporated this year an</w:t>
            </w:r>
            <w:r w:rsidR="009867E7" w:rsidRPr="00DD6E6B">
              <w:rPr>
                <w:spacing w:val="-4"/>
                <w:lang w:val="en-GB"/>
              </w:rPr>
              <w:t>d the prices are on th</w:t>
            </w:r>
            <w:r w:rsidR="00763B36" w:rsidRPr="00DD6E6B">
              <w:rPr>
                <w:spacing w:val="-4"/>
                <w:lang w:val="en-GB"/>
              </w:rPr>
              <w:t>e</w:t>
            </w:r>
            <w:r w:rsidR="009867E7" w:rsidRPr="00DD6E6B">
              <w:rPr>
                <w:spacing w:val="-4"/>
                <w:lang w:val="en-GB"/>
              </w:rPr>
              <w:t xml:space="preserve"> contrary falling</w:t>
            </w:r>
            <w:r w:rsidR="00674BAC" w:rsidRPr="00DD6E6B">
              <w:rPr>
                <w:rStyle w:val="Znakapoznpodarou"/>
                <w:spacing w:val="-4"/>
                <w:lang w:val="en-GB"/>
              </w:rPr>
              <w:footnoteReference w:id="43"/>
            </w:r>
            <w:r w:rsidR="00674BAC" w:rsidRPr="00DD6E6B">
              <w:rPr>
                <w:spacing w:val="-4"/>
                <w:lang w:val="en-GB"/>
              </w:rPr>
              <w:t xml:space="preserve">. </w:t>
            </w:r>
            <w:r w:rsidR="00935E9D" w:rsidRPr="00DD6E6B">
              <w:rPr>
                <w:spacing w:val="-4"/>
                <w:lang w:val="en-GB"/>
              </w:rPr>
              <w:t>The main portion of the half-yearly year-on-year increase however pl</w:t>
            </w:r>
            <w:r w:rsidR="00E30279" w:rsidRPr="00DD6E6B">
              <w:rPr>
                <w:spacing w:val="-4"/>
                <w:lang w:val="en-GB"/>
              </w:rPr>
              <w:t>a</w:t>
            </w:r>
            <w:r w:rsidR="00935E9D" w:rsidRPr="00DD6E6B">
              <w:rPr>
                <w:spacing w:val="-4"/>
                <w:lang w:val="en-GB"/>
              </w:rPr>
              <w:t>yed out in Q</w:t>
            </w:r>
            <w:r w:rsidR="00674BAC" w:rsidRPr="00DD6E6B">
              <w:rPr>
                <w:spacing w:val="-4"/>
                <w:lang w:val="en-GB"/>
              </w:rPr>
              <w:t>1</w:t>
            </w:r>
            <w:r w:rsidR="00935E9D" w:rsidRPr="00DD6E6B">
              <w:rPr>
                <w:spacing w:val="-4"/>
                <w:lang w:val="en-GB"/>
              </w:rPr>
              <w:t>,</w:t>
            </w:r>
            <w:r w:rsidR="00674BAC" w:rsidRPr="00DD6E6B">
              <w:rPr>
                <w:spacing w:val="-4"/>
                <w:lang w:val="en-GB"/>
              </w:rPr>
              <w:t xml:space="preserve"> </w:t>
            </w:r>
            <w:r w:rsidR="00E30279" w:rsidRPr="00DD6E6B">
              <w:rPr>
                <w:spacing w:val="-4"/>
                <w:lang w:val="en-GB"/>
              </w:rPr>
              <w:t xml:space="preserve">because the export of goods expanded only by </w:t>
            </w:r>
            <w:r w:rsidR="00674BAC" w:rsidRPr="00DD6E6B">
              <w:rPr>
                <w:spacing w:val="-4"/>
                <w:lang w:val="en-GB"/>
              </w:rPr>
              <w:t>10</w:t>
            </w:r>
            <w:r w:rsidR="00453DDF" w:rsidRPr="00DD6E6B">
              <w:rPr>
                <w:spacing w:val="-4"/>
                <w:lang w:val="en-GB"/>
              </w:rPr>
              <w:t>.</w:t>
            </w:r>
            <w:r w:rsidR="00674BAC" w:rsidRPr="00DD6E6B">
              <w:rPr>
                <w:spacing w:val="-4"/>
                <w:lang w:val="en-GB"/>
              </w:rPr>
              <w:t>0</w:t>
            </w:r>
            <w:r w:rsidR="00453DDF" w:rsidRPr="00DD6E6B">
              <w:rPr>
                <w:spacing w:val="-4"/>
                <w:lang w:val="en-GB"/>
              </w:rPr>
              <w:t xml:space="preserve"> CZK bn </w:t>
            </w:r>
            <w:r w:rsidR="00674BAC" w:rsidRPr="00DD6E6B">
              <w:rPr>
                <w:spacing w:val="-4"/>
                <w:lang w:val="en-GB"/>
              </w:rPr>
              <w:t>(0</w:t>
            </w:r>
            <w:r w:rsidR="00453DDF" w:rsidRPr="00DD6E6B">
              <w:rPr>
                <w:spacing w:val="-4"/>
                <w:lang w:val="en-GB"/>
              </w:rPr>
              <w:t>.</w:t>
            </w:r>
            <w:r w:rsidR="00674BAC" w:rsidRPr="00DD6E6B">
              <w:rPr>
                <w:spacing w:val="-4"/>
                <w:lang w:val="en-GB"/>
              </w:rPr>
              <w:t xml:space="preserve">9%) </w:t>
            </w:r>
            <w:r w:rsidR="001D4D0E" w:rsidRPr="00DD6E6B">
              <w:rPr>
                <w:spacing w:val="-4"/>
                <w:lang w:val="en-GB"/>
              </w:rPr>
              <w:t xml:space="preserve">year-on-year to </w:t>
            </w:r>
            <w:r w:rsidR="00674BAC" w:rsidRPr="00DD6E6B">
              <w:rPr>
                <w:spacing w:val="-4"/>
                <w:lang w:val="en-GB"/>
              </w:rPr>
              <w:t>1</w:t>
            </w:r>
            <w:r w:rsidR="001D4D0E" w:rsidRPr="00DD6E6B">
              <w:rPr>
                <w:spacing w:val="-4"/>
                <w:lang w:val="en-GB"/>
              </w:rPr>
              <w:t> </w:t>
            </w:r>
            <w:r w:rsidR="00674BAC" w:rsidRPr="00DD6E6B">
              <w:rPr>
                <w:spacing w:val="-4"/>
                <w:lang w:val="en-GB"/>
              </w:rPr>
              <w:t>133</w:t>
            </w:r>
            <w:r w:rsidR="001D4D0E" w:rsidRPr="00DD6E6B">
              <w:rPr>
                <w:spacing w:val="-4"/>
                <w:lang w:val="en-GB"/>
              </w:rPr>
              <w:t>.</w:t>
            </w:r>
            <w:r w:rsidR="00674BAC" w:rsidRPr="00DD6E6B">
              <w:rPr>
                <w:spacing w:val="-4"/>
                <w:lang w:val="en-GB"/>
              </w:rPr>
              <w:t xml:space="preserve">0 </w:t>
            </w:r>
            <w:r w:rsidR="00E30279" w:rsidRPr="00DD6E6B">
              <w:rPr>
                <w:spacing w:val="-4"/>
                <w:lang w:val="en-GB"/>
              </w:rPr>
              <w:t>bn in Q2 2023 itself</w:t>
            </w:r>
            <w:r w:rsidR="00453DDF" w:rsidRPr="00DD6E6B">
              <w:rPr>
                <w:spacing w:val="-4"/>
                <w:lang w:val="en-GB"/>
              </w:rPr>
              <w:t xml:space="preserve">. </w:t>
            </w:r>
            <w:r w:rsidR="00FA5BF4" w:rsidRPr="00DD6E6B">
              <w:rPr>
                <w:spacing w:val="-4"/>
                <w:lang w:val="en-GB"/>
              </w:rPr>
              <w:t xml:space="preserve">The increase </w:t>
            </w:r>
            <w:r w:rsidR="001F5BE8" w:rsidRPr="00DD6E6B">
              <w:rPr>
                <w:spacing w:val="-4"/>
                <w:lang w:val="en-GB"/>
              </w:rPr>
              <w:t>also under the influence of a strong basis of the last year markedly weakened in comparison to the double-digit values from the preceding four quarters. Seasonally</w:t>
            </w:r>
            <w:r w:rsidR="00392AB8" w:rsidRPr="00DD6E6B">
              <w:rPr>
                <w:spacing w:val="-4"/>
                <w:lang w:val="en-GB"/>
              </w:rPr>
              <w:t xml:space="preserve"> adjusted data show, that the export of goods again slightly increased by 0.7% quarter-on-</w:t>
            </w:r>
            <w:r w:rsidR="001F5BE8" w:rsidRPr="00DD6E6B">
              <w:rPr>
                <w:spacing w:val="-4"/>
                <w:lang w:val="en-GB"/>
              </w:rPr>
              <w:t xml:space="preserve">quarter </w:t>
            </w:r>
            <w:r w:rsidR="00392AB8" w:rsidRPr="00DD6E6B">
              <w:rPr>
                <w:spacing w:val="-4"/>
                <w:lang w:val="en-GB"/>
              </w:rPr>
              <w:t xml:space="preserve">following two decreases in Q2 2023. </w:t>
            </w:r>
            <w:r w:rsidR="00674BAC" w:rsidRPr="00DD6E6B">
              <w:rPr>
                <w:spacing w:val="-4"/>
                <w:lang w:val="en-GB"/>
              </w:rPr>
              <w:t xml:space="preserve"> </w:t>
            </w:r>
          </w:p>
        </w:tc>
      </w:tr>
      <w:tr w:rsidR="00674BAC" w:rsidRPr="00DD6E6B" w14:paraId="4DE01B63" w14:textId="77777777" w:rsidTr="785B85D1">
        <w:trPr>
          <w:trHeight w:val="145"/>
        </w:trPr>
        <w:tc>
          <w:tcPr>
            <w:tcW w:w="1748" w:type="dxa"/>
            <w:shd w:val="clear" w:color="auto" w:fill="auto"/>
            <w:tcMar>
              <w:left w:w="0" w:type="dxa"/>
            </w:tcMar>
          </w:tcPr>
          <w:p w14:paraId="1B8BBB7A" w14:textId="0F3A1ED0" w:rsidR="00674BAC" w:rsidRPr="00DD6E6B" w:rsidRDefault="00817106" w:rsidP="00DA0121">
            <w:pPr>
              <w:pStyle w:val="Marginlie"/>
              <w:rPr>
                <w:lang w:val="en-GB"/>
              </w:rPr>
            </w:pPr>
            <w:r w:rsidRPr="00DD6E6B">
              <w:rPr>
                <w:lang w:val="en-GB"/>
              </w:rPr>
              <w:t>The value of export into the EU fell year-on-year in Q</w:t>
            </w:r>
            <w:r w:rsidR="00674BAC" w:rsidRPr="00DD6E6B">
              <w:rPr>
                <w:lang w:val="en-GB"/>
              </w:rPr>
              <w:t>2.</w:t>
            </w:r>
          </w:p>
        </w:tc>
        <w:tc>
          <w:tcPr>
            <w:tcW w:w="221" w:type="dxa"/>
            <w:shd w:val="clear" w:color="auto" w:fill="auto"/>
            <w:tcMar>
              <w:left w:w="0" w:type="dxa"/>
            </w:tcMar>
          </w:tcPr>
          <w:p w14:paraId="5AA40758"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61BA9482" w14:textId="768BF73E" w:rsidR="00674BAC" w:rsidRPr="00DD6E6B" w:rsidRDefault="00392AB8" w:rsidP="00DA0121">
            <w:pPr>
              <w:spacing w:after="180"/>
              <w:rPr>
                <w:lang w:val="en-GB"/>
              </w:rPr>
            </w:pPr>
            <w:r w:rsidRPr="00DD6E6B">
              <w:rPr>
                <w:spacing w:val="-4"/>
                <w:lang w:val="en-GB"/>
              </w:rPr>
              <w:t xml:space="preserve">In the territorial view, </w:t>
            </w:r>
            <w:r w:rsidR="0034464E" w:rsidRPr="00DD6E6B">
              <w:rPr>
                <w:spacing w:val="-4"/>
                <w:lang w:val="en-GB"/>
              </w:rPr>
              <w:t xml:space="preserve">the export of goods </w:t>
            </w:r>
            <w:r w:rsidR="00F037C8" w:rsidRPr="00DD6E6B">
              <w:rPr>
                <w:spacing w:val="-4"/>
                <w:lang w:val="en-GB"/>
              </w:rPr>
              <w:t>into the European Union</w:t>
            </w:r>
            <w:r w:rsidR="00674BAC" w:rsidRPr="00DD6E6B">
              <w:rPr>
                <w:spacing w:val="-4"/>
                <w:lang w:val="en-GB"/>
              </w:rPr>
              <w:t xml:space="preserve"> (+92</w:t>
            </w:r>
            <w:r w:rsidR="00F037C8" w:rsidRPr="00DD6E6B">
              <w:rPr>
                <w:spacing w:val="-4"/>
                <w:lang w:val="en-GB"/>
              </w:rPr>
              <w:t>.</w:t>
            </w:r>
            <w:r w:rsidR="00674BAC" w:rsidRPr="00DD6E6B">
              <w:rPr>
                <w:spacing w:val="-4"/>
                <w:lang w:val="en-GB"/>
              </w:rPr>
              <w:t xml:space="preserve">5 </w:t>
            </w:r>
            <w:r w:rsidR="00F037C8" w:rsidRPr="00DD6E6B">
              <w:rPr>
                <w:spacing w:val="-4"/>
                <w:lang w:val="en-GB"/>
              </w:rPr>
              <w:t>CZK bn</w:t>
            </w:r>
            <w:r w:rsidR="00674BAC" w:rsidRPr="00DD6E6B">
              <w:rPr>
                <w:spacing w:val="-4"/>
                <w:lang w:val="en-GB"/>
              </w:rPr>
              <w:t>, 5</w:t>
            </w:r>
            <w:r w:rsidR="00F037C8" w:rsidRPr="00DD6E6B">
              <w:rPr>
                <w:spacing w:val="-4"/>
                <w:lang w:val="en-GB"/>
              </w:rPr>
              <w:t>.</w:t>
            </w:r>
            <w:r w:rsidR="00674BAC" w:rsidRPr="00DD6E6B">
              <w:rPr>
                <w:spacing w:val="-4"/>
                <w:lang w:val="en-GB"/>
              </w:rPr>
              <w:t xml:space="preserve">3%) </w:t>
            </w:r>
            <w:r w:rsidR="0034464E" w:rsidRPr="00DD6E6B">
              <w:rPr>
                <w:spacing w:val="-4"/>
                <w:lang w:val="en-GB"/>
              </w:rPr>
              <w:t xml:space="preserve">as well as outside the EU </w:t>
            </w:r>
            <w:r w:rsidR="00674BAC" w:rsidRPr="00DD6E6B">
              <w:rPr>
                <w:spacing w:val="-4"/>
                <w:lang w:val="en-GB"/>
              </w:rPr>
              <w:t>(+2</w:t>
            </w:r>
            <w:r w:rsidR="24FC0D77" w:rsidRPr="00DD6E6B">
              <w:rPr>
                <w:spacing w:val="-4"/>
                <w:lang w:val="en-GB"/>
              </w:rPr>
              <w:t>1</w:t>
            </w:r>
            <w:r w:rsidR="0034464E" w:rsidRPr="00DD6E6B">
              <w:rPr>
                <w:spacing w:val="-4"/>
                <w:lang w:val="en-GB"/>
              </w:rPr>
              <w:t>.</w:t>
            </w:r>
            <w:r w:rsidR="00674BAC" w:rsidRPr="00DD6E6B">
              <w:rPr>
                <w:spacing w:val="-4"/>
                <w:lang w:val="en-GB"/>
              </w:rPr>
              <w:t xml:space="preserve">6 </w:t>
            </w:r>
            <w:r w:rsidR="0034464E" w:rsidRPr="00DD6E6B">
              <w:rPr>
                <w:spacing w:val="-4"/>
                <w:lang w:val="en-GB"/>
              </w:rPr>
              <w:t>bn</w:t>
            </w:r>
            <w:r w:rsidR="00674BAC" w:rsidRPr="00DD6E6B">
              <w:rPr>
                <w:spacing w:val="-4"/>
                <w:lang w:val="en-GB"/>
              </w:rPr>
              <w:t>, 5</w:t>
            </w:r>
            <w:r w:rsidR="0034464E" w:rsidRPr="00DD6E6B">
              <w:rPr>
                <w:spacing w:val="-4"/>
                <w:lang w:val="en-GB"/>
              </w:rPr>
              <w:t>.</w:t>
            </w:r>
            <w:r w:rsidR="00674BAC" w:rsidRPr="00DD6E6B">
              <w:rPr>
                <w:spacing w:val="-4"/>
                <w:lang w:val="en-GB"/>
              </w:rPr>
              <w:t>3%)</w:t>
            </w:r>
            <w:r w:rsidR="0034464E" w:rsidRPr="00DD6E6B">
              <w:rPr>
                <w:spacing w:val="-4"/>
                <w:lang w:val="en-GB"/>
              </w:rPr>
              <w:t xml:space="preserve"> expanded by a similar rate in H1</w:t>
            </w:r>
            <w:r w:rsidR="00674BAC" w:rsidRPr="00DD6E6B">
              <w:rPr>
                <w:spacing w:val="-4"/>
                <w:lang w:val="en-GB"/>
              </w:rPr>
              <w:t xml:space="preserve">. </w:t>
            </w:r>
            <w:r w:rsidR="0074121F" w:rsidRPr="00DD6E6B">
              <w:rPr>
                <w:spacing w:val="-4"/>
                <w:lang w:val="en-GB"/>
              </w:rPr>
              <w:t xml:space="preserve">Development in the individual quarters however varied. </w:t>
            </w:r>
            <w:r w:rsidR="005761E8" w:rsidRPr="00DD6E6B">
              <w:rPr>
                <w:spacing w:val="-4"/>
                <w:lang w:val="en-GB"/>
              </w:rPr>
              <w:t>Following the robust growth from Q</w:t>
            </w:r>
            <w:r w:rsidR="00674BAC" w:rsidRPr="00DD6E6B">
              <w:rPr>
                <w:spacing w:val="-4"/>
                <w:lang w:val="en-GB"/>
              </w:rPr>
              <w:t>1</w:t>
            </w:r>
            <w:r w:rsidR="005761E8" w:rsidRPr="00DD6E6B">
              <w:rPr>
                <w:spacing w:val="-4"/>
                <w:lang w:val="en-GB"/>
              </w:rPr>
              <w:t xml:space="preserve"> the value of export of goods into the EU stagnated in Q</w:t>
            </w:r>
            <w:r w:rsidR="00674BAC" w:rsidRPr="00DD6E6B">
              <w:rPr>
                <w:spacing w:val="-4"/>
                <w:lang w:val="en-GB"/>
              </w:rPr>
              <w:t>2</w:t>
            </w:r>
            <w:r w:rsidR="005761E8" w:rsidRPr="00DD6E6B">
              <w:rPr>
                <w:spacing w:val="-4"/>
                <w:lang w:val="en-GB"/>
              </w:rPr>
              <w:t xml:space="preserve"> </w:t>
            </w:r>
            <w:r w:rsidR="00674BAC" w:rsidRPr="00DD6E6B">
              <w:rPr>
                <w:spacing w:val="-4"/>
                <w:lang w:val="en-GB"/>
              </w:rPr>
              <w:t>(+2</w:t>
            </w:r>
            <w:r w:rsidR="005761E8" w:rsidRPr="00DD6E6B">
              <w:rPr>
                <w:spacing w:val="-4"/>
                <w:lang w:val="en-GB"/>
              </w:rPr>
              <w:t>.</w:t>
            </w:r>
            <w:r w:rsidR="00674BAC" w:rsidRPr="00DD6E6B">
              <w:rPr>
                <w:spacing w:val="-4"/>
                <w:lang w:val="en-GB"/>
              </w:rPr>
              <w:t>7</w:t>
            </w:r>
            <w:r w:rsidR="005761E8" w:rsidRPr="00DD6E6B">
              <w:rPr>
                <w:spacing w:val="-4"/>
                <w:lang w:val="en-GB"/>
              </w:rPr>
              <w:t xml:space="preserve"> CZK bn</w:t>
            </w:r>
            <w:r w:rsidR="00674BAC" w:rsidRPr="00DD6E6B">
              <w:rPr>
                <w:spacing w:val="-4"/>
                <w:lang w:val="en-GB"/>
              </w:rPr>
              <w:t>, 0</w:t>
            </w:r>
            <w:r w:rsidR="005761E8" w:rsidRPr="00DD6E6B">
              <w:rPr>
                <w:spacing w:val="-4"/>
                <w:lang w:val="en-GB"/>
              </w:rPr>
              <w:t>.</w:t>
            </w:r>
            <w:r w:rsidR="00674BAC" w:rsidRPr="00DD6E6B">
              <w:rPr>
                <w:spacing w:val="-4"/>
                <w:lang w:val="en-GB"/>
              </w:rPr>
              <w:t>3%) a</w:t>
            </w:r>
            <w:r w:rsidR="00484612" w:rsidRPr="00DD6E6B">
              <w:rPr>
                <w:spacing w:val="-4"/>
                <w:lang w:val="en-GB"/>
              </w:rPr>
              <w:t xml:space="preserve">nd the increase of export outside the Union weakened to </w:t>
            </w:r>
            <w:r w:rsidR="00674BAC" w:rsidRPr="00DD6E6B">
              <w:rPr>
                <w:spacing w:val="-4"/>
                <w:lang w:val="en-GB"/>
              </w:rPr>
              <w:t>7</w:t>
            </w:r>
            <w:r w:rsidR="00484612" w:rsidRPr="00DD6E6B">
              <w:rPr>
                <w:spacing w:val="-4"/>
                <w:lang w:val="en-GB"/>
              </w:rPr>
              <w:t>.</w:t>
            </w:r>
            <w:r w:rsidR="00674BAC" w:rsidRPr="00DD6E6B">
              <w:rPr>
                <w:spacing w:val="-4"/>
                <w:lang w:val="en-GB"/>
              </w:rPr>
              <w:t>2</w:t>
            </w:r>
            <w:r w:rsidR="00484612" w:rsidRPr="00DD6E6B">
              <w:rPr>
                <w:spacing w:val="-4"/>
                <w:lang w:val="en-GB"/>
              </w:rPr>
              <w:t xml:space="preserve"> bn </w:t>
            </w:r>
            <w:r w:rsidR="00674BAC" w:rsidRPr="00DD6E6B">
              <w:rPr>
                <w:spacing w:val="-4"/>
                <w:lang w:val="en-GB"/>
              </w:rPr>
              <w:t>(3</w:t>
            </w:r>
            <w:r w:rsidR="00484612" w:rsidRPr="00DD6E6B">
              <w:rPr>
                <w:spacing w:val="-4"/>
                <w:lang w:val="en-GB"/>
              </w:rPr>
              <w:t>.</w:t>
            </w:r>
            <w:r w:rsidR="00674BAC" w:rsidRPr="00DD6E6B">
              <w:rPr>
                <w:spacing w:val="-4"/>
                <w:lang w:val="en-GB"/>
              </w:rPr>
              <w:t xml:space="preserve">4%). </w:t>
            </w:r>
            <w:r w:rsidR="00DE1A98" w:rsidRPr="00DD6E6B">
              <w:rPr>
                <w:spacing w:val="-4"/>
                <w:lang w:val="en-GB"/>
              </w:rPr>
              <w:t>The value of export to Germany grew the most in Q</w:t>
            </w:r>
            <w:r w:rsidR="00674BAC" w:rsidRPr="00DD6E6B">
              <w:rPr>
                <w:spacing w:val="-4"/>
                <w:lang w:val="en-GB"/>
              </w:rPr>
              <w:t>2</w:t>
            </w:r>
            <w:r w:rsidR="00DE1A98" w:rsidRPr="00DD6E6B">
              <w:rPr>
                <w:spacing w:val="-4"/>
                <w:lang w:val="en-GB"/>
              </w:rPr>
              <w:t xml:space="preserve"> </w:t>
            </w:r>
            <w:r w:rsidR="00674BAC" w:rsidRPr="00DD6E6B">
              <w:rPr>
                <w:spacing w:val="-4"/>
                <w:lang w:val="en-GB"/>
              </w:rPr>
              <w:t>(+7</w:t>
            </w:r>
            <w:r w:rsidR="00DE1A98" w:rsidRPr="00DD6E6B">
              <w:rPr>
                <w:spacing w:val="-4"/>
                <w:lang w:val="en-GB"/>
              </w:rPr>
              <w:t>.</w:t>
            </w:r>
            <w:r w:rsidR="00674BAC" w:rsidRPr="00DD6E6B">
              <w:rPr>
                <w:spacing w:val="-4"/>
                <w:lang w:val="en-GB"/>
              </w:rPr>
              <w:t>9</w:t>
            </w:r>
            <w:r w:rsidR="00DE1A98" w:rsidRPr="00DD6E6B">
              <w:rPr>
                <w:spacing w:val="-4"/>
                <w:lang w:val="en-GB"/>
              </w:rPr>
              <w:t xml:space="preserve"> CZK bn</w:t>
            </w:r>
            <w:r w:rsidR="00674BAC" w:rsidRPr="00DD6E6B">
              <w:rPr>
                <w:spacing w:val="-4"/>
                <w:lang w:val="en-GB"/>
              </w:rPr>
              <w:t>, 2</w:t>
            </w:r>
            <w:r w:rsidR="00DE1A98" w:rsidRPr="00DD6E6B">
              <w:rPr>
                <w:spacing w:val="-4"/>
                <w:lang w:val="en-GB"/>
              </w:rPr>
              <w:t>.</w:t>
            </w:r>
            <w:r w:rsidR="00674BAC" w:rsidRPr="00DD6E6B">
              <w:rPr>
                <w:spacing w:val="-4"/>
                <w:lang w:val="en-GB"/>
              </w:rPr>
              <w:t xml:space="preserve">4%), </w:t>
            </w:r>
            <w:r w:rsidR="00ED5153" w:rsidRPr="00DD6E6B">
              <w:rPr>
                <w:spacing w:val="-4"/>
                <w:lang w:val="en-GB"/>
              </w:rPr>
              <w:t>but the growth sharply weakened</w:t>
            </w:r>
            <w:r w:rsidR="00674BAC" w:rsidRPr="00DD6E6B">
              <w:rPr>
                <w:spacing w:val="-4"/>
                <w:lang w:val="en-GB"/>
              </w:rPr>
              <w:t>.</w:t>
            </w:r>
            <w:r w:rsidR="00ED5153" w:rsidRPr="00DD6E6B">
              <w:rPr>
                <w:spacing w:val="-4"/>
                <w:lang w:val="en-GB"/>
              </w:rPr>
              <w:t xml:space="preserve"> The increase of export to Turkey </w:t>
            </w:r>
            <w:r w:rsidR="00674BAC" w:rsidRPr="00DD6E6B">
              <w:rPr>
                <w:spacing w:val="-4"/>
                <w:lang w:val="en-GB"/>
              </w:rPr>
              <w:t>(+5</w:t>
            </w:r>
            <w:r w:rsidR="00ED5153" w:rsidRPr="00DD6E6B">
              <w:rPr>
                <w:spacing w:val="-4"/>
                <w:lang w:val="en-GB"/>
              </w:rPr>
              <w:t>.</w:t>
            </w:r>
            <w:r w:rsidR="00674BAC" w:rsidRPr="00DD6E6B">
              <w:rPr>
                <w:spacing w:val="-4"/>
                <w:lang w:val="en-GB"/>
              </w:rPr>
              <w:t>9</w:t>
            </w:r>
            <w:r w:rsidR="00ED5153" w:rsidRPr="00DD6E6B">
              <w:rPr>
                <w:spacing w:val="-4"/>
                <w:lang w:val="en-GB"/>
              </w:rPr>
              <w:t xml:space="preserve"> CZK bn</w:t>
            </w:r>
            <w:r w:rsidR="00674BAC" w:rsidRPr="00DD6E6B">
              <w:rPr>
                <w:spacing w:val="-4"/>
                <w:lang w:val="en-GB"/>
              </w:rPr>
              <w:t>, 52</w:t>
            </w:r>
            <w:r w:rsidR="00ED5153" w:rsidRPr="00DD6E6B">
              <w:rPr>
                <w:spacing w:val="-4"/>
                <w:lang w:val="en-GB"/>
              </w:rPr>
              <w:t>.</w:t>
            </w:r>
            <w:r w:rsidR="00674BAC" w:rsidRPr="00DD6E6B">
              <w:rPr>
                <w:spacing w:val="-4"/>
                <w:lang w:val="en-GB"/>
              </w:rPr>
              <w:t>5%), Franc</w:t>
            </w:r>
            <w:r w:rsidR="0022699D" w:rsidRPr="00DD6E6B">
              <w:rPr>
                <w:spacing w:val="-4"/>
                <w:lang w:val="en-GB"/>
              </w:rPr>
              <w:t xml:space="preserve">e </w:t>
            </w:r>
            <w:r w:rsidR="00674BAC" w:rsidRPr="00DD6E6B">
              <w:rPr>
                <w:spacing w:val="-4"/>
                <w:lang w:val="en-GB"/>
              </w:rPr>
              <w:t>(+5</w:t>
            </w:r>
            <w:r w:rsidR="0022699D" w:rsidRPr="00DD6E6B">
              <w:rPr>
                <w:spacing w:val="-4"/>
                <w:lang w:val="en-GB"/>
              </w:rPr>
              <w:t>.</w:t>
            </w:r>
            <w:r w:rsidR="00674BAC" w:rsidRPr="00DD6E6B">
              <w:rPr>
                <w:spacing w:val="-4"/>
                <w:lang w:val="en-GB"/>
              </w:rPr>
              <w:t xml:space="preserve">1 </w:t>
            </w:r>
            <w:r w:rsidR="0022699D" w:rsidRPr="00DD6E6B">
              <w:rPr>
                <w:spacing w:val="-4"/>
                <w:lang w:val="en-GB"/>
              </w:rPr>
              <w:t>bn</w:t>
            </w:r>
            <w:r w:rsidR="00674BAC" w:rsidRPr="00DD6E6B">
              <w:rPr>
                <w:spacing w:val="-4"/>
                <w:lang w:val="en-GB"/>
              </w:rPr>
              <w:t>, 9</w:t>
            </w:r>
            <w:r w:rsidR="0022699D" w:rsidRPr="00DD6E6B">
              <w:rPr>
                <w:spacing w:val="-4"/>
                <w:lang w:val="en-GB"/>
              </w:rPr>
              <w:t>.</w:t>
            </w:r>
            <w:r w:rsidR="00674BAC" w:rsidRPr="00DD6E6B">
              <w:rPr>
                <w:spacing w:val="-4"/>
                <w:lang w:val="en-GB"/>
              </w:rPr>
              <w:t>1%), It</w:t>
            </w:r>
            <w:r w:rsidR="0022699D" w:rsidRPr="00DD6E6B">
              <w:rPr>
                <w:spacing w:val="-4"/>
                <w:lang w:val="en-GB"/>
              </w:rPr>
              <w:t xml:space="preserve">aly </w:t>
            </w:r>
            <w:r w:rsidR="00674BAC" w:rsidRPr="00DD6E6B">
              <w:rPr>
                <w:spacing w:val="-4"/>
                <w:lang w:val="en-GB"/>
              </w:rPr>
              <w:t>(+4</w:t>
            </w:r>
            <w:r w:rsidR="0022699D" w:rsidRPr="00DD6E6B">
              <w:rPr>
                <w:spacing w:val="-4"/>
                <w:lang w:val="en-GB"/>
              </w:rPr>
              <w:t>.</w:t>
            </w:r>
            <w:r w:rsidR="00674BAC" w:rsidRPr="00DD6E6B">
              <w:rPr>
                <w:spacing w:val="-4"/>
                <w:lang w:val="en-GB"/>
              </w:rPr>
              <w:t>8</w:t>
            </w:r>
            <w:r w:rsidR="0022699D" w:rsidRPr="00DD6E6B">
              <w:rPr>
                <w:spacing w:val="-4"/>
                <w:lang w:val="en-GB"/>
              </w:rPr>
              <w:t xml:space="preserve"> bn</w:t>
            </w:r>
            <w:r w:rsidR="00674BAC" w:rsidRPr="00DD6E6B">
              <w:rPr>
                <w:spacing w:val="-4"/>
                <w:lang w:val="en-GB"/>
              </w:rPr>
              <w:t>, 9</w:t>
            </w:r>
            <w:r w:rsidR="0022699D" w:rsidRPr="00DD6E6B">
              <w:rPr>
                <w:spacing w:val="-4"/>
                <w:lang w:val="en-GB"/>
              </w:rPr>
              <w:t>.</w:t>
            </w:r>
            <w:r w:rsidR="00674BAC" w:rsidRPr="00DD6E6B">
              <w:rPr>
                <w:spacing w:val="-4"/>
                <w:lang w:val="en-GB"/>
              </w:rPr>
              <w:t>9%),</w:t>
            </w:r>
            <w:r w:rsidR="0022699D" w:rsidRPr="00DD6E6B">
              <w:rPr>
                <w:spacing w:val="-4"/>
                <w:lang w:val="en-GB"/>
              </w:rPr>
              <w:t xml:space="preserve"> Great Britain </w:t>
            </w:r>
            <w:r w:rsidR="00674BAC" w:rsidRPr="00DD6E6B">
              <w:rPr>
                <w:spacing w:val="-4"/>
                <w:lang w:val="en-GB"/>
              </w:rPr>
              <w:t>(+2</w:t>
            </w:r>
            <w:r w:rsidR="0022699D" w:rsidRPr="00DD6E6B">
              <w:rPr>
                <w:spacing w:val="-4"/>
                <w:lang w:val="en-GB"/>
              </w:rPr>
              <w:t>.</w:t>
            </w:r>
            <w:r w:rsidR="00674BAC" w:rsidRPr="00DD6E6B">
              <w:rPr>
                <w:spacing w:val="-4"/>
                <w:lang w:val="en-GB"/>
              </w:rPr>
              <w:t>6</w:t>
            </w:r>
            <w:r w:rsidR="0022699D" w:rsidRPr="00DD6E6B">
              <w:rPr>
                <w:spacing w:val="-4"/>
                <w:lang w:val="en-GB"/>
              </w:rPr>
              <w:t xml:space="preserve"> bn</w:t>
            </w:r>
            <w:r w:rsidR="00674BAC" w:rsidRPr="00DD6E6B">
              <w:rPr>
                <w:spacing w:val="-4"/>
                <w:lang w:val="en-GB"/>
              </w:rPr>
              <w:t>, 6</w:t>
            </w:r>
            <w:r w:rsidR="0022699D" w:rsidRPr="00DD6E6B">
              <w:rPr>
                <w:spacing w:val="-4"/>
                <w:lang w:val="en-GB"/>
              </w:rPr>
              <w:t>.</w:t>
            </w:r>
            <w:r w:rsidR="00674BAC" w:rsidRPr="00DD6E6B">
              <w:rPr>
                <w:spacing w:val="-4"/>
                <w:lang w:val="en-GB"/>
              </w:rPr>
              <w:t>3%)</w:t>
            </w:r>
            <w:r w:rsidR="0022699D" w:rsidRPr="00DD6E6B">
              <w:rPr>
                <w:spacing w:val="-4"/>
                <w:lang w:val="en-GB"/>
              </w:rPr>
              <w:t xml:space="preserve"> or Belgium </w:t>
            </w:r>
            <w:r w:rsidR="00674BAC" w:rsidRPr="00DD6E6B">
              <w:rPr>
                <w:spacing w:val="-4"/>
                <w:lang w:val="en-GB"/>
              </w:rPr>
              <w:t>(+2</w:t>
            </w:r>
            <w:r w:rsidR="0022699D" w:rsidRPr="00DD6E6B">
              <w:rPr>
                <w:spacing w:val="-4"/>
                <w:lang w:val="en-GB"/>
              </w:rPr>
              <w:t>.</w:t>
            </w:r>
            <w:r w:rsidR="00674BAC" w:rsidRPr="00DD6E6B">
              <w:rPr>
                <w:spacing w:val="-4"/>
                <w:lang w:val="en-GB"/>
              </w:rPr>
              <w:t>2</w:t>
            </w:r>
            <w:r w:rsidR="0022699D" w:rsidRPr="00DD6E6B">
              <w:rPr>
                <w:spacing w:val="-4"/>
                <w:lang w:val="en-GB"/>
              </w:rPr>
              <w:t xml:space="preserve"> bn</w:t>
            </w:r>
            <w:r w:rsidR="00674BAC" w:rsidRPr="00DD6E6B">
              <w:rPr>
                <w:spacing w:val="-4"/>
                <w:lang w:val="en-GB"/>
              </w:rPr>
              <w:t>, 8</w:t>
            </w:r>
            <w:r w:rsidR="0022699D" w:rsidRPr="00DD6E6B">
              <w:rPr>
                <w:spacing w:val="-4"/>
                <w:lang w:val="en-GB"/>
              </w:rPr>
              <w:t>.</w:t>
            </w:r>
            <w:r w:rsidR="00674BAC" w:rsidRPr="00DD6E6B">
              <w:rPr>
                <w:spacing w:val="-4"/>
                <w:lang w:val="en-GB"/>
              </w:rPr>
              <w:t>3%)</w:t>
            </w:r>
            <w:r w:rsidR="00ED5153" w:rsidRPr="00DD6E6B">
              <w:rPr>
                <w:spacing w:val="-4"/>
                <w:lang w:val="en-GB"/>
              </w:rPr>
              <w:t xml:space="preserve"> was also large</w:t>
            </w:r>
            <w:r w:rsidR="00674BAC" w:rsidRPr="00DD6E6B">
              <w:rPr>
                <w:spacing w:val="-4"/>
                <w:lang w:val="en-GB"/>
              </w:rPr>
              <w:t xml:space="preserve">. </w:t>
            </w:r>
            <w:r w:rsidR="00B74606">
              <w:rPr>
                <w:spacing w:val="-4"/>
                <w:lang w:val="en-GB"/>
              </w:rPr>
              <w:t>The export rather stagnated or </w:t>
            </w:r>
            <w:r w:rsidR="0022699D" w:rsidRPr="00DD6E6B">
              <w:rPr>
                <w:spacing w:val="-4"/>
                <w:lang w:val="en-GB"/>
              </w:rPr>
              <w:t xml:space="preserve">fell for the remaining countries. </w:t>
            </w:r>
            <w:r w:rsidR="0050155B" w:rsidRPr="00DD6E6B">
              <w:rPr>
                <w:spacing w:val="-4"/>
                <w:lang w:val="en-GB"/>
              </w:rPr>
              <w:t xml:space="preserve">The export was shrinking the most to Slovakia </w:t>
            </w:r>
            <w:r w:rsidR="00674BAC" w:rsidRPr="00DD6E6B">
              <w:rPr>
                <w:spacing w:val="-4"/>
                <w:lang w:val="en-GB"/>
              </w:rPr>
              <w:t>(−14</w:t>
            </w:r>
            <w:r w:rsidR="0050155B" w:rsidRPr="00DD6E6B">
              <w:rPr>
                <w:spacing w:val="-4"/>
                <w:lang w:val="en-GB"/>
              </w:rPr>
              <w:t>.</w:t>
            </w:r>
            <w:r w:rsidR="00674BAC" w:rsidRPr="00DD6E6B">
              <w:rPr>
                <w:spacing w:val="-4"/>
                <w:lang w:val="en-GB"/>
              </w:rPr>
              <w:t>8</w:t>
            </w:r>
            <w:r w:rsidR="0050155B" w:rsidRPr="00DD6E6B">
              <w:rPr>
                <w:spacing w:val="-4"/>
                <w:lang w:val="en-GB"/>
              </w:rPr>
              <w:t xml:space="preserve"> CZK bn</w:t>
            </w:r>
            <w:r w:rsidR="00B74606">
              <w:rPr>
                <w:spacing w:val="-4"/>
                <w:lang w:val="en-GB"/>
              </w:rPr>
              <w:t xml:space="preserve">, </w:t>
            </w:r>
            <w:r w:rsidR="00B74606">
              <w:rPr>
                <w:color w:val="000000"/>
                <w:shd w:val="clear" w:color="auto" w:fill="FFFFFF"/>
              </w:rPr>
              <w:t>–</w:t>
            </w:r>
            <w:r w:rsidR="00674BAC" w:rsidRPr="00DD6E6B">
              <w:rPr>
                <w:spacing w:val="-4"/>
                <w:lang w:val="en-GB"/>
              </w:rPr>
              <w:t>12</w:t>
            </w:r>
            <w:r w:rsidR="0050155B" w:rsidRPr="00DD6E6B">
              <w:rPr>
                <w:spacing w:val="-4"/>
                <w:lang w:val="en-GB"/>
              </w:rPr>
              <w:t>.</w:t>
            </w:r>
            <w:r w:rsidR="00674BAC" w:rsidRPr="00DD6E6B">
              <w:rPr>
                <w:spacing w:val="-4"/>
                <w:lang w:val="en-GB"/>
              </w:rPr>
              <w:t>7%)</w:t>
            </w:r>
            <w:r w:rsidR="00674BAC" w:rsidRPr="00DD6E6B">
              <w:rPr>
                <w:rStyle w:val="Znakapoznpodarou"/>
                <w:spacing w:val="-4"/>
                <w:lang w:val="en-GB"/>
              </w:rPr>
              <w:footnoteReference w:id="44"/>
            </w:r>
            <w:r w:rsidR="00674BAC" w:rsidRPr="00DD6E6B">
              <w:rPr>
                <w:spacing w:val="-4"/>
                <w:lang w:val="en-GB"/>
              </w:rPr>
              <w:t xml:space="preserve">, </w:t>
            </w:r>
            <w:r w:rsidR="0050155B" w:rsidRPr="00DD6E6B">
              <w:rPr>
                <w:spacing w:val="-4"/>
                <w:lang w:val="en-GB"/>
              </w:rPr>
              <w:t xml:space="preserve">Austria </w:t>
            </w:r>
            <w:r w:rsidR="00B74606">
              <w:rPr>
                <w:spacing w:val="-4"/>
                <w:lang w:val="en-GB"/>
              </w:rPr>
              <w:t>(</w:t>
            </w:r>
            <w:r w:rsidR="00B74606">
              <w:rPr>
                <w:color w:val="000000"/>
                <w:shd w:val="clear" w:color="auto" w:fill="FFFFFF"/>
              </w:rPr>
              <w:t>–</w:t>
            </w:r>
            <w:r w:rsidR="00674BAC" w:rsidRPr="00DD6E6B">
              <w:rPr>
                <w:spacing w:val="-4"/>
                <w:lang w:val="en-GB"/>
              </w:rPr>
              <w:t>4</w:t>
            </w:r>
            <w:r w:rsidR="0050155B" w:rsidRPr="00DD6E6B">
              <w:rPr>
                <w:spacing w:val="-4"/>
                <w:lang w:val="en-GB"/>
              </w:rPr>
              <w:t>.</w:t>
            </w:r>
            <w:r w:rsidR="00674BAC" w:rsidRPr="00DD6E6B">
              <w:rPr>
                <w:spacing w:val="-4"/>
                <w:lang w:val="en-GB"/>
              </w:rPr>
              <w:t>9</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9</w:t>
            </w:r>
            <w:r w:rsidR="0050155B" w:rsidRPr="00DD6E6B">
              <w:rPr>
                <w:spacing w:val="-4"/>
                <w:lang w:val="en-GB"/>
              </w:rPr>
              <w:t>.</w:t>
            </w:r>
            <w:r w:rsidR="00674BAC" w:rsidRPr="00DD6E6B">
              <w:rPr>
                <w:spacing w:val="-4"/>
                <w:lang w:val="en-GB"/>
              </w:rPr>
              <w:t>5%),</w:t>
            </w:r>
            <w:r w:rsidR="0050155B" w:rsidRPr="00DD6E6B">
              <w:rPr>
                <w:spacing w:val="-4"/>
                <w:lang w:val="en-GB"/>
              </w:rPr>
              <w:t xml:space="preserve"> the United States </w:t>
            </w:r>
            <w:r w:rsidR="00B74606">
              <w:rPr>
                <w:spacing w:val="-4"/>
                <w:lang w:val="en-GB"/>
              </w:rPr>
              <w:t>(</w:t>
            </w:r>
            <w:r w:rsidR="00B74606">
              <w:rPr>
                <w:color w:val="000000"/>
                <w:shd w:val="clear" w:color="auto" w:fill="FFFFFF"/>
              </w:rPr>
              <w:t>–</w:t>
            </w:r>
            <w:r w:rsidR="00674BAC" w:rsidRPr="00DD6E6B">
              <w:rPr>
                <w:spacing w:val="-4"/>
                <w:lang w:val="en-GB"/>
              </w:rPr>
              <w:t>3</w:t>
            </w:r>
            <w:r w:rsidR="0050155B" w:rsidRPr="00DD6E6B">
              <w:rPr>
                <w:spacing w:val="-4"/>
                <w:lang w:val="en-GB"/>
              </w:rPr>
              <w:t>.</w:t>
            </w:r>
            <w:r w:rsidR="00674BAC" w:rsidRPr="00DD6E6B">
              <w:rPr>
                <w:spacing w:val="-4"/>
                <w:lang w:val="en-GB"/>
              </w:rPr>
              <w:t>3</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10</w:t>
            </w:r>
            <w:r w:rsidR="0050155B" w:rsidRPr="00DD6E6B">
              <w:rPr>
                <w:spacing w:val="-4"/>
                <w:lang w:val="en-GB"/>
              </w:rPr>
              <w:t>.</w:t>
            </w:r>
            <w:r w:rsidR="00674BAC" w:rsidRPr="00DD6E6B">
              <w:rPr>
                <w:spacing w:val="-4"/>
                <w:lang w:val="en-GB"/>
              </w:rPr>
              <w:t>6%)</w:t>
            </w:r>
            <w:r w:rsidR="0050155B" w:rsidRPr="00DD6E6B">
              <w:rPr>
                <w:spacing w:val="-4"/>
                <w:lang w:val="en-GB"/>
              </w:rPr>
              <w:t xml:space="preserve"> and Russia </w:t>
            </w:r>
            <w:r w:rsidR="00B74606">
              <w:rPr>
                <w:spacing w:val="-4"/>
                <w:lang w:val="en-GB"/>
              </w:rPr>
              <w:t>(</w:t>
            </w:r>
            <w:r w:rsidR="00B74606">
              <w:rPr>
                <w:color w:val="000000"/>
                <w:shd w:val="clear" w:color="auto" w:fill="FFFFFF"/>
              </w:rPr>
              <w:t>–</w:t>
            </w:r>
            <w:r w:rsidR="00674BAC" w:rsidRPr="00DD6E6B">
              <w:rPr>
                <w:spacing w:val="-4"/>
                <w:lang w:val="en-GB"/>
              </w:rPr>
              <w:t>2</w:t>
            </w:r>
            <w:r w:rsidR="0050155B" w:rsidRPr="00DD6E6B">
              <w:rPr>
                <w:spacing w:val="-4"/>
                <w:lang w:val="en-GB"/>
              </w:rPr>
              <w:t>.</w:t>
            </w:r>
            <w:r w:rsidR="00674BAC" w:rsidRPr="00DD6E6B">
              <w:rPr>
                <w:spacing w:val="-4"/>
                <w:lang w:val="en-GB"/>
              </w:rPr>
              <w:t>9</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45</w:t>
            </w:r>
            <w:r w:rsidR="0050155B" w:rsidRPr="00DD6E6B">
              <w:rPr>
                <w:spacing w:val="-4"/>
                <w:lang w:val="en-GB"/>
              </w:rPr>
              <w:t>.</w:t>
            </w:r>
            <w:r w:rsidR="00674BAC" w:rsidRPr="00DD6E6B">
              <w:rPr>
                <w:spacing w:val="-4"/>
                <w:lang w:val="en-GB"/>
              </w:rPr>
              <w:t>5%).</w:t>
            </w:r>
          </w:p>
        </w:tc>
      </w:tr>
      <w:tr w:rsidR="00674BAC" w:rsidRPr="00DD6E6B" w14:paraId="6E78B103" w14:textId="77777777" w:rsidTr="785B85D1">
        <w:trPr>
          <w:trHeight w:val="170"/>
        </w:trPr>
        <w:tc>
          <w:tcPr>
            <w:tcW w:w="1748" w:type="dxa"/>
            <w:shd w:val="clear" w:color="auto" w:fill="auto"/>
            <w:tcMar>
              <w:left w:w="0" w:type="dxa"/>
            </w:tcMar>
          </w:tcPr>
          <w:p w14:paraId="29878ED7" w14:textId="7FBE9C09" w:rsidR="00674BAC" w:rsidRPr="00DD6E6B" w:rsidRDefault="00B5701A" w:rsidP="00DA0121">
            <w:pPr>
              <w:pStyle w:val="Marginlie"/>
              <w:rPr>
                <w:lang w:val="en-GB"/>
              </w:rPr>
            </w:pPr>
            <w:r w:rsidRPr="00DD6E6B">
              <w:rPr>
                <w:lang w:val="en-GB"/>
              </w:rPr>
              <w:t xml:space="preserve">Mainly the sale of motor vehicles supported the growth of export. </w:t>
            </w:r>
          </w:p>
        </w:tc>
        <w:tc>
          <w:tcPr>
            <w:tcW w:w="221" w:type="dxa"/>
            <w:shd w:val="clear" w:color="auto" w:fill="auto"/>
            <w:tcMar>
              <w:left w:w="0" w:type="dxa"/>
            </w:tcMar>
          </w:tcPr>
          <w:p w14:paraId="507F9AD5"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4A63B738" w14:textId="7B2705DE" w:rsidR="00674BAC" w:rsidRPr="00DD6E6B" w:rsidRDefault="00B5701A" w:rsidP="00DA0121">
            <w:pPr>
              <w:spacing w:after="180"/>
              <w:rPr>
                <w:spacing w:val="-4"/>
                <w:lang w:val="en-GB"/>
              </w:rPr>
            </w:pPr>
            <w:r w:rsidRPr="00DD6E6B">
              <w:rPr>
                <w:spacing w:val="-4"/>
                <w:lang w:val="en-GB"/>
              </w:rPr>
              <w:t xml:space="preserve">The sale of motor vehicles </w:t>
            </w:r>
            <w:r w:rsidR="00674BAC" w:rsidRPr="00DD6E6B">
              <w:rPr>
                <w:spacing w:val="-4"/>
                <w:lang w:val="en-GB"/>
              </w:rPr>
              <w:t>(+126</w:t>
            </w:r>
            <w:r w:rsidR="00A939EE" w:rsidRPr="00DD6E6B">
              <w:rPr>
                <w:spacing w:val="-4"/>
                <w:lang w:val="en-GB"/>
              </w:rPr>
              <w:t>.</w:t>
            </w:r>
            <w:r w:rsidR="00674BAC" w:rsidRPr="00DD6E6B">
              <w:rPr>
                <w:spacing w:val="-4"/>
                <w:lang w:val="en-GB"/>
              </w:rPr>
              <w:t>9</w:t>
            </w:r>
            <w:r w:rsidR="00A939EE" w:rsidRPr="00DD6E6B">
              <w:rPr>
                <w:spacing w:val="-4"/>
                <w:lang w:val="en-GB"/>
              </w:rPr>
              <w:t xml:space="preserve"> CZK bn</w:t>
            </w:r>
            <w:r w:rsidR="00674BAC" w:rsidRPr="00DD6E6B">
              <w:rPr>
                <w:spacing w:val="-4"/>
                <w:lang w:val="en-GB"/>
              </w:rPr>
              <w:t>, 24</w:t>
            </w:r>
            <w:r w:rsidR="00A939EE" w:rsidRPr="00DD6E6B">
              <w:rPr>
                <w:spacing w:val="-4"/>
                <w:lang w:val="en-GB"/>
              </w:rPr>
              <w:t>.</w:t>
            </w:r>
            <w:r w:rsidR="00674BAC" w:rsidRPr="00DD6E6B">
              <w:rPr>
                <w:spacing w:val="-4"/>
                <w:lang w:val="en-GB"/>
              </w:rPr>
              <w:t xml:space="preserve">8%), </w:t>
            </w:r>
            <w:r w:rsidR="00361E1B" w:rsidRPr="00DD6E6B">
              <w:rPr>
                <w:spacing w:val="-4"/>
                <w:lang w:val="en-GB"/>
              </w:rPr>
              <w:t xml:space="preserve">electrical equipment </w:t>
            </w:r>
            <w:r w:rsidR="00674BAC" w:rsidRPr="00DD6E6B">
              <w:rPr>
                <w:spacing w:val="-4"/>
                <w:lang w:val="en-GB"/>
              </w:rPr>
              <w:t>(+40</w:t>
            </w:r>
            <w:r w:rsidR="00361E1B" w:rsidRPr="00DD6E6B">
              <w:rPr>
                <w:spacing w:val="-4"/>
                <w:lang w:val="en-GB"/>
              </w:rPr>
              <w:t>.</w:t>
            </w:r>
            <w:r w:rsidR="00674BAC" w:rsidRPr="00DD6E6B">
              <w:rPr>
                <w:spacing w:val="-4"/>
                <w:lang w:val="en-GB"/>
              </w:rPr>
              <w:t>7</w:t>
            </w:r>
            <w:r w:rsidR="00361E1B" w:rsidRPr="00DD6E6B">
              <w:rPr>
                <w:spacing w:val="-4"/>
                <w:lang w:val="en-GB"/>
              </w:rPr>
              <w:t xml:space="preserve"> bn</w:t>
            </w:r>
            <w:r w:rsidR="00674BAC" w:rsidRPr="00DD6E6B">
              <w:rPr>
                <w:spacing w:val="-4"/>
                <w:lang w:val="en-GB"/>
              </w:rPr>
              <w:t xml:space="preserve">, </w:t>
            </w:r>
            <w:r w:rsidR="00674BAC" w:rsidRPr="00DD6E6B">
              <w:rPr>
                <w:spacing w:val="-4"/>
                <w:lang w:val="en-GB"/>
              </w:rPr>
              <w:br/>
              <w:t>20</w:t>
            </w:r>
            <w:r w:rsidR="00361E1B" w:rsidRPr="00DD6E6B">
              <w:rPr>
                <w:spacing w:val="-4"/>
                <w:lang w:val="en-GB"/>
              </w:rPr>
              <w:t>.</w:t>
            </w:r>
            <w:r w:rsidR="00674BAC" w:rsidRPr="00DD6E6B">
              <w:rPr>
                <w:spacing w:val="-4"/>
                <w:lang w:val="en-GB"/>
              </w:rPr>
              <w:t>7%),</w:t>
            </w:r>
            <w:r w:rsidR="00361E1B" w:rsidRPr="00DD6E6B">
              <w:rPr>
                <w:spacing w:val="-4"/>
                <w:lang w:val="en-GB"/>
              </w:rPr>
              <w:t xml:space="preserve"> machinery and equipment </w:t>
            </w:r>
            <w:r w:rsidR="00674BAC" w:rsidRPr="00DD6E6B">
              <w:rPr>
                <w:spacing w:val="-4"/>
                <w:lang w:val="en-GB"/>
              </w:rPr>
              <w:t>(+27</w:t>
            </w:r>
            <w:r w:rsidR="00361E1B" w:rsidRPr="00DD6E6B">
              <w:rPr>
                <w:spacing w:val="-4"/>
                <w:lang w:val="en-GB"/>
              </w:rPr>
              <w:t>.</w:t>
            </w:r>
            <w:r w:rsidR="00674BAC" w:rsidRPr="00DD6E6B">
              <w:rPr>
                <w:spacing w:val="-4"/>
                <w:lang w:val="en-GB"/>
              </w:rPr>
              <w:t>0</w:t>
            </w:r>
            <w:r w:rsidR="00361E1B" w:rsidRPr="00DD6E6B">
              <w:rPr>
                <w:spacing w:val="-4"/>
                <w:lang w:val="en-GB"/>
              </w:rPr>
              <w:t xml:space="preserve"> bn,</w:t>
            </w:r>
            <w:r w:rsidR="00674BAC" w:rsidRPr="00DD6E6B">
              <w:rPr>
                <w:spacing w:val="-4"/>
                <w:lang w:val="en-GB"/>
              </w:rPr>
              <w:t xml:space="preserve"> 11</w:t>
            </w:r>
            <w:r w:rsidR="00361E1B" w:rsidRPr="00DD6E6B">
              <w:rPr>
                <w:spacing w:val="-4"/>
                <w:lang w:val="en-GB"/>
              </w:rPr>
              <w:t>.</w:t>
            </w:r>
            <w:r w:rsidR="00674BAC" w:rsidRPr="00DD6E6B">
              <w:rPr>
                <w:spacing w:val="-4"/>
                <w:lang w:val="en-GB"/>
              </w:rPr>
              <w:t>1%) a</w:t>
            </w:r>
            <w:r w:rsidR="00361E1B" w:rsidRPr="00DD6E6B">
              <w:rPr>
                <w:spacing w:val="-4"/>
                <w:lang w:val="en-GB"/>
              </w:rPr>
              <w:t xml:space="preserve">nd food products </w:t>
            </w:r>
            <w:r w:rsidR="00674BAC" w:rsidRPr="00DD6E6B">
              <w:rPr>
                <w:spacing w:val="-4"/>
                <w:lang w:val="en-GB"/>
              </w:rPr>
              <w:t>(+12</w:t>
            </w:r>
            <w:r w:rsidR="00361E1B" w:rsidRPr="00DD6E6B">
              <w:rPr>
                <w:spacing w:val="-4"/>
                <w:lang w:val="en-GB"/>
              </w:rPr>
              <w:t>.</w:t>
            </w:r>
            <w:r w:rsidR="00674BAC" w:rsidRPr="00DD6E6B">
              <w:rPr>
                <w:spacing w:val="-4"/>
                <w:lang w:val="en-GB"/>
              </w:rPr>
              <w:t>0</w:t>
            </w:r>
            <w:r w:rsidR="00361E1B" w:rsidRPr="00DD6E6B">
              <w:rPr>
                <w:spacing w:val="-4"/>
                <w:lang w:val="en-GB"/>
              </w:rPr>
              <w:t xml:space="preserve"> bn</w:t>
            </w:r>
            <w:r w:rsidR="00674BAC" w:rsidRPr="00DD6E6B">
              <w:rPr>
                <w:spacing w:val="-4"/>
                <w:lang w:val="en-GB"/>
              </w:rPr>
              <w:t xml:space="preserve">, </w:t>
            </w:r>
            <w:r w:rsidR="00674BAC" w:rsidRPr="00DD6E6B">
              <w:rPr>
                <w:spacing w:val="-4"/>
                <w:lang w:val="en-GB"/>
              </w:rPr>
              <w:br/>
              <w:t>17</w:t>
            </w:r>
            <w:r w:rsidR="00361E1B" w:rsidRPr="00DD6E6B">
              <w:rPr>
                <w:spacing w:val="-4"/>
                <w:lang w:val="en-GB"/>
              </w:rPr>
              <w:t>.</w:t>
            </w:r>
            <w:r w:rsidR="00674BAC" w:rsidRPr="00DD6E6B">
              <w:rPr>
                <w:spacing w:val="-4"/>
                <w:lang w:val="en-GB"/>
              </w:rPr>
              <w:t>3%)</w:t>
            </w:r>
            <w:r w:rsidR="00361E1B" w:rsidRPr="00DD6E6B">
              <w:rPr>
                <w:spacing w:val="-4"/>
                <w:lang w:val="en-GB"/>
              </w:rPr>
              <w:t xml:space="preserve"> contributed the most to the total year-on-year growth of the value of export of goods in H1</w:t>
            </w:r>
            <w:r w:rsidR="00674BAC" w:rsidRPr="00DD6E6B">
              <w:rPr>
                <w:spacing w:val="-4"/>
                <w:lang w:val="en-GB"/>
              </w:rPr>
              <w:t xml:space="preserve">. </w:t>
            </w:r>
            <w:r w:rsidR="00FB4D91" w:rsidRPr="00DD6E6B">
              <w:rPr>
                <w:spacing w:val="-4"/>
                <w:lang w:val="en-GB"/>
              </w:rPr>
              <w:t xml:space="preserve">On the contrary </w:t>
            </w:r>
            <w:r w:rsidR="00164FC1" w:rsidRPr="00DD6E6B">
              <w:rPr>
                <w:spacing w:val="-4"/>
                <w:lang w:val="en-GB"/>
              </w:rPr>
              <w:t xml:space="preserve">resulting from the </w:t>
            </w:r>
            <w:r w:rsidR="00D260B0" w:rsidRPr="00DD6E6B">
              <w:rPr>
                <w:spacing w:val="-4"/>
                <w:lang w:val="en-GB"/>
              </w:rPr>
              <w:t xml:space="preserve">decrease of prices, the value of export of electricity, </w:t>
            </w:r>
            <w:r w:rsidR="006C6847" w:rsidRPr="00DD6E6B">
              <w:rPr>
                <w:spacing w:val="-4"/>
                <w:lang w:val="en-GB"/>
              </w:rPr>
              <w:t xml:space="preserve">gas, steam and air conditioning </w:t>
            </w:r>
            <w:r w:rsidR="008C5BD3">
              <w:rPr>
                <w:spacing w:val="-4"/>
                <w:lang w:val="en-GB"/>
              </w:rPr>
              <w:t>(</w:t>
            </w:r>
            <w:r w:rsidR="008C5BD3">
              <w:rPr>
                <w:color w:val="000000"/>
                <w:shd w:val="clear" w:color="auto" w:fill="FFFFFF"/>
              </w:rPr>
              <w:t>–</w:t>
            </w:r>
            <w:r w:rsidR="00674BAC" w:rsidRPr="00DD6E6B">
              <w:rPr>
                <w:spacing w:val="-4"/>
                <w:lang w:val="en-GB"/>
              </w:rPr>
              <w:t>20</w:t>
            </w:r>
            <w:r w:rsidR="006C6847" w:rsidRPr="00DD6E6B">
              <w:rPr>
                <w:spacing w:val="-4"/>
                <w:lang w:val="en-GB"/>
              </w:rPr>
              <w:t>.</w:t>
            </w:r>
            <w:r w:rsidR="00674BAC" w:rsidRPr="00DD6E6B">
              <w:rPr>
                <w:spacing w:val="-4"/>
                <w:lang w:val="en-GB"/>
              </w:rPr>
              <w:t>7</w:t>
            </w:r>
            <w:r w:rsidR="006C6847" w:rsidRPr="00DD6E6B">
              <w:rPr>
                <w:spacing w:val="-4"/>
                <w:lang w:val="en-GB"/>
              </w:rPr>
              <w:t xml:space="preserve"> CZK bn</w:t>
            </w:r>
            <w:r w:rsidR="008C5BD3">
              <w:rPr>
                <w:spacing w:val="-4"/>
                <w:lang w:val="en-GB"/>
              </w:rPr>
              <w:t xml:space="preserve">, </w:t>
            </w:r>
            <w:r w:rsidR="008C5BD3">
              <w:rPr>
                <w:color w:val="000000"/>
                <w:shd w:val="clear" w:color="auto" w:fill="FFFFFF"/>
              </w:rPr>
              <w:t>–</w:t>
            </w:r>
            <w:r w:rsidR="00674BAC" w:rsidRPr="00DD6E6B">
              <w:rPr>
                <w:spacing w:val="-4"/>
                <w:lang w:val="en-GB"/>
              </w:rPr>
              <w:t>43</w:t>
            </w:r>
            <w:r w:rsidR="006C6847" w:rsidRPr="00DD6E6B">
              <w:rPr>
                <w:spacing w:val="-4"/>
                <w:lang w:val="en-GB"/>
              </w:rPr>
              <w:t>.</w:t>
            </w:r>
            <w:r w:rsidR="00674BAC" w:rsidRPr="00DD6E6B">
              <w:rPr>
                <w:spacing w:val="-4"/>
                <w:lang w:val="en-GB"/>
              </w:rPr>
              <w:t xml:space="preserve">3%), </w:t>
            </w:r>
            <w:r w:rsidR="006C6847" w:rsidRPr="00DD6E6B">
              <w:rPr>
                <w:spacing w:val="-4"/>
                <w:lang w:val="en-GB"/>
              </w:rPr>
              <w:t xml:space="preserve">basic metals </w:t>
            </w:r>
            <w:r w:rsidR="008C5BD3">
              <w:rPr>
                <w:spacing w:val="-4"/>
                <w:lang w:val="en-GB"/>
              </w:rPr>
              <w:t>(</w:t>
            </w:r>
            <w:r w:rsidR="008C5BD3">
              <w:rPr>
                <w:color w:val="000000"/>
                <w:shd w:val="clear" w:color="auto" w:fill="FFFFFF"/>
              </w:rPr>
              <w:t>–</w:t>
            </w:r>
            <w:r w:rsidR="00674BAC" w:rsidRPr="00DD6E6B">
              <w:rPr>
                <w:spacing w:val="-4"/>
                <w:lang w:val="en-GB"/>
              </w:rPr>
              <w:t>20</w:t>
            </w:r>
            <w:r w:rsidR="006C6847" w:rsidRPr="00DD6E6B">
              <w:rPr>
                <w:spacing w:val="-4"/>
                <w:lang w:val="en-GB"/>
              </w:rPr>
              <w:t>.</w:t>
            </w:r>
            <w:r w:rsidR="00674BAC" w:rsidRPr="00DD6E6B">
              <w:rPr>
                <w:spacing w:val="-4"/>
                <w:lang w:val="en-GB"/>
              </w:rPr>
              <w:t>1</w:t>
            </w:r>
            <w:r w:rsidR="006C6847"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18</w:t>
            </w:r>
            <w:r w:rsidR="006C6847" w:rsidRPr="00DD6E6B">
              <w:rPr>
                <w:spacing w:val="-4"/>
                <w:lang w:val="en-GB"/>
              </w:rPr>
              <w:t>.</w:t>
            </w:r>
            <w:r w:rsidR="00674BAC" w:rsidRPr="00DD6E6B">
              <w:rPr>
                <w:spacing w:val="-4"/>
                <w:lang w:val="en-GB"/>
              </w:rPr>
              <w:t>6%)</w:t>
            </w:r>
            <w:r w:rsidR="006C6847" w:rsidRPr="00DD6E6B">
              <w:rPr>
                <w:spacing w:val="-4"/>
                <w:lang w:val="en-GB"/>
              </w:rPr>
              <w:t xml:space="preserve"> as well as chemical substances and products </w:t>
            </w:r>
            <w:r w:rsidR="008C5BD3">
              <w:rPr>
                <w:spacing w:val="-4"/>
                <w:lang w:val="en-GB"/>
              </w:rPr>
              <w:t>(</w:t>
            </w:r>
            <w:r w:rsidR="008C5BD3">
              <w:rPr>
                <w:color w:val="000000"/>
                <w:shd w:val="clear" w:color="auto" w:fill="FFFFFF"/>
              </w:rPr>
              <w:t>–</w:t>
            </w:r>
            <w:r w:rsidR="00674BAC" w:rsidRPr="00DD6E6B">
              <w:rPr>
                <w:spacing w:val="-4"/>
                <w:lang w:val="en-GB"/>
              </w:rPr>
              <w:t>17</w:t>
            </w:r>
            <w:r w:rsidR="006C6847" w:rsidRPr="00DD6E6B">
              <w:rPr>
                <w:spacing w:val="-4"/>
                <w:lang w:val="en-GB"/>
              </w:rPr>
              <w:t>.</w:t>
            </w:r>
            <w:r w:rsidR="00674BAC" w:rsidRPr="00DD6E6B">
              <w:rPr>
                <w:spacing w:val="-4"/>
                <w:lang w:val="en-GB"/>
              </w:rPr>
              <w:t>8</w:t>
            </w:r>
            <w:r w:rsidR="006C6847"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14</w:t>
            </w:r>
            <w:r w:rsidR="006C6847" w:rsidRPr="00DD6E6B">
              <w:rPr>
                <w:spacing w:val="-4"/>
                <w:lang w:val="en-GB"/>
              </w:rPr>
              <w:t>.</w:t>
            </w:r>
            <w:r w:rsidR="00674BAC" w:rsidRPr="00DD6E6B">
              <w:rPr>
                <w:spacing w:val="-4"/>
                <w:lang w:val="en-GB"/>
              </w:rPr>
              <w:t>6%)</w:t>
            </w:r>
            <w:r w:rsidR="00D260B0" w:rsidRPr="00DD6E6B">
              <w:rPr>
                <w:spacing w:val="-4"/>
                <w:lang w:val="en-GB"/>
              </w:rPr>
              <w:t xml:space="preserve"> registered decline</w:t>
            </w:r>
            <w:r w:rsidR="00674BAC" w:rsidRPr="00DD6E6B">
              <w:rPr>
                <w:spacing w:val="-4"/>
                <w:lang w:val="en-GB"/>
              </w:rPr>
              <w:t xml:space="preserve">. </w:t>
            </w:r>
            <w:r w:rsidR="001D5D75" w:rsidRPr="00DD6E6B">
              <w:rPr>
                <w:spacing w:val="-4"/>
                <w:lang w:val="en-GB"/>
              </w:rPr>
              <w:t>The individual view of Q</w:t>
            </w:r>
            <w:r w:rsidR="00674BAC" w:rsidRPr="00DD6E6B">
              <w:rPr>
                <w:spacing w:val="-4"/>
                <w:lang w:val="en-GB"/>
              </w:rPr>
              <w:t>2</w:t>
            </w:r>
            <w:r w:rsidR="001D5D75" w:rsidRPr="00DD6E6B">
              <w:rPr>
                <w:spacing w:val="-4"/>
                <w:lang w:val="en-GB"/>
              </w:rPr>
              <w:t xml:space="preserve"> indicates, that the development of export confirms the similar trend in industry </w:t>
            </w:r>
            <w:r w:rsidR="00674BAC" w:rsidRPr="00DD6E6B">
              <w:rPr>
                <w:spacing w:val="-4"/>
                <w:lang w:val="en-GB"/>
              </w:rPr>
              <w:t xml:space="preserve">– </w:t>
            </w:r>
            <w:r w:rsidR="00A45014" w:rsidRPr="00DD6E6B">
              <w:rPr>
                <w:spacing w:val="-4"/>
                <w:lang w:val="en-GB"/>
              </w:rPr>
              <w:t xml:space="preserve">the export of motor vehicles </w:t>
            </w:r>
            <w:r w:rsidR="00674BAC" w:rsidRPr="00DD6E6B">
              <w:rPr>
                <w:spacing w:val="-4"/>
                <w:lang w:val="en-GB"/>
              </w:rPr>
              <w:t>(+55</w:t>
            </w:r>
            <w:r w:rsidR="00A45014" w:rsidRPr="00DD6E6B">
              <w:rPr>
                <w:spacing w:val="-4"/>
                <w:lang w:val="en-GB"/>
              </w:rPr>
              <w:t>.</w:t>
            </w:r>
            <w:r w:rsidR="00674BAC" w:rsidRPr="00DD6E6B">
              <w:rPr>
                <w:spacing w:val="-4"/>
                <w:lang w:val="en-GB"/>
              </w:rPr>
              <w:t>7</w:t>
            </w:r>
            <w:r w:rsidR="00A45014" w:rsidRPr="00DD6E6B">
              <w:rPr>
                <w:spacing w:val="-4"/>
                <w:lang w:val="en-GB"/>
              </w:rPr>
              <w:t xml:space="preserve"> CZK bn</w:t>
            </w:r>
            <w:r w:rsidR="00674BAC" w:rsidRPr="00DD6E6B">
              <w:rPr>
                <w:spacing w:val="-4"/>
                <w:lang w:val="en-GB"/>
              </w:rPr>
              <w:t>, 20</w:t>
            </w:r>
            <w:r w:rsidR="00A45014" w:rsidRPr="00DD6E6B">
              <w:rPr>
                <w:spacing w:val="-4"/>
                <w:lang w:val="en-GB"/>
              </w:rPr>
              <w:t>.</w:t>
            </w:r>
            <w:r w:rsidR="00674BAC" w:rsidRPr="00DD6E6B">
              <w:rPr>
                <w:spacing w:val="-4"/>
                <w:lang w:val="en-GB"/>
              </w:rPr>
              <w:t>5%)</w:t>
            </w:r>
            <w:r w:rsidR="00A45014" w:rsidRPr="00DD6E6B">
              <w:rPr>
                <w:spacing w:val="-4"/>
                <w:lang w:val="en-GB"/>
              </w:rPr>
              <w:t xml:space="preserve"> and limited group of </w:t>
            </w:r>
            <w:r w:rsidR="000A6546" w:rsidRPr="00DD6E6B">
              <w:rPr>
                <w:spacing w:val="-4"/>
                <w:lang w:val="en-GB"/>
              </w:rPr>
              <w:t xml:space="preserve">sub-branches such as electrical appliances </w:t>
            </w:r>
            <w:r w:rsidR="00674BAC" w:rsidRPr="00DD6E6B">
              <w:rPr>
                <w:spacing w:val="-4"/>
                <w:lang w:val="en-GB"/>
              </w:rPr>
              <w:t>(+14</w:t>
            </w:r>
            <w:r w:rsidR="000A6546" w:rsidRPr="00DD6E6B">
              <w:rPr>
                <w:spacing w:val="-4"/>
                <w:lang w:val="en-GB"/>
              </w:rPr>
              <w:t>.</w:t>
            </w:r>
            <w:r w:rsidR="00674BAC" w:rsidRPr="00DD6E6B">
              <w:rPr>
                <w:spacing w:val="-4"/>
                <w:lang w:val="en-GB"/>
              </w:rPr>
              <w:t xml:space="preserve">2 </w:t>
            </w:r>
            <w:r w:rsidR="000A6546" w:rsidRPr="00DD6E6B">
              <w:rPr>
                <w:spacing w:val="-4"/>
                <w:lang w:val="en-GB"/>
              </w:rPr>
              <w:t>bn</w:t>
            </w:r>
            <w:r w:rsidR="00674BAC" w:rsidRPr="00DD6E6B">
              <w:rPr>
                <w:spacing w:val="-4"/>
                <w:lang w:val="en-GB"/>
              </w:rPr>
              <w:t>, 14</w:t>
            </w:r>
            <w:r w:rsidR="000A6546" w:rsidRPr="00DD6E6B">
              <w:rPr>
                <w:spacing w:val="-4"/>
                <w:lang w:val="en-GB"/>
              </w:rPr>
              <w:t>.</w:t>
            </w:r>
            <w:r w:rsidR="00674BAC" w:rsidRPr="00DD6E6B">
              <w:rPr>
                <w:spacing w:val="-4"/>
                <w:lang w:val="en-GB"/>
              </w:rPr>
              <w:t xml:space="preserve">0%), </w:t>
            </w:r>
            <w:r w:rsidR="000A6546" w:rsidRPr="00DD6E6B">
              <w:rPr>
                <w:spacing w:val="-4"/>
                <w:lang w:val="en-GB"/>
              </w:rPr>
              <w:t xml:space="preserve">or machinery and equipment </w:t>
            </w:r>
            <w:r w:rsidR="00674BAC" w:rsidRPr="00DD6E6B">
              <w:rPr>
                <w:spacing w:val="-4"/>
                <w:lang w:val="en-GB"/>
              </w:rPr>
              <w:t>(+9</w:t>
            </w:r>
            <w:r w:rsidR="000A6546" w:rsidRPr="00DD6E6B">
              <w:rPr>
                <w:spacing w:val="-4"/>
                <w:lang w:val="en-GB"/>
              </w:rPr>
              <w:t>.</w:t>
            </w:r>
            <w:r w:rsidR="00674BAC" w:rsidRPr="00DD6E6B">
              <w:rPr>
                <w:spacing w:val="-4"/>
                <w:lang w:val="en-GB"/>
              </w:rPr>
              <w:t>4</w:t>
            </w:r>
            <w:r w:rsidR="000A6546" w:rsidRPr="00DD6E6B">
              <w:rPr>
                <w:spacing w:val="-4"/>
                <w:lang w:val="en-GB"/>
              </w:rPr>
              <w:t xml:space="preserve"> bn</w:t>
            </w:r>
            <w:r w:rsidR="00674BAC" w:rsidRPr="00DD6E6B">
              <w:rPr>
                <w:spacing w:val="-4"/>
                <w:lang w:val="en-GB"/>
              </w:rPr>
              <w:t>, 7</w:t>
            </w:r>
            <w:r w:rsidR="000A6546" w:rsidRPr="00DD6E6B">
              <w:rPr>
                <w:spacing w:val="-4"/>
                <w:lang w:val="en-GB"/>
              </w:rPr>
              <w:t>.</w:t>
            </w:r>
            <w:r w:rsidR="00674BAC" w:rsidRPr="00DD6E6B">
              <w:rPr>
                <w:spacing w:val="-4"/>
                <w:lang w:val="en-GB"/>
              </w:rPr>
              <w:t>5%)</w:t>
            </w:r>
            <w:r w:rsidR="00A45014" w:rsidRPr="00DD6E6B">
              <w:rPr>
                <w:spacing w:val="-4"/>
                <w:lang w:val="en-GB"/>
              </w:rPr>
              <w:t xml:space="preserve"> worked significantly in the direction of growth</w:t>
            </w:r>
            <w:r w:rsidR="00674BAC" w:rsidRPr="00DD6E6B">
              <w:rPr>
                <w:spacing w:val="-4"/>
                <w:lang w:val="en-GB"/>
              </w:rPr>
              <w:t xml:space="preserve">. </w:t>
            </w:r>
            <w:r w:rsidR="005B6768" w:rsidRPr="00DD6E6B">
              <w:rPr>
                <w:spacing w:val="-4"/>
                <w:lang w:val="en-GB"/>
              </w:rPr>
              <w:t xml:space="preserve">Due to rising prices only export of food products </w:t>
            </w:r>
            <w:r w:rsidR="005669F6" w:rsidRPr="00DD6E6B">
              <w:rPr>
                <w:spacing w:val="-4"/>
                <w:lang w:val="en-GB"/>
              </w:rPr>
              <w:t xml:space="preserve">kept further growing </w:t>
            </w:r>
            <w:r w:rsidR="00674BAC" w:rsidRPr="00DD6E6B">
              <w:rPr>
                <w:spacing w:val="-4"/>
                <w:lang w:val="en-GB"/>
              </w:rPr>
              <w:t>(+3</w:t>
            </w:r>
            <w:r w:rsidR="005669F6" w:rsidRPr="00DD6E6B">
              <w:rPr>
                <w:spacing w:val="-4"/>
                <w:lang w:val="en-GB"/>
              </w:rPr>
              <w:t>.</w:t>
            </w:r>
            <w:r w:rsidR="00674BAC" w:rsidRPr="00DD6E6B">
              <w:rPr>
                <w:spacing w:val="-4"/>
                <w:lang w:val="en-GB"/>
              </w:rPr>
              <w:t>8</w:t>
            </w:r>
            <w:r w:rsidR="005669F6" w:rsidRPr="00DD6E6B">
              <w:rPr>
                <w:spacing w:val="-4"/>
                <w:lang w:val="en-GB"/>
              </w:rPr>
              <w:t xml:space="preserve"> CZK bn</w:t>
            </w:r>
            <w:r w:rsidR="00674BAC" w:rsidRPr="00DD6E6B">
              <w:rPr>
                <w:spacing w:val="-4"/>
                <w:lang w:val="en-GB"/>
              </w:rPr>
              <w:t>, 10</w:t>
            </w:r>
            <w:r w:rsidR="005669F6" w:rsidRPr="00DD6E6B">
              <w:rPr>
                <w:spacing w:val="-4"/>
                <w:lang w:val="en-GB"/>
              </w:rPr>
              <w:t>.</w:t>
            </w:r>
            <w:r w:rsidR="00674BAC" w:rsidRPr="00DD6E6B">
              <w:rPr>
                <w:spacing w:val="-4"/>
                <w:lang w:val="en-GB"/>
              </w:rPr>
              <w:t>5%).</w:t>
            </w:r>
            <w:r w:rsidR="005669F6" w:rsidRPr="00DD6E6B">
              <w:rPr>
                <w:spacing w:val="-4"/>
                <w:lang w:val="en-GB"/>
              </w:rPr>
              <w:t xml:space="preserve"> </w:t>
            </w:r>
            <w:r w:rsidR="008C5BD3">
              <w:rPr>
                <w:spacing w:val="-4"/>
                <w:lang w:val="en-GB"/>
              </w:rPr>
              <w:t>The rest of export </w:t>
            </w:r>
            <w:r w:rsidR="001F2637" w:rsidRPr="00DD6E6B">
              <w:rPr>
                <w:spacing w:val="-4"/>
                <w:lang w:val="en-GB"/>
              </w:rPr>
              <w:t xml:space="preserve">showed stagnation or decrease. </w:t>
            </w:r>
            <w:r w:rsidR="00AD2218" w:rsidRPr="00DD6E6B">
              <w:rPr>
                <w:spacing w:val="-4"/>
                <w:lang w:val="en-GB"/>
              </w:rPr>
              <w:t xml:space="preserve">The value of export of basic metals </w:t>
            </w:r>
            <w:r w:rsidR="008C5BD3">
              <w:rPr>
                <w:spacing w:val="-4"/>
                <w:lang w:val="en-GB"/>
              </w:rPr>
              <w:t>(</w:t>
            </w:r>
            <w:r w:rsidR="008C5BD3">
              <w:rPr>
                <w:color w:val="000000"/>
                <w:shd w:val="clear" w:color="auto" w:fill="FFFFFF"/>
              </w:rPr>
              <w:t>–</w:t>
            </w:r>
            <w:r w:rsidR="00674BAC" w:rsidRPr="00DD6E6B">
              <w:rPr>
                <w:spacing w:val="-4"/>
                <w:lang w:val="en-GB"/>
              </w:rPr>
              <w:t>14</w:t>
            </w:r>
            <w:r w:rsidR="00AD2218" w:rsidRPr="00DD6E6B">
              <w:rPr>
                <w:spacing w:val="-4"/>
                <w:lang w:val="en-GB"/>
              </w:rPr>
              <w:t>.</w:t>
            </w:r>
            <w:r w:rsidR="00674BAC" w:rsidRPr="00DD6E6B">
              <w:rPr>
                <w:spacing w:val="-4"/>
                <w:lang w:val="en-GB"/>
              </w:rPr>
              <w:t>0</w:t>
            </w:r>
            <w:r w:rsidR="00AD2218" w:rsidRPr="00DD6E6B">
              <w:rPr>
                <w:spacing w:val="-4"/>
                <w:lang w:val="en-GB"/>
              </w:rPr>
              <w:t xml:space="preserve"> CZK bn</w:t>
            </w:r>
            <w:r w:rsidR="008C5BD3">
              <w:rPr>
                <w:spacing w:val="-4"/>
                <w:lang w:val="en-GB"/>
              </w:rPr>
              <w:t xml:space="preserve">, </w:t>
            </w:r>
            <w:r w:rsidR="008C5BD3">
              <w:rPr>
                <w:color w:val="000000"/>
                <w:shd w:val="clear" w:color="auto" w:fill="FFFFFF"/>
              </w:rPr>
              <w:t>–</w:t>
            </w:r>
            <w:r w:rsidR="00674BAC" w:rsidRPr="00DD6E6B">
              <w:rPr>
                <w:spacing w:val="-4"/>
                <w:lang w:val="en-GB"/>
              </w:rPr>
              <w:t>24</w:t>
            </w:r>
            <w:r w:rsidR="00AD2218" w:rsidRPr="00DD6E6B">
              <w:rPr>
                <w:spacing w:val="-4"/>
                <w:lang w:val="en-GB"/>
              </w:rPr>
              <w:t>.</w:t>
            </w:r>
            <w:r w:rsidR="00674BAC" w:rsidRPr="00DD6E6B">
              <w:rPr>
                <w:spacing w:val="-4"/>
                <w:lang w:val="en-GB"/>
              </w:rPr>
              <w:t>9%), chemic</w:t>
            </w:r>
            <w:r w:rsidR="00AD2218" w:rsidRPr="00DD6E6B">
              <w:rPr>
                <w:spacing w:val="-4"/>
                <w:lang w:val="en-GB"/>
              </w:rPr>
              <w:t xml:space="preserve">al substances and products </w:t>
            </w:r>
            <w:r w:rsidR="008C5BD3">
              <w:rPr>
                <w:spacing w:val="-4"/>
                <w:lang w:val="en-GB"/>
              </w:rPr>
              <w:t>(</w:t>
            </w:r>
            <w:r w:rsidR="008C5BD3">
              <w:rPr>
                <w:color w:val="000000"/>
                <w:shd w:val="clear" w:color="auto" w:fill="FFFFFF"/>
              </w:rPr>
              <w:t>–</w:t>
            </w:r>
            <w:r w:rsidR="00674BAC" w:rsidRPr="00DD6E6B">
              <w:rPr>
                <w:spacing w:val="-4"/>
                <w:lang w:val="en-GB"/>
              </w:rPr>
              <w:t>12</w:t>
            </w:r>
            <w:r w:rsidR="00AD2218" w:rsidRPr="00DD6E6B">
              <w:rPr>
                <w:spacing w:val="-4"/>
                <w:lang w:val="en-GB"/>
              </w:rPr>
              <w:t>.</w:t>
            </w:r>
            <w:r w:rsidR="00674BAC" w:rsidRPr="00DD6E6B">
              <w:rPr>
                <w:spacing w:val="-4"/>
                <w:lang w:val="en-GB"/>
              </w:rPr>
              <w:t>4</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19</w:t>
            </w:r>
            <w:r w:rsidR="00AD2218" w:rsidRPr="00DD6E6B">
              <w:rPr>
                <w:spacing w:val="-4"/>
                <w:lang w:val="en-GB"/>
              </w:rPr>
              <w:t>.</w:t>
            </w:r>
            <w:r w:rsidR="00674BAC" w:rsidRPr="00DD6E6B">
              <w:rPr>
                <w:spacing w:val="-4"/>
                <w:lang w:val="en-GB"/>
              </w:rPr>
              <w:t>7%) a</w:t>
            </w:r>
            <w:r w:rsidR="00AD2218" w:rsidRPr="00DD6E6B">
              <w:rPr>
                <w:spacing w:val="-4"/>
                <w:lang w:val="en-GB"/>
              </w:rPr>
              <w:t xml:space="preserve">nd electricity, gas, steam and air conditioning </w:t>
            </w:r>
            <w:r w:rsidR="008C5BD3">
              <w:rPr>
                <w:spacing w:val="-4"/>
                <w:lang w:val="en-GB"/>
              </w:rPr>
              <w:t>(</w:t>
            </w:r>
            <w:r w:rsidR="008C5BD3">
              <w:rPr>
                <w:color w:val="000000"/>
                <w:shd w:val="clear" w:color="auto" w:fill="FFFFFF"/>
              </w:rPr>
              <w:t>–</w:t>
            </w:r>
            <w:r w:rsidR="00674BAC" w:rsidRPr="00DD6E6B">
              <w:rPr>
                <w:spacing w:val="-4"/>
                <w:lang w:val="en-GB"/>
              </w:rPr>
              <w:t>11</w:t>
            </w:r>
            <w:r w:rsidR="00AD2218" w:rsidRPr="00DD6E6B">
              <w:rPr>
                <w:spacing w:val="-4"/>
                <w:lang w:val="en-GB"/>
              </w:rPr>
              <w:t>.</w:t>
            </w:r>
            <w:r w:rsidR="00674BAC" w:rsidRPr="00DD6E6B">
              <w:rPr>
                <w:spacing w:val="-4"/>
                <w:lang w:val="en-GB"/>
              </w:rPr>
              <w:t>9</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56</w:t>
            </w:r>
            <w:r w:rsidR="00AD2218" w:rsidRPr="00DD6E6B">
              <w:rPr>
                <w:spacing w:val="-4"/>
                <w:lang w:val="en-GB"/>
              </w:rPr>
              <w:t>.</w:t>
            </w:r>
            <w:r w:rsidR="008C5BD3">
              <w:rPr>
                <w:spacing w:val="-4"/>
                <w:lang w:val="en-GB"/>
              </w:rPr>
              <w:t>1</w:t>
            </w:r>
            <w:r w:rsidR="00674BAC" w:rsidRPr="00DD6E6B">
              <w:rPr>
                <w:spacing w:val="-4"/>
                <w:lang w:val="en-GB"/>
              </w:rPr>
              <w:t>%)</w:t>
            </w:r>
            <w:r w:rsidR="00AD2218" w:rsidRPr="00DD6E6B">
              <w:rPr>
                <w:spacing w:val="-4"/>
                <w:lang w:val="en-GB"/>
              </w:rPr>
              <w:t xml:space="preserve"> was falling </w:t>
            </w:r>
            <w:r w:rsidR="0078042D" w:rsidRPr="00DD6E6B">
              <w:rPr>
                <w:spacing w:val="-4"/>
                <w:lang w:val="en-GB"/>
              </w:rPr>
              <w:t>t</w:t>
            </w:r>
            <w:r w:rsidR="00AD2218" w:rsidRPr="00DD6E6B">
              <w:rPr>
                <w:spacing w:val="-4"/>
                <w:lang w:val="en-GB"/>
              </w:rPr>
              <w:t>he most year-on-year in Q2</w:t>
            </w:r>
            <w:r w:rsidR="00674BAC" w:rsidRPr="00DD6E6B">
              <w:rPr>
                <w:spacing w:val="-4"/>
                <w:lang w:val="en-GB"/>
              </w:rPr>
              <w:t>.</w:t>
            </w:r>
            <w:r w:rsidR="008C5BD3">
              <w:rPr>
                <w:spacing w:val="-4"/>
                <w:lang w:val="en-GB"/>
              </w:rPr>
              <w:t xml:space="preserve"> The export </w:t>
            </w:r>
            <w:r w:rsidR="00AD2218" w:rsidRPr="00DD6E6B">
              <w:rPr>
                <w:spacing w:val="-4"/>
                <w:lang w:val="en-GB"/>
              </w:rPr>
              <w:t xml:space="preserve">of wood and wood products </w:t>
            </w:r>
            <w:r w:rsidR="00674BAC" w:rsidRPr="00DD6E6B">
              <w:rPr>
                <w:spacing w:val="-4"/>
                <w:lang w:val="en-GB"/>
              </w:rPr>
              <w:t>(−5</w:t>
            </w:r>
            <w:r w:rsidR="00AD2218" w:rsidRPr="00DD6E6B">
              <w:rPr>
                <w:spacing w:val="-4"/>
                <w:lang w:val="en-GB"/>
              </w:rPr>
              <w:t>.</w:t>
            </w:r>
            <w:r w:rsidR="00674BAC" w:rsidRPr="00DD6E6B">
              <w:rPr>
                <w:spacing w:val="-4"/>
                <w:lang w:val="en-GB"/>
              </w:rPr>
              <w:t>5</w:t>
            </w:r>
            <w:r w:rsidR="00AD2218" w:rsidRPr="00DD6E6B">
              <w:rPr>
                <w:spacing w:val="-4"/>
                <w:lang w:val="en-GB"/>
              </w:rPr>
              <w:t xml:space="preserve"> CZK bn</w:t>
            </w:r>
            <w:r w:rsidR="00674BAC" w:rsidRPr="00DD6E6B">
              <w:rPr>
                <w:spacing w:val="-4"/>
                <w:lang w:val="en-GB"/>
              </w:rPr>
              <w:t>, −31</w:t>
            </w:r>
            <w:r w:rsidR="00AD2218" w:rsidRPr="00DD6E6B">
              <w:rPr>
                <w:spacing w:val="-4"/>
                <w:lang w:val="en-GB"/>
              </w:rPr>
              <w:t>.</w:t>
            </w:r>
            <w:r w:rsidR="008C5BD3">
              <w:rPr>
                <w:spacing w:val="-4"/>
                <w:lang w:val="en-GB"/>
              </w:rPr>
              <w:t>9</w:t>
            </w:r>
            <w:r w:rsidR="00674BAC" w:rsidRPr="00DD6E6B">
              <w:rPr>
                <w:spacing w:val="-4"/>
                <w:lang w:val="en-GB"/>
              </w:rPr>
              <w:t>%),</w:t>
            </w:r>
            <w:r w:rsidR="00AD2218" w:rsidRPr="00DD6E6B">
              <w:rPr>
                <w:spacing w:val="-4"/>
                <w:lang w:val="en-GB"/>
              </w:rPr>
              <w:t xml:space="preserve"> metalworking products </w:t>
            </w:r>
            <w:r w:rsidR="008C5BD3">
              <w:rPr>
                <w:spacing w:val="-4"/>
                <w:lang w:val="en-GB"/>
              </w:rPr>
              <w:t>(</w:t>
            </w:r>
            <w:r w:rsidR="008C5BD3">
              <w:rPr>
                <w:color w:val="000000"/>
                <w:shd w:val="clear" w:color="auto" w:fill="FFFFFF"/>
              </w:rPr>
              <w:t>–</w:t>
            </w:r>
            <w:r w:rsidR="00674BAC" w:rsidRPr="00DD6E6B">
              <w:rPr>
                <w:spacing w:val="-4"/>
                <w:lang w:val="en-GB"/>
              </w:rPr>
              <w:t>5</w:t>
            </w:r>
            <w:r w:rsidR="00AD2218" w:rsidRPr="00DD6E6B">
              <w:rPr>
                <w:spacing w:val="-4"/>
                <w:lang w:val="en-GB"/>
              </w:rPr>
              <w:t>.</w:t>
            </w:r>
            <w:r w:rsidR="00674BAC" w:rsidRPr="00DD6E6B">
              <w:rPr>
                <w:spacing w:val="-4"/>
                <w:lang w:val="en-GB"/>
              </w:rPr>
              <w:t>1</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7</w:t>
            </w:r>
            <w:r w:rsidR="00AD2218" w:rsidRPr="00DD6E6B">
              <w:rPr>
                <w:spacing w:val="-4"/>
                <w:lang w:val="en-GB"/>
              </w:rPr>
              <w:t>.</w:t>
            </w:r>
            <w:r w:rsidR="00674BAC" w:rsidRPr="00DD6E6B">
              <w:rPr>
                <w:spacing w:val="-4"/>
                <w:lang w:val="en-GB"/>
              </w:rPr>
              <w:t xml:space="preserve">0%), </w:t>
            </w:r>
            <w:r w:rsidR="00AD2218" w:rsidRPr="00DD6E6B">
              <w:rPr>
                <w:spacing w:val="-4"/>
                <w:lang w:val="en-GB"/>
              </w:rPr>
              <w:t xml:space="preserve">oil and natural gas </w:t>
            </w:r>
            <w:r w:rsidR="008C5BD3">
              <w:rPr>
                <w:spacing w:val="-4"/>
                <w:lang w:val="en-GB"/>
              </w:rPr>
              <w:t>(</w:t>
            </w:r>
            <w:r w:rsidR="008C5BD3">
              <w:rPr>
                <w:color w:val="000000"/>
                <w:shd w:val="clear" w:color="auto" w:fill="FFFFFF"/>
              </w:rPr>
              <w:t>–</w:t>
            </w:r>
            <w:r w:rsidR="00674BAC" w:rsidRPr="00DD6E6B">
              <w:rPr>
                <w:spacing w:val="-4"/>
                <w:lang w:val="en-GB"/>
              </w:rPr>
              <w:t>5</w:t>
            </w:r>
            <w:r w:rsidR="00AD2218" w:rsidRPr="00DD6E6B">
              <w:rPr>
                <w:spacing w:val="-4"/>
                <w:lang w:val="en-GB"/>
              </w:rPr>
              <w:t>.</w:t>
            </w:r>
            <w:r w:rsidR="00674BAC" w:rsidRPr="00DD6E6B">
              <w:rPr>
                <w:spacing w:val="-4"/>
                <w:lang w:val="en-GB"/>
              </w:rPr>
              <w:t>1</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99</w:t>
            </w:r>
            <w:r w:rsidR="00AD2218" w:rsidRPr="00DD6E6B">
              <w:rPr>
                <w:spacing w:val="-4"/>
                <w:lang w:val="en-GB"/>
              </w:rPr>
              <w:t>.</w:t>
            </w:r>
            <w:r w:rsidR="00674BAC" w:rsidRPr="00DD6E6B">
              <w:rPr>
                <w:spacing w:val="-4"/>
                <w:lang w:val="en-GB"/>
              </w:rPr>
              <w:t>2%),</w:t>
            </w:r>
            <w:r w:rsidR="00AD2218" w:rsidRPr="00DD6E6B">
              <w:rPr>
                <w:spacing w:val="-4"/>
                <w:lang w:val="en-GB"/>
              </w:rPr>
              <w:t xml:space="preserve"> computers, electronic and optical appliances </w:t>
            </w:r>
            <w:r w:rsidR="00674BAC" w:rsidRPr="00DD6E6B">
              <w:rPr>
                <w:spacing w:val="-4"/>
                <w:lang w:val="en-GB"/>
              </w:rPr>
              <w:t>(−4</w:t>
            </w:r>
            <w:r w:rsidR="00AD2218" w:rsidRPr="00DD6E6B">
              <w:rPr>
                <w:spacing w:val="-4"/>
                <w:lang w:val="en-GB"/>
              </w:rPr>
              <w:t>.</w:t>
            </w:r>
            <w:r w:rsidR="00674BAC" w:rsidRPr="00DD6E6B">
              <w:rPr>
                <w:spacing w:val="-4"/>
                <w:lang w:val="en-GB"/>
              </w:rPr>
              <w:t>0</w:t>
            </w:r>
            <w:r w:rsidR="00AD2218" w:rsidRPr="00DD6E6B">
              <w:rPr>
                <w:spacing w:val="-4"/>
                <w:lang w:val="en-GB"/>
              </w:rPr>
              <w:t xml:space="preserve"> bn</w:t>
            </w:r>
            <w:r w:rsidR="00674BAC" w:rsidRPr="00DD6E6B">
              <w:rPr>
                <w:spacing w:val="-4"/>
                <w:lang w:val="en-GB"/>
              </w:rPr>
              <w:t>, −4</w:t>
            </w:r>
            <w:r w:rsidR="00AD2218" w:rsidRPr="00DD6E6B">
              <w:rPr>
                <w:spacing w:val="-4"/>
                <w:lang w:val="en-GB"/>
              </w:rPr>
              <w:t>.</w:t>
            </w:r>
            <w:r w:rsidR="00674BAC" w:rsidRPr="00DD6E6B">
              <w:rPr>
                <w:spacing w:val="-4"/>
                <w:lang w:val="en-GB"/>
              </w:rPr>
              <w:t>2%),</w:t>
            </w:r>
            <w:r w:rsidR="00AD2218" w:rsidRPr="00DD6E6B">
              <w:rPr>
                <w:spacing w:val="-4"/>
                <w:lang w:val="en-GB"/>
              </w:rPr>
              <w:t xml:space="preserve"> activities </w:t>
            </w:r>
            <w:r w:rsidR="0078042D" w:rsidRPr="00DD6E6B">
              <w:rPr>
                <w:spacing w:val="-4"/>
                <w:lang w:val="en-GB"/>
              </w:rPr>
              <w:t xml:space="preserve">of </w:t>
            </w:r>
            <w:r w:rsidR="006E7DB5" w:rsidRPr="00DD6E6B">
              <w:rPr>
                <w:spacing w:val="-4"/>
                <w:lang w:val="en-GB"/>
              </w:rPr>
              <w:t xml:space="preserve">waste collection </w:t>
            </w:r>
            <w:r w:rsidR="008C5BD3">
              <w:rPr>
                <w:spacing w:val="-4"/>
                <w:lang w:val="en-GB"/>
              </w:rPr>
              <w:t>(</w:t>
            </w:r>
            <w:r w:rsidR="008C5BD3">
              <w:rPr>
                <w:color w:val="000000"/>
                <w:shd w:val="clear" w:color="auto" w:fill="FFFFFF"/>
              </w:rPr>
              <w:t>–</w:t>
            </w:r>
            <w:r w:rsidR="00674BAC" w:rsidRPr="00DD6E6B">
              <w:rPr>
                <w:spacing w:val="-4"/>
                <w:lang w:val="en-GB"/>
              </w:rPr>
              <w:t>4</w:t>
            </w:r>
            <w:r w:rsidR="006E7DB5" w:rsidRPr="00DD6E6B">
              <w:rPr>
                <w:spacing w:val="-4"/>
                <w:lang w:val="en-GB"/>
              </w:rPr>
              <w:t>.</w:t>
            </w:r>
            <w:r w:rsidR="00674BAC" w:rsidRPr="00DD6E6B">
              <w:rPr>
                <w:spacing w:val="-4"/>
                <w:lang w:val="en-GB"/>
              </w:rPr>
              <w:t>1</w:t>
            </w:r>
            <w:r w:rsidR="006E7DB5"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27</w:t>
            </w:r>
            <w:r w:rsidR="006E7DB5" w:rsidRPr="00DD6E6B">
              <w:rPr>
                <w:spacing w:val="-4"/>
                <w:lang w:val="en-GB"/>
              </w:rPr>
              <w:t>.</w:t>
            </w:r>
            <w:r w:rsidR="00674BAC" w:rsidRPr="00DD6E6B">
              <w:rPr>
                <w:spacing w:val="-4"/>
                <w:lang w:val="en-GB"/>
              </w:rPr>
              <w:t xml:space="preserve">8%) </w:t>
            </w:r>
            <w:r w:rsidR="006E7DB5" w:rsidRPr="00DD6E6B">
              <w:rPr>
                <w:spacing w:val="-4"/>
                <w:lang w:val="en-GB"/>
              </w:rPr>
              <w:t xml:space="preserve">or products of </w:t>
            </w:r>
            <w:r w:rsidR="00D679AE" w:rsidRPr="00DD6E6B">
              <w:rPr>
                <w:spacing w:val="-4"/>
                <w:lang w:val="en-GB"/>
              </w:rPr>
              <w:t xml:space="preserve">forestry, wood logging and associated services </w:t>
            </w:r>
            <w:r w:rsidR="008C5BD3">
              <w:rPr>
                <w:spacing w:val="-4"/>
                <w:lang w:val="en-GB"/>
              </w:rPr>
              <w:t>(</w:t>
            </w:r>
            <w:r w:rsidR="008C5BD3">
              <w:rPr>
                <w:color w:val="000000"/>
                <w:shd w:val="clear" w:color="auto" w:fill="FFFFFF"/>
              </w:rPr>
              <w:t>–</w:t>
            </w:r>
            <w:r w:rsidR="00674BAC" w:rsidRPr="00DD6E6B">
              <w:rPr>
                <w:spacing w:val="-4"/>
                <w:lang w:val="en-GB"/>
              </w:rPr>
              <w:t>3</w:t>
            </w:r>
            <w:r w:rsidR="00D679AE" w:rsidRPr="00DD6E6B">
              <w:rPr>
                <w:spacing w:val="-4"/>
                <w:lang w:val="en-GB"/>
              </w:rPr>
              <w:t>.</w:t>
            </w:r>
            <w:r w:rsidR="00674BAC" w:rsidRPr="00DD6E6B">
              <w:rPr>
                <w:spacing w:val="-4"/>
                <w:lang w:val="en-GB"/>
              </w:rPr>
              <w:t>8</w:t>
            </w:r>
            <w:r w:rsidR="00D679AE"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52</w:t>
            </w:r>
            <w:r w:rsidR="00D679AE" w:rsidRPr="00DD6E6B">
              <w:rPr>
                <w:spacing w:val="-4"/>
                <w:lang w:val="en-GB"/>
              </w:rPr>
              <w:t>.</w:t>
            </w:r>
            <w:r w:rsidR="00674BAC" w:rsidRPr="00DD6E6B">
              <w:rPr>
                <w:spacing w:val="-4"/>
                <w:lang w:val="en-GB"/>
              </w:rPr>
              <w:t>3%)</w:t>
            </w:r>
            <w:r w:rsidR="00AD2218" w:rsidRPr="00DD6E6B">
              <w:rPr>
                <w:spacing w:val="-4"/>
                <w:lang w:val="en-GB"/>
              </w:rPr>
              <w:t xml:space="preserve"> went also down</w:t>
            </w:r>
            <w:r w:rsidR="00674BAC" w:rsidRPr="00DD6E6B">
              <w:rPr>
                <w:spacing w:val="-4"/>
                <w:lang w:val="en-GB"/>
              </w:rPr>
              <w:t>.</w:t>
            </w:r>
          </w:p>
        </w:tc>
      </w:tr>
      <w:tr w:rsidR="00674BAC" w:rsidRPr="00DD6E6B" w14:paraId="24901DBE" w14:textId="77777777" w:rsidTr="785B85D1">
        <w:trPr>
          <w:trHeight w:val="145"/>
        </w:trPr>
        <w:tc>
          <w:tcPr>
            <w:tcW w:w="1748" w:type="dxa"/>
            <w:shd w:val="clear" w:color="auto" w:fill="auto"/>
            <w:tcMar>
              <w:left w:w="0" w:type="dxa"/>
            </w:tcMar>
          </w:tcPr>
          <w:p w14:paraId="272BBFD8" w14:textId="6E93D68A" w:rsidR="00674BAC" w:rsidRPr="00DD6E6B" w:rsidRDefault="00F85CC1" w:rsidP="00DA0121">
            <w:pPr>
              <w:pStyle w:val="Marginlie"/>
              <w:rPr>
                <w:lang w:val="en-GB"/>
              </w:rPr>
            </w:pPr>
            <w:r w:rsidRPr="00DD6E6B">
              <w:rPr>
                <w:lang w:val="en-GB"/>
              </w:rPr>
              <w:t xml:space="preserve">Import was </w:t>
            </w:r>
            <w:r w:rsidR="00C107A7" w:rsidRPr="00DD6E6B">
              <w:rPr>
                <w:lang w:val="en-GB"/>
              </w:rPr>
              <w:t xml:space="preserve">dwindling </w:t>
            </w:r>
            <w:r w:rsidRPr="00DD6E6B">
              <w:rPr>
                <w:lang w:val="en-GB"/>
              </w:rPr>
              <w:t xml:space="preserve">as a result of falling prices. </w:t>
            </w:r>
          </w:p>
        </w:tc>
        <w:tc>
          <w:tcPr>
            <w:tcW w:w="221" w:type="dxa"/>
            <w:shd w:val="clear" w:color="auto" w:fill="auto"/>
            <w:tcMar>
              <w:left w:w="0" w:type="dxa"/>
            </w:tcMar>
          </w:tcPr>
          <w:p w14:paraId="546B8FC5"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3D774B4A" w14:textId="12CB79EE" w:rsidR="00674BAC" w:rsidRPr="008C5BD3" w:rsidRDefault="00734A46" w:rsidP="00DA0121">
            <w:pPr>
              <w:spacing w:after="180"/>
              <w:rPr>
                <w:spacing w:val="-5"/>
                <w:lang w:val="en-GB"/>
              </w:rPr>
            </w:pPr>
            <w:r w:rsidRPr="00DD6E6B">
              <w:rPr>
                <w:spacing w:val="-4"/>
                <w:lang w:val="en-GB"/>
              </w:rPr>
              <w:t xml:space="preserve">Import of goods attained the value of </w:t>
            </w:r>
            <w:r w:rsidR="00674BAC" w:rsidRPr="00DD6E6B">
              <w:rPr>
                <w:spacing w:val="-4"/>
                <w:lang w:val="en-GB"/>
              </w:rPr>
              <w:t>2</w:t>
            </w:r>
            <w:r w:rsidRPr="00DD6E6B">
              <w:rPr>
                <w:spacing w:val="-4"/>
                <w:lang w:val="en-GB"/>
              </w:rPr>
              <w:t> </w:t>
            </w:r>
            <w:r w:rsidR="00674BAC" w:rsidRPr="00DD6E6B">
              <w:rPr>
                <w:spacing w:val="-4"/>
                <w:lang w:val="en-GB"/>
              </w:rPr>
              <w:t>202</w:t>
            </w:r>
            <w:r w:rsidRPr="00DD6E6B">
              <w:rPr>
                <w:spacing w:val="-4"/>
                <w:lang w:val="en-GB"/>
              </w:rPr>
              <w:t>.</w:t>
            </w:r>
            <w:r w:rsidR="00674BAC" w:rsidRPr="00DD6E6B">
              <w:rPr>
                <w:spacing w:val="-4"/>
                <w:lang w:val="en-GB"/>
              </w:rPr>
              <w:t>6</w:t>
            </w:r>
            <w:r w:rsidRPr="00DD6E6B">
              <w:rPr>
                <w:spacing w:val="-4"/>
                <w:lang w:val="en-GB"/>
              </w:rPr>
              <w:t xml:space="preserve"> CZK bn in H1 2023 and thus fell by </w:t>
            </w:r>
            <w:r w:rsidR="00674BAC" w:rsidRPr="00DD6E6B">
              <w:rPr>
                <w:spacing w:val="-4"/>
                <w:lang w:val="en-GB"/>
              </w:rPr>
              <w:t>51</w:t>
            </w:r>
            <w:r w:rsidRPr="00DD6E6B">
              <w:rPr>
                <w:spacing w:val="-4"/>
                <w:lang w:val="en-GB"/>
              </w:rPr>
              <w:t>.</w:t>
            </w:r>
            <w:r w:rsidR="00674BAC" w:rsidRPr="00DD6E6B">
              <w:rPr>
                <w:spacing w:val="-4"/>
                <w:lang w:val="en-GB"/>
              </w:rPr>
              <w:t>0</w:t>
            </w:r>
            <w:r w:rsidRPr="00DD6E6B">
              <w:rPr>
                <w:spacing w:val="-4"/>
                <w:lang w:val="en-GB"/>
              </w:rPr>
              <w:t xml:space="preserve"> bn </w:t>
            </w:r>
            <w:r w:rsidR="00674BAC" w:rsidRPr="00DD6E6B">
              <w:rPr>
                <w:spacing w:val="-4"/>
                <w:lang w:val="en-GB"/>
              </w:rPr>
              <w:t>(2</w:t>
            </w:r>
            <w:r w:rsidRPr="00DD6E6B">
              <w:rPr>
                <w:spacing w:val="-4"/>
                <w:lang w:val="en-GB"/>
              </w:rPr>
              <w:t>.</w:t>
            </w:r>
            <w:r w:rsidR="00674BAC" w:rsidRPr="00DD6E6B">
              <w:rPr>
                <w:spacing w:val="-4"/>
                <w:lang w:val="en-GB"/>
              </w:rPr>
              <w:t>3%)</w:t>
            </w:r>
            <w:r w:rsidRPr="00DD6E6B">
              <w:rPr>
                <w:spacing w:val="-4"/>
                <w:lang w:val="en-GB"/>
              </w:rPr>
              <w:t xml:space="preserve"> year-on-year</w:t>
            </w:r>
            <w:r w:rsidR="00674BAC" w:rsidRPr="00DD6E6B">
              <w:rPr>
                <w:spacing w:val="-4"/>
                <w:lang w:val="en-GB"/>
              </w:rPr>
              <w:t xml:space="preserve">. </w:t>
            </w:r>
            <w:r w:rsidR="00603C3F" w:rsidRPr="00DD6E6B">
              <w:rPr>
                <w:spacing w:val="-4"/>
                <w:lang w:val="en-GB"/>
              </w:rPr>
              <w:t>Especially</w:t>
            </w:r>
            <w:r w:rsidR="00273FB3" w:rsidRPr="00DD6E6B">
              <w:rPr>
                <w:spacing w:val="-4"/>
                <w:lang w:val="en-GB"/>
              </w:rPr>
              <w:t xml:space="preserve"> fall of prices of number of materials</w:t>
            </w:r>
            <w:r w:rsidR="00674BAC" w:rsidRPr="00DD6E6B">
              <w:rPr>
                <w:rStyle w:val="Znakapoznpodarou"/>
                <w:spacing w:val="-4"/>
                <w:lang w:val="en-GB"/>
              </w:rPr>
              <w:footnoteReference w:id="45"/>
            </w:r>
            <w:r w:rsidR="00674BAC" w:rsidRPr="00DD6E6B">
              <w:rPr>
                <w:spacing w:val="-4"/>
                <w:lang w:val="en-GB"/>
              </w:rPr>
              <w:t xml:space="preserve"> </w:t>
            </w:r>
            <w:r w:rsidR="007D6861" w:rsidRPr="00DD6E6B">
              <w:rPr>
                <w:spacing w:val="-4"/>
                <w:lang w:val="en-GB"/>
              </w:rPr>
              <w:t xml:space="preserve">as well as the lower volume of import of oil and natural gas </w:t>
            </w:r>
            <w:r w:rsidR="00603C3F" w:rsidRPr="00DD6E6B">
              <w:rPr>
                <w:spacing w:val="-4"/>
                <w:lang w:val="en-GB"/>
              </w:rPr>
              <w:t xml:space="preserve">left its mark on the decrease and it </w:t>
            </w:r>
            <w:r w:rsidR="007D6861" w:rsidRPr="00DD6E6B">
              <w:rPr>
                <w:spacing w:val="-4"/>
                <w:lang w:val="en-GB"/>
              </w:rPr>
              <w:t xml:space="preserve">presented the </w:t>
            </w:r>
            <w:r w:rsidR="007D6861" w:rsidRPr="00DD6E6B">
              <w:rPr>
                <w:spacing w:val="-4"/>
                <w:lang w:val="en-GB"/>
              </w:rPr>
              <w:lastRenderedPageBreak/>
              <w:t>result of the development mainly in Q</w:t>
            </w:r>
            <w:r w:rsidR="00674BAC" w:rsidRPr="00DD6E6B">
              <w:rPr>
                <w:spacing w:val="-4"/>
                <w:lang w:val="en-GB"/>
              </w:rPr>
              <w:t>2.</w:t>
            </w:r>
            <w:r w:rsidR="007D6861" w:rsidRPr="00DD6E6B">
              <w:rPr>
                <w:spacing w:val="-4"/>
                <w:lang w:val="en-GB"/>
              </w:rPr>
              <w:t xml:space="preserve"> The value of import of goods </w:t>
            </w:r>
            <w:r w:rsidR="0052504E" w:rsidRPr="00DD6E6B">
              <w:rPr>
                <w:spacing w:val="-4"/>
                <w:lang w:val="en-GB"/>
              </w:rPr>
              <w:t xml:space="preserve">went down by </w:t>
            </w:r>
            <w:r w:rsidR="00674BAC" w:rsidRPr="00DD6E6B">
              <w:rPr>
                <w:spacing w:val="-5"/>
                <w:lang w:val="en-GB"/>
              </w:rPr>
              <w:t>102</w:t>
            </w:r>
            <w:r w:rsidR="0052504E" w:rsidRPr="00DD6E6B">
              <w:rPr>
                <w:spacing w:val="-5"/>
                <w:lang w:val="en-GB"/>
              </w:rPr>
              <w:t>.</w:t>
            </w:r>
            <w:r w:rsidR="00674BAC" w:rsidRPr="00DD6E6B">
              <w:rPr>
                <w:spacing w:val="-5"/>
                <w:lang w:val="en-GB"/>
              </w:rPr>
              <w:t>7</w:t>
            </w:r>
            <w:r w:rsidR="0052504E" w:rsidRPr="00DD6E6B">
              <w:rPr>
                <w:spacing w:val="-5"/>
                <w:lang w:val="en-GB"/>
              </w:rPr>
              <w:t xml:space="preserve"> CZK bn </w:t>
            </w:r>
            <w:r w:rsidR="008C5BD3">
              <w:rPr>
                <w:spacing w:val="-5"/>
                <w:lang w:val="en-GB"/>
              </w:rPr>
              <w:t>(</w:t>
            </w:r>
            <w:r w:rsidR="008C5BD3">
              <w:rPr>
                <w:color w:val="000000"/>
                <w:shd w:val="clear" w:color="auto" w:fill="FFFFFF"/>
              </w:rPr>
              <w:t>–</w:t>
            </w:r>
            <w:r w:rsidR="00674BAC" w:rsidRPr="00DD6E6B">
              <w:rPr>
                <w:spacing w:val="-5"/>
                <w:lang w:val="en-GB"/>
              </w:rPr>
              <w:t>8</w:t>
            </w:r>
            <w:r w:rsidR="0052504E" w:rsidRPr="00DD6E6B">
              <w:rPr>
                <w:spacing w:val="-5"/>
                <w:lang w:val="en-GB"/>
              </w:rPr>
              <w:t>.</w:t>
            </w:r>
            <w:r w:rsidR="00674BAC" w:rsidRPr="00DD6E6B">
              <w:rPr>
                <w:spacing w:val="-5"/>
                <w:lang w:val="en-GB"/>
              </w:rPr>
              <w:t>6%)</w:t>
            </w:r>
            <w:r w:rsidR="0052504E" w:rsidRPr="00DD6E6B">
              <w:rPr>
                <w:spacing w:val="-5"/>
                <w:lang w:val="en-GB"/>
              </w:rPr>
              <w:t xml:space="preserve"> to </w:t>
            </w:r>
            <w:r w:rsidR="00674BAC" w:rsidRPr="00DD6E6B">
              <w:rPr>
                <w:spacing w:val="-5"/>
                <w:lang w:val="en-GB"/>
              </w:rPr>
              <w:t>1</w:t>
            </w:r>
            <w:r w:rsidR="0052504E" w:rsidRPr="00DD6E6B">
              <w:rPr>
                <w:spacing w:val="-5"/>
                <w:lang w:val="en-GB"/>
              </w:rPr>
              <w:t> </w:t>
            </w:r>
            <w:r w:rsidR="00674BAC" w:rsidRPr="00DD6E6B">
              <w:rPr>
                <w:spacing w:val="-5"/>
                <w:lang w:val="en-GB"/>
              </w:rPr>
              <w:t>093</w:t>
            </w:r>
            <w:r w:rsidR="0052504E" w:rsidRPr="00DD6E6B">
              <w:rPr>
                <w:spacing w:val="-5"/>
                <w:lang w:val="en-GB"/>
              </w:rPr>
              <w:t>.</w:t>
            </w:r>
            <w:r w:rsidR="00674BAC" w:rsidRPr="00DD6E6B">
              <w:rPr>
                <w:spacing w:val="-5"/>
                <w:lang w:val="en-GB"/>
              </w:rPr>
              <w:t>5</w:t>
            </w:r>
            <w:r w:rsidR="0052504E" w:rsidRPr="00DD6E6B">
              <w:rPr>
                <w:spacing w:val="-5"/>
                <w:lang w:val="en-GB"/>
              </w:rPr>
              <w:t xml:space="preserve"> bn year-on-year in Q2. </w:t>
            </w:r>
            <w:r w:rsidR="00E10898" w:rsidRPr="00DD6E6B">
              <w:rPr>
                <w:spacing w:val="-5"/>
                <w:lang w:val="en-GB"/>
              </w:rPr>
              <w:t>The seasonally adjusted import of goods decreased quarter-on-quarter for the third time in a row</w:t>
            </w:r>
            <w:r w:rsidR="00674BAC" w:rsidRPr="00DD6E6B">
              <w:rPr>
                <w:spacing w:val="-5"/>
                <w:lang w:val="en-GB"/>
              </w:rPr>
              <w:t xml:space="preserve">, </w:t>
            </w:r>
            <w:r w:rsidR="0037057F" w:rsidRPr="00DD6E6B">
              <w:rPr>
                <w:spacing w:val="-5"/>
                <w:lang w:val="en-GB"/>
              </w:rPr>
              <w:t xml:space="preserve">specifically by </w:t>
            </w:r>
            <w:r w:rsidR="00674BAC" w:rsidRPr="00DD6E6B">
              <w:rPr>
                <w:spacing w:val="-5"/>
                <w:lang w:val="en-GB"/>
              </w:rPr>
              <w:t>1</w:t>
            </w:r>
            <w:r w:rsidR="0037057F" w:rsidRPr="00DD6E6B">
              <w:rPr>
                <w:spacing w:val="-5"/>
                <w:lang w:val="en-GB"/>
              </w:rPr>
              <w:t>.</w:t>
            </w:r>
            <w:r w:rsidR="00674BAC" w:rsidRPr="00DD6E6B">
              <w:rPr>
                <w:spacing w:val="-5"/>
                <w:lang w:val="en-GB"/>
              </w:rPr>
              <w:t xml:space="preserve">3%. </w:t>
            </w:r>
            <w:r w:rsidR="0037057F" w:rsidRPr="00DD6E6B">
              <w:rPr>
                <w:spacing w:val="-5"/>
                <w:lang w:val="en-GB"/>
              </w:rPr>
              <w:t xml:space="preserve">The decrease of import </w:t>
            </w:r>
            <w:r w:rsidR="00F7232B" w:rsidRPr="00DD6E6B">
              <w:rPr>
                <w:spacing w:val="-5"/>
                <w:lang w:val="en-GB"/>
              </w:rPr>
              <w:t xml:space="preserve">concerned the EU countries </w:t>
            </w:r>
            <w:r w:rsidR="008C5BD3">
              <w:rPr>
                <w:spacing w:val="-5"/>
                <w:lang w:val="en-GB"/>
              </w:rPr>
              <w:t>(</w:t>
            </w:r>
            <w:r w:rsidR="008C5BD3">
              <w:rPr>
                <w:color w:val="000000"/>
                <w:shd w:val="clear" w:color="auto" w:fill="FFFFFF"/>
              </w:rPr>
              <w:t>–</w:t>
            </w:r>
            <w:r w:rsidR="00674BAC" w:rsidRPr="00DD6E6B">
              <w:rPr>
                <w:spacing w:val="-5"/>
                <w:lang w:val="en-GB"/>
              </w:rPr>
              <w:t>20</w:t>
            </w:r>
            <w:r w:rsidR="00F7232B" w:rsidRPr="00DD6E6B">
              <w:rPr>
                <w:spacing w:val="-5"/>
                <w:lang w:val="en-GB"/>
              </w:rPr>
              <w:t>.</w:t>
            </w:r>
            <w:r w:rsidR="00674BAC" w:rsidRPr="00DD6E6B">
              <w:rPr>
                <w:spacing w:val="-5"/>
                <w:lang w:val="en-GB"/>
              </w:rPr>
              <w:t>1</w:t>
            </w:r>
            <w:r w:rsidR="00F7232B" w:rsidRPr="00DD6E6B">
              <w:rPr>
                <w:spacing w:val="-5"/>
                <w:lang w:val="en-GB"/>
              </w:rPr>
              <w:t xml:space="preserve"> CZK bn</w:t>
            </w:r>
            <w:r w:rsidR="008C5BD3">
              <w:rPr>
                <w:spacing w:val="-5"/>
                <w:lang w:val="en-GB"/>
              </w:rPr>
              <w:t xml:space="preserve">, </w:t>
            </w:r>
            <w:r w:rsidR="008C5BD3">
              <w:rPr>
                <w:color w:val="000000"/>
                <w:shd w:val="clear" w:color="auto" w:fill="FFFFFF"/>
              </w:rPr>
              <w:t>–</w:t>
            </w:r>
            <w:r w:rsidR="00674BAC" w:rsidRPr="00DD6E6B">
              <w:rPr>
                <w:spacing w:val="-5"/>
                <w:lang w:val="en-GB"/>
              </w:rPr>
              <w:t>1</w:t>
            </w:r>
            <w:r w:rsidR="00F7232B" w:rsidRPr="00DD6E6B">
              <w:rPr>
                <w:spacing w:val="-5"/>
                <w:lang w:val="en-GB"/>
              </w:rPr>
              <w:t>.</w:t>
            </w:r>
            <w:r w:rsidR="00674BAC" w:rsidRPr="00DD6E6B">
              <w:rPr>
                <w:spacing w:val="-5"/>
                <w:lang w:val="en-GB"/>
              </w:rPr>
              <w:t xml:space="preserve">4%) </w:t>
            </w:r>
            <w:r w:rsidR="00F7232B" w:rsidRPr="00DD6E6B">
              <w:rPr>
                <w:spacing w:val="-5"/>
                <w:lang w:val="en-GB"/>
              </w:rPr>
              <w:t xml:space="preserve">as well as the countries outside the EU </w:t>
            </w:r>
            <w:r w:rsidR="008C5BD3">
              <w:rPr>
                <w:spacing w:val="-5"/>
                <w:lang w:val="en-GB"/>
              </w:rPr>
              <w:t>(</w:t>
            </w:r>
            <w:r w:rsidR="008C5BD3">
              <w:rPr>
                <w:color w:val="000000"/>
                <w:shd w:val="clear" w:color="auto" w:fill="FFFFFF"/>
              </w:rPr>
              <w:t>–</w:t>
            </w:r>
            <w:r w:rsidR="00674BAC" w:rsidRPr="00DD6E6B">
              <w:rPr>
                <w:spacing w:val="-5"/>
                <w:lang w:val="en-GB"/>
              </w:rPr>
              <w:t>33</w:t>
            </w:r>
            <w:r w:rsidR="00F7232B" w:rsidRPr="00DD6E6B">
              <w:rPr>
                <w:spacing w:val="-5"/>
                <w:lang w:val="en-GB"/>
              </w:rPr>
              <w:t>.</w:t>
            </w:r>
            <w:r w:rsidR="00674BAC" w:rsidRPr="00DD6E6B">
              <w:rPr>
                <w:spacing w:val="-5"/>
                <w:lang w:val="en-GB"/>
              </w:rPr>
              <w:t>9</w:t>
            </w:r>
            <w:r w:rsidR="00F7232B" w:rsidRPr="00DD6E6B">
              <w:rPr>
                <w:spacing w:val="-5"/>
                <w:lang w:val="en-GB"/>
              </w:rPr>
              <w:t xml:space="preserve"> bn</w:t>
            </w:r>
            <w:r w:rsidR="008C5BD3">
              <w:rPr>
                <w:spacing w:val="-5"/>
                <w:lang w:val="en-GB"/>
              </w:rPr>
              <w:t xml:space="preserve">, </w:t>
            </w:r>
            <w:r w:rsidR="008C5BD3">
              <w:rPr>
                <w:color w:val="000000"/>
                <w:shd w:val="clear" w:color="auto" w:fill="FFFFFF"/>
              </w:rPr>
              <w:t>–</w:t>
            </w:r>
            <w:r w:rsidR="00674BAC" w:rsidRPr="00DD6E6B">
              <w:rPr>
                <w:spacing w:val="-5"/>
                <w:lang w:val="en-GB"/>
              </w:rPr>
              <w:t>4</w:t>
            </w:r>
            <w:r w:rsidR="00F7232B" w:rsidRPr="00DD6E6B">
              <w:rPr>
                <w:spacing w:val="-5"/>
                <w:lang w:val="en-GB"/>
              </w:rPr>
              <w:t>.</w:t>
            </w:r>
            <w:r w:rsidR="00674BAC" w:rsidRPr="00DD6E6B">
              <w:rPr>
                <w:spacing w:val="-5"/>
                <w:lang w:val="en-GB"/>
              </w:rPr>
              <w:t>0%)</w:t>
            </w:r>
            <w:r w:rsidR="00F7232B" w:rsidRPr="00DD6E6B">
              <w:rPr>
                <w:spacing w:val="-5"/>
                <w:lang w:val="en-GB"/>
              </w:rPr>
              <w:t xml:space="preserve"> in H1</w:t>
            </w:r>
            <w:r w:rsidR="00674BAC" w:rsidRPr="00DD6E6B">
              <w:rPr>
                <w:spacing w:val="-5"/>
                <w:lang w:val="en-GB"/>
              </w:rPr>
              <w:t xml:space="preserve">. </w:t>
            </w:r>
            <w:r w:rsidR="00F90C35" w:rsidRPr="00DD6E6B">
              <w:rPr>
                <w:spacing w:val="-5"/>
                <w:lang w:val="en-GB"/>
              </w:rPr>
              <w:t xml:space="preserve">The import was still growing year-on-year at the beginning of the year, </w:t>
            </w:r>
            <w:r w:rsidR="00E46090" w:rsidRPr="00DD6E6B">
              <w:rPr>
                <w:spacing w:val="-5"/>
                <w:lang w:val="en-GB"/>
              </w:rPr>
              <w:t>consequently the total decrease for the half-year can be attributed to Q</w:t>
            </w:r>
            <w:r w:rsidR="00674BAC" w:rsidRPr="00DD6E6B">
              <w:rPr>
                <w:spacing w:val="-5"/>
                <w:lang w:val="en-GB"/>
              </w:rPr>
              <w:t>2,</w:t>
            </w:r>
            <w:r w:rsidR="00E46090" w:rsidRPr="00DD6E6B">
              <w:rPr>
                <w:spacing w:val="-5"/>
                <w:lang w:val="en-GB"/>
              </w:rPr>
              <w:t xml:space="preserve"> when the import from the EU fell by </w:t>
            </w:r>
            <w:r w:rsidR="00674BAC" w:rsidRPr="00DD6E6B">
              <w:rPr>
                <w:spacing w:val="-5"/>
                <w:lang w:val="en-GB"/>
              </w:rPr>
              <w:t>46</w:t>
            </w:r>
            <w:r w:rsidR="00E46090" w:rsidRPr="00DD6E6B">
              <w:rPr>
                <w:spacing w:val="-5"/>
                <w:lang w:val="en-GB"/>
              </w:rPr>
              <w:t>.</w:t>
            </w:r>
            <w:r w:rsidR="00674BAC" w:rsidRPr="00DD6E6B">
              <w:rPr>
                <w:spacing w:val="-5"/>
                <w:lang w:val="en-GB"/>
              </w:rPr>
              <w:t>2</w:t>
            </w:r>
            <w:r w:rsidR="00E46090" w:rsidRPr="00DD6E6B">
              <w:rPr>
                <w:spacing w:val="-5"/>
                <w:lang w:val="en-GB"/>
              </w:rPr>
              <w:t xml:space="preserve"> CZK bn </w:t>
            </w:r>
            <w:r w:rsidR="006C013D">
              <w:rPr>
                <w:spacing w:val="-5"/>
                <w:lang w:val="en-GB"/>
              </w:rPr>
              <w:t>(</w:t>
            </w:r>
            <w:r w:rsidR="006C013D">
              <w:rPr>
                <w:color w:val="000000"/>
                <w:shd w:val="clear" w:color="auto" w:fill="FFFFFF"/>
              </w:rPr>
              <w:t>–</w:t>
            </w:r>
            <w:r w:rsidR="00674BAC" w:rsidRPr="00DD6E6B">
              <w:rPr>
                <w:spacing w:val="-5"/>
                <w:lang w:val="en-GB"/>
              </w:rPr>
              <w:t>6</w:t>
            </w:r>
            <w:r w:rsidR="00E46090" w:rsidRPr="00DD6E6B">
              <w:rPr>
                <w:spacing w:val="-5"/>
                <w:lang w:val="en-GB"/>
              </w:rPr>
              <w:t>.</w:t>
            </w:r>
            <w:r w:rsidR="00674BAC" w:rsidRPr="00DD6E6B">
              <w:rPr>
                <w:spacing w:val="-5"/>
                <w:lang w:val="en-GB"/>
              </w:rPr>
              <w:t>3%) a</w:t>
            </w:r>
            <w:r w:rsidR="00E46090" w:rsidRPr="00DD6E6B">
              <w:rPr>
                <w:spacing w:val="-5"/>
                <w:lang w:val="en-GB"/>
              </w:rPr>
              <w:t xml:space="preserve">nd </w:t>
            </w:r>
            <w:r w:rsidR="003856A6" w:rsidRPr="00DD6E6B">
              <w:rPr>
                <w:spacing w:val="-5"/>
                <w:lang w:val="en-GB"/>
              </w:rPr>
              <w:t xml:space="preserve">plunged by </w:t>
            </w:r>
            <w:r w:rsidR="00674BAC" w:rsidRPr="00DD6E6B">
              <w:rPr>
                <w:spacing w:val="-5"/>
                <w:lang w:val="en-GB"/>
              </w:rPr>
              <w:t>57</w:t>
            </w:r>
            <w:r w:rsidR="003856A6" w:rsidRPr="00DD6E6B">
              <w:rPr>
                <w:spacing w:val="-5"/>
                <w:lang w:val="en-GB"/>
              </w:rPr>
              <w:t>.</w:t>
            </w:r>
            <w:r w:rsidR="00674BAC" w:rsidRPr="00DD6E6B">
              <w:rPr>
                <w:spacing w:val="-5"/>
                <w:lang w:val="en-GB"/>
              </w:rPr>
              <w:t>7</w:t>
            </w:r>
            <w:r w:rsidR="003856A6" w:rsidRPr="00DD6E6B">
              <w:rPr>
                <w:spacing w:val="-5"/>
                <w:lang w:val="en-GB"/>
              </w:rPr>
              <w:t xml:space="preserve"> bn </w:t>
            </w:r>
            <w:r w:rsidR="006C013D">
              <w:rPr>
                <w:spacing w:val="-5"/>
                <w:lang w:val="en-GB"/>
              </w:rPr>
              <w:t>(</w:t>
            </w:r>
            <w:r w:rsidR="006C013D">
              <w:rPr>
                <w:color w:val="000000"/>
                <w:shd w:val="clear" w:color="auto" w:fill="FFFFFF"/>
              </w:rPr>
              <w:t>–</w:t>
            </w:r>
            <w:r w:rsidR="00674BAC" w:rsidRPr="00DD6E6B">
              <w:rPr>
                <w:spacing w:val="-5"/>
                <w:lang w:val="en-GB"/>
              </w:rPr>
              <w:t>12</w:t>
            </w:r>
            <w:r w:rsidR="003856A6" w:rsidRPr="00DD6E6B">
              <w:rPr>
                <w:spacing w:val="-5"/>
                <w:lang w:val="en-GB"/>
              </w:rPr>
              <w:t>.</w:t>
            </w:r>
            <w:r w:rsidR="00674BAC" w:rsidRPr="00DD6E6B">
              <w:rPr>
                <w:spacing w:val="-5"/>
                <w:lang w:val="en-GB"/>
              </w:rPr>
              <w:t>6%)</w:t>
            </w:r>
            <w:r w:rsidR="006C013D">
              <w:rPr>
                <w:spacing w:val="-5"/>
                <w:lang w:val="en-GB"/>
              </w:rPr>
              <w:t xml:space="preserve"> outside </w:t>
            </w:r>
            <w:r w:rsidR="003856A6" w:rsidRPr="00DD6E6B">
              <w:rPr>
                <w:spacing w:val="-5"/>
                <w:lang w:val="en-GB"/>
              </w:rPr>
              <w:t>the EU</w:t>
            </w:r>
            <w:r w:rsidR="00674BAC" w:rsidRPr="00DD6E6B">
              <w:rPr>
                <w:spacing w:val="-5"/>
                <w:lang w:val="en-GB"/>
              </w:rPr>
              <w:t xml:space="preserve">. </w:t>
            </w:r>
            <w:r w:rsidR="00B34CCE" w:rsidRPr="00DD6E6B">
              <w:rPr>
                <w:spacing w:val="-5"/>
                <w:lang w:val="en-GB"/>
              </w:rPr>
              <w:t>The import from Russia slumped the most year-on-year in Q</w:t>
            </w:r>
            <w:r w:rsidR="00674BAC" w:rsidRPr="00DD6E6B">
              <w:rPr>
                <w:spacing w:val="-5"/>
                <w:lang w:val="en-GB"/>
              </w:rPr>
              <w:t>2</w:t>
            </w:r>
            <w:r w:rsidR="00B34CCE" w:rsidRPr="00DD6E6B">
              <w:rPr>
                <w:spacing w:val="-5"/>
                <w:lang w:val="en-GB"/>
              </w:rPr>
              <w:t xml:space="preserve"> </w:t>
            </w:r>
            <w:r w:rsidR="005A2C72">
              <w:rPr>
                <w:spacing w:val="-5"/>
                <w:lang w:val="en-GB"/>
              </w:rPr>
              <w:t>(</w:t>
            </w:r>
            <w:r w:rsidR="005A2C72">
              <w:rPr>
                <w:color w:val="000000"/>
                <w:shd w:val="clear" w:color="auto" w:fill="FFFFFF"/>
              </w:rPr>
              <w:t>–</w:t>
            </w:r>
            <w:r w:rsidR="00674BAC" w:rsidRPr="00DD6E6B">
              <w:rPr>
                <w:spacing w:val="-5"/>
                <w:lang w:val="en-GB"/>
              </w:rPr>
              <w:t>81</w:t>
            </w:r>
            <w:r w:rsidR="00B34CCE" w:rsidRPr="00DD6E6B">
              <w:rPr>
                <w:spacing w:val="-5"/>
                <w:lang w:val="en-GB"/>
              </w:rPr>
              <w:t>.</w:t>
            </w:r>
            <w:r w:rsidR="00674BAC" w:rsidRPr="00DD6E6B">
              <w:rPr>
                <w:spacing w:val="-5"/>
                <w:lang w:val="en-GB"/>
              </w:rPr>
              <w:t>3</w:t>
            </w:r>
            <w:r w:rsidR="00B34CCE" w:rsidRPr="00DD6E6B">
              <w:rPr>
                <w:spacing w:val="-5"/>
                <w:lang w:val="en-GB"/>
              </w:rPr>
              <w:t xml:space="preserve"> CZK bn</w:t>
            </w:r>
            <w:r w:rsidR="006C013D">
              <w:rPr>
                <w:spacing w:val="-5"/>
                <w:lang w:val="en-GB"/>
              </w:rPr>
              <w:t xml:space="preserve">, </w:t>
            </w:r>
            <w:r w:rsidR="005A2C72">
              <w:rPr>
                <w:color w:val="000000"/>
                <w:shd w:val="clear" w:color="auto" w:fill="FFFFFF"/>
              </w:rPr>
              <w:t>–</w:t>
            </w:r>
            <w:r w:rsidR="00674BAC" w:rsidRPr="00DD6E6B">
              <w:rPr>
                <w:spacing w:val="-5"/>
                <w:lang w:val="en-GB"/>
              </w:rPr>
              <w:t>84</w:t>
            </w:r>
            <w:r w:rsidR="00B34CCE" w:rsidRPr="00DD6E6B">
              <w:rPr>
                <w:spacing w:val="-5"/>
                <w:lang w:val="en-GB"/>
              </w:rPr>
              <w:t>.</w:t>
            </w:r>
            <w:r w:rsidR="00674BAC" w:rsidRPr="00DD6E6B">
              <w:rPr>
                <w:spacing w:val="-5"/>
                <w:lang w:val="en-GB"/>
              </w:rPr>
              <w:t xml:space="preserve">0%), </w:t>
            </w:r>
            <w:r w:rsidR="00500B90" w:rsidRPr="00DD6E6B">
              <w:rPr>
                <w:spacing w:val="-5"/>
                <w:lang w:val="en-GB"/>
              </w:rPr>
              <w:t xml:space="preserve">which proves the significant role of the </w:t>
            </w:r>
            <w:r w:rsidR="005E6F6A" w:rsidRPr="00DD6E6B">
              <w:rPr>
                <w:spacing w:val="-5"/>
                <w:lang w:val="en-GB"/>
              </w:rPr>
              <w:t>decrease o</w:t>
            </w:r>
            <w:r w:rsidR="005A2C72">
              <w:rPr>
                <w:spacing w:val="-5"/>
                <w:lang w:val="en-GB"/>
              </w:rPr>
              <w:t>f prices of oil and natural gas </w:t>
            </w:r>
            <w:r w:rsidR="005E6F6A" w:rsidRPr="00DD6E6B">
              <w:rPr>
                <w:spacing w:val="-5"/>
                <w:lang w:val="en-GB"/>
              </w:rPr>
              <w:t xml:space="preserve">in the total development of the foreign trade. </w:t>
            </w:r>
            <w:r w:rsidR="00D56250" w:rsidRPr="00DD6E6B">
              <w:rPr>
                <w:spacing w:val="-5"/>
                <w:lang w:val="en-GB"/>
              </w:rPr>
              <w:t xml:space="preserve">The import from Germany </w:t>
            </w:r>
            <w:r w:rsidR="005A2C72">
              <w:rPr>
                <w:spacing w:val="-5"/>
                <w:lang w:val="en-GB"/>
              </w:rPr>
              <w:t>(</w:t>
            </w:r>
            <w:r w:rsidR="005A2C72">
              <w:rPr>
                <w:color w:val="000000"/>
                <w:shd w:val="clear" w:color="auto" w:fill="FFFFFF"/>
              </w:rPr>
              <w:t>–</w:t>
            </w:r>
            <w:r w:rsidR="00674BAC" w:rsidRPr="00DD6E6B">
              <w:rPr>
                <w:spacing w:val="-5"/>
                <w:lang w:val="en-GB"/>
              </w:rPr>
              <w:t>14</w:t>
            </w:r>
            <w:r w:rsidR="00D56250" w:rsidRPr="00DD6E6B">
              <w:rPr>
                <w:spacing w:val="-5"/>
                <w:lang w:val="en-GB"/>
              </w:rPr>
              <w:t>.</w:t>
            </w:r>
            <w:r w:rsidR="00674BAC" w:rsidRPr="00DD6E6B">
              <w:rPr>
                <w:spacing w:val="-5"/>
                <w:lang w:val="en-GB"/>
              </w:rPr>
              <w:t>4</w:t>
            </w:r>
            <w:r w:rsidR="00D50A79" w:rsidRPr="00DD6E6B">
              <w:rPr>
                <w:spacing w:val="-5"/>
                <w:lang w:val="en-GB"/>
              </w:rPr>
              <w:t xml:space="preserve"> CZK bn</w:t>
            </w:r>
            <w:r w:rsidR="005A2C72">
              <w:rPr>
                <w:spacing w:val="-5"/>
                <w:lang w:val="en-GB"/>
              </w:rPr>
              <w:t xml:space="preserve">, </w:t>
            </w:r>
            <w:r w:rsidR="005A2C72">
              <w:rPr>
                <w:color w:val="000000"/>
                <w:shd w:val="clear" w:color="auto" w:fill="FFFFFF"/>
              </w:rPr>
              <w:t>–</w:t>
            </w:r>
            <w:r w:rsidR="00674BAC" w:rsidRPr="00DD6E6B">
              <w:rPr>
                <w:spacing w:val="-5"/>
                <w:lang w:val="en-GB"/>
              </w:rPr>
              <w:t>5</w:t>
            </w:r>
            <w:r w:rsidR="00D50A79" w:rsidRPr="00DD6E6B">
              <w:rPr>
                <w:spacing w:val="-5"/>
                <w:lang w:val="en-GB"/>
              </w:rPr>
              <w:t>.</w:t>
            </w:r>
            <w:r w:rsidR="00674BAC" w:rsidRPr="00DD6E6B">
              <w:rPr>
                <w:spacing w:val="-5"/>
                <w:lang w:val="en-GB"/>
              </w:rPr>
              <w:t>5%), Pol</w:t>
            </w:r>
            <w:r w:rsidR="00D50A79" w:rsidRPr="00DD6E6B">
              <w:rPr>
                <w:spacing w:val="-5"/>
                <w:lang w:val="en-GB"/>
              </w:rPr>
              <w:t xml:space="preserve">and </w:t>
            </w:r>
            <w:r w:rsidR="005A2C72">
              <w:rPr>
                <w:spacing w:val="-5"/>
                <w:lang w:val="en-GB"/>
              </w:rPr>
              <w:t>(</w:t>
            </w:r>
            <w:r w:rsidR="005A2C72">
              <w:rPr>
                <w:color w:val="000000"/>
                <w:shd w:val="clear" w:color="auto" w:fill="FFFFFF"/>
              </w:rPr>
              <w:t>–</w:t>
            </w:r>
            <w:r w:rsidR="00674BAC" w:rsidRPr="00DD6E6B">
              <w:rPr>
                <w:spacing w:val="-5"/>
                <w:lang w:val="en-GB"/>
              </w:rPr>
              <w:t>11</w:t>
            </w:r>
            <w:r w:rsidR="00D50A79" w:rsidRPr="00DD6E6B">
              <w:rPr>
                <w:spacing w:val="-5"/>
                <w:lang w:val="en-GB"/>
              </w:rPr>
              <w:t>.</w:t>
            </w:r>
            <w:r w:rsidR="00674BAC" w:rsidRPr="00DD6E6B">
              <w:rPr>
                <w:spacing w:val="-5"/>
                <w:lang w:val="en-GB"/>
              </w:rPr>
              <w:t>4</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10</w:t>
            </w:r>
            <w:r w:rsidR="00D50A79" w:rsidRPr="00DD6E6B">
              <w:rPr>
                <w:spacing w:val="-5"/>
                <w:lang w:val="en-GB"/>
              </w:rPr>
              <w:t>.</w:t>
            </w:r>
            <w:r w:rsidR="00674BAC" w:rsidRPr="00DD6E6B">
              <w:rPr>
                <w:spacing w:val="-5"/>
                <w:lang w:val="en-GB"/>
              </w:rPr>
              <w:t xml:space="preserve">3%), </w:t>
            </w:r>
            <w:r w:rsidR="00D50A79" w:rsidRPr="00DD6E6B">
              <w:rPr>
                <w:spacing w:val="-5"/>
                <w:lang w:val="en-GB"/>
              </w:rPr>
              <w:t xml:space="preserve">Austria </w:t>
            </w:r>
            <w:r w:rsidR="005A2C72">
              <w:rPr>
                <w:spacing w:val="-5"/>
                <w:lang w:val="en-GB"/>
              </w:rPr>
              <w:t>(</w:t>
            </w:r>
            <w:r w:rsidR="005A2C72">
              <w:rPr>
                <w:color w:val="000000"/>
                <w:shd w:val="clear" w:color="auto" w:fill="FFFFFF"/>
              </w:rPr>
              <w:t>–</w:t>
            </w:r>
            <w:r w:rsidR="00674BAC" w:rsidRPr="00DD6E6B">
              <w:rPr>
                <w:spacing w:val="-5"/>
                <w:lang w:val="en-GB"/>
              </w:rPr>
              <w:t>7</w:t>
            </w:r>
            <w:r w:rsidR="00D50A79" w:rsidRPr="00DD6E6B">
              <w:rPr>
                <w:spacing w:val="-5"/>
                <w:lang w:val="en-GB"/>
              </w:rPr>
              <w:t>.</w:t>
            </w:r>
            <w:r w:rsidR="00674BAC" w:rsidRPr="00DD6E6B">
              <w:rPr>
                <w:spacing w:val="-5"/>
                <w:lang w:val="en-GB"/>
              </w:rPr>
              <w:t>0</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18</w:t>
            </w:r>
            <w:r w:rsidR="00D50A79" w:rsidRPr="00DD6E6B">
              <w:rPr>
                <w:spacing w:val="-5"/>
                <w:lang w:val="en-GB"/>
              </w:rPr>
              <w:t>.</w:t>
            </w:r>
            <w:r w:rsidR="00674BAC" w:rsidRPr="00DD6E6B">
              <w:rPr>
                <w:spacing w:val="-5"/>
                <w:lang w:val="en-GB"/>
              </w:rPr>
              <w:t>4%), It</w:t>
            </w:r>
            <w:r w:rsidR="00D50A79" w:rsidRPr="00DD6E6B">
              <w:rPr>
                <w:spacing w:val="-5"/>
                <w:lang w:val="en-GB"/>
              </w:rPr>
              <w:t xml:space="preserve">aly </w:t>
            </w:r>
            <w:r w:rsidR="005A2C72">
              <w:rPr>
                <w:spacing w:val="-5"/>
                <w:lang w:val="en-GB"/>
              </w:rPr>
              <w:t>(</w:t>
            </w:r>
            <w:r w:rsidR="005A2C72">
              <w:rPr>
                <w:color w:val="000000"/>
                <w:shd w:val="clear" w:color="auto" w:fill="FFFFFF"/>
              </w:rPr>
              <w:t>–</w:t>
            </w:r>
            <w:r w:rsidR="00674BAC" w:rsidRPr="00DD6E6B">
              <w:rPr>
                <w:spacing w:val="-5"/>
                <w:lang w:val="en-GB"/>
              </w:rPr>
              <w:t>6</w:t>
            </w:r>
            <w:r w:rsidR="00D50A79" w:rsidRPr="00DD6E6B">
              <w:rPr>
                <w:spacing w:val="-5"/>
                <w:lang w:val="en-GB"/>
              </w:rPr>
              <w:t>.</w:t>
            </w:r>
            <w:r w:rsidR="00674BAC" w:rsidRPr="00DD6E6B">
              <w:rPr>
                <w:spacing w:val="-5"/>
                <w:lang w:val="en-GB"/>
              </w:rPr>
              <w:t>0</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11</w:t>
            </w:r>
            <w:r w:rsidR="00D50A79" w:rsidRPr="00DD6E6B">
              <w:rPr>
                <w:spacing w:val="-5"/>
                <w:lang w:val="en-GB"/>
              </w:rPr>
              <w:t>.</w:t>
            </w:r>
            <w:r w:rsidR="00674BAC" w:rsidRPr="00DD6E6B">
              <w:rPr>
                <w:spacing w:val="-5"/>
                <w:lang w:val="en-GB"/>
              </w:rPr>
              <w:t xml:space="preserve">0%), </w:t>
            </w:r>
            <w:r w:rsidR="00D50A79" w:rsidRPr="00DD6E6B">
              <w:rPr>
                <w:spacing w:val="-5"/>
                <w:lang w:val="en-GB"/>
              </w:rPr>
              <w:t xml:space="preserve">Slovakia </w:t>
            </w:r>
            <w:r w:rsidR="005A2C72">
              <w:rPr>
                <w:spacing w:val="-5"/>
                <w:lang w:val="en-GB"/>
              </w:rPr>
              <w:t>(</w:t>
            </w:r>
            <w:r w:rsidR="005A2C72">
              <w:rPr>
                <w:color w:val="000000"/>
                <w:shd w:val="clear" w:color="auto" w:fill="FFFFFF"/>
              </w:rPr>
              <w:t>–</w:t>
            </w:r>
            <w:r w:rsidR="00674BAC" w:rsidRPr="00DD6E6B">
              <w:rPr>
                <w:spacing w:val="-5"/>
                <w:lang w:val="en-GB"/>
              </w:rPr>
              <w:t>4</w:t>
            </w:r>
            <w:r w:rsidR="00D50A79" w:rsidRPr="00DD6E6B">
              <w:rPr>
                <w:spacing w:val="-5"/>
                <w:lang w:val="en-GB"/>
              </w:rPr>
              <w:t>.</w:t>
            </w:r>
            <w:r w:rsidR="00674BAC" w:rsidRPr="00DD6E6B">
              <w:rPr>
                <w:spacing w:val="-5"/>
                <w:lang w:val="en-GB"/>
              </w:rPr>
              <w:t>7</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7</w:t>
            </w:r>
            <w:r w:rsidR="00D50A79" w:rsidRPr="00DD6E6B">
              <w:rPr>
                <w:spacing w:val="-5"/>
                <w:lang w:val="en-GB"/>
              </w:rPr>
              <w:t>.</w:t>
            </w:r>
            <w:r w:rsidR="00674BAC" w:rsidRPr="00DD6E6B">
              <w:rPr>
                <w:spacing w:val="-5"/>
                <w:lang w:val="en-GB"/>
              </w:rPr>
              <w:t>6%)</w:t>
            </w:r>
            <w:r w:rsidR="00D50A79" w:rsidRPr="00DD6E6B">
              <w:rPr>
                <w:spacing w:val="-5"/>
                <w:lang w:val="en-GB"/>
              </w:rPr>
              <w:t xml:space="preserve"> or Azerbaijan </w:t>
            </w:r>
            <w:r w:rsidR="005A2C72">
              <w:rPr>
                <w:spacing w:val="-5"/>
                <w:lang w:val="en-GB"/>
              </w:rPr>
              <w:t>(</w:t>
            </w:r>
            <w:r w:rsidR="005A2C72">
              <w:rPr>
                <w:color w:val="000000"/>
                <w:shd w:val="clear" w:color="auto" w:fill="FFFFFF"/>
              </w:rPr>
              <w:t>–</w:t>
            </w:r>
            <w:r w:rsidR="00674BAC" w:rsidRPr="00DD6E6B">
              <w:rPr>
                <w:spacing w:val="-5"/>
                <w:lang w:val="en-GB"/>
              </w:rPr>
              <w:t>3</w:t>
            </w:r>
            <w:r w:rsidR="00D50A79" w:rsidRPr="00DD6E6B">
              <w:rPr>
                <w:spacing w:val="-5"/>
                <w:lang w:val="en-GB"/>
              </w:rPr>
              <w:t>.</w:t>
            </w:r>
            <w:r w:rsidR="00674BAC" w:rsidRPr="00DD6E6B">
              <w:rPr>
                <w:spacing w:val="-5"/>
                <w:lang w:val="en-GB"/>
              </w:rPr>
              <w:t>4 </w:t>
            </w:r>
            <w:r w:rsidR="00D50A79" w:rsidRPr="00DD6E6B">
              <w:rPr>
                <w:spacing w:val="-5"/>
                <w:lang w:val="en-GB"/>
              </w:rPr>
              <w:t>bn</w:t>
            </w:r>
            <w:r w:rsidR="005A2C72">
              <w:rPr>
                <w:spacing w:val="-5"/>
                <w:lang w:val="en-GB"/>
              </w:rPr>
              <w:t xml:space="preserve">, </w:t>
            </w:r>
            <w:r w:rsidR="005A2C72">
              <w:rPr>
                <w:color w:val="000000"/>
                <w:shd w:val="clear" w:color="auto" w:fill="FFFFFF"/>
              </w:rPr>
              <w:t>–</w:t>
            </w:r>
            <w:r w:rsidR="00674BAC" w:rsidRPr="00DD6E6B">
              <w:rPr>
                <w:spacing w:val="-5"/>
                <w:lang w:val="en-GB"/>
              </w:rPr>
              <w:t>36</w:t>
            </w:r>
            <w:r w:rsidR="00D50A79" w:rsidRPr="00DD6E6B">
              <w:rPr>
                <w:spacing w:val="-5"/>
                <w:lang w:val="en-GB"/>
              </w:rPr>
              <w:t>.</w:t>
            </w:r>
            <w:r w:rsidR="00674BAC" w:rsidRPr="00DD6E6B">
              <w:rPr>
                <w:spacing w:val="-5"/>
                <w:lang w:val="en-GB"/>
              </w:rPr>
              <w:t>1%)</w:t>
            </w:r>
            <w:r w:rsidR="00D56250" w:rsidRPr="00DD6E6B">
              <w:rPr>
                <w:spacing w:val="-5"/>
                <w:lang w:val="en-GB"/>
              </w:rPr>
              <w:t xml:space="preserve"> was also lower</w:t>
            </w:r>
            <w:r w:rsidR="00674BAC" w:rsidRPr="00DD6E6B">
              <w:rPr>
                <w:spacing w:val="-5"/>
                <w:lang w:val="en-GB"/>
              </w:rPr>
              <w:t xml:space="preserve">. </w:t>
            </w:r>
            <w:r w:rsidR="00E3384A" w:rsidRPr="00DD6E6B">
              <w:rPr>
                <w:spacing w:val="-5"/>
                <w:lang w:val="en-GB"/>
              </w:rPr>
              <w:t>Import grew from the minority of countries</w:t>
            </w:r>
            <w:r w:rsidR="00674BAC" w:rsidRPr="00DD6E6B">
              <w:rPr>
                <w:spacing w:val="-5"/>
                <w:lang w:val="en-GB"/>
              </w:rPr>
              <w:t>,</w:t>
            </w:r>
            <w:r w:rsidR="00E3384A" w:rsidRPr="00DD6E6B">
              <w:rPr>
                <w:spacing w:val="-5"/>
                <w:lang w:val="en-GB"/>
              </w:rPr>
              <w:t xml:space="preserve"> the most from Norway </w:t>
            </w:r>
            <w:r w:rsidR="00674BAC" w:rsidRPr="00DD6E6B">
              <w:rPr>
                <w:spacing w:val="-5"/>
                <w:lang w:val="en-GB"/>
              </w:rPr>
              <w:t>(+24</w:t>
            </w:r>
            <w:r w:rsidR="00E3384A" w:rsidRPr="00DD6E6B">
              <w:rPr>
                <w:spacing w:val="-5"/>
                <w:lang w:val="en-GB"/>
              </w:rPr>
              <w:t>.</w:t>
            </w:r>
            <w:r w:rsidR="00674BAC" w:rsidRPr="00DD6E6B">
              <w:rPr>
                <w:spacing w:val="-5"/>
                <w:lang w:val="en-GB"/>
              </w:rPr>
              <w:t>4</w:t>
            </w:r>
            <w:r w:rsidR="00E3384A" w:rsidRPr="00DD6E6B">
              <w:rPr>
                <w:spacing w:val="-5"/>
                <w:lang w:val="en-GB"/>
              </w:rPr>
              <w:t xml:space="preserve"> CZK bn</w:t>
            </w:r>
            <w:r w:rsidR="00674BAC" w:rsidRPr="00DD6E6B">
              <w:rPr>
                <w:spacing w:val="-5"/>
                <w:lang w:val="en-GB"/>
              </w:rPr>
              <w:t>, 953</w:t>
            </w:r>
            <w:r w:rsidR="00E3384A" w:rsidRPr="00DD6E6B">
              <w:rPr>
                <w:spacing w:val="-5"/>
                <w:lang w:val="en-GB"/>
              </w:rPr>
              <w:t>.</w:t>
            </w:r>
            <w:r w:rsidR="00674BAC" w:rsidRPr="00DD6E6B">
              <w:rPr>
                <w:spacing w:val="-5"/>
                <w:lang w:val="en-GB"/>
              </w:rPr>
              <w:t>9%)</w:t>
            </w:r>
            <w:r w:rsidR="00674BAC" w:rsidRPr="00DD6E6B">
              <w:rPr>
                <w:rStyle w:val="Znakapoznpodarou"/>
                <w:spacing w:val="-5"/>
                <w:lang w:val="en-GB"/>
              </w:rPr>
              <w:footnoteReference w:id="46"/>
            </w:r>
            <w:r w:rsidR="00674BAC" w:rsidRPr="00DD6E6B">
              <w:rPr>
                <w:spacing w:val="-5"/>
                <w:lang w:val="en-GB"/>
              </w:rPr>
              <w:t xml:space="preserve">, </w:t>
            </w:r>
            <w:r w:rsidR="00E3384A" w:rsidRPr="00DD6E6B">
              <w:rPr>
                <w:spacing w:val="-5"/>
                <w:lang w:val="en-GB"/>
              </w:rPr>
              <w:t xml:space="preserve">China </w:t>
            </w:r>
            <w:r w:rsidR="00674BAC" w:rsidRPr="00DD6E6B">
              <w:rPr>
                <w:spacing w:val="-5"/>
                <w:lang w:val="en-GB"/>
              </w:rPr>
              <w:t>(+7</w:t>
            </w:r>
            <w:r w:rsidR="00E3384A" w:rsidRPr="00DD6E6B">
              <w:rPr>
                <w:spacing w:val="-5"/>
                <w:lang w:val="en-GB"/>
              </w:rPr>
              <w:t>.</w:t>
            </w:r>
            <w:r w:rsidR="00674BAC" w:rsidRPr="00DD6E6B">
              <w:rPr>
                <w:spacing w:val="-5"/>
                <w:lang w:val="en-GB"/>
              </w:rPr>
              <w:t>8</w:t>
            </w:r>
            <w:r w:rsidR="00E3384A" w:rsidRPr="00DD6E6B">
              <w:rPr>
                <w:spacing w:val="-5"/>
                <w:lang w:val="en-GB"/>
              </w:rPr>
              <w:t xml:space="preserve"> bn</w:t>
            </w:r>
            <w:r w:rsidR="00674BAC" w:rsidRPr="00DD6E6B">
              <w:rPr>
                <w:spacing w:val="-5"/>
                <w:lang w:val="en-GB"/>
              </w:rPr>
              <w:t>, 6</w:t>
            </w:r>
            <w:r w:rsidR="00E3384A" w:rsidRPr="00DD6E6B">
              <w:rPr>
                <w:spacing w:val="-5"/>
                <w:lang w:val="en-GB"/>
              </w:rPr>
              <w:t>.</w:t>
            </w:r>
            <w:r w:rsidR="00674BAC" w:rsidRPr="00DD6E6B">
              <w:rPr>
                <w:spacing w:val="-5"/>
                <w:lang w:val="en-GB"/>
              </w:rPr>
              <w:t xml:space="preserve">3%), </w:t>
            </w:r>
            <w:r w:rsidR="00E3384A" w:rsidRPr="00DD6E6B">
              <w:rPr>
                <w:spacing w:val="-5"/>
                <w:lang w:val="en-GB"/>
              </w:rPr>
              <w:t xml:space="preserve">Great Britain </w:t>
            </w:r>
            <w:r w:rsidR="00674BAC" w:rsidRPr="00DD6E6B">
              <w:rPr>
                <w:spacing w:val="-5"/>
                <w:lang w:val="en-GB"/>
              </w:rPr>
              <w:t>(+2</w:t>
            </w:r>
            <w:r w:rsidR="00E3384A" w:rsidRPr="00DD6E6B">
              <w:rPr>
                <w:spacing w:val="-5"/>
                <w:lang w:val="en-GB"/>
              </w:rPr>
              <w:t>.</w:t>
            </w:r>
            <w:r w:rsidR="00674BAC" w:rsidRPr="00DD6E6B">
              <w:rPr>
                <w:spacing w:val="-5"/>
                <w:lang w:val="en-GB"/>
              </w:rPr>
              <w:t>9</w:t>
            </w:r>
            <w:r w:rsidR="00E3384A" w:rsidRPr="00DD6E6B">
              <w:rPr>
                <w:spacing w:val="-5"/>
                <w:lang w:val="en-GB"/>
              </w:rPr>
              <w:t xml:space="preserve"> bn</w:t>
            </w:r>
            <w:r w:rsidR="00674BAC" w:rsidRPr="00DD6E6B">
              <w:rPr>
                <w:spacing w:val="-5"/>
                <w:lang w:val="en-GB"/>
              </w:rPr>
              <w:t>, 17</w:t>
            </w:r>
            <w:r w:rsidR="00E3384A" w:rsidRPr="00DD6E6B">
              <w:rPr>
                <w:spacing w:val="-5"/>
                <w:lang w:val="en-GB"/>
              </w:rPr>
              <w:t>.</w:t>
            </w:r>
            <w:r w:rsidR="00674BAC" w:rsidRPr="00DD6E6B">
              <w:rPr>
                <w:spacing w:val="-5"/>
                <w:lang w:val="en-GB"/>
              </w:rPr>
              <w:t>4%) a</w:t>
            </w:r>
            <w:r w:rsidR="00E3384A" w:rsidRPr="00DD6E6B">
              <w:rPr>
                <w:spacing w:val="-5"/>
                <w:lang w:val="en-GB"/>
              </w:rPr>
              <w:t xml:space="preserve">nd Korea </w:t>
            </w:r>
            <w:r w:rsidR="00674BAC" w:rsidRPr="00DD6E6B">
              <w:rPr>
                <w:spacing w:val="-5"/>
                <w:lang w:val="en-GB"/>
              </w:rPr>
              <w:t>(+2</w:t>
            </w:r>
            <w:r w:rsidR="00E3384A" w:rsidRPr="00DD6E6B">
              <w:rPr>
                <w:spacing w:val="-5"/>
                <w:lang w:val="en-GB"/>
              </w:rPr>
              <w:t>.</w:t>
            </w:r>
            <w:r w:rsidR="00674BAC" w:rsidRPr="00DD6E6B">
              <w:rPr>
                <w:spacing w:val="-5"/>
                <w:lang w:val="en-GB"/>
              </w:rPr>
              <w:t>1</w:t>
            </w:r>
            <w:r w:rsidR="00E3384A" w:rsidRPr="00DD6E6B">
              <w:rPr>
                <w:spacing w:val="-5"/>
                <w:lang w:val="en-GB"/>
              </w:rPr>
              <w:t xml:space="preserve"> bn</w:t>
            </w:r>
            <w:r w:rsidR="00674BAC" w:rsidRPr="00DD6E6B">
              <w:rPr>
                <w:spacing w:val="-5"/>
                <w:lang w:val="en-GB"/>
              </w:rPr>
              <w:t>, 9</w:t>
            </w:r>
            <w:r w:rsidR="00E3384A" w:rsidRPr="00DD6E6B">
              <w:rPr>
                <w:spacing w:val="-5"/>
                <w:lang w:val="en-GB"/>
              </w:rPr>
              <w:t>.</w:t>
            </w:r>
            <w:r w:rsidR="00674BAC" w:rsidRPr="00DD6E6B">
              <w:rPr>
                <w:spacing w:val="-5"/>
                <w:lang w:val="en-GB"/>
              </w:rPr>
              <w:t xml:space="preserve">0%). </w:t>
            </w:r>
          </w:p>
        </w:tc>
      </w:tr>
      <w:tr w:rsidR="00674BAC" w:rsidRPr="00DD6E6B" w14:paraId="7214CB2C" w14:textId="77777777" w:rsidTr="785B85D1">
        <w:trPr>
          <w:trHeight w:val="145"/>
        </w:trPr>
        <w:tc>
          <w:tcPr>
            <w:tcW w:w="1748" w:type="dxa"/>
            <w:shd w:val="clear" w:color="auto" w:fill="auto"/>
            <w:tcMar>
              <w:left w:w="0" w:type="dxa"/>
            </w:tcMar>
          </w:tcPr>
          <w:p w14:paraId="47D1BCEB" w14:textId="31B24D1E" w:rsidR="00674BAC" w:rsidRPr="00DD6E6B" w:rsidRDefault="0037057F" w:rsidP="00DA0121">
            <w:pPr>
              <w:pStyle w:val="Marginlie"/>
              <w:rPr>
                <w:lang w:val="en-GB"/>
              </w:rPr>
            </w:pPr>
            <w:r w:rsidRPr="00DD6E6B">
              <w:rPr>
                <w:lang w:val="en-GB"/>
              </w:rPr>
              <w:lastRenderedPageBreak/>
              <w:t xml:space="preserve">Mainly the import of oil and natural gas plunged. </w:t>
            </w:r>
          </w:p>
        </w:tc>
        <w:tc>
          <w:tcPr>
            <w:tcW w:w="221" w:type="dxa"/>
            <w:shd w:val="clear" w:color="auto" w:fill="auto"/>
            <w:tcMar>
              <w:left w:w="0" w:type="dxa"/>
            </w:tcMar>
          </w:tcPr>
          <w:p w14:paraId="5449545E"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1C36818D" w14:textId="6DC702A2" w:rsidR="00674BAC" w:rsidRPr="00DD6E6B" w:rsidRDefault="0034514C" w:rsidP="00DA0121">
            <w:pPr>
              <w:spacing w:after="180"/>
              <w:rPr>
                <w:spacing w:val="-4"/>
                <w:lang w:val="en-GB"/>
              </w:rPr>
            </w:pPr>
            <w:r w:rsidRPr="00DD6E6B">
              <w:rPr>
                <w:spacing w:val="-4"/>
                <w:lang w:val="en-GB"/>
              </w:rPr>
              <w:t xml:space="preserve">Import was falling </w:t>
            </w:r>
            <w:r w:rsidR="00030A12" w:rsidRPr="00DD6E6B">
              <w:rPr>
                <w:spacing w:val="-4"/>
                <w:lang w:val="en-GB"/>
              </w:rPr>
              <w:t>year-on-year in H</w:t>
            </w:r>
            <w:r w:rsidR="00674BAC" w:rsidRPr="00DD6E6B">
              <w:rPr>
                <w:spacing w:val="-4"/>
                <w:lang w:val="en-GB"/>
              </w:rPr>
              <w:t>1</w:t>
            </w:r>
            <w:r w:rsidR="00030A12" w:rsidRPr="00DD6E6B">
              <w:rPr>
                <w:spacing w:val="-4"/>
                <w:lang w:val="en-GB"/>
              </w:rPr>
              <w:t xml:space="preserve"> mainly under the influence of lower prices of various materials. </w:t>
            </w:r>
            <w:r w:rsidR="009237C4" w:rsidRPr="00DD6E6B">
              <w:rPr>
                <w:spacing w:val="-4"/>
                <w:lang w:val="en-GB"/>
              </w:rPr>
              <w:t>It can be observed on the largest decreases –</w:t>
            </w:r>
            <w:r w:rsidR="00674BAC" w:rsidRPr="00DD6E6B">
              <w:rPr>
                <w:spacing w:val="-4"/>
                <w:lang w:val="en-GB"/>
              </w:rPr>
              <w:t xml:space="preserve"> </w:t>
            </w:r>
            <w:r w:rsidR="009237C4" w:rsidRPr="00DD6E6B">
              <w:rPr>
                <w:spacing w:val="-4"/>
                <w:lang w:val="en-GB"/>
              </w:rPr>
              <w:t xml:space="preserve">oil and natural gas </w:t>
            </w:r>
            <w:r w:rsidR="00C04F46">
              <w:rPr>
                <w:spacing w:val="-4"/>
                <w:lang w:val="en-GB"/>
              </w:rPr>
              <w:t>(</w:t>
            </w:r>
            <w:r w:rsidR="00C04F46">
              <w:rPr>
                <w:color w:val="000000"/>
                <w:shd w:val="clear" w:color="auto" w:fill="FFFFFF"/>
              </w:rPr>
              <w:t>–</w:t>
            </w:r>
            <w:r w:rsidR="00674BAC" w:rsidRPr="00DD6E6B">
              <w:rPr>
                <w:spacing w:val="-4"/>
                <w:lang w:val="en-GB"/>
              </w:rPr>
              <w:t>71</w:t>
            </w:r>
            <w:r w:rsidR="009237C4" w:rsidRPr="00DD6E6B">
              <w:rPr>
                <w:spacing w:val="-4"/>
                <w:lang w:val="en-GB"/>
              </w:rPr>
              <w:t>.</w:t>
            </w:r>
            <w:r w:rsidR="00674BAC" w:rsidRPr="00DD6E6B">
              <w:rPr>
                <w:spacing w:val="-4"/>
                <w:lang w:val="en-GB"/>
              </w:rPr>
              <w:t>1</w:t>
            </w:r>
            <w:r w:rsidR="009237C4" w:rsidRPr="00DD6E6B">
              <w:rPr>
                <w:spacing w:val="-4"/>
                <w:lang w:val="en-GB"/>
              </w:rPr>
              <w:t xml:space="preserve"> CZK bn</w:t>
            </w:r>
            <w:r w:rsidR="00C04F46">
              <w:rPr>
                <w:spacing w:val="-4"/>
                <w:lang w:val="en-GB"/>
              </w:rPr>
              <w:t xml:space="preserve">, </w:t>
            </w:r>
            <w:r w:rsidR="00C04F46">
              <w:rPr>
                <w:color w:val="000000"/>
                <w:shd w:val="clear" w:color="auto" w:fill="FFFFFF"/>
              </w:rPr>
              <w:t>–</w:t>
            </w:r>
            <w:r w:rsidR="00674BAC" w:rsidRPr="00DD6E6B">
              <w:rPr>
                <w:spacing w:val="-4"/>
                <w:lang w:val="en-GB"/>
              </w:rPr>
              <w:t>44</w:t>
            </w:r>
            <w:r w:rsidR="00C04F46">
              <w:rPr>
                <w:spacing w:val="-4"/>
                <w:lang w:val="en-GB"/>
              </w:rPr>
              <w:t>.</w:t>
            </w:r>
            <w:r w:rsidR="00674BAC" w:rsidRPr="00DD6E6B">
              <w:rPr>
                <w:spacing w:val="-4"/>
                <w:lang w:val="en-GB"/>
              </w:rPr>
              <w:t>6%),</w:t>
            </w:r>
            <w:r w:rsidR="009237C4" w:rsidRPr="00DD6E6B">
              <w:rPr>
                <w:spacing w:val="-4"/>
                <w:lang w:val="en-GB"/>
              </w:rPr>
              <w:t xml:space="preserve"> basic metals </w:t>
            </w:r>
            <w:r w:rsidR="00C04F46">
              <w:rPr>
                <w:spacing w:val="-4"/>
                <w:lang w:val="en-GB"/>
              </w:rPr>
              <w:t>(</w:t>
            </w:r>
            <w:r w:rsidR="00C04F46">
              <w:rPr>
                <w:color w:val="000000"/>
                <w:shd w:val="clear" w:color="auto" w:fill="FFFFFF"/>
              </w:rPr>
              <w:t>–</w:t>
            </w:r>
            <w:r w:rsidR="00674BAC" w:rsidRPr="00DD6E6B">
              <w:rPr>
                <w:spacing w:val="-4"/>
                <w:lang w:val="en-GB"/>
              </w:rPr>
              <w:t>39</w:t>
            </w:r>
            <w:r w:rsidR="009237C4" w:rsidRPr="00DD6E6B">
              <w:rPr>
                <w:spacing w:val="-4"/>
                <w:lang w:val="en-GB"/>
              </w:rPr>
              <w:t>.</w:t>
            </w:r>
            <w:r w:rsidR="00674BAC" w:rsidRPr="00DD6E6B">
              <w:rPr>
                <w:spacing w:val="-4"/>
                <w:lang w:val="en-GB"/>
              </w:rPr>
              <w:t>2</w:t>
            </w:r>
            <w:r w:rsidR="009237C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18</w:t>
            </w:r>
            <w:r w:rsidR="009237C4" w:rsidRPr="00DD6E6B">
              <w:rPr>
                <w:spacing w:val="-4"/>
                <w:lang w:val="en-GB"/>
              </w:rPr>
              <w:t>.</w:t>
            </w:r>
            <w:r w:rsidR="00674BAC" w:rsidRPr="00DD6E6B">
              <w:rPr>
                <w:spacing w:val="-4"/>
                <w:lang w:val="en-GB"/>
              </w:rPr>
              <w:t>8%) a</w:t>
            </w:r>
            <w:r w:rsidR="009237C4" w:rsidRPr="00DD6E6B">
              <w:rPr>
                <w:spacing w:val="-4"/>
                <w:lang w:val="en-GB"/>
              </w:rPr>
              <w:t xml:space="preserve">nd chemical substances and products </w:t>
            </w:r>
            <w:r w:rsidR="00C04F46">
              <w:rPr>
                <w:spacing w:val="-4"/>
                <w:lang w:val="en-GB"/>
              </w:rPr>
              <w:t>(</w:t>
            </w:r>
            <w:r w:rsidR="00C04F46">
              <w:rPr>
                <w:color w:val="000000"/>
                <w:shd w:val="clear" w:color="auto" w:fill="FFFFFF"/>
              </w:rPr>
              <w:t>–</w:t>
            </w:r>
            <w:r w:rsidR="00674BAC" w:rsidRPr="00DD6E6B">
              <w:rPr>
                <w:spacing w:val="-4"/>
                <w:lang w:val="en-GB"/>
              </w:rPr>
              <w:t>24</w:t>
            </w:r>
            <w:r w:rsidR="009237C4" w:rsidRPr="00DD6E6B">
              <w:rPr>
                <w:spacing w:val="-4"/>
                <w:lang w:val="en-GB"/>
              </w:rPr>
              <w:t>.</w:t>
            </w:r>
            <w:r w:rsidR="00674BAC" w:rsidRPr="00DD6E6B">
              <w:rPr>
                <w:spacing w:val="-4"/>
                <w:lang w:val="en-GB"/>
              </w:rPr>
              <w:t>0</w:t>
            </w:r>
            <w:r w:rsidR="00AB44DA" w:rsidRPr="00DD6E6B">
              <w:rPr>
                <w:spacing w:val="-4"/>
                <w:lang w:val="en-GB"/>
              </w:rPr>
              <w:t xml:space="preserve"> </w:t>
            </w:r>
            <w:r w:rsidR="009237C4" w:rsidRPr="00DD6E6B">
              <w:rPr>
                <w:spacing w:val="-4"/>
                <w:lang w:val="en-GB"/>
              </w:rPr>
              <w:t>bn</w:t>
            </w:r>
            <w:r w:rsidR="00C04F46">
              <w:rPr>
                <w:spacing w:val="-4"/>
                <w:lang w:val="en-GB"/>
              </w:rPr>
              <w:t xml:space="preserve">, </w:t>
            </w:r>
            <w:r w:rsidR="00C04F46">
              <w:rPr>
                <w:color w:val="000000"/>
                <w:shd w:val="clear" w:color="auto" w:fill="FFFFFF"/>
              </w:rPr>
              <w:t>–</w:t>
            </w:r>
            <w:r w:rsidR="00674BAC" w:rsidRPr="00DD6E6B">
              <w:rPr>
                <w:spacing w:val="-4"/>
                <w:lang w:val="en-GB"/>
              </w:rPr>
              <w:t>12</w:t>
            </w:r>
            <w:r w:rsidR="009237C4" w:rsidRPr="00DD6E6B">
              <w:rPr>
                <w:spacing w:val="-4"/>
                <w:lang w:val="en-GB"/>
              </w:rPr>
              <w:t>.</w:t>
            </w:r>
            <w:r w:rsidR="00674BAC" w:rsidRPr="00DD6E6B">
              <w:rPr>
                <w:spacing w:val="-4"/>
                <w:lang w:val="en-GB"/>
              </w:rPr>
              <w:t xml:space="preserve">0%). </w:t>
            </w:r>
            <w:r w:rsidR="00070F6B" w:rsidRPr="00DD6E6B">
              <w:rPr>
                <w:spacing w:val="-4"/>
                <w:lang w:val="en-GB"/>
              </w:rPr>
              <w:t xml:space="preserve">On the contrary the import of motor vehicles </w:t>
            </w:r>
            <w:r w:rsidR="00674BAC" w:rsidRPr="00DD6E6B">
              <w:rPr>
                <w:spacing w:val="-4"/>
                <w:lang w:val="en-GB"/>
              </w:rPr>
              <w:t>(+55</w:t>
            </w:r>
            <w:r w:rsidR="00070F6B" w:rsidRPr="00DD6E6B">
              <w:rPr>
                <w:spacing w:val="-4"/>
                <w:lang w:val="en-GB"/>
              </w:rPr>
              <w:t>.</w:t>
            </w:r>
            <w:r w:rsidR="00674BAC" w:rsidRPr="00DD6E6B">
              <w:rPr>
                <w:spacing w:val="-4"/>
                <w:lang w:val="en-GB"/>
              </w:rPr>
              <w:t>7</w:t>
            </w:r>
            <w:r w:rsidR="00070F6B" w:rsidRPr="00DD6E6B">
              <w:rPr>
                <w:spacing w:val="-4"/>
                <w:lang w:val="en-GB"/>
              </w:rPr>
              <w:t xml:space="preserve"> CZK bn</w:t>
            </w:r>
            <w:r w:rsidR="00674BAC" w:rsidRPr="00DD6E6B">
              <w:rPr>
                <w:spacing w:val="-4"/>
                <w:lang w:val="en-GB"/>
              </w:rPr>
              <w:t>, 19</w:t>
            </w:r>
            <w:r w:rsidR="00070F6B" w:rsidRPr="00DD6E6B">
              <w:rPr>
                <w:spacing w:val="-4"/>
                <w:lang w:val="en-GB"/>
              </w:rPr>
              <w:t>.</w:t>
            </w:r>
            <w:r w:rsidR="00674BAC" w:rsidRPr="00DD6E6B">
              <w:rPr>
                <w:spacing w:val="-4"/>
                <w:lang w:val="en-GB"/>
              </w:rPr>
              <w:t>7%),</w:t>
            </w:r>
            <w:r w:rsidR="00070F6B" w:rsidRPr="00DD6E6B">
              <w:rPr>
                <w:spacing w:val="-4"/>
                <w:lang w:val="en-GB"/>
              </w:rPr>
              <w:t xml:space="preserve"> electrical appliances </w:t>
            </w:r>
            <w:r w:rsidR="00674BAC" w:rsidRPr="00DD6E6B">
              <w:rPr>
                <w:spacing w:val="-4"/>
                <w:lang w:val="en-GB"/>
              </w:rPr>
              <w:t>(+48</w:t>
            </w:r>
            <w:r w:rsidR="00070F6B" w:rsidRPr="00DD6E6B">
              <w:rPr>
                <w:spacing w:val="-4"/>
                <w:lang w:val="en-GB"/>
              </w:rPr>
              <w:t>.</w:t>
            </w:r>
            <w:r w:rsidR="00674BAC" w:rsidRPr="00DD6E6B">
              <w:rPr>
                <w:spacing w:val="-4"/>
                <w:lang w:val="en-GB"/>
              </w:rPr>
              <w:t>3</w:t>
            </w:r>
            <w:r w:rsidR="00070F6B" w:rsidRPr="00DD6E6B">
              <w:rPr>
                <w:spacing w:val="-4"/>
                <w:lang w:val="en-GB"/>
              </w:rPr>
              <w:t xml:space="preserve"> bn</w:t>
            </w:r>
            <w:r w:rsidR="00674BAC" w:rsidRPr="00DD6E6B">
              <w:rPr>
                <w:spacing w:val="-4"/>
                <w:lang w:val="en-GB"/>
              </w:rPr>
              <w:t>, 25</w:t>
            </w:r>
            <w:r w:rsidR="00070F6B" w:rsidRPr="00DD6E6B">
              <w:rPr>
                <w:spacing w:val="-4"/>
                <w:lang w:val="en-GB"/>
              </w:rPr>
              <w:t>.</w:t>
            </w:r>
            <w:r w:rsidR="00674BAC" w:rsidRPr="00DD6E6B">
              <w:rPr>
                <w:spacing w:val="-4"/>
                <w:lang w:val="en-GB"/>
              </w:rPr>
              <w:t>0%) a</w:t>
            </w:r>
            <w:r w:rsidR="00070F6B" w:rsidRPr="00DD6E6B">
              <w:rPr>
                <w:spacing w:val="-4"/>
                <w:lang w:val="en-GB"/>
              </w:rPr>
              <w:t xml:space="preserve">nd machinery and equipment </w:t>
            </w:r>
            <w:r w:rsidR="00674BAC" w:rsidRPr="00DD6E6B">
              <w:rPr>
                <w:spacing w:val="-4"/>
                <w:lang w:val="en-GB"/>
              </w:rPr>
              <w:t>(+12</w:t>
            </w:r>
            <w:r w:rsidR="00070F6B" w:rsidRPr="00DD6E6B">
              <w:rPr>
                <w:spacing w:val="-4"/>
                <w:lang w:val="en-GB"/>
              </w:rPr>
              <w:t>.</w:t>
            </w:r>
            <w:r w:rsidR="00674BAC" w:rsidRPr="00DD6E6B">
              <w:rPr>
                <w:spacing w:val="-4"/>
                <w:lang w:val="en-GB"/>
              </w:rPr>
              <w:t>5</w:t>
            </w:r>
            <w:r w:rsidR="00070F6B" w:rsidRPr="00DD6E6B">
              <w:rPr>
                <w:spacing w:val="-4"/>
                <w:lang w:val="en-GB"/>
              </w:rPr>
              <w:t xml:space="preserve"> bn</w:t>
            </w:r>
            <w:r w:rsidR="00674BAC" w:rsidRPr="00DD6E6B">
              <w:rPr>
                <w:spacing w:val="-4"/>
                <w:lang w:val="en-GB"/>
              </w:rPr>
              <w:t>, 6</w:t>
            </w:r>
            <w:r w:rsidR="00070F6B" w:rsidRPr="00DD6E6B">
              <w:rPr>
                <w:spacing w:val="-4"/>
                <w:lang w:val="en-GB"/>
              </w:rPr>
              <w:t>.</w:t>
            </w:r>
            <w:r w:rsidR="00674BAC" w:rsidRPr="00DD6E6B">
              <w:rPr>
                <w:spacing w:val="-4"/>
                <w:lang w:val="en-GB"/>
              </w:rPr>
              <w:t>4%)</w:t>
            </w:r>
            <w:r w:rsidR="00070F6B" w:rsidRPr="00DD6E6B">
              <w:rPr>
                <w:spacing w:val="-4"/>
                <w:lang w:val="en-GB"/>
              </w:rPr>
              <w:t xml:space="preserve"> was significantly higher</w:t>
            </w:r>
            <w:r w:rsidR="00674BAC" w:rsidRPr="00DD6E6B">
              <w:rPr>
                <w:spacing w:val="-4"/>
                <w:lang w:val="en-GB"/>
              </w:rPr>
              <w:t xml:space="preserve">. </w:t>
            </w:r>
            <w:r w:rsidR="00200D71" w:rsidRPr="00DD6E6B">
              <w:rPr>
                <w:spacing w:val="-4"/>
                <w:lang w:val="en-GB"/>
              </w:rPr>
              <w:t xml:space="preserve">The import of oil and natural gas plunged by </w:t>
            </w:r>
            <w:r w:rsidR="00674BAC" w:rsidRPr="00DD6E6B">
              <w:rPr>
                <w:spacing w:val="-4"/>
                <w:lang w:val="en-GB"/>
              </w:rPr>
              <w:t>60</w:t>
            </w:r>
            <w:r w:rsidR="00200D71" w:rsidRPr="00DD6E6B">
              <w:rPr>
                <w:spacing w:val="-4"/>
                <w:lang w:val="en-GB"/>
              </w:rPr>
              <w:t>.</w:t>
            </w:r>
            <w:r w:rsidR="00674BAC" w:rsidRPr="00DD6E6B">
              <w:rPr>
                <w:spacing w:val="-4"/>
                <w:lang w:val="en-GB"/>
              </w:rPr>
              <w:t>7</w:t>
            </w:r>
            <w:r w:rsidR="00200D71" w:rsidRPr="00DD6E6B">
              <w:rPr>
                <w:spacing w:val="-4"/>
                <w:lang w:val="en-GB"/>
              </w:rPr>
              <w:t xml:space="preserve"> CZK bn </w:t>
            </w:r>
            <w:r w:rsidR="00C04F46">
              <w:rPr>
                <w:spacing w:val="-4"/>
                <w:lang w:val="en-GB"/>
              </w:rPr>
              <w:t>(</w:t>
            </w:r>
            <w:r w:rsidR="00C04F46">
              <w:rPr>
                <w:color w:val="000000"/>
                <w:shd w:val="clear" w:color="auto" w:fill="FFFFFF"/>
              </w:rPr>
              <w:t>–</w:t>
            </w:r>
            <w:r w:rsidR="00674BAC" w:rsidRPr="00DD6E6B">
              <w:rPr>
                <w:spacing w:val="-4"/>
                <w:lang w:val="en-GB"/>
              </w:rPr>
              <w:t>57</w:t>
            </w:r>
            <w:r w:rsidR="00200D71" w:rsidRPr="00DD6E6B">
              <w:rPr>
                <w:spacing w:val="-4"/>
                <w:lang w:val="en-GB"/>
              </w:rPr>
              <w:t>.</w:t>
            </w:r>
            <w:r w:rsidR="00674BAC" w:rsidRPr="00DD6E6B">
              <w:rPr>
                <w:spacing w:val="-4"/>
                <w:lang w:val="en-GB"/>
              </w:rPr>
              <w:t>3%)</w:t>
            </w:r>
            <w:r w:rsidR="006809DE" w:rsidRPr="00DD6E6B">
              <w:rPr>
                <w:spacing w:val="-4"/>
                <w:lang w:val="en-GB"/>
              </w:rPr>
              <w:t>,</w:t>
            </w:r>
            <w:r w:rsidR="00200D71" w:rsidRPr="00DD6E6B">
              <w:rPr>
                <w:spacing w:val="-4"/>
                <w:lang w:val="en-GB"/>
              </w:rPr>
              <w:t xml:space="preserve"> basic metals by </w:t>
            </w:r>
            <w:r w:rsidR="00674BAC" w:rsidRPr="00DD6E6B">
              <w:rPr>
                <w:spacing w:val="-4"/>
                <w:lang w:val="en-GB"/>
              </w:rPr>
              <w:t>28</w:t>
            </w:r>
            <w:r w:rsidR="00200D71" w:rsidRPr="00DD6E6B">
              <w:rPr>
                <w:spacing w:val="-4"/>
                <w:lang w:val="en-GB"/>
              </w:rPr>
              <w:t>.</w:t>
            </w:r>
            <w:r w:rsidR="00674BAC" w:rsidRPr="00DD6E6B">
              <w:rPr>
                <w:spacing w:val="-4"/>
                <w:lang w:val="en-GB"/>
              </w:rPr>
              <w:t>1</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25</w:t>
            </w:r>
            <w:r w:rsidR="00200D71" w:rsidRPr="00DD6E6B">
              <w:rPr>
                <w:spacing w:val="-4"/>
                <w:lang w:val="en-GB"/>
              </w:rPr>
              <w:t>.</w:t>
            </w:r>
            <w:r w:rsidR="00674BAC" w:rsidRPr="00DD6E6B">
              <w:rPr>
                <w:spacing w:val="-4"/>
                <w:lang w:val="en-GB"/>
              </w:rPr>
              <w:t>7%), chemic</w:t>
            </w:r>
            <w:r w:rsidR="00200D71" w:rsidRPr="00DD6E6B">
              <w:rPr>
                <w:spacing w:val="-4"/>
                <w:lang w:val="en-GB"/>
              </w:rPr>
              <w:t xml:space="preserve">al substances and products by </w:t>
            </w:r>
            <w:r w:rsidR="00674BAC" w:rsidRPr="00DD6E6B">
              <w:rPr>
                <w:spacing w:val="-4"/>
                <w:lang w:val="en-GB"/>
              </w:rPr>
              <w:t>16</w:t>
            </w:r>
            <w:r w:rsidR="00200D71" w:rsidRPr="00DD6E6B">
              <w:rPr>
                <w:spacing w:val="-4"/>
                <w:lang w:val="en-GB"/>
              </w:rPr>
              <w:t>.</w:t>
            </w:r>
            <w:r w:rsidR="00674BAC" w:rsidRPr="00DD6E6B">
              <w:rPr>
                <w:spacing w:val="-4"/>
                <w:lang w:val="en-GB"/>
              </w:rPr>
              <w:t>0</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15</w:t>
            </w:r>
            <w:r w:rsidR="00200D71" w:rsidRPr="00DD6E6B">
              <w:rPr>
                <w:spacing w:val="-4"/>
                <w:lang w:val="en-GB"/>
              </w:rPr>
              <w:t>.</w:t>
            </w:r>
            <w:r w:rsidR="00674BAC" w:rsidRPr="00DD6E6B">
              <w:rPr>
                <w:spacing w:val="-4"/>
                <w:lang w:val="en-GB"/>
              </w:rPr>
              <w:t>5%)</w:t>
            </w:r>
            <w:r w:rsidR="00200D71" w:rsidRPr="00DD6E6B">
              <w:rPr>
                <w:spacing w:val="-4"/>
                <w:lang w:val="en-GB"/>
              </w:rPr>
              <w:t xml:space="preserve"> and coke and refined oil products by </w:t>
            </w:r>
            <w:r w:rsidR="00674BAC" w:rsidRPr="00DD6E6B">
              <w:rPr>
                <w:spacing w:val="-4"/>
                <w:lang w:val="en-GB"/>
              </w:rPr>
              <w:t>10</w:t>
            </w:r>
            <w:r w:rsidR="00200D71" w:rsidRPr="00DD6E6B">
              <w:rPr>
                <w:spacing w:val="-4"/>
                <w:lang w:val="en-GB"/>
              </w:rPr>
              <w:t>.</w:t>
            </w:r>
            <w:r w:rsidR="00674BAC" w:rsidRPr="00DD6E6B">
              <w:rPr>
                <w:spacing w:val="-4"/>
                <w:lang w:val="en-GB"/>
              </w:rPr>
              <w:t>9</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35</w:t>
            </w:r>
            <w:r w:rsidR="00200D71" w:rsidRPr="00DD6E6B">
              <w:rPr>
                <w:spacing w:val="-4"/>
                <w:lang w:val="en-GB"/>
              </w:rPr>
              <w:t>.</w:t>
            </w:r>
            <w:r w:rsidR="00674BAC" w:rsidRPr="00DD6E6B">
              <w:rPr>
                <w:spacing w:val="-4"/>
                <w:lang w:val="en-GB"/>
              </w:rPr>
              <w:t>4%)</w:t>
            </w:r>
            <w:r w:rsidR="00200D71" w:rsidRPr="00DD6E6B">
              <w:rPr>
                <w:spacing w:val="-4"/>
                <w:lang w:val="en-GB"/>
              </w:rPr>
              <w:t xml:space="preserve"> year-on-year</w:t>
            </w:r>
            <w:r w:rsidR="006B7EB2" w:rsidRPr="00DD6E6B">
              <w:rPr>
                <w:spacing w:val="-4"/>
                <w:lang w:val="en-GB"/>
              </w:rPr>
              <w:t xml:space="preserve"> </w:t>
            </w:r>
            <w:r w:rsidR="00200D71" w:rsidRPr="00DD6E6B">
              <w:rPr>
                <w:spacing w:val="-4"/>
                <w:lang w:val="en-GB"/>
              </w:rPr>
              <w:t>in Q2 itself</w:t>
            </w:r>
            <w:r w:rsidR="00674BAC" w:rsidRPr="00DD6E6B">
              <w:rPr>
                <w:spacing w:val="-4"/>
                <w:lang w:val="en-GB"/>
              </w:rPr>
              <w:t xml:space="preserve">. </w:t>
            </w:r>
            <w:r w:rsidR="00C04F46">
              <w:rPr>
                <w:spacing w:val="-4"/>
                <w:lang w:val="en-GB"/>
              </w:rPr>
              <w:t>Marked </w:t>
            </w:r>
            <w:r w:rsidR="00BD5A1B" w:rsidRPr="00DD6E6B">
              <w:rPr>
                <w:spacing w:val="-4"/>
                <w:lang w:val="en-GB"/>
              </w:rPr>
              <w:t>decr</w:t>
            </w:r>
            <w:r w:rsidR="001E43D7" w:rsidRPr="00DD6E6B">
              <w:rPr>
                <w:spacing w:val="-4"/>
                <w:lang w:val="en-GB"/>
              </w:rPr>
              <w:t>e</w:t>
            </w:r>
            <w:r w:rsidR="00BD5A1B" w:rsidRPr="00DD6E6B">
              <w:rPr>
                <w:spacing w:val="-4"/>
                <w:lang w:val="en-GB"/>
              </w:rPr>
              <w:t xml:space="preserve">ases also </w:t>
            </w:r>
            <w:r w:rsidR="009A5C68" w:rsidRPr="00DD6E6B">
              <w:rPr>
                <w:spacing w:val="-4"/>
                <w:lang w:val="en-GB"/>
              </w:rPr>
              <w:t xml:space="preserve">affected the value of import of electricity, gas, steam and air conditioning </w:t>
            </w:r>
            <w:r w:rsidR="00C04F46">
              <w:rPr>
                <w:spacing w:val="-4"/>
                <w:lang w:val="en-GB"/>
              </w:rPr>
              <w:t>(</w:t>
            </w:r>
            <w:r w:rsidR="00C04F46">
              <w:rPr>
                <w:color w:val="000000"/>
                <w:shd w:val="clear" w:color="auto" w:fill="FFFFFF"/>
              </w:rPr>
              <w:t>–</w:t>
            </w:r>
            <w:r w:rsidR="00674BAC" w:rsidRPr="00DD6E6B">
              <w:rPr>
                <w:spacing w:val="-4"/>
                <w:lang w:val="en-GB"/>
              </w:rPr>
              <w:t>4</w:t>
            </w:r>
            <w:r w:rsidR="009A5C68" w:rsidRPr="00DD6E6B">
              <w:rPr>
                <w:spacing w:val="-4"/>
                <w:lang w:val="en-GB"/>
              </w:rPr>
              <w:t>.</w:t>
            </w:r>
            <w:r w:rsidR="00674BAC" w:rsidRPr="00DD6E6B">
              <w:rPr>
                <w:spacing w:val="-4"/>
                <w:lang w:val="en-GB"/>
              </w:rPr>
              <w:t>6</w:t>
            </w:r>
            <w:r w:rsidR="009A5C68" w:rsidRPr="00DD6E6B">
              <w:rPr>
                <w:spacing w:val="-4"/>
                <w:lang w:val="en-GB"/>
              </w:rPr>
              <w:t xml:space="preserve"> CZK bn</w:t>
            </w:r>
            <w:r w:rsidR="00C04F46">
              <w:rPr>
                <w:spacing w:val="-4"/>
                <w:lang w:val="en-GB"/>
              </w:rPr>
              <w:t xml:space="preserve">, </w:t>
            </w:r>
            <w:r w:rsidR="00C04F46">
              <w:rPr>
                <w:color w:val="000000"/>
                <w:shd w:val="clear" w:color="auto" w:fill="FFFFFF"/>
              </w:rPr>
              <w:t>–</w:t>
            </w:r>
            <w:r w:rsidR="00674BAC" w:rsidRPr="00DD6E6B">
              <w:rPr>
                <w:spacing w:val="-4"/>
                <w:lang w:val="en-GB"/>
              </w:rPr>
              <w:t>45</w:t>
            </w:r>
            <w:r w:rsidR="009A5C68" w:rsidRPr="00DD6E6B">
              <w:rPr>
                <w:spacing w:val="-4"/>
                <w:lang w:val="en-GB"/>
              </w:rPr>
              <w:t>.</w:t>
            </w:r>
            <w:r w:rsidR="00674BAC" w:rsidRPr="00DD6E6B">
              <w:rPr>
                <w:spacing w:val="-4"/>
                <w:lang w:val="en-GB"/>
              </w:rPr>
              <w:t>2%), pap</w:t>
            </w:r>
            <w:r w:rsidR="009A5C68" w:rsidRPr="00DD6E6B">
              <w:rPr>
                <w:spacing w:val="-4"/>
                <w:lang w:val="en-GB"/>
              </w:rPr>
              <w:t xml:space="preserve">er and paper products </w:t>
            </w:r>
            <w:r w:rsidR="00C04F46">
              <w:rPr>
                <w:spacing w:val="-4"/>
                <w:lang w:val="en-GB"/>
              </w:rPr>
              <w:t>(</w:t>
            </w:r>
            <w:r w:rsidR="00C04F46">
              <w:rPr>
                <w:color w:val="000000"/>
                <w:shd w:val="clear" w:color="auto" w:fill="FFFFFF"/>
              </w:rPr>
              <w:t>–</w:t>
            </w:r>
            <w:r w:rsidR="00674BAC" w:rsidRPr="00DD6E6B">
              <w:rPr>
                <w:spacing w:val="-4"/>
                <w:lang w:val="en-GB"/>
              </w:rPr>
              <w:t>4</w:t>
            </w:r>
            <w:r w:rsidR="009A5C68" w:rsidRPr="00DD6E6B">
              <w:rPr>
                <w:spacing w:val="-4"/>
                <w:lang w:val="en-GB"/>
              </w:rPr>
              <w:t>.</w:t>
            </w:r>
            <w:r w:rsidR="00674BAC" w:rsidRPr="00DD6E6B">
              <w:rPr>
                <w:spacing w:val="-4"/>
                <w:lang w:val="en-GB"/>
              </w:rPr>
              <w:t>1</w:t>
            </w:r>
            <w:r w:rsidR="009A5C68"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20</w:t>
            </w:r>
            <w:r w:rsidR="009A5C68" w:rsidRPr="00DD6E6B">
              <w:rPr>
                <w:spacing w:val="-4"/>
                <w:lang w:val="en-GB"/>
              </w:rPr>
              <w:t>.</w:t>
            </w:r>
            <w:r w:rsidR="00674BAC" w:rsidRPr="00DD6E6B">
              <w:rPr>
                <w:spacing w:val="-4"/>
                <w:lang w:val="en-GB"/>
              </w:rPr>
              <w:t>9%),</w:t>
            </w:r>
            <w:r w:rsidR="009A5C68" w:rsidRPr="00DD6E6B">
              <w:rPr>
                <w:spacing w:val="-4"/>
                <w:lang w:val="en-GB"/>
              </w:rPr>
              <w:t xml:space="preserve"> computers, </w:t>
            </w:r>
            <w:r w:rsidR="00B64A44" w:rsidRPr="00DD6E6B">
              <w:rPr>
                <w:spacing w:val="-4"/>
                <w:lang w:val="en-GB"/>
              </w:rPr>
              <w:t>electronic</w:t>
            </w:r>
            <w:r w:rsidR="009A5C68" w:rsidRPr="00DD6E6B">
              <w:rPr>
                <w:spacing w:val="-4"/>
                <w:lang w:val="en-GB"/>
              </w:rPr>
              <w:t xml:space="preserve"> and optical appliances and equipment </w:t>
            </w:r>
            <w:r w:rsidR="00C04F46">
              <w:rPr>
                <w:spacing w:val="-4"/>
                <w:lang w:val="en-GB"/>
              </w:rPr>
              <w:t>(</w:t>
            </w:r>
            <w:r w:rsidR="00C04F46">
              <w:rPr>
                <w:color w:val="000000"/>
                <w:shd w:val="clear" w:color="auto" w:fill="FFFFFF"/>
              </w:rPr>
              <w:t>–</w:t>
            </w:r>
            <w:r w:rsidR="00674BAC" w:rsidRPr="00DD6E6B">
              <w:rPr>
                <w:spacing w:val="-4"/>
                <w:lang w:val="en-GB"/>
              </w:rPr>
              <w:t>3</w:t>
            </w:r>
            <w:r w:rsidR="009A5C68" w:rsidRPr="00DD6E6B">
              <w:rPr>
                <w:spacing w:val="-4"/>
                <w:lang w:val="en-GB"/>
              </w:rPr>
              <w:t>.</w:t>
            </w:r>
            <w:r w:rsidR="00674BAC" w:rsidRPr="00DD6E6B">
              <w:rPr>
                <w:spacing w:val="-4"/>
                <w:lang w:val="en-GB"/>
              </w:rPr>
              <w:t>9</w:t>
            </w:r>
            <w:r w:rsidR="009A5C68"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w:t>
            </w:r>
            <w:r w:rsidR="009A5C68" w:rsidRPr="00DD6E6B">
              <w:rPr>
                <w:spacing w:val="-4"/>
                <w:lang w:val="en-GB"/>
              </w:rPr>
              <w:t>.</w:t>
            </w:r>
            <w:r w:rsidR="00674BAC" w:rsidRPr="00DD6E6B">
              <w:rPr>
                <w:spacing w:val="-4"/>
                <w:lang w:val="en-GB"/>
              </w:rPr>
              <w:t xml:space="preserve">4%), </w:t>
            </w:r>
            <w:r w:rsidR="009A5C68" w:rsidRPr="00DD6E6B">
              <w:rPr>
                <w:spacing w:val="-4"/>
                <w:lang w:val="en-GB"/>
              </w:rPr>
              <w:t xml:space="preserve">black and brown coal and </w:t>
            </w:r>
            <w:r w:rsidR="00B64A44" w:rsidRPr="00DD6E6B">
              <w:rPr>
                <w:spacing w:val="-4"/>
                <w:lang w:val="en-GB"/>
              </w:rPr>
              <w:t xml:space="preserve">lignite </w:t>
            </w:r>
            <w:r w:rsidR="00C04F46">
              <w:rPr>
                <w:spacing w:val="-4"/>
                <w:lang w:val="en-GB"/>
              </w:rPr>
              <w:t>(</w:t>
            </w:r>
            <w:r w:rsidR="00C04F46">
              <w:rPr>
                <w:color w:val="000000"/>
                <w:shd w:val="clear" w:color="auto" w:fill="FFFFFF"/>
              </w:rPr>
              <w:t>–</w:t>
            </w:r>
            <w:r w:rsidR="00674BAC" w:rsidRPr="00DD6E6B">
              <w:rPr>
                <w:spacing w:val="-4"/>
                <w:lang w:val="en-GB"/>
              </w:rPr>
              <w:t>3</w:t>
            </w:r>
            <w:r w:rsidR="00B64A44" w:rsidRPr="00DD6E6B">
              <w:rPr>
                <w:spacing w:val="-4"/>
                <w:lang w:val="en-GB"/>
              </w:rPr>
              <w:t>.</w:t>
            </w:r>
            <w:r w:rsidR="00674BAC" w:rsidRPr="00DD6E6B">
              <w:rPr>
                <w:spacing w:val="-4"/>
                <w:lang w:val="en-GB"/>
              </w:rPr>
              <w:t>7</w:t>
            </w:r>
            <w:r w:rsidR="00B64A4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37</w:t>
            </w:r>
            <w:r w:rsidR="00B64A44" w:rsidRPr="00DD6E6B">
              <w:rPr>
                <w:spacing w:val="-4"/>
                <w:lang w:val="en-GB"/>
              </w:rPr>
              <w:t>.</w:t>
            </w:r>
            <w:r w:rsidR="00D23EA4">
              <w:rPr>
                <w:spacing w:val="-4"/>
                <w:lang w:val="en-GB"/>
              </w:rPr>
              <w:t>4</w:t>
            </w:r>
            <w:r w:rsidR="00674BAC" w:rsidRPr="00DD6E6B">
              <w:rPr>
                <w:spacing w:val="-4"/>
                <w:lang w:val="en-GB"/>
              </w:rPr>
              <w:t>%)</w:t>
            </w:r>
            <w:r w:rsidR="00B64A44" w:rsidRPr="00DD6E6B">
              <w:rPr>
                <w:spacing w:val="-4"/>
                <w:lang w:val="en-GB"/>
              </w:rPr>
              <w:t xml:space="preserve"> or wood and wood products </w:t>
            </w:r>
            <w:r w:rsidR="00C04F46">
              <w:rPr>
                <w:spacing w:val="-4"/>
                <w:lang w:val="en-GB"/>
              </w:rPr>
              <w:t>(</w:t>
            </w:r>
            <w:r w:rsidR="00C04F46">
              <w:rPr>
                <w:color w:val="000000"/>
                <w:shd w:val="clear" w:color="auto" w:fill="FFFFFF"/>
              </w:rPr>
              <w:t>–</w:t>
            </w:r>
            <w:r w:rsidR="00674BAC" w:rsidRPr="00DD6E6B">
              <w:rPr>
                <w:spacing w:val="-4"/>
                <w:lang w:val="en-GB"/>
              </w:rPr>
              <w:t>3</w:t>
            </w:r>
            <w:r w:rsidR="00B64A44" w:rsidRPr="00DD6E6B">
              <w:rPr>
                <w:spacing w:val="-4"/>
                <w:lang w:val="en-GB"/>
              </w:rPr>
              <w:t>.</w:t>
            </w:r>
            <w:r w:rsidR="00674BAC" w:rsidRPr="00DD6E6B">
              <w:rPr>
                <w:spacing w:val="-4"/>
                <w:lang w:val="en-GB"/>
              </w:rPr>
              <w:t>2</w:t>
            </w:r>
            <w:r w:rsidR="00B64A4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32</w:t>
            </w:r>
            <w:r w:rsidR="00B64A44" w:rsidRPr="00DD6E6B">
              <w:rPr>
                <w:spacing w:val="-4"/>
                <w:lang w:val="en-GB"/>
              </w:rPr>
              <w:t>.</w:t>
            </w:r>
            <w:r w:rsidR="00674BAC" w:rsidRPr="00DD6E6B">
              <w:rPr>
                <w:spacing w:val="-4"/>
                <w:lang w:val="en-GB"/>
              </w:rPr>
              <w:t xml:space="preserve">6%). </w:t>
            </w:r>
            <w:r w:rsidR="00C55B08" w:rsidRPr="00DD6E6B">
              <w:rPr>
                <w:spacing w:val="-4"/>
                <w:lang w:val="en-GB"/>
              </w:rPr>
              <w:t xml:space="preserve">Import was </w:t>
            </w:r>
            <w:r w:rsidR="0074598E" w:rsidRPr="00DD6E6B">
              <w:rPr>
                <w:spacing w:val="-4"/>
                <w:lang w:val="en-GB"/>
              </w:rPr>
              <w:t>falling across the board in Q</w:t>
            </w:r>
            <w:r w:rsidR="00674BAC" w:rsidRPr="00DD6E6B">
              <w:rPr>
                <w:spacing w:val="-4"/>
                <w:lang w:val="en-GB"/>
              </w:rPr>
              <w:t>2</w:t>
            </w:r>
            <w:r w:rsidR="0074598E" w:rsidRPr="00DD6E6B">
              <w:rPr>
                <w:spacing w:val="-4"/>
                <w:lang w:val="en-GB"/>
              </w:rPr>
              <w:t xml:space="preserve"> and </w:t>
            </w:r>
            <w:r w:rsidR="00BE2DB0" w:rsidRPr="00DD6E6B">
              <w:rPr>
                <w:spacing w:val="-4"/>
                <w:lang w:val="en-GB"/>
              </w:rPr>
              <w:t xml:space="preserve">among scarce exceptions the value of import of motor vehicles including parts </w:t>
            </w:r>
            <w:r w:rsidR="00674BAC" w:rsidRPr="00DD6E6B">
              <w:rPr>
                <w:spacing w:val="-4"/>
                <w:lang w:val="en-GB"/>
              </w:rPr>
              <w:t>(+26</w:t>
            </w:r>
            <w:r w:rsidR="00BE2DB0" w:rsidRPr="00DD6E6B">
              <w:rPr>
                <w:spacing w:val="-4"/>
                <w:lang w:val="en-GB"/>
              </w:rPr>
              <w:t>.</w:t>
            </w:r>
            <w:r w:rsidR="00674BAC" w:rsidRPr="00DD6E6B">
              <w:rPr>
                <w:spacing w:val="-4"/>
                <w:lang w:val="en-GB"/>
              </w:rPr>
              <w:t>2</w:t>
            </w:r>
            <w:r w:rsidR="00BE2DB0" w:rsidRPr="00DD6E6B">
              <w:rPr>
                <w:spacing w:val="-4"/>
                <w:lang w:val="en-GB"/>
              </w:rPr>
              <w:t xml:space="preserve"> CZK bn</w:t>
            </w:r>
            <w:r w:rsidR="00674BAC" w:rsidRPr="00DD6E6B">
              <w:rPr>
                <w:spacing w:val="-4"/>
                <w:lang w:val="en-GB"/>
              </w:rPr>
              <w:t>, 17</w:t>
            </w:r>
            <w:r w:rsidR="00BE2DB0" w:rsidRPr="00DD6E6B">
              <w:rPr>
                <w:spacing w:val="-4"/>
                <w:lang w:val="en-GB"/>
              </w:rPr>
              <w:t>.</w:t>
            </w:r>
            <w:r w:rsidR="00674BAC" w:rsidRPr="00DD6E6B">
              <w:rPr>
                <w:spacing w:val="-4"/>
                <w:lang w:val="en-GB"/>
              </w:rPr>
              <w:t>6%) a</w:t>
            </w:r>
            <w:r w:rsidR="00BE2DB0" w:rsidRPr="00DD6E6B">
              <w:rPr>
                <w:spacing w:val="-4"/>
                <w:lang w:val="en-GB"/>
              </w:rPr>
              <w:t xml:space="preserve">nd electrical appliances </w:t>
            </w:r>
            <w:r w:rsidR="00674BAC" w:rsidRPr="00DD6E6B">
              <w:rPr>
                <w:spacing w:val="-4"/>
                <w:lang w:val="en-GB"/>
              </w:rPr>
              <w:t>(+19</w:t>
            </w:r>
            <w:r w:rsidR="00BE2DB0" w:rsidRPr="00DD6E6B">
              <w:rPr>
                <w:spacing w:val="-4"/>
                <w:lang w:val="en-GB"/>
              </w:rPr>
              <w:t>.</w:t>
            </w:r>
            <w:r w:rsidR="00674BAC" w:rsidRPr="00DD6E6B">
              <w:rPr>
                <w:spacing w:val="-4"/>
                <w:lang w:val="en-GB"/>
              </w:rPr>
              <w:t>7</w:t>
            </w:r>
            <w:r w:rsidR="00BE2DB0" w:rsidRPr="00DD6E6B">
              <w:rPr>
                <w:spacing w:val="-4"/>
                <w:lang w:val="en-GB"/>
              </w:rPr>
              <w:t xml:space="preserve"> bn</w:t>
            </w:r>
            <w:r w:rsidR="00674BAC" w:rsidRPr="00DD6E6B">
              <w:rPr>
                <w:spacing w:val="-4"/>
                <w:lang w:val="en-GB"/>
              </w:rPr>
              <w:t>, 19</w:t>
            </w:r>
            <w:r w:rsidR="00BE2DB0" w:rsidRPr="00DD6E6B">
              <w:rPr>
                <w:spacing w:val="-4"/>
                <w:lang w:val="en-GB"/>
              </w:rPr>
              <w:t>.</w:t>
            </w:r>
            <w:r w:rsidR="00674BAC" w:rsidRPr="00DD6E6B">
              <w:rPr>
                <w:spacing w:val="-4"/>
                <w:lang w:val="en-GB"/>
              </w:rPr>
              <w:t>7%)</w:t>
            </w:r>
            <w:r w:rsidR="00BE2DB0" w:rsidRPr="00DD6E6B">
              <w:rPr>
                <w:spacing w:val="-4"/>
                <w:lang w:val="en-GB"/>
              </w:rPr>
              <w:t xml:space="preserve"> grew the most year-on-year</w:t>
            </w:r>
            <w:r w:rsidR="00674BAC" w:rsidRPr="00DD6E6B">
              <w:rPr>
                <w:spacing w:val="-4"/>
                <w:lang w:val="en-GB"/>
              </w:rPr>
              <w:t>.</w:t>
            </w:r>
          </w:p>
        </w:tc>
      </w:tr>
      <w:tr w:rsidR="0038370D" w:rsidRPr="00DD6E6B" w14:paraId="4869A56F" w14:textId="77777777" w:rsidTr="785B85D1">
        <w:trPr>
          <w:trHeight w:val="145"/>
        </w:trPr>
        <w:tc>
          <w:tcPr>
            <w:tcW w:w="1748" w:type="dxa"/>
            <w:shd w:val="clear" w:color="auto" w:fill="auto"/>
            <w:tcMar>
              <w:left w:w="0" w:type="dxa"/>
            </w:tcMar>
          </w:tcPr>
          <w:p w14:paraId="2A6630BC" w14:textId="00D2B572" w:rsidR="0038370D" w:rsidRPr="00DD6E6B" w:rsidRDefault="0038370D" w:rsidP="0038370D">
            <w:pPr>
              <w:pStyle w:val="Marginlie"/>
              <w:rPr>
                <w:lang w:val="en-GB"/>
              </w:rPr>
            </w:pPr>
            <w:r w:rsidRPr="00DD6E6B">
              <w:rPr>
                <w:lang w:val="en-GB"/>
              </w:rPr>
              <w:t xml:space="preserve">Balance of foreign trade with goods ended in surplus. </w:t>
            </w:r>
          </w:p>
        </w:tc>
        <w:tc>
          <w:tcPr>
            <w:tcW w:w="221" w:type="dxa"/>
            <w:shd w:val="clear" w:color="auto" w:fill="auto"/>
            <w:tcMar>
              <w:left w:w="0" w:type="dxa"/>
            </w:tcMar>
          </w:tcPr>
          <w:p w14:paraId="2D685D69"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17D45911" w14:textId="2E878A91" w:rsidR="0038370D" w:rsidRPr="00DD6E6B" w:rsidRDefault="0038370D" w:rsidP="0038370D">
            <w:pPr>
              <w:spacing w:after="180"/>
              <w:rPr>
                <w:spacing w:val="-4"/>
                <w:lang w:val="en-GB"/>
              </w:rPr>
            </w:pPr>
            <w:r w:rsidRPr="00DD6E6B">
              <w:rPr>
                <w:spacing w:val="-4"/>
                <w:lang w:val="en-GB"/>
              </w:rPr>
              <w:t>Balance of foreign trade with goods attained a surplus of 79.4 CZK bn in H1 and improved by 165.3 bn year-on-year. This year’s surplus presented the best result of the balance in the given period for the last four years but lagged behind the level from the same period of years 2014–2019. The positive balance of foreign trade with goods amounted to 39.5 CZK bn in Q2 itself and the balance was improved by 112.7 bn year-on-year. Based on the seasonally adjusted data the balance improved by notable 22.6 CZK bn quarter-on-quarter. The year-on-year balance improvement concerned trade with the EU (+112.6 CZK bn) as well as the countries outside the EU (+55.6 bn) in H1. The balance of foreign trade with goods with the EU improved by 48.9 CZK bn year-on-year and outside the EU by 64.8 bn in Q2 itself. Trade with Russia (+78.5 CZK bn), Germany (+22.3 bn), Poland (+11.2 bn) and Italy (+10.8 bn) worked the most in the direction of year-on-year balance improvement in Q2. The balance of trade with Turkey (+7.3 CZK bn), France (+5.2 bn), Azerbaijan (+3.6 bn), Belgium (+3.6 bn), Ukraine (+3.3 bn), Kazakhstan (+3.1 bn), Switzerland (+2.4 bn), Austria (+2.1 bn) or Bulgaria (+2.1 bn) was also improving. In contrast the most pronounced balance deteriorations were related to foreign trade with Norway (−26.0 CZK bn), Slovakia (−10.1 bn), China (−8.2 bn), the United States (−5.1 bn) and South Korea (−2.6 bn).</w:t>
            </w:r>
          </w:p>
        </w:tc>
      </w:tr>
      <w:tr w:rsidR="0038370D" w:rsidRPr="00DD6E6B" w14:paraId="0199B822" w14:textId="77777777" w:rsidTr="785B85D1">
        <w:trPr>
          <w:trHeight w:val="145"/>
        </w:trPr>
        <w:tc>
          <w:tcPr>
            <w:tcW w:w="1748" w:type="dxa"/>
            <w:shd w:val="clear" w:color="auto" w:fill="auto"/>
            <w:tcMar>
              <w:left w:w="0" w:type="dxa"/>
            </w:tcMar>
          </w:tcPr>
          <w:p w14:paraId="49F4E790" w14:textId="71E21FD3" w:rsidR="0038370D" w:rsidRPr="00DD6E6B" w:rsidRDefault="0038370D" w:rsidP="0038370D">
            <w:pPr>
              <w:pStyle w:val="Marginlie"/>
              <w:rPr>
                <w:lang w:val="en-GB"/>
              </w:rPr>
            </w:pPr>
            <w:r w:rsidRPr="00DD6E6B">
              <w:rPr>
                <w:lang w:val="en-GB"/>
              </w:rPr>
              <w:t xml:space="preserve">Especially the trade with motor vehicles and also oil and natural gas contributed to the balance improvement. </w:t>
            </w:r>
          </w:p>
        </w:tc>
        <w:tc>
          <w:tcPr>
            <w:tcW w:w="221" w:type="dxa"/>
            <w:shd w:val="clear" w:color="auto" w:fill="auto"/>
            <w:tcMar>
              <w:left w:w="0" w:type="dxa"/>
            </w:tcMar>
          </w:tcPr>
          <w:p w14:paraId="536449A4"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4969F99C" w14:textId="0AEBE4A1" w:rsidR="0038370D" w:rsidRPr="00DD6E6B" w:rsidRDefault="0038370D" w:rsidP="0038370D">
            <w:pPr>
              <w:spacing w:after="180"/>
              <w:rPr>
                <w:spacing w:val="-4"/>
                <w:lang w:val="en-GB"/>
              </w:rPr>
            </w:pPr>
            <w:r w:rsidRPr="00DD6E6B">
              <w:rPr>
                <w:spacing w:val="-4"/>
                <w:lang w:val="en-GB"/>
              </w:rPr>
              <w:t xml:space="preserve">Surplus improvement of trade with motor vehicles (+71.2 CZK bn) and deficit moderation for oil and natural gas (+65.7 bn) worked in the direction of balance improvement in H1. Balance of trade with basic metals (+19.1 CZK bn) and machinery and equipment (+14.5 bn) also developed favourably. The balance of trade with electricity, gas, steam and air conditioning (−13.3 CZK bn), electrical appliances (−7.6 bn) and products of forestry, wood logging and </w:t>
            </w:r>
            <w:r w:rsidRPr="00DD6E6B">
              <w:rPr>
                <w:spacing w:val="-4"/>
                <w:lang w:val="en-GB"/>
              </w:rPr>
              <w:lastRenderedPageBreak/>
              <w:t>associated services (−5.8 bn) worsened the most. The balance of trade with oil and natural gas (+55.6 CZK bn) and further with motor vehicles (+29.4 bn), basic metals (+14.1 bn) and coke and refined oil products (+8.6 bn) improved the most year-on-year in Q2 itself. Trade with machinery and equipment (+7.6 CZK bn), chemical substances and products (+3.7 bn) or black and brown coal and lignite (+3.2 bn) also recorded more notable balance improvement. The wors</w:t>
            </w:r>
            <w:r>
              <w:rPr>
                <w:spacing w:val="-4"/>
                <w:lang w:val="en-GB"/>
              </w:rPr>
              <w:t>t</w:t>
            </w:r>
            <w:r w:rsidRPr="00DD6E6B">
              <w:rPr>
                <w:spacing w:val="-4"/>
                <w:lang w:val="en-GB"/>
              </w:rPr>
              <w:t xml:space="preserve"> balance deterioration affected the trade with electricity, gas, steam and air conditioning (−7.3 CZK bn), electrical equipment (−5.5 bn), metalworking products (−4.2 bn) and products of forestry, wood logging and associated services (−3.8 bn). </w:t>
            </w:r>
          </w:p>
        </w:tc>
      </w:tr>
      <w:tr w:rsidR="0038370D" w:rsidRPr="00207B00" w14:paraId="18C34414" w14:textId="77777777" w:rsidTr="785B85D1">
        <w:trPr>
          <w:trHeight w:val="150"/>
        </w:trPr>
        <w:tc>
          <w:tcPr>
            <w:tcW w:w="1748" w:type="dxa"/>
            <w:vMerge w:val="restart"/>
            <w:shd w:val="clear" w:color="auto" w:fill="auto"/>
            <w:tcMar>
              <w:left w:w="0" w:type="dxa"/>
            </w:tcMar>
          </w:tcPr>
          <w:p w14:paraId="22C345BB" w14:textId="77777777" w:rsidR="0038370D" w:rsidRPr="00DD6E6B" w:rsidRDefault="0038370D" w:rsidP="0038370D">
            <w:pPr>
              <w:pStyle w:val="Marginlie"/>
              <w:rPr>
                <w:lang w:val="en-GB"/>
              </w:rPr>
            </w:pPr>
          </w:p>
        </w:tc>
        <w:tc>
          <w:tcPr>
            <w:tcW w:w="221" w:type="dxa"/>
            <w:vMerge w:val="restart"/>
            <w:shd w:val="clear" w:color="auto" w:fill="auto"/>
            <w:tcMar>
              <w:left w:w="0" w:type="dxa"/>
            </w:tcMar>
          </w:tcPr>
          <w:p w14:paraId="3856DC65"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7751D0C6" w14:textId="5D70FE5A" w:rsidR="0038370D" w:rsidRPr="00207B00" w:rsidRDefault="0038370D" w:rsidP="0038370D">
            <w:pPr>
              <w:spacing w:after="0"/>
              <w:rPr>
                <w:spacing w:val="-4"/>
                <w:lang w:val="en-GB"/>
              </w:rPr>
            </w:pPr>
            <w:r w:rsidRPr="00207B00">
              <w:rPr>
                <w:rFonts w:cs="Arial"/>
                <w:b/>
                <w:bCs/>
                <w:color w:val="000000"/>
                <w:szCs w:val="20"/>
                <w:lang w:val="en-GB"/>
              </w:rPr>
              <w:t xml:space="preserve">Chart 9 Balance of foreign trade with goods in foreign trade statistics </w:t>
            </w:r>
            <w:r w:rsidRPr="00207B00">
              <w:rPr>
                <w:rFonts w:cs="Arial"/>
                <w:color w:val="000000"/>
                <w:szCs w:val="20"/>
                <w:lang w:val="en-GB"/>
              </w:rPr>
              <w:t>(</w:t>
            </w:r>
            <w:r w:rsidRPr="00FA1474">
              <w:rPr>
                <w:rFonts w:cs="Arial"/>
                <w:color w:val="000000"/>
                <w:szCs w:val="20"/>
                <w:lang w:val="en-GB"/>
              </w:rPr>
              <w:t>cumulation</w:t>
            </w:r>
            <w:r w:rsidRPr="00207B00">
              <w:rPr>
                <w:rFonts w:cs="Arial"/>
                <w:color w:val="000000"/>
                <w:szCs w:val="20"/>
                <w:lang w:val="en-GB"/>
              </w:rPr>
              <w:t xml:space="preserve"> of H1, in CZK bn, selected divisions of the CPA classification)</w:t>
            </w:r>
          </w:p>
        </w:tc>
      </w:tr>
      <w:tr w:rsidR="0038370D" w:rsidRPr="00DD6E6B" w14:paraId="6C0F91C5" w14:textId="77777777" w:rsidTr="000A01E8">
        <w:tblPrEx>
          <w:tblCellMar>
            <w:left w:w="70" w:type="dxa"/>
            <w:right w:w="70" w:type="dxa"/>
          </w:tblCellMar>
        </w:tblPrEx>
        <w:trPr>
          <w:trHeight w:val="150"/>
        </w:trPr>
        <w:tc>
          <w:tcPr>
            <w:tcW w:w="1748" w:type="dxa"/>
            <w:vMerge/>
          </w:tcPr>
          <w:p w14:paraId="16176865" w14:textId="77777777" w:rsidR="0038370D" w:rsidRPr="00DD6E6B" w:rsidRDefault="0038370D" w:rsidP="0038370D">
            <w:pPr>
              <w:pStyle w:val="Marginlie"/>
              <w:rPr>
                <w:lang w:val="en-GB"/>
              </w:rPr>
            </w:pPr>
          </w:p>
        </w:tc>
        <w:tc>
          <w:tcPr>
            <w:tcW w:w="221" w:type="dxa"/>
            <w:vMerge/>
          </w:tcPr>
          <w:p w14:paraId="1B0C95DA" w14:textId="77777777" w:rsidR="0038370D" w:rsidRPr="00DD6E6B" w:rsidRDefault="0038370D" w:rsidP="0038370D">
            <w:pPr>
              <w:pStyle w:val="Textpoznpodarou"/>
              <w:jc w:val="both"/>
              <w:rPr>
                <w:spacing w:val="-4"/>
                <w:lang w:val="en-GB"/>
              </w:rPr>
            </w:pPr>
          </w:p>
        </w:tc>
        <w:tc>
          <w:tcPr>
            <w:tcW w:w="7670" w:type="dxa"/>
            <w:shd w:val="clear" w:color="auto" w:fill="auto"/>
          </w:tcPr>
          <w:p w14:paraId="4CDD97A6" w14:textId="4583B184" w:rsidR="0038370D" w:rsidRPr="00DD6E6B" w:rsidRDefault="0038370D" w:rsidP="0038370D">
            <w:pPr>
              <w:spacing w:after="0"/>
              <w:rPr>
                <w:spacing w:val="-4"/>
                <w:lang w:val="en-GB"/>
              </w:rPr>
            </w:pPr>
            <w:r>
              <w:rPr>
                <w:noProof/>
              </w:rPr>
              <w:drawing>
                <wp:inline distT="0" distB="0" distL="0" distR="0" wp14:anchorId="683E01AC" wp14:editId="2DD312D4">
                  <wp:extent cx="4737600" cy="3375400"/>
                  <wp:effectExtent l="0" t="0" r="6350" b="0"/>
                  <wp:docPr id="400685675" name="Graf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8370D" w:rsidRPr="00DD6E6B" w14:paraId="112F8332" w14:textId="77777777" w:rsidTr="785B85D1">
        <w:trPr>
          <w:trHeight w:val="150"/>
        </w:trPr>
        <w:tc>
          <w:tcPr>
            <w:tcW w:w="1748" w:type="dxa"/>
            <w:vMerge/>
            <w:tcMar>
              <w:left w:w="0" w:type="dxa"/>
            </w:tcMar>
          </w:tcPr>
          <w:p w14:paraId="2C5823EF" w14:textId="77777777" w:rsidR="0038370D" w:rsidRPr="00DD6E6B" w:rsidRDefault="0038370D" w:rsidP="0038370D">
            <w:pPr>
              <w:pStyle w:val="Marginlie"/>
              <w:rPr>
                <w:lang w:val="en-GB"/>
              </w:rPr>
            </w:pPr>
          </w:p>
        </w:tc>
        <w:tc>
          <w:tcPr>
            <w:tcW w:w="221" w:type="dxa"/>
            <w:vMerge/>
            <w:tcMar>
              <w:left w:w="0" w:type="dxa"/>
            </w:tcMar>
          </w:tcPr>
          <w:p w14:paraId="4C675AEB"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3417D412" w14:textId="04CB388D" w:rsidR="0038370D" w:rsidRPr="000A01E8" w:rsidRDefault="0038370D" w:rsidP="0038370D">
            <w:pPr>
              <w:rPr>
                <w:sz w:val="14"/>
                <w:szCs w:val="14"/>
                <w:lang w:val="en-GB"/>
              </w:rPr>
            </w:pPr>
            <w:r w:rsidRPr="00DD6E6B">
              <w:rPr>
                <w:sz w:val="14"/>
                <w:szCs w:val="14"/>
                <w:lang w:val="en-GB"/>
              </w:rPr>
              <w:t>Source: CZSO</w:t>
            </w:r>
          </w:p>
        </w:tc>
      </w:tr>
      <w:bookmarkEnd w:id="31"/>
      <w:bookmarkEnd w:id="32"/>
      <w:bookmarkEnd w:id="33"/>
    </w:tbl>
    <w:p w14:paraId="4DA42CAC" w14:textId="77777777" w:rsidR="0038370D" w:rsidRDefault="0038370D" w:rsidP="00C6020C">
      <w:pPr>
        <w:pStyle w:val="Nadpis11"/>
        <w:rPr>
          <w:lang w:val="en-GB"/>
        </w:rPr>
      </w:pPr>
    </w:p>
    <w:p w14:paraId="3158386E" w14:textId="77777777" w:rsidR="0038370D" w:rsidRDefault="0038370D">
      <w:pPr>
        <w:spacing w:after="0" w:line="240" w:lineRule="auto"/>
        <w:jc w:val="left"/>
        <w:rPr>
          <w:rFonts w:eastAsia="MS Gothic"/>
          <w:b/>
          <w:bCs/>
          <w:color w:val="71818C"/>
          <w:sz w:val="32"/>
          <w:szCs w:val="28"/>
          <w:lang w:val="en-GB"/>
        </w:rPr>
      </w:pPr>
      <w:r>
        <w:rPr>
          <w:lang w:val="en-GB"/>
        </w:rPr>
        <w:br w:type="page"/>
      </w:r>
    </w:p>
    <w:p w14:paraId="024A13B6" w14:textId="2E52962E" w:rsidR="00C6020C" w:rsidRPr="00DD6E6B" w:rsidRDefault="00C6020C" w:rsidP="00C6020C">
      <w:pPr>
        <w:pStyle w:val="Nadpis11"/>
        <w:rPr>
          <w:lang w:val="en-GB"/>
        </w:rPr>
      </w:pPr>
      <w:bookmarkStart w:id="34" w:name="_Toc148437388"/>
      <w:r w:rsidRPr="00DD6E6B">
        <w:rPr>
          <w:lang w:val="en-GB"/>
        </w:rPr>
        <w:lastRenderedPageBreak/>
        <w:t>5. </w:t>
      </w:r>
      <w:r w:rsidR="007E4AF6" w:rsidRPr="00DD6E6B">
        <w:rPr>
          <w:lang w:val="en-GB"/>
        </w:rPr>
        <w:t>Prices</w:t>
      </w:r>
      <w:bookmarkEnd w:id="34"/>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C6020C" w:rsidRPr="00DD6E6B" w14:paraId="23EC816A" w14:textId="77777777" w:rsidTr="006849F8">
        <w:trPr>
          <w:trHeight w:val="145"/>
        </w:trPr>
        <w:tc>
          <w:tcPr>
            <w:tcW w:w="1804" w:type="dxa"/>
            <w:shd w:val="clear" w:color="auto" w:fill="auto"/>
            <w:tcMar>
              <w:left w:w="0" w:type="dxa"/>
            </w:tcMar>
          </w:tcPr>
          <w:p w14:paraId="0E6214D5" w14:textId="696ACB15" w:rsidR="00C6020C" w:rsidRPr="00DD6E6B" w:rsidRDefault="007E4AF6" w:rsidP="00AA49E1">
            <w:pPr>
              <w:pStyle w:val="Marginlie"/>
              <w:rPr>
                <w:spacing w:val="0"/>
                <w:lang w:val="en-GB"/>
              </w:rPr>
            </w:pPr>
            <w:r w:rsidRPr="00DD6E6B">
              <w:rPr>
                <w:spacing w:val="0"/>
                <w:lang w:val="en-GB"/>
              </w:rPr>
              <w:t xml:space="preserve">Total price level grew in </w:t>
            </w:r>
            <w:r w:rsidR="00D2192C" w:rsidRPr="00DD6E6B">
              <w:rPr>
                <w:spacing w:val="0"/>
                <w:lang w:val="en-GB"/>
              </w:rPr>
              <w:t>Q</w:t>
            </w:r>
            <w:r w:rsidR="00AA49E1" w:rsidRPr="00DD6E6B">
              <w:rPr>
                <w:spacing w:val="0"/>
                <w:lang w:val="en-GB"/>
              </w:rPr>
              <w:t>2.</w:t>
            </w:r>
          </w:p>
        </w:tc>
        <w:tc>
          <w:tcPr>
            <w:tcW w:w="224" w:type="dxa"/>
            <w:shd w:val="clear" w:color="auto" w:fill="auto"/>
            <w:tcMar>
              <w:left w:w="0" w:type="dxa"/>
            </w:tcMar>
          </w:tcPr>
          <w:p w14:paraId="63C5DAE9"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386C0AF1" w14:textId="40444610" w:rsidR="00C6020C" w:rsidRPr="00DD6E6B" w:rsidRDefault="00BA0986" w:rsidP="006849F8">
            <w:pPr>
              <w:rPr>
                <w:szCs w:val="20"/>
                <w:lang w:val="en-GB"/>
              </w:rPr>
            </w:pPr>
            <w:r w:rsidRPr="00DD6E6B">
              <w:rPr>
                <w:szCs w:val="20"/>
                <w:lang w:val="en-GB"/>
              </w:rPr>
              <w:t xml:space="preserve">Total price level gauged by the GDP deflator </w:t>
            </w:r>
            <w:r w:rsidR="00E64893" w:rsidRPr="00DD6E6B">
              <w:rPr>
                <w:szCs w:val="20"/>
                <w:lang w:val="en-GB"/>
              </w:rPr>
              <w:t xml:space="preserve">increased by </w:t>
            </w:r>
            <w:r w:rsidR="00C6020C" w:rsidRPr="00DD6E6B">
              <w:rPr>
                <w:szCs w:val="20"/>
                <w:lang w:val="en-GB"/>
              </w:rPr>
              <w:t>10</w:t>
            </w:r>
            <w:r w:rsidR="00E64893" w:rsidRPr="00DD6E6B">
              <w:rPr>
                <w:szCs w:val="20"/>
                <w:lang w:val="en-GB"/>
              </w:rPr>
              <w:t>.</w:t>
            </w:r>
            <w:r w:rsidR="00C6020C" w:rsidRPr="00DD6E6B">
              <w:rPr>
                <w:szCs w:val="20"/>
                <w:lang w:val="en-GB"/>
              </w:rPr>
              <w:t>2%</w:t>
            </w:r>
            <w:r w:rsidR="00E64893" w:rsidRPr="00DD6E6B">
              <w:rPr>
                <w:szCs w:val="20"/>
                <w:lang w:val="en-GB"/>
              </w:rPr>
              <w:t xml:space="preserve"> year-on-year in Q2</w:t>
            </w:r>
            <w:r w:rsidR="00C6020C" w:rsidRPr="00DD6E6B">
              <w:rPr>
                <w:szCs w:val="20"/>
                <w:lang w:val="en-GB"/>
              </w:rPr>
              <w:t>.</w:t>
            </w:r>
            <w:r w:rsidR="00E64893" w:rsidRPr="00DD6E6B">
              <w:rPr>
                <w:szCs w:val="20"/>
                <w:lang w:val="en-GB"/>
              </w:rPr>
              <w:t xml:space="preserve"> The pace thus slightly </w:t>
            </w:r>
            <w:r w:rsidR="0054156A" w:rsidRPr="00DD6E6B">
              <w:rPr>
                <w:szCs w:val="20"/>
                <w:lang w:val="en-GB"/>
              </w:rPr>
              <w:t xml:space="preserve">slowed down compared to the previous quarter. </w:t>
            </w:r>
            <w:r w:rsidR="00481F13" w:rsidRPr="00DD6E6B">
              <w:rPr>
                <w:szCs w:val="20"/>
                <w:lang w:val="en-GB"/>
              </w:rPr>
              <w:t xml:space="preserve">The year-on-year </w:t>
            </w:r>
            <w:r w:rsidR="00961A4C" w:rsidRPr="00DD6E6B">
              <w:rPr>
                <w:szCs w:val="20"/>
                <w:lang w:val="en-GB"/>
              </w:rPr>
              <w:t xml:space="preserve">rate of growth of prices of consumption considerably slowed down </w:t>
            </w:r>
            <w:r w:rsidR="00C6020C" w:rsidRPr="00DD6E6B">
              <w:rPr>
                <w:szCs w:val="20"/>
                <w:lang w:val="en-GB"/>
              </w:rPr>
              <w:t>(</w:t>
            </w:r>
            <w:r w:rsidR="00961A4C" w:rsidRPr="00DD6E6B">
              <w:rPr>
                <w:szCs w:val="20"/>
                <w:lang w:val="en-GB"/>
              </w:rPr>
              <w:t xml:space="preserve">from </w:t>
            </w:r>
            <w:r w:rsidR="00C6020C" w:rsidRPr="00DD6E6B">
              <w:rPr>
                <w:szCs w:val="20"/>
                <w:lang w:val="en-GB"/>
              </w:rPr>
              <w:t>12</w:t>
            </w:r>
            <w:r w:rsidR="00961A4C" w:rsidRPr="00DD6E6B">
              <w:rPr>
                <w:szCs w:val="20"/>
                <w:lang w:val="en-GB"/>
              </w:rPr>
              <w:t>.</w:t>
            </w:r>
            <w:r w:rsidR="00C6020C" w:rsidRPr="00DD6E6B">
              <w:rPr>
                <w:szCs w:val="20"/>
                <w:lang w:val="en-GB"/>
              </w:rPr>
              <w:t>2%</w:t>
            </w:r>
            <w:r w:rsidR="00961A4C" w:rsidRPr="00DD6E6B">
              <w:rPr>
                <w:szCs w:val="20"/>
                <w:lang w:val="en-GB"/>
              </w:rPr>
              <w:t xml:space="preserve"> to </w:t>
            </w:r>
            <w:r w:rsidR="00C6020C" w:rsidRPr="00DD6E6B">
              <w:rPr>
                <w:szCs w:val="20"/>
                <w:lang w:val="en-GB"/>
              </w:rPr>
              <w:t>9</w:t>
            </w:r>
            <w:r w:rsidR="00961A4C" w:rsidRPr="00DD6E6B">
              <w:rPr>
                <w:szCs w:val="20"/>
                <w:lang w:val="en-GB"/>
              </w:rPr>
              <w:t>.</w:t>
            </w:r>
            <w:r w:rsidR="00C6020C" w:rsidRPr="00DD6E6B">
              <w:rPr>
                <w:szCs w:val="20"/>
                <w:lang w:val="en-GB"/>
              </w:rPr>
              <w:t xml:space="preserve">0%), </w:t>
            </w:r>
            <w:r w:rsidR="00FB6A41" w:rsidRPr="00DD6E6B">
              <w:rPr>
                <w:szCs w:val="20"/>
                <w:lang w:val="en-GB"/>
              </w:rPr>
              <w:t xml:space="preserve">mainly the household consumption </w:t>
            </w:r>
            <w:r w:rsidR="00C6020C" w:rsidRPr="00DD6E6B">
              <w:rPr>
                <w:szCs w:val="20"/>
                <w:lang w:val="en-GB"/>
              </w:rPr>
              <w:t>(10</w:t>
            </w:r>
            <w:r w:rsidR="00FB6A41" w:rsidRPr="00DD6E6B">
              <w:rPr>
                <w:szCs w:val="20"/>
                <w:lang w:val="en-GB"/>
              </w:rPr>
              <w:t>.</w:t>
            </w:r>
            <w:r w:rsidR="00C6020C" w:rsidRPr="00DD6E6B">
              <w:rPr>
                <w:szCs w:val="20"/>
                <w:lang w:val="en-GB"/>
              </w:rPr>
              <w:t>0%).</w:t>
            </w:r>
            <w:r w:rsidR="00FB6A41" w:rsidRPr="00DD6E6B">
              <w:rPr>
                <w:szCs w:val="20"/>
                <w:lang w:val="en-GB"/>
              </w:rPr>
              <w:t xml:space="preserve"> Prices of capital goods increased by </w:t>
            </w:r>
            <w:r w:rsidR="00C6020C" w:rsidRPr="00DD6E6B">
              <w:rPr>
                <w:szCs w:val="20"/>
                <w:lang w:val="en-GB"/>
              </w:rPr>
              <w:t>3</w:t>
            </w:r>
            <w:r w:rsidR="00FB6A41" w:rsidRPr="00DD6E6B">
              <w:rPr>
                <w:szCs w:val="20"/>
                <w:lang w:val="en-GB"/>
              </w:rPr>
              <w:t>.</w:t>
            </w:r>
            <w:r w:rsidR="00C6020C" w:rsidRPr="00DD6E6B">
              <w:rPr>
                <w:szCs w:val="20"/>
                <w:lang w:val="en-GB"/>
              </w:rPr>
              <w:t>3%</w:t>
            </w:r>
            <w:r w:rsidR="00FB6A41" w:rsidRPr="00DD6E6B">
              <w:rPr>
                <w:szCs w:val="20"/>
                <w:lang w:val="en-GB"/>
              </w:rPr>
              <w:t xml:space="preserve"> year-on-year, which represents a </w:t>
            </w:r>
            <w:r w:rsidR="003B5A37" w:rsidRPr="00DD6E6B">
              <w:rPr>
                <w:szCs w:val="20"/>
                <w:lang w:val="en-GB"/>
              </w:rPr>
              <w:t xml:space="preserve">rapid deceleration </w:t>
            </w:r>
            <w:r w:rsidR="00C6020C" w:rsidRPr="00DD6E6B">
              <w:rPr>
                <w:szCs w:val="20"/>
                <w:lang w:val="en-GB"/>
              </w:rPr>
              <w:t>(</w:t>
            </w:r>
            <w:r w:rsidR="003B5A37" w:rsidRPr="00DD6E6B">
              <w:rPr>
                <w:szCs w:val="20"/>
                <w:lang w:val="en-GB"/>
              </w:rPr>
              <w:t xml:space="preserve">prices rose by </w:t>
            </w:r>
            <w:r w:rsidR="00C6020C" w:rsidRPr="00DD6E6B">
              <w:rPr>
                <w:szCs w:val="20"/>
                <w:lang w:val="en-GB"/>
              </w:rPr>
              <w:t>10</w:t>
            </w:r>
            <w:r w:rsidR="003B5A37" w:rsidRPr="00DD6E6B">
              <w:rPr>
                <w:szCs w:val="20"/>
                <w:lang w:val="en-GB"/>
              </w:rPr>
              <w:t>.</w:t>
            </w:r>
            <w:r w:rsidR="00C6020C" w:rsidRPr="00DD6E6B">
              <w:rPr>
                <w:szCs w:val="20"/>
                <w:lang w:val="en-GB"/>
              </w:rPr>
              <w:t>2%</w:t>
            </w:r>
            <w:r w:rsidR="003B5A37" w:rsidRPr="00DD6E6B">
              <w:rPr>
                <w:szCs w:val="20"/>
                <w:lang w:val="en-GB"/>
              </w:rPr>
              <w:t xml:space="preserve"> in Q1</w:t>
            </w:r>
            <w:r w:rsidR="00C6020C" w:rsidRPr="00DD6E6B">
              <w:rPr>
                <w:szCs w:val="20"/>
                <w:lang w:val="en-GB"/>
              </w:rPr>
              <w:t xml:space="preserve">). </w:t>
            </w:r>
            <w:r w:rsidR="00961A4C" w:rsidRPr="00DD6E6B">
              <w:rPr>
                <w:szCs w:val="20"/>
                <w:lang w:val="en-GB"/>
              </w:rPr>
              <w:t xml:space="preserve">Year-on-year terms of trade amounted to </w:t>
            </w:r>
            <w:r w:rsidR="009B5861" w:rsidRPr="00DD6E6B">
              <w:rPr>
                <w:szCs w:val="20"/>
                <w:lang w:val="en-GB"/>
              </w:rPr>
              <w:t xml:space="preserve">substantial </w:t>
            </w:r>
            <w:r w:rsidR="00C6020C" w:rsidRPr="00DD6E6B">
              <w:rPr>
                <w:szCs w:val="20"/>
                <w:lang w:val="en-GB"/>
              </w:rPr>
              <w:t>104</w:t>
            </w:r>
            <w:r w:rsidR="009B5861" w:rsidRPr="00DD6E6B">
              <w:rPr>
                <w:szCs w:val="20"/>
                <w:lang w:val="en-GB"/>
              </w:rPr>
              <w:t>.</w:t>
            </w:r>
            <w:r w:rsidR="00C6020C" w:rsidRPr="00DD6E6B">
              <w:rPr>
                <w:szCs w:val="20"/>
                <w:lang w:val="en-GB"/>
              </w:rPr>
              <w:t>6% a</w:t>
            </w:r>
            <w:r w:rsidR="009B5861" w:rsidRPr="00DD6E6B">
              <w:rPr>
                <w:szCs w:val="20"/>
                <w:lang w:val="en-GB"/>
              </w:rPr>
              <w:t xml:space="preserve">nd they were markedly positive in case of goods </w:t>
            </w:r>
            <w:r w:rsidR="00C6020C" w:rsidRPr="00DD6E6B">
              <w:rPr>
                <w:szCs w:val="20"/>
                <w:lang w:val="en-GB"/>
              </w:rPr>
              <w:t>(104</w:t>
            </w:r>
            <w:r w:rsidR="009B5861" w:rsidRPr="00DD6E6B">
              <w:rPr>
                <w:szCs w:val="20"/>
                <w:lang w:val="en-GB"/>
              </w:rPr>
              <w:t>.</w:t>
            </w:r>
            <w:r w:rsidR="00C6020C" w:rsidRPr="00DD6E6B">
              <w:rPr>
                <w:szCs w:val="20"/>
                <w:lang w:val="en-GB"/>
              </w:rPr>
              <w:t>7%)</w:t>
            </w:r>
            <w:r w:rsidR="009B5861" w:rsidRPr="00DD6E6B">
              <w:rPr>
                <w:szCs w:val="20"/>
                <w:lang w:val="en-GB"/>
              </w:rPr>
              <w:t xml:space="preserve"> as well as services </w:t>
            </w:r>
            <w:r w:rsidR="00C6020C" w:rsidRPr="00DD6E6B">
              <w:rPr>
                <w:szCs w:val="20"/>
                <w:lang w:val="en-GB"/>
              </w:rPr>
              <w:t>(103</w:t>
            </w:r>
            <w:r w:rsidR="009B5861" w:rsidRPr="00DD6E6B">
              <w:rPr>
                <w:szCs w:val="20"/>
                <w:lang w:val="en-GB"/>
              </w:rPr>
              <w:t>.</w:t>
            </w:r>
            <w:r w:rsidR="00C6020C" w:rsidRPr="00DD6E6B">
              <w:rPr>
                <w:szCs w:val="20"/>
                <w:lang w:val="en-GB"/>
              </w:rPr>
              <w:t xml:space="preserve">1%). </w:t>
            </w:r>
            <w:r w:rsidR="00D23EA4">
              <w:rPr>
                <w:szCs w:val="20"/>
                <w:lang w:val="en-GB"/>
              </w:rPr>
              <w:t>The total </w:t>
            </w:r>
            <w:r w:rsidR="00A25A28" w:rsidRPr="00DD6E6B">
              <w:rPr>
                <w:szCs w:val="20"/>
                <w:lang w:val="en-GB"/>
              </w:rPr>
              <w:t xml:space="preserve">price level went up by </w:t>
            </w:r>
            <w:r w:rsidR="00C6020C" w:rsidRPr="00DD6E6B">
              <w:rPr>
                <w:szCs w:val="20"/>
                <w:lang w:val="en-GB"/>
              </w:rPr>
              <w:t>1</w:t>
            </w:r>
            <w:r w:rsidR="00A25A28" w:rsidRPr="00DD6E6B">
              <w:rPr>
                <w:szCs w:val="20"/>
                <w:lang w:val="en-GB"/>
              </w:rPr>
              <w:t>.</w:t>
            </w:r>
            <w:r w:rsidR="00C6020C" w:rsidRPr="00DD6E6B">
              <w:rPr>
                <w:szCs w:val="20"/>
                <w:lang w:val="en-GB"/>
              </w:rPr>
              <w:t>1%</w:t>
            </w:r>
            <w:r w:rsidR="00A25A28" w:rsidRPr="00DD6E6B">
              <w:rPr>
                <w:szCs w:val="20"/>
                <w:lang w:val="en-GB"/>
              </w:rPr>
              <w:t xml:space="preserve"> quarter-on-quarter in Q2</w:t>
            </w:r>
            <w:r w:rsidR="00C6020C" w:rsidRPr="00DD6E6B">
              <w:rPr>
                <w:szCs w:val="20"/>
                <w:lang w:val="en-GB"/>
              </w:rPr>
              <w:t xml:space="preserve">. </w:t>
            </w:r>
            <w:r w:rsidR="00A25A28" w:rsidRPr="00DD6E6B">
              <w:rPr>
                <w:szCs w:val="20"/>
                <w:lang w:val="en-GB"/>
              </w:rPr>
              <w:t xml:space="preserve">Prices of consumption goods </w:t>
            </w:r>
            <w:r w:rsidR="00D23EA4">
              <w:rPr>
                <w:szCs w:val="20"/>
                <w:lang w:val="en-GB"/>
              </w:rPr>
              <w:t>(</w:t>
            </w:r>
            <w:r w:rsidR="00D23EA4">
              <w:rPr>
                <w:color w:val="000000"/>
                <w:shd w:val="clear" w:color="auto" w:fill="FFFFFF"/>
              </w:rPr>
              <w:t>–</w:t>
            </w:r>
            <w:r w:rsidR="00C6020C" w:rsidRPr="00DD6E6B">
              <w:rPr>
                <w:szCs w:val="20"/>
                <w:lang w:val="en-GB"/>
              </w:rPr>
              <w:t>0</w:t>
            </w:r>
            <w:r w:rsidR="00A25A28" w:rsidRPr="00DD6E6B">
              <w:rPr>
                <w:szCs w:val="20"/>
                <w:lang w:val="en-GB"/>
              </w:rPr>
              <w:t>.</w:t>
            </w:r>
            <w:r w:rsidR="00C6020C" w:rsidRPr="00DD6E6B">
              <w:rPr>
                <w:szCs w:val="20"/>
                <w:lang w:val="en-GB"/>
              </w:rPr>
              <w:t>2%)</w:t>
            </w:r>
            <w:r w:rsidR="00A25A28" w:rsidRPr="00DD6E6B">
              <w:rPr>
                <w:szCs w:val="20"/>
                <w:lang w:val="en-GB"/>
              </w:rPr>
              <w:t xml:space="preserve"> as well as capital goods </w:t>
            </w:r>
            <w:r w:rsidR="0052635B">
              <w:rPr>
                <w:szCs w:val="20"/>
                <w:lang w:val="en-GB"/>
              </w:rPr>
              <w:t>(</w:t>
            </w:r>
            <w:r w:rsidR="0052635B">
              <w:rPr>
                <w:color w:val="000000"/>
                <w:shd w:val="clear" w:color="auto" w:fill="FFFFFF"/>
              </w:rPr>
              <w:t>–</w:t>
            </w:r>
            <w:r w:rsidR="00C6020C" w:rsidRPr="00DD6E6B">
              <w:rPr>
                <w:szCs w:val="20"/>
                <w:lang w:val="en-GB"/>
              </w:rPr>
              <w:t>1</w:t>
            </w:r>
            <w:r w:rsidR="00A25A28" w:rsidRPr="00DD6E6B">
              <w:rPr>
                <w:szCs w:val="20"/>
                <w:lang w:val="en-GB"/>
              </w:rPr>
              <w:t>.</w:t>
            </w:r>
            <w:r w:rsidR="00C6020C" w:rsidRPr="00DD6E6B">
              <w:rPr>
                <w:szCs w:val="20"/>
                <w:lang w:val="en-GB"/>
              </w:rPr>
              <w:t>9%)</w:t>
            </w:r>
            <w:r w:rsidR="00A25A28" w:rsidRPr="00DD6E6B">
              <w:rPr>
                <w:szCs w:val="20"/>
                <w:lang w:val="en-GB"/>
              </w:rPr>
              <w:t xml:space="preserve"> fell</w:t>
            </w:r>
            <w:r w:rsidR="00C6020C" w:rsidRPr="00DD6E6B">
              <w:rPr>
                <w:szCs w:val="20"/>
                <w:lang w:val="en-GB"/>
              </w:rPr>
              <w:t xml:space="preserve">. </w:t>
            </w:r>
            <w:r w:rsidR="00A25A28" w:rsidRPr="00DD6E6B">
              <w:rPr>
                <w:szCs w:val="20"/>
                <w:lang w:val="en-GB"/>
              </w:rPr>
              <w:t xml:space="preserve">Quarter-on-quarter terms of trade totalled </w:t>
            </w:r>
            <w:r w:rsidR="00C6020C" w:rsidRPr="00DD6E6B">
              <w:rPr>
                <w:szCs w:val="20"/>
                <w:lang w:val="en-GB"/>
              </w:rPr>
              <w:t>102</w:t>
            </w:r>
            <w:r w:rsidR="00A25A28" w:rsidRPr="00DD6E6B">
              <w:rPr>
                <w:szCs w:val="20"/>
                <w:lang w:val="en-GB"/>
              </w:rPr>
              <w:t>.</w:t>
            </w:r>
            <w:r w:rsidR="00C6020C" w:rsidRPr="00DD6E6B">
              <w:rPr>
                <w:szCs w:val="20"/>
                <w:lang w:val="en-GB"/>
              </w:rPr>
              <w:t xml:space="preserve">9%. </w:t>
            </w:r>
            <w:r w:rsidR="000D2854" w:rsidRPr="00DD6E6B">
              <w:rPr>
                <w:szCs w:val="20"/>
                <w:lang w:val="en-GB"/>
              </w:rPr>
              <w:t xml:space="preserve">In that the terms of trade with goods were </w:t>
            </w:r>
            <w:r w:rsidR="00C6020C" w:rsidRPr="00DD6E6B">
              <w:rPr>
                <w:szCs w:val="20"/>
                <w:lang w:val="en-GB"/>
              </w:rPr>
              <w:t>102</w:t>
            </w:r>
            <w:r w:rsidR="000D2854" w:rsidRPr="00DD6E6B">
              <w:rPr>
                <w:szCs w:val="20"/>
                <w:lang w:val="en-GB"/>
              </w:rPr>
              <w:t>.</w:t>
            </w:r>
            <w:r w:rsidR="00C6020C" w:rsidRPr="00DD6E6B">
              <w:rPr>
                <w:szCs w:val="20"/>
                <w:lang w:val="en-GB"/>
              </w:rPr>
              <w:t>7% a</w:t>
            </w:r>
            <w:r w:rsidR="000D2854" w:rsidRPr="00DD6E6B">
              <w:rPr>
                <w:szCs w:val="20"/>
                <w:lang w:val="en-GB"/>
              </w:rPr>
              <w:t xml:space="preserve">nd with services </w:t>
            </w:r>
            <w:r w:rsidR="00C6020C" w:rsidRPr="00DD6E6B">
              <w:rPr>
                <w:szCs w:val="20"/>
                <w:lang w:val="en-GB"/>
              </w:rPr>
              <w:t>103</w:t>
            </w:r>
            <w:r w:rsidR="000D2854" w:rsidRPr="00DD6E6B">
              <w:rPr>
                <w:szCs w:val="20"/>
                <w:lang w:val="en-GB"/>
              </w:rPr>
              <w:t>.</w:t>
            </w:r>
            <w:r w:rsidR="00C6020C" w:rsidRPr="00DD6E6B">
              <w:rPr>
                <w:szCs w:val="20"/>
                <w:lang w:val="en-GB"/>
              </w:rPr>
              <w:t xml:space="preserve">5%. </w:t>
            </w:r>
          </w:p>
        </w:tc>
      </w:tr>
      <w:tr w:rsidR="00C6020C" w:rsidRPr="00DD6E6B" w14:paraId="1BA78F43" w14:textId="77777777" w:rsidTr="006849F8">
        <w:trPr>
          <w:trHeight w:val="145"/>
        </w:trPr>
        <w:tc>
          <w:tcPr>
            <w:tcW w:w="1804" w:type="dxa"/>
            <w:shd w:val="clear" w:color="auto" w:fill="auto"/>
            <w:tcMar>
              <w:left w:w="0" w:type="dxa"/>
            </w:tcMar>
          </w:tcPr>
          <w:p w14:paraId="432D8C62" w14:textId="4C04E81F" w:rsidR="00C6020C" w:rsidRPr="00DD6E6B" w:rsidRDefault="00D2192C" w:rsidP="006849F8">
            <w:pPr>
              <w:pStyle w:val="Marginlie"/>
              <w:rPr>
                <w:spacing w:val="0"/>
                <w:lang w:val="en-GB"/>
              </w:rPr>
            </w:pPr>
            <w:r w:rsidRPr="00DD6E6B">
              <w:rPr>
                <w:spacing w:val="0"/>
                <w:lang w:val="en-GB"/>
              </w:rPr>
              <w:t xml:space="preserve">Year-on-year growth of consumer prices slowed down. </w:t>
            </w:r>
          </w:p>
        </w:tc>
        <w:tc>
          <w:tcPr>
            <w:tcW w:w="224" w:type="dxa"/>
            <w:shd w:val="clear" w:color="auto" w:fill="auto"/>
            <w:tcMar>
              <w:left w:w="0" w:type="dxa"/>
            </w:tcMar>
          </w:tcPr>
          <w:p w14:paraId="456F7361" w14:textId="77777777" w:rsidR="00C6020C" w:rsidRPr="00DD6E6B" w:rsidRDefault="00C6020C" w:rsidP="006849F8">
            <w:pPr>
              <w:pStyle w:val="Textpoznpodarou1"/>
              <w:jc w:val="both"/>
              <w:rPr>
                <w:highlight w:val="yellow"/>
                <w:lang w:val="en-GB"/>
              </w:rPr>
            </w:pPr>
          </w:p>
        </w:tc>
        <w:tc>
          <w:tcPr>
            <w:tcW w:w="7611" w:type="dxa"/>
            <w:shd w:val="clear" w:color="auto" w:fill="auto"/>
            <w:tcMar>
              <w:left w:w="0" w:type="dxa"/>
            </w:tcMar>
          </w:tcPr>
          <w:p w14:paraId="5FAA19AB" w14:textId="1D3E7A84" w:rsidR="00C6020C" w:rsidRPr="00DD6E6B" w:rsidRDefault="00E71A3C" w:rsidP="0052635B">
            <w:pPr>
              <w:rPr>
                <w:lang w:val="en-GB"/>
              </w:rPr>
            </w:pPr>
            <w:r w:rsidRPr="00DD6E6B">
              <w:rPr>
                <w:lang w:val="en-GB"/>
              </w:rPr>
              <w:t xml:space="preserve">The consumer price index hiked up by </w:t>
            </w:r>
            <w:r w:rsidR="00C6020C" w:rsidRPr="00DD6E6B">
              <w:rPr>
                <w:lang w:val="en-GB"/>
              </w:rPr>
              <w:t>11</w:t>
            </w:r>
            <w:r w:rsidRPr="00DD6E6B">
              <w:rPr>
                <w:lang w:val="en-GB"/>
              </w:rPr>
              <w:t>.</w:t>
            </w:r>
            <w:r w:rsidR="00C6020C" w:rsidRPr="00DD6E6B">
              <w:rPr>
                <w:lang w:val="en-GB"/>
              </w:rPr>
              <w:t>1%</w:t>
            </w:r>
            <w:r w:rsidRPr="00DD6E6B">
              <w:rPr>
                <w:lang w:val="en-GB"/>
              </w:rPr>
              <w:t xml:space="preserve"> year-on-year in Q2 2023</w:t>
            </w:r>
            <w:r w:rsidR="00C6020C" w:rsidRPr="00DD6E6B">
              <w:rPr>
                <w:lang w:val="en-GB"/>
              </w:rPr>
              <w:t>. T</w:t>
            </w:r>
            <w:r w:rsidR="00062A8F" w:rsidRPr="00DD6E6B">
              <w:rPr>
                <w:lang w:val="en-GB"/>
              </w:rPr>
              <w:t xml:space="preserve">his represents a notable </w:t>
            </w:r>
            <w:r w:rsidR="00C9300A" w:rsidRPr="00DD6E6B">
              <w:rPr>
                <w:lang w:val="en-GB"/>
              </w:rPr>
              <w:t xml:space="preserve">deceleration </w:t>
            </w:r>
            <w:r w:rsidR="00062A8F" w:rsidRPr="00DD6E6B">
              <w:rPr>
                <w:lang w:val="en-GB"/>
              </w:rPr>
              <w:t>of the pace compared to Q</w:t>
            </w:r>
            <w:r w:rsidR="00C6020C" w:rsidRPr="00DD6E6B">
              <w:rPr>
                <w:lang w:val="en-GB"/>
              </w:rPr>
              <w:t>1</w:t>
            </w:r>
            <w:r w:rsidR="00062A8F" w:rsidRPr="00DD6E6B">
              <w:rPr>
                <w:lang w:val="en-GB"/>
              </w:rPr>
              <w:t xml:space="preserve"> </w:t>
            </w:r>
            <w:r w:rsidR="00C6020C" w:rsidRPr="00DD6E6B">
              <w:rPr>
                <w:lang w:val="en-GB"/>
              </w:rPr>
              <w:t>(16</w:t>
            </w:r>
            <w:r w:rsidR="00062A8F" w:rsidRPr="00DD6E6B">
              <w:rPr>
                <w:lang w:val="en-GB"/>
              </w:rPr>
              <w:t>.</w:t>
            </w:r>
            <w:r w:rsidR="00C6020C" w:rsidRPr="00DD6E6B">
              <w:rPr>
                <w:lang w:val="en-GB"/>
              </w:rPr>
              <w:t xml:space="preserve">4%). </w:t>
            </w:r>
            <w:r w:rsidR="005F7AD7" w:rsidRPr="00DD6E6B">
              <w:rPr>
                <w:lang w:val="en-GB"/>
              </w:rPr>
              <w:t>Mostly t</w:t>
            </w:r>
            <w:r w:rsidR="00C9300A" w:rsidRPr="00DD6E6B">
              <w:rPr>
                <w:lang w:val="en-GB"/>
              </w:rPr>
              <w:t>he high comparative basis of the last year</w:t>
            </w:r>
            <w:r w:rsidR="005F7AD7" w:rsidRPr="00DD6E6B">
              <w:rPr>
                <w:lang w:val="en-GB"/>
              </w:rPr>
              <w:t xml:space="preserve"> has a large share in the decrease. </w:t>
            </w:r>
            <w:r w:rsidR="00A44964" w:rsidRPr="00DD6E6B">
              <w:rPr>
                <w:lang w:val="en-GB"/>
              </w:rPr>
              <w:t xml:space="preserve">Since the view on the index with the basis in year </w:t>
            </w:r>
            <w:r w:rsidR="00C6020C" w:rsidRPr="00DD6E6B">
              <w:rPr>
                <w:lang w:val="en-GB"/>
              </w:rPr>
              <w:t xml:space="preserve">2015 </w:t>
            </w:r>
            <w:r w:rsidR="00F974AA" w:rsidRPr="00DD6E6B">
              <w:rPr>
                <w:lang w:val="en-GB"/>
              </w:rPr>
              <w:t>shows more clearly, that following this year’</w:t>
            </w:r>
            <w:r w:rsidR="0052635B">
              <w:rPr>
                <w:lang w:val="en-GB"/>
              </w:rPr>
              <w:t>s</w:t>
            </w:r>
            <w:r w:rsidR="00F974AA" w:rsidRPr="00DD6E6B">
              <w:rPr>
                <w:lang w:val="en-GB"/>
              </w:rPr>
              <w:t xml:space="preserve"> January </w:t>
            </w:r>
            <w:r w:rsidR="00F6765B" w:rsidRPr="00DD6E6B">
              <w:rPr>
                <w:lang w:val="en-GB"/>
              </w:rPr>
              <w:t>sharp acceleration the level of consumer prices rose already only mildly</w:t>
            </w:r>
            <w:r w:rsidR="00C6020C" w:rsidRPr="00DD6E6B">
              <w:rPr>
                <w:rStyle w:val="Znakapoznpodarou"/>
                <w:lang w:val="en-GB"/>
              </w:rPr>
              <w:footnoteReference w:id="47"/>
            </w:r>
            <w:r w:rsidR="00C6020C" w:rsidRPr="00DD6E6B">
              <w:rPr>
                <w:lang w:val="en-GB"/>
              </w:rPr>
              <w:t xml:space="preserve">. </w:t>
            </w:r>
            <w:r w:rsidR="002742A7" w:rsidRPr="00DD6E6B">
              <w:rPr>
                <w:lang w:val="en-GB"/>
              </w:rPr>
              <w:t>The development of prices of food and non-alcoholic beverages, housing and energ</w:t>
            </w:r>
            <w:r w:rsidR="009606FA">
              <w:rPr>
                <w:lang w:val="en-GB"/>
              </w:rPr>
              <w:t>y</w:t>
            </w:r>
            <w:r w:rsidR="002742A7" w:rsidRPr="00DD6E6B">
              <w:rPr>
                <w:lang w:val="en-GB"/>
              </w:rPr>
              <w:t xml:space="preserve"> and transport</w:t>
            </w:r>
            <w:r w:rsidR="00C6020C" w:rsidRPr="00DD6E6B">
              <w:rPr>
                <w:lang w:val="en-GB"/>
              </w:rPr>
              <w:t xml:space="preserve">, </w:t>
            </w:r>
            <w:r w:rsidR="002742A7" w:rsidRPr="00DD6E6B">
              <w:rPr>
                <w:lang w:val="en-GB"/>
              </w:rPr>
              <w:t>which dominated the price growth in the last year’s H</w:t>
            </w:r>
            <w:r w:rsidR="00C6020C" w:rsidRPr="00DD6E6B">
              <w:rPr>
                <w:lang w:val="en-GB"/>
              </w:rPr>
              <w:t>1</w:t>
            </w:r>
            <w:r w:rsidR="00EE226A" w:rsidRPr="00DD6E6B">
              <w:rPr>
                <w:lang w:val="en-GB"/>
              </w:rPr>
              <w:t>, the most contributed to the weakening of the year-on-year pace in Q2</w:t>
            </w:r>
            <w:r w:rsidR="00C6020C" w:rsidRPr="00DD6E6B">
              <w:rPr>
                <w:lang w:val="en-GB"/>
              </w:rPr>
              <w:t>.</w:t>
            </w:r>
            <w:r w:rsidR="00EE226A" w:rsidRPr="00DD6E6B">
              <w:rPr>
                <w:lang w:val="en-GB"/>
              </w:rPr>
              <w:t xml:space="preserve"> </w:t>
            </w:r>
            <w:r w:rsidR="00D96FA4" w:rsidRPr="00DD6E6B">
              <w:rPr>
                <w:lang w:val="en-GB"/>
              </w:rPr>
              <w:t xml:space="preserve">Despite notable slow down however </w:t>
            </w:r>
            <w:r w:rsidR="009C3376" w:rsidRPr="00DD6E6B">
              <w:rPr>
                <w:lang w:val="en-GB"/>
              </w:rPr>
              <w:t xml:space="preserve">the housing and </w:t>
            </w:r>
            <w:r w:rsidR="009606FA">
              <w:rPr>
                <w:lang w:val="en-GB"/>
              </w:rPr>
              <w:t>energy</w:t>
            </w:r>
            <w:r w:rsidR="009C3376" w:rsidRPr="00DD6E6B">
              <w:rPr>
                <w:lang w:val="en-GB"/>
              </w:rPr>
              <w:t xml:space="preserve"> as well as the food and non-alcoholic beverages remained a driver </w:t>
            </w:r>
            <w:r w:rsidR="00C6020C" w:rsidRPr="00DD6E6B">
              <w:rPr>
                <w:lang w:val="en-GB"/>
              </w:rPr>
              <w:t>a</w:t>
            </w:r>
            <w:r w:rsidR="000961E8" w:rsidRPr="00DD6E6B">
              <w:rPr>
                <w:lang w:val="en-GB"/>
              </w:rPr>
              <w:t xml:space="preserve">nd contribute from more than one half to the year-on-year increase of the consumer prices. </w:t>
            </w:r>
            <w:r w:rsidR="00F3313E" w:rsidRPr="00DD6E6B">
              <w:rPr>
                <w:lang w:val="en-GB"/>
              </w:rPr>
              <w:t>Consumer prices increased by 0.3%</w:t>
            </w:r>
            <w:r w:rsidR="00514D48" w:rsidRPr="00DD6E6B">
              <w:rPr>
                <w:lang w:val="en-GB"/>
              </w:rPr>
              <w:t xml:space="preserve"> </w:t>
            </w:r>
            <w:r w:rsidR="00F3313E" w:rsidRPr="00DD6E6B">
              <w:rPr>
                <w:lang w:val="en-GB"/>
              </w:rPr>
              <w:t>quarter-on-quarter in Q2</w:t>
            </w:r>
            <w:r w:rsidR="00C6020C" w:rsidRPr="00DD6E6B">
              <w:rPr>
                <w:lang w:val="en-GB"/>
              </w:rPr>
              <w:t xml:space="preserve">.   </w:t>
            </w:r>
          </w:p>
        </w:tc>
      </w:tr>
      <w:tr w:rsidR="00C6020C" w:rsidRPr="00DD6E6B" w14:paraId="22E85D03" w14:textId="77777777" w:rsidTr="006849F8">
        <w:trPr>
          <w:trHeight w:val="145"/>
        </w:trPr>
        <w:tc>
          <w:tcPr>
            <w:tcW w:w="1804" w:type="dxa"/>
            <w:shd w:val="clear" w:color="auto" w:fill="auto"/>
            <w:tcMar>
              <w:left w:w="0" w:type="dxa"/>
            </w:tcMar>
          </w:tcPr>
          <w:p w14:paraId="062FC487" w14:textId="08D6450C" w:rsidR="00C6020C" w:rsidRPr="00DD6E6B" w:rsidRDefault="009B27ED" w:rsidP="006849F8">
            <w:pPr>
              <w:pStyle w:val="Marginlie"/>
              <w:rPr>
                <w:spacing w:val="0"/>
                <w:lang w:val="en-GB"/>
              </w:rPr>
            </w:pPr>
            <w:r w:rsidRPr="00DD6E6B">
              <w:rPr>
                <w:spacing w:val="0"/>
                <w:lang w:val="en-GB"/>
              </w:rPr>
              <w:t xml:space="preserve">Increase of prices of housing and </w:t>
            </w:r>
            <w:r w:rsidR="009606FA">
              <w:rPr>
                <w:spacing w:val="0"/>
                <w:lang w:val="en-GB"/>
              </w:rPr>
              <w:t>energy</w:t>
            </w:r>
            <w:r w:rsidRPr="00DD6E6B">
              <w:rPr>
                <w:spacing w:val="0"/>
                <w:lang w:val="en-GB"/>
              </w:rPr>
              <w:t xml:space="preserve"> moderated. </w:t>
            </w:r>
          </w:p>
        </w:tc>
        <w:tc>
          <w:tcPr>
            <w:tcW w:w="224" w:type="dxa"/>
            <w:shd w:val="clear" w:color="auto" w:fill="auto"/>
            <w:tcMar>
              <w:left w:w="0" w:type="dxa"/>
            </w:tcMar>
          </w:tcPr>
          <w:p w14:paraId="71931195" w14:textId="77777777" w:rsidR="00C6020C" w:rsidRPr="00DD6E6B" w:rsidRDefault="00C6020C" w:rsidP="006849F8">
            <w:pPr>
              <w:pStyle w:val="Textpoznpodarou1"/>
              <w:jc w:val="both"/>
              <w:rPr>
                <w:highlight w:val="yellow"/>
                <w:lang w:val="en-GB"/>
              </w:rPr>
            </w:pPr>
          </w:p>
        </w:tc>
        <w:tc>
          <w:tcPr>
            <w:tcW w:w="7611" w:type="dxa"/>
            <w:shd w:val="clear" w:color="auto" w:fill="auto"/>
            <w:tcMar>
              <w:left w:w="0" w:type="dxa"/>
            </w:tcMar>
          </w:tcPr>
          <w:p w14:paraId="32167738" w14:textId="343E6920" w:rsidR="00C6020C" w:rsidRPr="00DD6E6B" w:rsidRDefault="00E71A3C" w:rsidP="006849F8">
            <w:pPr>
              <w:rPr>
                <w:lang w:val="en-GB"/>
              </w:rPr>
            </w:pPr>
            <w:r w:rsidRPr="00DD6E6B">
              <w:rPr>
                <w:lang w:val="en-GB"/>
              </w:rPr>
              <w:t xml:space="preserve">Prices of housing and </w:t>
            </w:r>
            <w:r w:rsidR="009606FA">
              <w:rPr>
                <w:lang w:val="en-GB"/>
              </w:rPr>
              <w:t>energy</w:t>
            </w:r>
            <w:r w:rsidRPr="00DD6E6B">
              <w:rPr>
                <w:lang w:val="en-GB"/>
              </w:rPr>
              <w:t xml:space="preserve"> jumped by </w:t>
            </w:r>
            <w:r w:rsidR="00C6020C" w:rsidRPr="00DD6E6B">
              <w:rPr>
                <w:lang w:val="en-GB"/>
              </w:rPr>
              <w:t>16</w:t>
            </w:r>
            <w:r w:rsidRPr="00DD6E6B">
              <w:rPr>
                <w:lang w:val="en-GB"/>
              </w:rPr>
              <w:t>.</w:t>
            </w:r>
            <w:r w:rsidR="00C6020C" w:rsidRPr="00DD6E6B">
              <w:rPr>
                <w:lang w:val="en-GB"/>
              </w:rPr>
              <w:t>0%</w:t>
            </w:r>
            <w:r w:rsidRPr="00DD6E6B">
              <w:rPr>
                <w:lang w:val="en-GB"/>
              </w:rPr>
              <w:t xml:space="preserve"> year-on-year in Q2</w:t>
            </w:r>
            <w:r w:rsidR="00C6020C" w:rsidRPr="00DD6E6B">
              <w:rPr>
                <w:lang w:val="en-GB"/>
              </w:rPr>
              <w:t>.</w:t>
            </w:r>
            <w:r w:rsidRPr="00DD6E6B">
              <w:rPr>
                <w:lang w:val="en-GB"/>
              </w:rPr>
              <w:t xml:space="preserve"> The growth thus slowed down from the previous </w:t>
            </w:r>
            <w:r w:rsidR="0026072D" w:rsidRPr="00DD6E6B">
              <w:rPr>
                <w:lang w:val="en-GB"/>
              </w:rPr>
              <w:t>22.2% but</w:t>
            </w:r>
            <w:r w:rsidRPr="00DD6E6B">
              <w:rPr>
                <w:lang w:val="en-GB"/>
              </w:rPr>
              <w:t xml:space="preserve"> remained relatively high and </w:t>
            </w:r>
            <w:r w:rsidR="005B1B45" w:rsidRPr="00DD6E6B">
              <w:rPr>
                <w:lang w:val="en-GB"/>
              </w:rPr>
              <w:t xml:space="preserve">with respect to the large weight of housing and </w:t>
            </w:r>
            <w:r w:rsidR="009606FA">
              <w:rPr>
                <w:lang w:val="en-GB"/>
              </w:rPr>
              <w:t>energy</w:t>
            </w:r>
            <w:r w:rsidR="005B1B45" w:rsidRPr="00DD6E6B">
              <w:rPr>
                <w:lang w:val="en-GB"/>
              </w:rPr>
              <w:t xml:space="preserve"> in the consumer basket </w:t>
            </w:r>
            <w:r w:rsidR="00AB640C" w:rsidRPr="00DD6E6B">
              <w:rPr>
                <w:lang w:val="en-GB"/>
              </w:rPr>
              <w:t xml:space="preserve">contributed from more than one third to the total year-on-year increase of consumer prices. </w:t>
            </w:r>
            <w:r w:rsidR="000763FD" w:rsidRPr="00DD6E6B">
              <w:rPr>
                <w:lang w:val="en-GB"/>
              </w:rPr>
              <w:t xml:space="preserve">Prices of housing and </w:t>
            </w:r>
            <w:r w:rsidR="009606FA">
              <w:rPr>
                <w:lang w:val="en-GB"/>
              </w:rPr>
              <w:t>energy</w:t>
            </w:r>
            <w:r w:rsidR="000763FD" w:rsidRPr="00DD6E6B">
              <w:rPr>
                <w:lang w:val="en-GB"/>
              </w:rPr>
              <w:t xml:space="preserve"> grew by </w:t>
            </w:r>
            <w:r w:rsidR="00C6020C" w:rsidRPr="00DD6E6B">
              <w:rPr>
                <w:lang w:val="en-GB"/>
              </w:rPr>
              <w:t>0</w:t>
            </w:r>
            <w:r w:rsidR="000763FD" w:rsidRPr="00DD6E6B">
              <w:rPr>
                <w:lang w:val="en-GB"/>
              </w:rPr>
              <w:t>.</w:t>
            </w:r>
            <w:r w:rsidR="00C6020C" w:rsidRPr="00DD6E6B">
              <w:rPr>
                <w:lang w:val="en-GB"/>
              </w:rPr>
              <w:t>2%</w:t>
            </w:r>
            <w:r w:rsidR="000763FD" w:rsidRPr="00DD6E6B">
              <w:rPr>
                <w:lang w:val="en-GB"/>
              </w:rPr>
              <w:t xml:space="preserve"> quarter-on-quarter</w:t>
            </w:r>
            <w:r w:rsidR="00C6020C" w:rsidRPr="00DD6E6B">
              <w:rPr>
                <w:lang w:val="en-GB"/>
              </w:rPr>
              <w:t xml:space="preserve">. </w:t>
            </w:r>
            <w:r w:rsidR="002D48A1" w:rsidRPr="00DD6E6B">
              <w:rPr>
                <w:lang w:val="en-GB"/>
              </w:rPr>
              <w:t>Slowdown</w:t>
            </w:r>
            <w:r w:rsidR="001A5977" w:rsidRPr="00DD6E6B">
              <w:rPr>
                <w:lang w:val="en-GB"/>
              </w:rPr>
              <w:t xml:space="preserve"> of the year-on-year pace affected the most prices of </w:t>
            </w:r>
            <w:r w:rsidR="009606FA">
              <w:rPr>
                <w:lang w:val="en-GB"/>
              </w:rPr>
              <w:t>electricity, gas and other fuels</w:t>
            </w:r>
            <w:r w:rsidR="002D48A1" w:rsidRPr="00DD6E6B">
              <w:rPr>
                <w:lang w:val="en-GB"/>
              </w:rPr>
              <w:t xml:space="preserve">, which were by </w:t>
            </w:r>
            <w:r w:rsidR="00C6020C" w:rsidRPr="00DD6E6B">
              <w:rPr>
                <w:lang w:val="en-GB"/>
              </w:rPr>
              <w:t>33</w:t>
            </w:r>
            <w:r w:rsidR="002D48A1" w:rsidRPr="00DD6E6B">
              <w:rPr>
                <w:lang w:val="en-GB"/>
              </w:rPr>
              <w:t>.</w:t>
            </w:r>
            <w:r w:rsidR="00C6020C" w:rsidRPr="00DD6E6B">
              <w:rPr>
                <w:lang w:val="en-GB"/>
              </w:rPr>
              <w:t>8%</w:t>
            </w:r>
            <w:r w:rsidR="002D48A1" w:rsidRPr="00DD6E6B">
              <w:rPr>
                <w:lang w:val="en-GB"/>
              </w:rPr>
              <w:t xml:space="preserve"> higher year-on-year</w:t>
            </w:r>
            <w:r w:rsidR="00C6020C" w:rsidRPr="00DD6E6B">
              <w:rPr>
                <w:lang w:val="en-GB"/>
              </w:rPr>
              <w:t xml:space="preserve">. </w:t>
            </w:r>
            <w:r w:rsidR="00B0454F" w:rsidRPr="00DD6E6B">
              <w:rPr>
                <w:lang w:val="en-GB"/>
              </w:rPr>
              <w:t xml:space="preserve">For other services associated with </w:t>
            </w:r>
            <w:r w:rsidR="00D47A67" w:rsidRPr="00DD6E6B">
              <w:rPr>
                <w:lang w:val="en-GB"/>
              </w:rPr>
              <w:t>dwelling</w:t>
            </w:r>
            <w:r w:rsidR="00B0454F" w:rsidRPr="00DD6E6B">
              <w:rPr>
                <w:lang w:val="en-GB"/>
              </w:rPr>
              <w:t xml:space="preserve"> the increase was retained at considerable </w:t>
            </w:r>
            <w:r w:rsidR="00C6020C" w:rsidRPr="00DD6E6B">
              <w:rPr>
                <w:lang w:val="en-GB"/>
              </w:rPr>
              <w:t>15</w:t>
            </w:r>
            <w:r w:rsidR="00B0454F" w:rsidRPr="00DD6E6B">
              <w:rPr>
                <w:lang w:val="en-GB"/>
              </w:rPr>
              <w:t>.</w:t>
            </w:r>
            <w:r w:rsidR="00C6020C" w:rsidRPr="00DD6E6B">
              <w:rPr>
                <w:lang w:val="en-GB"/>
              </w:rPr>
              <w:t>9% a</w:t>
            </w:r>
            <w:r w:rsidR="00B0454F" w:rsidRPr="00DD6E6B">
              <w:rPr>
                <w:lang w:val="en-GB"/>
              </w:rPr>
              <w:t>n</w:t>
            </w:r>
            <w:r w:rsidR="0026072D" w:rsidRPr="00DD6E6B">
              <w:rPr>
                <w:lang w:val="en-GB"/>
              </w:rPr>
              <w:t>d</w:t>
            </w:r>
            <w:r w:rsidR="00B0454F" w:rsidRPr="00DD6E6B">
              <w:rPr>
                <w:lang w:val="en-GB"/>
              </w:rPr>
              <w:t xml:space="preserve"> prices of </w:t>
            </w:r>
            <w:r w:rsidR="00D47A67" w:rsidRPr="00DD6E6B">
              <w:rPr>
                <w:lang w:val="en-GB"/>
              </w:rPr>
              <w:t>maintenance and repair</w:t>
            </w:r>
            <w:r w:rsidR="009606FA">
              <w:rPr>
                <w:lang w:val="en-GB"/>
              </w:rPr>
              <w:t xml:space="preserve"> of dwelling</w:t>
            </w:r>
            <w:r w:rsidR="00452985" w:rsidRPr="00DD6E6B">
              <w:rPr>
                <w:lang w:val="en-GB"/>
              </w:rPr>
              <w:t xml:space="preserve"> increased by </w:t>
            </w:r>
            <w:r w:rsidR="00C6020C" w:rsidRPr="00DD6E6B">
              <w:rPr>
                <w:lang w:val="en-GB"/>
              </w:rPr>
              <w:t>12</w:t>
            </w:r>
            <w:r w:rsidR="00452985" w:rsidRPr="00DD6E6B">
              <w:rPr>
                <w:lang w:val="en-GB"/>
              </w:rPr>
              <w:t>.</w:t>
            </w:r>
            <w:r w:rsidR="00C6020C" w:rsidRPr="00DD6E6B">
              <w:rPr>
                <w:lang w:val="en-GB"/>
              </w:rPr>
              <w:t xml:space="preserve">2%. </w:t>
            </w:r>
            <w:r w:rsidR="00452985" w:rsidRPr="00DD6E6B">
              <w:rPr>
                <w:lang w:val="en-GB"/>
              </w:rPr>
              <w:t xml:space="preserve">The year-on-year increase on the </w:t>
            </w:r>
            <w:r w:rsidR="009606FA">
              <w:rPr>
                <w:lang w:val="en-GB"/>
              </w:rPr>
              <w:t xml:space="preserve">actual </w:t>
            </w:r>
            <w:r w:rsidR="00452985" w:rsidRPr="00DD6E6B">
              <w:rPr>
                <w:lang w:val="en-GB"/>
              </w:rPr>
              <w:t xml:space="preserve">rentals for housing slightly increased to </w:t>
            </w:r>
            <w:r w:rsidR="00C6020C" w:rsidRPr="00DD6E6B">
              <w:rPr>
                <w:lang w:val="en-GB"/>
              </w:rPr>
              <w:t>6</w:t>
            </w:r>
            <w:r w:rsidR="00452985" w:rsidRPr="00DD6E6B">
              <w:rPr>
                <w:lang w:val="en-GB"/>
              </w:rPr>
              <w:t>.</w:t>
            </w:r>
            <w:r w:rsidR="00C6020C" w:rsidRPr="00DD6E6B">
              <w:rPr>
                <w:lang w:val="en-GB"/>
              </w:rPr>
              <w:t>9%,</w:t>
            </w:r>
            <w:r w:rsidR="00452985" w:rsidRPr="00DD6E6B">
              <w:rPr>
                <w:lang w:val="en-GB"/>
              </w:rPr>
              <w:t xml:space="preserve"> but further slow down to 3.1% manifested for the imputed rent</w:t>
            </w:r>
            <w:r w:rsidR="009606FA">
              <w:rPr>
                <w:lang w:val="en-GB"/>
              </w:rPr>
              <w:t>als</w:t>
            </w:r>
            <w:r w:rsidR="00C6020C" w:rsidRPr="00DD6E6B">
              <w:rPr>
                <w:rStyle w:val="Znakapoznpodarou"/>
                <w:lang w:val="en-GB"/>
              </w:rPr>
              <w:footnoteReference w:id="48"/>
            </w:r>
            <w:r w:rsidR="00452985" w:rsidRPr="00DD6E6B">
              <w:rPr>
                <w:lang w:val="en-GB"/>
              </w:rPr>
              <w:t>.</w:t>
            </w:r>
            <w:r w:rsidR="00C6020C" w:rsidRPr="00DD6E6B">
              <w:rPr>
                <w:lang w:val="en-GB"/>
              </w:rPr>
              <w:t xml:space="preserve"> </w:t>
            </w:r>
          </w:p>
        </w:tc>
      </w:tr>
      <w:tr w:rsidR="00C6020C" w:rsidRPr="00DD6E6B" w14:paraId="1204D454" w14:textId="77777777" w:rsidTr="006849F8">
        <w:trPr>
          <w:trHeight w:val="145"/>
        </w:trPr>
        <w:tc>
          <w:tcPr>
            <w:tcW w:w="1804" w:type="dxa"/>
            <w:shd w:val="clear" w:color="auto" w:fill="auto"/>
            <w:tcMar>
              <w:left w:w="0" w:type="dxa"/>
            </w:tcMar>
          </w:tcPr>
          <w:p w14:paraId="4745025F" w14:textId="3FD254F0" w:rsidR="00C6020C" w:rsidRPr="00DD6E6B" w:rsidRDefault="00A0032F" w:rsidP="006849F8">
            <w:pPr>
              <w:pStyle w:val="Marginlie"/>
              <w:rPr>
                <w:spacing w:val="0"/>
                <w:lang w:val="en-GB"/>
              </w:rPr>
            </w:pPr>
            <w:r w:rsidRPr="00DD6E6B">
              <w:rPr>
                <w:spacing w:val="0"/>
                <w:lang w:val="en-GB"/>
              </w:rPr>
              <w:t xml:space="preserve">Prices of food and non-alcoholic beverages decreased quarter-on-quarter. </w:t>
            </w:r>
          </w:p>
        </w:tc>
        <w:tc>
          <w:tcPr>
            <w:tcW w:w="224" w:type="dxa"/>
            <w:shd w:val="clear" w:color="auto" w:fill="auto"/>
            <w:tcMar>
              <w:left w:w="0" w:type="dxa"/>
            </w:tcMar>
          </w:tcPr>
          <w:p w14:paraId="3D78DEE3" w14:textId="77777777" w:rsidR="00C6020C" w:rsidRPr="00DD6E6B" w:rsidRDefault="00C6020C" w:rsidP="006849F8">
            <w:pPr>
              <w:pStyle w:val="Textpoznpodarou1"/>
              <w:jc w:val="both"/>
              <w:rPr>
                <w:highlight w:val="yellow"/>
                <w:lang w:val="en-GB"/>
              </w:rPr>
            </w:pPr>
          </w:p>
        </w:tc>
        <w:tc>
          <w:tcPr>
            <w:tcW w:w="7611" w:type="dxa"/>
            <w:shd w:val="clear" w:color="auto" w:fill="auto"/>
            <w:tcMar>
              <w:left w:w="0" w:type="dxa"/>
            </w:tcMar>
          </w:tcPr>
          <w:p w14:paraId="610B8547" w14:textId="14A838B1" w:rsidR="00C6020C" w:rsidRPr="00DD6E6B" w:rsidRDefault="000C1948" w:rsidP="006849F8">
            <w:pPr>
              <w:rPr>
                <w:lang w:val="en-GB"/>
              </w:rPr>
            </w:pPr>
            <w:r w:rsidRPr="00DD6E6B">
              <w:rPr>
                <w:lang w:val="en-GB"/>
              </w:rPr>
              <w:t>The significant deceleration of the year-on-year growth also concerned the prices of food and non-alcoholic beverages in Q</w:t>
            </w:r>
            <w:r w:rsidR="00C6020C" w:rsidRPr="00DD6E6B">
              <w:rPr>
                <w:lang w:val="en-GB"/>
              </w:rPr>
              <w:t>2</w:t>
            </w:r>
            <w:r w:rsidRPr="00DD6E6B">
              <w:rPr>
                <w:lang w:val="en-GB"/>
              </w:rPr>
              <w:t xml:space="preserve">, </w:t>
            </w:r>
            <w:r w:rsidR="00ED4E87" w:rsidRPr="00DD6E6B">
              <w:rPr>
                <w:lang w:val="en-GB"/>
              </w:rPr>
              <w:t>where the</w:t>
            </w:r>
            <w:r w:rsidR="00A14F4D" w:rsidRPr="00DD6E6B">
              <w:rPr>
                <w:lang w:val="en-GB"/>
              </w:rPr>
              <w:t xml:space="preserve"> increase amounted to </w:t>
            </w:r>
            <w:r w:rsidR="00C6020C" w:rsidRPr="00DD6E6B">
              <w:rPr>
                <w:lang w:val="en-GB"/>
              </w:rPr>
              <w:t>14</w:t>
            </w:r>
            <w:r w:rsidR="00A14F4D" w:rsidRPr="00DD6E6B">
              <w:rPr>
                <w:lang w:val="en-GB"/>
              </w:rPr>
              <w:t>.</w:t>
            </w:r>
            <w:r w:rsidR="00C6020C" w:rsidRPr="00DD6E6B">
              <w:rPr>
                <w:lang w:val="en-GB"/>
              </w:rPr>
              <w:t xml:space="preserve">6%. </w:t>
            </w:r>
            <w:r w:rsidR="00B56231" w:rsidRPr="00DD6E6B">
              <w:rPr>
                <w:lang w:val="en-GB"/>
              </w:rPr>
              <w:t>Quarter-on-quarter prices of good</w:t>
            </w:r>
            <w:r w:rsidR="00A14F4D" w:rsidRPr="00DD6E6B">
              <w:rPr>
                <w:lang w:val="en-GB"/>
              </w:rPr>
              <w:t xml:space="preserve"> and non-alcoholic beverages fell by </w:t>
            </w:r>
            <w:r w:rsidR="00C6020C" w:rsidRPr="00DD6E6B">
              <w:rPr>
                <w:lang w:val="en-GB"/>
              </w:rPr>
              <w:t>0</w:t>
            </w:r>
            <w:r w:rsidR="00A14F4D" w:rsidRPr="00DD6E6B">
              <w:rPr>
                <w:lang w:val="en-GB"/>
              </w:rPr>
              <w:t>.</w:t>
            </w:r>
            <w:r w:rsidR="00C6020C" w:rsidRPr="00DD6E6B">
              <w:rPr>
                <w:lang w:val="en-GB"/>
              </w:rPr>
              <w:t xml:space="preserve">6%. </w:t>
            </w:r>
            <w:r w:rsidR="00A27D06" w:rsidRPr="00DD6E6B">
              <w:rPr>
                <w:lang w:val="en-GB"/>
              </w:rPr>
              <w:t>The</w:t>
            </w:r>
            <w:r w:rsidR="00BB298E" w:rsidRPr="00DD6E6B">
              <w:rPr>
                <w:lang w:val="en-GB"/>
              </w:rPr>
              <w:t xml:space="preserve"> weakening of year-on-year dynamics was especially substantial </w:t>
            </w:r>
            <w:r w:rsidR="00A27D06" w:rsidRPr="00DD6E6B">
              <w:rPr>
                <w:lang w:val="en-GB"/>
              </w:rPr>
              <w:t xml:space="preserve">in case of oils and fats </w:t>
            </w:r>
            <w:r w:rsidR="00C6020C" w:rsidRPr="00DD6E6B">
              <w:rPr>
                <w:lang w:val="en-GB"/>
              </w:rPr>
              <w:t>(</w:t>
            </w:r>
            <w:r w:rsidR="00A27D06" w:rsidRPr="00DD6E6B">
              <w:rPr>
                <w:lang w:val="en-GB"/>
              </w:rPr>
              <w:t xml:space="preserve">from </w:t>
            </w:r>
            <w:r w:rsidR="00C6020C" w:rsidRPr="00DD6E6B">
              <w:rPr>
                <w:lang w:val="en-GB"/>
              </w:rPr>
              <w:t>23</w:t>
            </w:r>
            <w:r w:rsidR="00A27D06" w:rsidRPr="00DD6E6B">
              <w:rPr>
                <w:lang w:val="en-GB"/>
              </w:rPr>
              <w:t>.</w:t>
            </w:r>
            <w:r w:rsidR="00C6020C" w:rsidRPr="00DD6E6B">
              <w:rPr>
                <w:lang w:val="en-GB"/>
              </w:rPr>
              <w:t>5%</w:t>
            </w:r>
            <w:r w:rsidR="00A27D06" w:rsidRPr="00DD6E6B">
              <w:rPr>
                <w:lang w:val="en-GB"/>
              </w:rPr>
              <w:t xml:space="preserve"> in Q</w:t>
            </w:r>
            <w:r w:rsidR="00C6020C" w:rsidRPr="00DD6E6B">
              <w:rPr>
                <w:lang w:val="en-GB"/>
              </w:rPr>
              <w:t>1</w:t>
            </w:r>
            <w:r w:rsidR="00A27D06" w:rsidRPr="00DD6E6B">
              <w:rPr>
                <w:lang w:val="en-GB"/>
              </w:rPr>
              <w:t xml:space="preserve"> to </w:t>
            </w:r>
            <w:r w:rsidR="00C6020C" w:rsidRPr="00DD6E6B">
              <w:rPr>
                <w:lang w:val="en-GB"/>
              </w:rPr>
              <w:t>2</w:t>
            </w:r>
            <w:r w:rsidR="00A27D06" w:rsidRPr="00DD6E6B">
              <w:rPr>
                <w:lang w:val="en-GB"/>
              </w:rPr>
              <w:t>.</w:t>
            </w:r>
            <w:r w:rsidR="00C6020C" w:rsidRPr="00DD6E6B">
              <w:rPr>
                <w:lang w:val="en-GB"/>
              </w:rPr>
              <w:t>4%</w:t>
            </w:r>
            <w:r w:rsidR="00A27D06" w:rsidRPr="00DD6E6B">
              <w:rPr>
                <w:lang w:val="en-GB"/>
              </w:rPr>
              <w:t xml:space="preserve"> in Q</w:t>
            </w:r>
            <w:r w:rsidR="00C6020C" w:rsidRPr="00DD6E6B">
              <w:rPr>
                <w:lang w:val="en-GB"/>
              </w:rPr>
              <w:t>2), m</w:t>
            </w:r>
            <w:r w:rsidR="00A27D06" w:rsidRPr="00DD6E6B">
              <w:rPr>
                <w:lang w:val="en-GB"/>
              </w:rPr>
              <w:t xml:space="preserve">eat </w:t>
            </w:r>
            <w:r w:rsidR="00C6020C" w:rsidRPr="00DD6E6B">
              <w:rPr>
                <w:lang w:val="en-GB"/>
              </w:rPr>
              <w:t>(</w:t>
            </w:r>
            <w:r w:rsidR="00A27D06" w:rsidRPr="00DD6E6B">
              <w:rPr>
                <w:lang w:val="en-GB"/>
              </w:rPr>
              <w:t xml:space="preserve">from </w:t>
            </w:r>
            <w:r w:rsidR="00C6020C" w:rsidRPr="00DD6E6B">
              <w:rPr>
                <w:lang w:val="en-GB"/>
              </w:rPr>
              <w:t>24</w:t>
            </w:r>
            <w:r w:rsidR="00A27D06" w:rsidRPr="00DD6E6B">
              <w:rPr>
                <w:lang w:val="en-GB"/>
              </w:rPr>
              <w:t>.</w:t>
            </w:r>
            <w:r w:rsidR="00C6020C" w:rsidRPr="00DD6E6B">
              <w:rPr>
                <w:lang w:val="en-GB"/>
              </w:rPr>
              <w:t>4%</w:t>
            </w:r>
            <w:r w:rsidR="00A27D06" w:rsidRPr="00DD6E6B">
              <w:rPr>
                <w:lang w:val="en-GB"/>
              </w:rPr>
              <w:t xml:space="preserve"> to </w:t>
            </w:r>
            <w:r w:rsidR="00C6020C" w:rsidRPr="00DD6E6B">
              <w:rPr>
                <w:lang w:val="en-GB"/>
              </w:rPr>
              <w:t>8</w:t>
            </w:r>
            <w:r w:rsidR="00A27D06" w:rsidRPr="00DD6E6B">
              <w:rPr>
                <w:lang w:val="en-GB"/>
              </w:rPr>
              <w:t>.</w:t>
            </w:r>
            <w:r w:rsidR="00C6020C" w:rsidRPr="00DD6E6B">
              <w:rPr>
                <w:lang w:val="en-GB"/>
              </w:rPr>
              <w:t>6%), m</w:t>
            </w:r>
            <w:r w:rsidR="00A27D06" w:rsidRPr="00DD6E6B">
              <w:rPr>
                <w:lang w:val="en-GB"/>
              </w:rPr>
              <w:t>ilk, cheese and eggs</w:t>
            </w:r>
            <w:r w:rsidR="00BB298E" w:rsidRPr="00DD6E6B">
              <w:rPr>
                <w:lang w:val="en-GB"/>
              </w:rPr>
              <w:t xml:space="preserve"> </w:t>
            </w:r>
            <w:r w:rsidR="00C6020C" w:rsidRPr="00DD6E6B">
              <w:rPr>
                <w:lang w:val="en-GB"/>
              </w:rPr>
              <w:t>(</w:t>
            </w:r>
            <w:r w:rsidR="00BB298E" w:rsidRPr="00DD6E6B">
              <w:rPr>
                <w:lang w:val="en-GB"/>
              </w:rPr>
              <w:t xml:space="preserve">from </w:t>
            </w:r>
            <w:r w:rsidR="00C6020C" w:rsidRPr="00DD6E6B">
              <w:rPr>
                <w:lang w:val="en-GB"/>
              </w:rPr>
              <w:t>32</w:t>
            </w:r>
            <w:r w:rsidR="00BB298E" w:rsidRPr="00DD6E6B">
              <w:rPr>
                <w:lang w:val="en-GB"/>
              </w:rPr>
              <w:t>.</w:t>
            </w:r>
            <w:r w:rsidR="00C6020C" w:rsidRPr="00DD6E6B">
              <w:rPr>
                <w:lang w:val="en-GB"/>
              </w:rPr>
              <w:t>7%</w:t>
            </w:r>
            <w:r w:rsidR="00BB298E" w:rsidRPr="00DD6E6B">
              <w:rPr>
                <w:lang w:val="en-GB"/>
              </w:rPr>
              <w:t xml:space="preserve"> to </w:t>
            </w:r>
            <w:r w:rsidR="00C6020C" w:rsidRPr="00DD6E6B">
              <w:rPr>
                <w:lang w:val="en-GB"/>
              </w:rPr>
              <w:t>17</w:t>
            </w:r>
            <w:r w:rsidR="00BB298E" w:rsidRPr="00DD6E6B">
              <w:rPr>
                <w:lang w:val="en-GB"/>
              </w:rPr>
              <w:t>.</w:t>
            </w:r>
            <w:r w:rsidR="00C6020C" w:rsidRPr="00DD6E6B">
              <w:rPr>
                <w:lang w:val="en-GB"/>
              </w:rPr>
              <w:t>4%) a</w:t>
            </w:r>
            <w:r w:rsidR="00BB298E" w:rsidRPr="00DD6E6B">
              <w:rPr>
                <w:lang w:val="en-GB"/>
              </w:rPr>
              <w:t>nd b</w:t>
            </w:r>
            <w:r w:rsidR="009606FA">
              <w:rPr>
                <w:lang w:val="en-GB"/>
              </w:rPr>
              <w:t>read</w:t>
            </w:r>
            <w:r w:rsidR="00BB298E" w:rsidRPr="00DD6E6B">
              <w:rPr>
                <w:lang w:val="en-GB"/>
              </w:rPr>
              <w:t xml:space="preserve"> and cereals </w:t>
            </w:r>
            <w:r w:rsidR="00C6020C" w:rsidRPr="00DD6E6B">
              <w:rPr>
                <w:lang w:val="en-GB"/>
              </w:rPr>
              <w:t>(</w:t>
            </w:r>
            <w:r w:rsidR="00BB298E" w:rsidRPr="00DD6E6B">
              <w:rPr>
                <w:lang w:val="en-GB"/>
              </w:rPr>
              <w:t xml:space="preserve">from </w:t>
            </w:r>
            <w:r w:rsidR="00C6020C" w:rsidRPr="00DD6E6B">
              <w:rPr>
                <w:lang w:val="en-GB"/>
              </w:rPr>
              <w:t>26</w:t>
            </w:r>
            <w:r w:rsidR="00BB298E" w:rsidRPr="00DD6E6B">
              <w:rPr>
                <w:lang w:val="en-GB"/>
              </w:rPr>
              <w:t>.</w:t>
            </w:r>
            <w:r w:rsidR="00C6020C" w:rsidRPr="00DD6E6B">
              <w:rPr>
                <w:lang w:val="en-GB"/>
              </w:rPr>
              <w:t>5%</w:t>
            </w:r>
            <w:r w:rsidR="00BB298E" w:rsidRPr="00DD6E6B">
              <w:rPr>
                <w:lang w:val="en-GB"/>
              </w:rPr>
              <w:t xml:space="preserve"> to </w:t>
            </w:r>
            <w:r w:rsidR="00C6020C" w:rsidRPr="00DD6E6B">
              <w:rPr>
                <w:lang w:val="en-GB"/>
              </w:rPr>
              <w:t>16</w:t>
            </w:r>
            <w:r w:rsidR="00BB298E" w:rsidRPr="00DD6E6B">
              <w:rPr>
                <w:lang w:val="en-GB"/>
              </w:rPr>
              <w:t>.</w:t>
            </w:r>
            <w:r w:rsidR="00C6020C" w:rsidRPr="00DD6E6B">
              <w:rPr>
                <w:lang w:val="en-GB"/>
              </w:rPr>
              <w:t>8%). S</w:t>
            </w:r>
            <w:r w:rsidR="00A7108C" w:rsidRPr="00DD6E6B">
              <w:rPr>
                <w:lang w:val="en-GB"/>
              </w:rPr>
              <w:t xml:space="preserve">trong growth of prices prevailed for vegetables </w:t>
            </w:r>
            <w:r w:rsidR="00C6020C" w:rsidRPr="00DD6E6B">
              <w:rPr>
                <w:lang w:val="en-GB"/>
              </w:rPr>
              <w:t>(22</w:t>
            </w:r>
            <w:r w:rsidR="00A7108C" w:rsidRPr="00DD6E6B">
              <w:rPr>
                <w:lang w:val="en-GB"/>
              </w:rPr>
              <w:t>.</w:t>
            </w:r>
            <w:r w:rsidR="00C6020C" w:rsidRPr="00DD6E6B">
              <w:rPr>
                <w:lang w:val="en-GB"/>
              </w:rPr>
              <w:t xml:space="preserve">6%), </w:t>
            </w:r>
            <w:r w:rsidR="003F5E2D" w:rsidRPr="00DD6E6B">
              <w:rPr>
                <w:lang w:val="en-GB"/>
              </w:rPr>
              <w:t>sugar</w:t>
            </w:r>
            <w:r w:rsidR="00C6020C" w:rsidRPr="00DD6E6B">
              <w:rPr>
                <w:lang w:val="en-GB"/>
              </w:rPr>
              <w:t xml:space="preserve">, </w:t>
            </w:r>
            <w:r w:rsidR="003F5E2D" w:rsidRPr="00DD6E6B">
              <w:rPr>
                <w:lang w:val="en-GB"/>
              </w:rPr>
              <w:t xml:space="preserve">jam, honey, chocolate, confectionary </w:t>
            </w:r>
            <w:r w:rsidR="00C6020C" w:rsidRPr="00DD6E6B">
              <w:rPr>
                <w:lang w:val="en-GB"/>
              </w:rPr>
              <w:t>(20</w:t>
            </w:r>
            <w:r w:rsidR="003F5E2D" w:rsidRPr="00DD6E6B">
              <w:rPr>
                <w:lang w:val="en-GB"/>
              </w:rPr>
              <w:t>.</w:t>
            </w:r>
            <w:r w:rsidR="00C6020C" w:rsidRPr="00DD6E6B">
              <w:rPr>
                <w:lang w:val="en-GB"/>
              </w:rPr>
              <w:t>0%) a</w:t>
            </w:r>
            <w:r w:rsidR="003F5E2D" w:rsidRPr="00DD6E6B">
              <w:rPr>
                <w:lang w:val="en-GB"/>
              </w:rPr>
              <w:t xml:space="preserve">nd other food products </w:t>
            </w:r>
            <w:r w:rsidR="00C6020C" w:rsidRPr="00DD6E6B">
              <w:rPr>
                <w:lang w:val="en-GB"/>
              </w:rPr>
              <w:t>(17</w:t>
            </w:r>
            <w:r w:rsidR="003F5E2D" w:rsidRPr="00DD6E6B">
              <w:rPr>
                <w:lang w:val="en-GB"/>
              </w:rPr>
              <w:t>.</w:t>
            </w:r>
            <w:r w:rsidR="00C6020C" w:rsidRPr="00DD6E6B">
              <w:rPr>
                <w:lang w:val="en-GB"/>
              </w:rPr>
              <w:t xml:space="preserve">4%). </w:t>
            </w:r>
            <w:r w:rsidR="00793776" w:rsidRPr="00DD6E6B">
              <w:rPr>
                <w:lang w:val="en-GB"/>
              </w:rPr>
              <w:t xml:space="preserve">Growth of prices of fruit strengthened to </w:t>
            </w:r>
            <w:r w:rsidR="00C6020C" w:rsidRPr="00DD6E6B">
              <w:rPr>
                <w:lang w:val="en-GB"/>
              </w:rPr>
              <w:t>14</w:t>
            </w:r>
            <w:r w:rsidR="00793776" w:rsidRPr="00DD6E6B">
              <w:rPr>
                <w:lang w:val="en-GB"/>
              </w:rPr>
              <w:t>.</w:t>
            </w:r>
            <w:r w:rsidR="00C6020C" w:rsidRPr="00DD6E6B">
              <w:rPr>
                <w:lang w:val="en-GB"/>
              </w:rPr>
              <w:t>4%.</w:t>
            </w:r>
          </w:p>
        </w:tc>
      </w:tr>
      <w:tr w:rsidR="00C6020C" w:rsidRPr="00DD6E6B" w14:paraId="12641F01" w14:textId="77777777" w:rsidTr="006849F8">
        <w:trPr>
          <w:trHeight w:val="145"/>
        </w:trPr>
        <w:tc>
          <w:tcPr>
            <w:tcW w:w="1804" w:type="dxa"/>
            <w:shd w:val="clear" w:color="auto" w:fill="auto"/>
            <w:tcMar>
              <w:left w:w="0" w:type="dxa"/>
            </w:tcMar>
          </w:tcPr>
          <w:p w14:paraId="5E5264B1" w14:textId="1F8DF62A" w:rsidR="00C6020C" w:rsidRPr="00DD6E6B" w:rsidRDefault="00A0032F" w:rsidP="006849F8">
            <w:pPr>
              <w:pStyle w:val="Marginlie"/>
              <w:rPr>
                <w:spacing w:val="0"/>
                <w:lang w:val="en-GB"/>
              </w:rPr>
            </w:pPr>
            <w:r w:rsidRPr="00DD6E6B">
              <w:rPr>
                <w:spacing w:val="0"/>
                <w:lang w:val="en-GB"/>
              </w:rPr>
              <w:t xml:space="preserve">Prices of various services kept </w:t>
            </w:r>
            <w:r w:rsidR="00C20906" w:rsidRPr="00DD6E6B">
              <w:rPr>
                <w:spacing w:val="0"/>
                <w:lang w:val="en-GB"/>
              </w:rPr>
              <w:t>strongly</w:t>
            </w:r>
            <w:r w:rsidRPr="00DD6E6B">
              <w:rPr>
                <w:spacing w:val="0"/>
                <w:lang w:val="en-GB"/>
              </w:rPr>
              <w:t xml:space="preserve"> growing. </w:t>
            </w:r>
          </w:p>
        </w:tc>
        <w:tc>
          <w:tcPr>
            <w:tcW w:w="224" w:type="dxa"/>
            <w:shd w:val="clear" w:color="auto" w:fill="auto"/>
            <w:tcMar>
              <w:left w:w="0" w:type="dxa"/>
            </w:tcMar>
          </w:tcPr>
          <w:p w14:paraId="19EDD3C3" w14:textId="77777777" w:rsidR="00C6020C" w:rsidRPr="00DD6E6B" w:rsidRDefault="00C6020C" w:rsidP="006849F8">
            <w:pPr>
              <w:pStyle w:val="Textpoznpodarou1"/>
              <w:jc w:val="both"/>
              <w:rPr>
                <w:highlight w:val="yellow"/>
                <w:lang w:val="en-GB"/>
              </w:rPr>
            </w:pPr>
          </w:p>
        </w:tc>
        <w:tc>
          <w:tcPr>
            <w:tcW w:w="7611" w:type="dxa"/>
            <w:shd w:val="clear" w:color="auto" w:fill="auto"/>
            <w:tcMar>
              <w:left w:w="0" w:type="dxa"/>
            </w:tcMar>
          </w:tcPr>
          <w:p w14:paraId="53E1A42C" w14:textId="59F2C709" w:rsidR="00C6020C" w:rsidRPr="00DD6E6B" w:rsidRDefault="007E0F2A" w:rsidP="006849F8">
            <w:pPr>
              <w:rPr>
                <w:lang w:val="en-GB"/>
              </w:rPr>
            </w:pPr>
            <w:r w:rsidRPr="00DD6E6B">
              <w:rPr>
                <w:lang w:val="en-GB"/>
              </w:rPr>
              <w:t>Year-on-year growth of prices of many services remained extensive.</w:t>
            </w:r>
            <w:r w:rsidR="00B746AB" w:rsidRPr="00DD6E6B">
              <w:rPr>
                <w:lang w:val="en-GB"/>
              </w:rPr>
              <w:t xml:space="preserve"> </w:t>
            </w:r>
            <w:r w:rsidR="001F2604" w:rsidRPr="00DD6E6B">
              <w:rPr>
                <w:lang w:val="en-GB"/>
              </w:rPr>
              <w:t>Prices of recreation and cultur</w:t>
            </w:r>
            <w:r w:rsidR="009606FA">
              <w:rPr>
                <w:lang w:val="en-GB"/>
              </w:rPr>
              <w:t>e</w:t>
            </w:r>
            <w:r w:rsidR="001F2604" w:rsidRPr="00DD6E6B">
              <w:rPr>
                <w:lang w:val="en-GB"/>
              </w:rPr>
              <w:t xml:space="preserve">, which picked up by </w:t>
            </w:r>
            <w:r w:rsidR="00C6020C" w:rsidRPr="00DD6E6B">
              <w:rPr>
                <w:lang w:val="en-GB"/>
              </w:rPr>
              <w:t>11</w:t>
            </w:r>
            <w:r w:rsidR="001F2604" w:rsidRPr="00DD6E6B">
              <w:rPr>
                <w:lang w:val="en-GB"/>
              </w:rPr>
              <w:t>.</w:t>
            </w:r>
            <w:r w:rsidR="00C6020C" w:rsidRPr="00DD6E6B">
              <w:rPr>
                <w:lang w:val="en-GB"/>
              </w:rPr>
              <w:t>7%</w:t>
            </w:r>
            <w:r w:rsidR="001F2604" w:rsidRPr="00DD6E6B">
              <w:rPr>
                <w:lang w:val="en-GB"/>
              </w:rPr>
              <w:t xml:space="preserve"> contributed notably to the total year-on-year growth of consumer prices</w:t>
            </w:r>
            <w:r w:rsidR="00C6020C" w:rsidRPr="00DD6E6B">
              <w:rPr>
                <w:lang w:val="en-GB"/>
              </w:rPr>
              <w:t xml:space="preserve">. </w:t>
            </w:r>
            <w:r w:rsidR="00E70812" w:rsidRPr="00DD6E6B">
              <w:rPr>
                <w:lang w:val="en-GB"/>
              </w:rPr>
              <w:t xml:space="preserve">Mainly prices of package holidays </w:t>
            </w:r>
            <w:r w:rsidR="00C6020C" w:rsidRPr="00DD6E6B">
              <w:rPr>
                <w:lang w:val="en-GB"/>
              </w:rPr>
              <w:t>(17</w:t>
            </w:r>
            <w:r w:rsidR="00E70812" w:rsidRPr="00DD6E6B">
              <w:rPr>
                <w:lang w:val="en-GB"/>
              </w:rPr>
              <w:t>.</w:t>
            </w:r>
            <w:r w:rsidR="00C6020C" w:rsidRPr="00DD6E6B">
              <w:rPr>
                <w:lang w:val="en-GB"/>
              </w:rPr>
              <w:t xml:space="preserve">3%), </w:t>
            </w:r>
            <w:r w:rsidR="00C6020C" w:rsidRPr="00DD6E6B">
              <w:rPr>
                <w:lang w:val="en-GB"/>
              </w:rPr>
              <w:lastRenderedPageBreak/>
              <w:t>re</w:t>
            </w:r>
            <w:r w:rsidR="00E70812" w:rsidRPr="00DD6E6B">
              <w:rPr>
                <w:lang w:val="en-GB"/>
              </w:rPr>
              <w:t xml:space="preserve">creational and cultural services </w:t>
            </w:r>
            <w:r w:rsidR="00C6020C" w:rsidRPr="00DD6E6B">
              <w:rPr>
                <w:lang w:val="en-GB"/>
              </w:rPr>
              <w:t>(10</w:t>
            </w:r>
            <w:r w:rsidR="00E70812" w:rsidRPr="00DD6E6B">
              <w:rPr>
                <w:lang w:val="en-GB"/>
              </w:rPr>
              <w:t>.</w:t>
            </w:r>
            <w:r w:rsidR="00C6020C" w:rsidRPr="00DD6E6B">
              <w:rPr>
                <w:lang w:val="en-GB"/>
              </w:rPr>
              <w:t>8%)</w:t>
            </w:r>
            <w:r w:rsidR="00E70812" w:rsidRPr="00DD6E6B">
              <w:rPr>
                <w:lang w:val="en-GB"/>
              </w:rPr>
              <w:t xml:space="preserve"> and other items for recreation and leisure time </w:t>
            </w:r>
            <w:r w:rsidR="00C6020C" w:rsidRPr="00DD6E6B">
              <w:rPr>
                <w:lang w:val="en-GB"/>
              </w:rPr>
              <w:t>(13</w:t>
            </w:r>
            <w:r w:rsidR="00E70812" w:rsidRPr="00DD6E6B">
              <w:rPr>
                <w:lang w:val="en-GB"/>
              </w:rPr>
              <w:t>.</w:t>
            </w:r>
            <w:r w:rsidR="00C6020C" w:rsidRPr="00DD6E6B">
              <w:rPr>
                <w:lang w:val="en-GB"/>
              </w:rPr>
              <w:t>9%)</w:t>
            </w:r>
            <w:r w:rsidR="00E70812" w:rsidRPr="00DD6E6B">
              <w:rPr>
                <w:lang w:val="en-GB"/>
              </w:rPr>
              <w:t xml:space="preserve"> had a significant effect</w:t>
            </w:r>
            <w:r w:rsidR="00C6020C" w:rsidRPr="00DD6E6B">
              <w:rPr>
                <w:lang w:val="en-GB"/>
              </w:rPr>
              <w:t xml:space="preserve">. </w:t>
            </w:r>
            <w:r w:rsidR="003A7E41" w:rsidRPr="00DD6E6B">
              <w:rPr>
                <w:lang w:val="en-GB"/>
              </w:rPr>
              <w:t xml:space="preserve">Quarter-on-quarter the prices of recreation and culture lowered by </w:t>
            </w:r>
            <w:r w:rsidR="00C6020C" w:rsidRPr="00DD6E6B">
              <w:rPr>
                <w:lang w:val="en-GB"/>
              </w:rPr>
              <w:t>0</w:t>
            </w:r>
            <w:r w:rsidR="003A7E41" w:rsidRPr="00DD6E6B">
              <w:rPr>
                <w:lang w:val="en-GB"/>
              </w:rPr>
              <w:t>.</w:t>
            </w:r>
            <w:r w:rsidR="00C6020C" w:rsidRPr="00DD6E6B">
              <w:rPr>
                <w:lang w:val="en-GB"/>
              </w:rPr>
              <w:t xml:space="preserve">3%. </w:t>
            </w:r>
            <w:r w:rsidR="00756F00" w:rsidRPr="00DD6E6B">
              <w:rPr>
                <w:lang w:val="en-GB"/>
              </w:rPr>
              <w:t xml:space="preserve">Despite the weakening of the year-on-year growth the increase of prices of </w:t>
            </w:r>
            <w:r w:rsidR="00636DDD">
              <w:rPr>
                <w:lang w:val="en-GB"/>
              </w:rPr>
              <w:t>restaurants and hotels</w:t>
            </w:r>
            <w:r w:rsidR="00756F00" w:rsidRPr="00DD6E6B">
              <w:rPr>
                <w:lang w:val="en-GB"/>
              </w:rPr>
              <w:t xml:space="preserve">, which were by </w:t>
            </w:r>
            <w:r w:rsidR="00C6020C" w:rsidRPr="00DD6E6B">
              <w:rPr>
                <w:lang w:val="en-GB"/>
              </w:rPr>
              <w:t>15</w:t>
            </w:r>
            <w:r w:rsidR="00756F00" w:rsidRPr="00DD6E6B">
              <w:rPr>
                <w:lang w:val="en-GB"/>
              </w:rPr>
              <w:t>.</w:t>
            </w:r>
            <w:r w:rsidR="00C6020C" w:rsidRPr="00DD6E6B">
              <w:rPr>
                <w:lang w:val="en-GB"/>
              </w:rPr>
              <w:t>4%</w:t>
            </w:r>
            <w:r w:rsidR="00756F00" w:rsidRPr="00DD6E6B">
              <w:rPr>
                <w:lang w:val="en-GB"/>
              </w:rPr>
              <w:t xml:space="preserve"> higher year-on-year, also remained considerable. </w:t>
            </w:r>
            <w:r w:rsidR="00417B6C" w:rsidRPr="00DD6E6B">
              <w:rPr>
                <w:lang w:val="en-GB"/>
              </w:rPr>
              <w:t>At the same time the pri</w:t>
            </w:r>
            <w:r w:rsidR="003018D9" w:rsidRPr="00DD6E6B">
              <w:rPr>
                <w:lang w:val="en-GB"/>
              </w:rPr>
              <w:t>c</w:t>
            </w:r>
            <w:r w:rsidR="00417B6C" w:rsidRPr="00DD6E6B">
              <w:rPr>
                <w:lang w:val="en-GB"/>
              </w:rPr>
              <w:t xml:space="preserve">es of </w:t>
            </w:r>
            <w:r w:rsidR="00636DDD">
              <w:rPr>
                <w:lang w:val="en-GB"/>
              </w:rPr>
              <w:t>catering</w:t>
            </w:r>
            <w:r w:rsidR="00417B6C" w:rsidRPr="00DD6E6B">
              <w:rPr>
                <w:lang w:val="en-GB"/>
              </w:rPr>
              <w:t xml:space="preserve"> services grew by </w:t>
            </w:r>
            <w:r w:rsidR="00C6020C" w:rsidRPr="00DD6E6B">
              <w:rPr>
                <w:lang w:val="en-GB"/>
              </w:rPr>
              <w:t>15</w:t>
            </w:r>
            <w:r w:rsidR="00417B6C" w:rsidRPr="00DD6E6B">
              <w:rPr>
                <w:lang w:val="en-GB"/>
              </w:rPr>
              <w:t>.</w:t>
            </w:r>
            <w:r w:rsidR="00C6020C" w:rsidRPr="00DD6E6B">
              <w:rPr>
                <w:lang w:val="en-GB"/>
              </w:rPr>
              <w:t>5%</w:t>
            </w:r>
            <w:r w:rsidR="00417B6C" w:rsidRPr="00DD6E6B">
              <w:rPr>
                <w:lang w:val="en-GB"/>
              </w:rPr>
              <w:t xml:space="preserve"> and accommodation services by </w:t>
            </w:r>
            <w:r w:rsidR="00C6020C" w:rsidRPr="00DD6E6B">
              <w:rPr>
                <w:lang w:val="en-GB"/>
              </w:rPr>
              <w:t>15</w:t>
            </w:r>
            <w:r w:rsidR="00417B6C" w:rsidRPr="00DD6E6B">
              <w:rPr>
                <w:lang w:val="en-GB"/>
              </w:rPr>
              <w:t>.</w:t>
            </w:r>
            <w:r w:rsidR="00C6020C" w:rsidRPr="00DD6E6B">
              <w:rPr>
                <w:lang w:val="en-GB"/>
              </w:rPr>
              <w:t>1%</w:t>
            </w:r>
            <w:r w:rsidR="00417B6C" w:rsidRPr="00DD6E6B">
              <w:rPr>
                <w:lang w:val="en-GB"/>
              </w:rPr>
              <w:t xml:space="preserve"> year-on-year</w:t>
            </w:r>
            <w:r w:rsidR="00C6020C" w:rsidRPr="00DD6E6B">
              <w:rPr>
                <w:lang w:val="en-GB"/>
              </w:rPr>
              <w:t xml:space="preserve">. </w:t>
            </w:r>
            <w:r w:rsidR="00836065" w:rsidRPr="00DD6E6B">
              <w:rPr>
                <w:lang w:val="en-GB"/>
              </w:rPr>
              <w:t xml:space="preserve">Prices of </w:t>
            </w:r>
            <w:r w:rsidR="00636DDD">
              <w:rPr>
                <w:lang w:val="en-GB"/>
              </w:rPr>
              <w:t>restaurants and hotels</w:t>
            </w:r>
            <w:r w:rsidR="00836065" w:rsidRPr="00DD6E6B">
              <w:rPr>
                <w:lang w:val="en-GB"/>
              </w:rPr>
              <w:t xml:space="preserve"> had one the highest quarter-on-quarter increases </w:t>
            </w:r>
            <w:r w:rsidR="00C6020C" w:rsidRPr="00DD6E6B">
              <w:rPr>
                <w:lang w:val="en-GB"/>
              </w:rPr>
              <w:t>(2</w:t>
            </w:r>
            <w:r w:rsidR="00836065" w:rsidRPr="00DD6E6B">
              <w:rPr>
                <w:lang w:val="en-GB"/>
              </w:rPr>
              <w:t>.</w:t>
            </w:r>
            <w:r w:rsidR="00C6020C" w:rsidRPr="00DD6E6B">
              <w:rPr>
                <w:lang w:val="en-GB"/>
              </w:rPr>
              <w:t>7%)</w:t>
            </w:r>
            <w:r w:rsidR="00836065" w:rsidRPr="00DD6E6B">
              <w:rPr>
                <w:lang w:val="en-GB"/>
              </w:rPr>
              <w:t xml:space="preserve"> in the whole consumer basket</w:t>
            </w:r>
            <w:r w:rsidR="00C6020C" w:rsidRPr="00DD6E6B">
              <w:rPr>
                <w:lang w:val="en-GB"/>
              </w:rPr>
              <w:t>.</w:t>
            </w:r>
            <w:r w:rsidR="00836065" w:rsidRPr="00DD6E6B">
              <w:rPr>
                <w:lang w:val="en-GB"/>
              </w:rPr>
              <w:t xml:space="preserve"> Prices of </w:t>
            </w:r>
            <w:r w:rsidR="00636DDD">
              <w:rPr>
                <w:lang w:val="en-GB"/>
              </w:rPr>
              <w:t>miscellaneous</w:t>
            </w:r>
            <w:r w:rsidR="00836065" w:rsidRPr="00DD6E6B">
              <w:rPr>
                <w:lang w:val="en-GB"/>
              </w:rPr>
              <w:t xml:space="preserve"> goods and services</w:t>
            </w:r>
            <w:r w:rsidR="00C6020C" w:rsidRPr="00DD6E6B">
              <w:rPr>
                <w:rStyle w:val="Znakapoznpodarou"/>
                <w:lang w:val="en-GB"/>
              </w:rPr>
              <w:footnoteReference w:id="49"/>
            </w:r>
            <w:r w:rsidR="00C6020C" w:rsidRPr="00DD6E6B">
              <w:rPr>
                <w:lang w:val="en-GB"/>
              </w:rPr>
              <w:t xml:space="preserve"> </w:t>
            </w:r>
            <w:r w:rsidR="00836065" w:rsidRPr="00DD6E6B">
              <w:rPr>
                <w:lang w:val="en-GB"/>
              </w:rPr>
              <w:t xml:space="preserve">rose by </w:t>
            </w:r>
            <w:r w:rsidR="00C6020C" w:rsidRPr="00DD6E6B">
              <w:rPr>
                <w:lang w:val="en-GB"/>
              </w:rPr>
              <w:t>11</w:t>
            </w:r>
            <w:r w:rsidR="00836065" w:rsidRPr="00DD6E6B">
              <w:rPr>
                <w:lang w:val="en-GB"/>
              </w:rPr>
              <w:t>.</w:t>
            </w:r>
            <w:r w:rsidR="00C6020C" w:rsidRPr="00DD6E6B">
              <w:rPr>
                <w:lang w:val="en-GB"/>
              </w:rPr>
              <w:t>2%</w:t>
            </w:r>
            <w:r w:rsidR="00836065" w:rsidRPr="00DD6E6B">
              <w:rPr>
                <w:lang w:val="en-GB"/>
              </w:rPr>
              <w:t xml:space="preserve"> year-on-year and were by </w:t>
            </w:r>
            <w:r w:rsidR="00C6020C" w:rsidRPr="00DD6E6B">
              <w:rPr>
                <w:lang w:val="en-GB"/>
              </w:rPr>
              <w:t>1</w:t>
            </w:r>
            <w:r w:rsidR="00836065" w:rsidRPr="00DD6E6B">
              <w:rPr>
                <w:lang w:val="en-GB"/>
              </w:rPr>
              <w:t>.</w:t>
            </w:r>
            <w:r w:rsidR="00C6020C" w:rsidRPr="00DD6E6B">
              <w:rPr>
                <w:lang w:val="en-GB"/>
              </w:rPr>
              <w:t>4%</w:t>
            </w:r>
            <w:r w:rsidR="00836065" w:rsidRPr="00DD6E6B">
              <w:rPr>
                <w:lang w:val="en-GB"/>
              </w:rPr>
              <w:t xml:space="preserve"> higher quarter-on-quarter.</w:t>
            </w:r>
          </w:p>
        </w:tc>
      </w:tr>
      <w:tr w:rsidR="00C6020C" w:rsidRPr="00DD6E6B" w14:paraId="014FA0F2" w14:textId="77777777" w:rsidTr="006849F8">
        <w:trPr>
          <w:trHeight w:val="170"/>
        </w:trPr>
        <w:tc>
          <w:tcPr>
            <w:tcW w:w="1804" w:type="dxa"/>
            <w:vMerge w:val="restart"/>
            <w:shd w:val="clear" w:color="auto" w:fill="auto"/>
            <w:tcMar>
              <w:left w:w="0" w:type="dxa"/>
            </w:tcMar>
          </w:tcPr>
          <w:p w14:paraId="260615DF" w14:textId="77777777" w:rsidR="00C6020C" w:rsidRPr="00DD6E6B" w:rsidRDefault="00C6020C" w:rsidP="006849F8">
            <w:pPr>
              <w:pStyle w:val="Marginlie"/>
              <w:rPr>
                <w:spacing w:val="0"/>
                <w:lang w:val="en-GB"/>
              </w:rPr>
            </w:pPr>
          </w:p>
        </w:tc>
        <w:tc>
          <w:tcPr>
            <w:tcW w:w="224" w:type="dxa"/>
            <w:vMerge w:val="restart"/>
            <w:shd w:val="clear" w:color="auto" w:fill="auto"/>
            <w:tcMar>
              <w:left w:w="0" w:type="dxa"/>
            </w:tcMar>
          </w:tcPr>
          <w:p w14:paraId="5281E1CE"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5BC074D9" w14:textId="335809CE" w:rsidR="00C6020C" w:rsidRPr="00DD6E6B" w:rsidRDefault="00BA0986" w:rsidP="006849F8">
            <w:pPr>
              <w:spacing w:after="0"/>
              <w:rPr>
                <w:lang w:val="en-GB"/>
              </w:rPr>
            </w:pPr>
            <w:r w:rsidRPr="00DD6E6B">
              <w:rPr>
                <w:rFonts w:cs="Arial"/>
                <w:b/>
                <w:bCs/>
                <w:color w:val="000000"/>
                <w:sz w:val="18"/>
                <w:szCs w:val="18"/>
                <w:lang w:val="en-GB"/>
              </w:rPr>
              <w:t>Chart</w:t>
            </w:r>
            <w:r w:rsidR="00FA2C07" w:rsidRPr="00DD6E6B">
              <w:rPr>
                <w:rFonts w:cs="Arial"/>
                <w:b/>
                <w:bCs/>
                <w:color w:val="000000"/>
                <w:sz w:val="18"/>
                <w:szCs w:val="18"/>
                <w:lang w:val="en-GB"/>
              </w:rPr>
              <w:t> 10</w:t>
            </w:r>
            <w:r w:rsidR="00C6020C" w:rsidRPr="00DD6E6B">
              <w:rPr>
                <w:rFonts w:cs="Arial"/>
                <w:b/>
                <w:bCs/>
                <w:color w:val="000000"/>
                <w:sz w:val="18"/>
                <w:szCs w:val="18"/>
                <w:lang w:val="en-GB"/>
              </w:rPr>
              <w:t xml:space="preserve"> </w:t>
            </w:r>
            <w:r w:rsidR="00F506A6" w:rsidRPr="00DD6E6B">
              <w:rPr>
                <w:rFonts w:cs="Arial"/>
                <w:b/>
                <w:bCs/>
                <w:color w:val="000000"/>
                <w:sz w:val="18"/>
                <w:szCs w:val="18"/>
                <w:lang w:val="en-GB"/>
              </w:rPr>
              <w:t xml:space="preserve">Prices in the selected divisions of the consumer price index </w:t>
            </w:r>
            <w:r w:rsidR="00F506A6" w:rsidRPr="00DD6E6B">
              <w:rPr>
                <w:rFonts w:cs="Arial"/>
                <w:color w:val="000000"/>
                <w:sz w:val="18"/>
                <w:szCs w:val="18"/>
                <w:lang w:val="en-GB"/>
              </w:rPr>
              <w:t>(year-on-year in %)</w:t>
            </w:r>
          </w:p>
        </w:tc>
      </w:tr>
      <w:tr w:rsidR="00C6020C" w:rsidRPr="00DD6E6B" w14:paraId="72DCDE7B" w14:textId="77777777" w:rsidTr="000A01E8">
        <w:tblPrEx>
          <w:tblCellMar>
            <w:left w:w="70" w:type="dxa"/>
            <w:right w:w="70" w:type="dxa"/>
          </w:tblCellMar>
        </w:tblPrEx>
        <w:trPr>
          <w:trHeight w:val="170"/>
        </w:trPr>
        <w:tc>
          <w:tcPr>
            <w:tcW w:w="1804" w:type="dxa"/>
            <w:vMerge/>
          </w:tcPr>
          <w:p w14:paraId="66DE1DE8" w14:textId="77777777" w:rsidR="00C6020C" w:rsidRPr="00DD6E6B" w:rsidRDefault="00C6020C" w:rsidP="006849F8">
            <w:pPr>
              <w:pStyle w:val="Marginlie"/>
              <w:rPr>
                <w:spacing w:val="0"/>
                <w:lang w:val="en-GB"/>
              </w:rPr>
            </w:pPr>
          </w:p>
        </w:tc>
        <w:tc>
          <w:tcPr>
            <w:tcW w:w="224" w:type="dxa"/>
            <w:vMerge/>
          </w:tcPr>
          <w:p w14:paraId="722E3DBF" w14:textId="77777777" w:rsidR="00C6020C" w:rsidRPr="00DD6E6B" w:rsidRDefault="00C6020C" w:rsidP="006849F8">
            <w:pPr>
              <w:pStyle w:val="Textpoznpodarou1"/>
              <w:jc w:val="both"/>
              <w:rPr>
                <w:lang w:val="en-GB"/>
              </w:rPr>
            </w:pPr>
          </w:p>
        </w:tc>
        <w:tc>
          <w:tcPr>
            <w:tcW w:w="7611" w:type="dxa"/>
            <w:shd w:val="clear" w:color="auto" w:fill="auto"/>
          </w:tcPr>
          <w:p w14:paraId="7303C657" w14:textId="46FAC948" w:rsidR="00C6020C" w:rsidRPr="00DD6E6B" w:rsidRDefault="000A01E8" w:rsidP="006849F8">
            <w:pPr>
              <w:spacing w:after="0"/>
              <w:rPr>
                <w:lang w:val="en-GB"/>
              </w:rPr>
            </w:pPr>
            <w:r>
              <w:rPr>
                <w:noProof/>
              </w:rPr>
              <w:drawing>
                <wp:inline distT="0" distB="0" distL="0" distR="0" wp14:anchorId="1E08AEB1" wp14:editId="4E22867B">
                  <wp:extent cx="4743950" cy="3381750"/>
                  <wp:effectExtent l="0" t="0" r="0" b="0"/>
                  <wp:docPr id="1255043172" name="Graf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C6020C" w:rsidRPr="00DD6E6B" w14:paraId="49054711" w14:textId="77777777" w:rsidTr="006849F8">
        <w:trPr>
          <w:trHeight w:val="170"/>
        </w:trPr>
        <w:tc>
          <w:tcPr>
            <w:tcW w:w="1804" w:type="dxa"/>
            <w:vMerge/>
            <w:tcMar>
              <w:left w:w="0" w:type="dxa"/>
            </w:tcMar>
          </w:tcPr>
          <w:p w14:paraId="1E4FFDA9" w14:textId="77777777" w:rsidR="00C6020C" w:rsidRPr="00DD6E6B" w:rsidRDefault="00C6020C" w:rsidP="006849F8">
            <w:pPr>
              <w:pStyle w:val="Marginlie"/>
              <w:rPr>
                <w:spacing w:val="0"/>
                <w:lang w:val="en-GB"/>
              </w:rPr>
            </w:pPr>
          </w:p>
        </w:tc>
        <w:tc>
          <w:tcPr>
            <w:tcW w:w="224" w:type="dxa"/>
            <w:vMerge/>
            <w:tcMar>
              <w:left w:w="0" w:type="dxa"/>
            </w:tcMar>
          </w:tcPr>
          <w:p w14:paraId="7DC3024D"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3D3C2FDF" w14:textId="675485B8" w:rsidR="006636BD" w:rsidRPr="00DD6E6B" w:rsidRDefault="00DD54CD" w:rsidP="000A01E8">
            <w:pPr>
              <w:rPr>
                <w:b/>
                <w:bCs/>
                <w:sz w:val="16"/>
                <w:szCs w:val="16"/>
                <w:lang w:val="en-GB"/>
              </w:rPr>
            </w:pPr>
            <w:r w:rsidRPr="00DD6E6B">
              <w:rPr>
                <w:sz w:val="14"/>
                <w:szCs w:val="14"/>
                <w:lang w:val="en-GB"/>
              </w:rPr>
              <w:t>Source</w:t>
            </w:r>
            <w:r w:rsidR="00C6020C" w:rsidRPr="00DD6E6B">
              <w:rPr>
                <w:sz w:val="14"/>
                <w:szCs w:val="14"/>
                <w:lang w:val="en-GB"/>
              </w:rPr>
              <w:t xml:space="preserve">: </w:t>
            </w:r>
            <w:r w:rsidRPr="00DD6E6B">
              <w:rPr>
                <w:sz w:val="14"/>
                <w:szCs w:val="14"/>
                <w:lang w:val="en-GB"/>
              </w:rPr>
              <w:t>CZSO</w:t>
            </w:r>
            <w:r w:rsidR="000A01E8">
              <w:rPr>
                <w:sz w:val="14"/>
                <w:szCs w:val="14"/>
                <w:lang w:val="en-GB"/>
              </w:rPr>
              <w:t>-</w:t>
            </w:r>
          </w:p>
        </w:tc>
      </w:tr>
      <w:tr w:rsidR="00C6020C" w:rsidRPr="00DD6E6B" w14:paraId="6F8D4B04" w14:textId="77777777" w:rsidTr="006849F8">
        <w:trPr>
          <w:trHeight w:val="145"/>
        </w:trPr>
        <w:tc>
          <w:tcPr>
            <w:tcW w:w="1804" w:type="dxa"/>
            <w:shd w:val="clear" w:color="auto" w:fill="auto"/>
            <w:tcMar>
              <w:left w:w="0" w:type="dxa"/>
            </w:tcMar>
          </w:tcPr>
          <w:p w14:paraId="6A8434D5" w14:textId="143B6CA8" w:rsidR="00C6020C" w:rsidRPr="00DD6E6B" w:rsidRDefault="00CC6F4D" w:rsidP="006849F8">
            <w:pPr>
              <w:pStyle w:val="Marginlie"/>
              <w:rPr>
                <w:spacing w:val="0"/>
                <w:lang w:val="en-GB"/>
              </w:rPr>
            </w:pPr>
            <w:r w:rsidRPr="00DD6E6B">
              <w:rPr>
                <w:spacing w:val="0"/>
                <w:lang w:val="en-GB"/>
              </w:rPr>
              <w:t xml:space="preserve">Year-on-year rate of growth of prices of </w:t>
            </w:r>
            <w:r w:rsidR="00796F41">
              <w:rPr>
                <w:spacing w:val="0"/>
                <w:lang w:val="en-GB"/>
              </w:rPr>
              <w:t>clothing</w:t>
            </w:r>
            <w:r w:rsidRPr="00DD6E6B">
              <w:rPr>
                <w:spacing w:val="0"/>
                <w:lang w:val="en-GB"/>
              </w:rPr>
              <w:t xml:space="preserve"> and footwear as well as household equipment remained significant. </w:t>
            </w:r>
          </w:p>
        </w:tc>
        <w:tc>
          <w:tcPr>
            <w:tcW w:w="224" w:type="dxa"/>
            <w:shd w:val="clear" w:color="auto" w:fill="auto"/>
            <w:tcMar>
              <w:left w:w="0" w:type="dxa"/>
            </w:tcMar>
          </w:tcPr>
          <w:p w14:paraId="6CEBD187"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2DD21571" w14:textId="62C11ED4" w:rsidR="00C6020C" w:rsidRPr="00DD6E6B" w:rsidRDefault="00CC6F4D" w:rsidP="006849F8">
            <w:pPr>
              <w:rPr>
                <w:lang w:val="en-GB"/>
              </w:rPr>
            </w:pPr>
            <w:r w:rsidRPr="00DD6E6B">
              <w:rPr>
                <w:lang w:val="en-GB"/>
              </w:rPr>
              <w:t xml:space="preserve">Significant year-on-year pace of prices of </w:t>
            </w:r>
            <w:r w:rsidR="00636DDD">
              <w:rPr>
                <w:lang w:val="en-GB"/>
              </w:rPr>
              <w:t>clothing</w:t>
            </w:r>
            <w:r w:rsidRPr="00DD6E6B">
              <w:rPr>
                <w:lang w:val="en-GB"/>
              </w:rPr>
              <w:t xml:space="preserve"> and footwear </w:t>
            </w:r>
            <w:r w:rsidR="00C6020C" w:rsidRPr="00DD6E6B">
              <w:rPr>
                <w:lang w:val="en-GB"/>
              </w:rPr>
              <w:t>(12</w:t>
            </w:r>
            <w:r w:rsidRPr="00DD6E6B">
              <w:rPr>
                <w:lang w:val="en-GB"/>
              </w:rPr>
              <w:t>.</w:t>
            </w:r>
            <w:r w:rsidR="00C6020C" w:rsidRPr="00DD6E6B">
              <w:rPr>
                <w:lang w:val="en-GB"/>
              </w:rPr>
              <w:t xml:space="preserve">2%) </w:t>
            </w:r>
            <w:r w:rsidRPr="00DD6E6B">
              <w:rPr>
                <w:lang w:val="en-GB"/>
              </w:rPr>
              <w:t xml:space="preserve">as well as household equipment, goods and repairs </w:t>
            </w:r>
            <w:r w:rsidR="00C6020C" w:rsidRPr="00DD6E6B">
              <w:rPr>
                <w:lang w:val="en-GB"/>
              </w:rPr>
              <w:t>(10</w:t>
            </w:r>
            <w:r w:rsidRPr="00DD6E6B">
              <w:rPr>
                <w:lang w:val="en-GB"/>
              </w:rPr>
              <w:t>.</w:t>
            </w:r>
            <w:r w:rsidR="00C6020C" w:rsidRPr="00DD6E6B">
              <w:rPr>
                <w:lang w:val="en-GB"/>
              </w:rPr>
              <w:t>4%)</w:t>
            </w:r>
            <w:r w:rsidRPr="00DD6E6B">
              <w:rPr>
                <w:lang w:val="en-GB"/>
              </w:rPr>
              <w:t xml:space="preserve"> persisted in Q2</w:t>
            </w:r>
            <w:r w:rsidR="00C6020C" w:rsidRPr="00DD6E6B">
              <w:rPr>
                <w:lang w:val="en-GB"/>
              </w:rPr>
              <w:t>.</w:t>
            </w:r>
            <w:r w:rsidRPr="00DD6E6B">
              <w:rPr>
                <w:lang w:val="en-GB"/>
              </w:rPr>
              <w:t xml:space="preserve"> Prices in both divisions also </w:t>
            </w:r>
            <w:r w:rsidR="00FE77EF" w:rsidRPr="00DD6E6B">
              <w:rPr>
                <w:lang w:val="en-GB"/>
              </w:rPr>
              <w:t>strongly grew</w:t>
            </w:r>
            <w:r w:rsidRPr="00DD6E6B">
              <w:rPr>
                <w:lang w:val="en-GB"/>
              </w:rPr>
              <w:t xml:space="preserve"> quarter-on-quarter </w:t>
            </w:r>
            <w:r w:rsidR="00C6020C" w:rsidRPr="00DD6E6B">
              <w:rPr>
                <w:lang w:val="en-GB"/>
              </w:rPr>
              <w:t xml:space="preserve">– </w:t>
            </w:r>
            <w:r w:rsidRPr="00DD6E6B">
              <w:rPr>
                <w:lang w:val="en-GB"/>
              </w:rPr>
              <w:t xml:space="preserve">prices of wearing apparel and footwear were raised by </w:t>
            </w:r>
            <w:r w:rsidR="00C6020C" w:rsidRPr="00DD6E6B">
              <w:rPr>
                <w:lang w:val="en-GB"/>
              </w:rPr>
              <w:t>2</w:t>
            </w:r>
            <w:r w:rsidRPr="00DD6E6B">
              <w:rPr>
                <w:lang w:val="en-GB"/>
              </w:rPr>
              <w:t>.</w:t>
            </w:r>
            <w:r w:rsidR="00C6020C" w:rsidRPr="00DD6E6B">
              <w:rPr>
                <w:lang w:val="en-GB"/>
              </w:rPr>
              <w:t>2% a</w:t>
            </w:r>
            <w:r w:rsidRPr="00DD6E6B">
              <w:rPr>
                <w:lang w:val="en-GB"/>
              </w:rPr>
              <w:t xml:space="preserve">nd </w:t>
            </w:r>
            <w:r w:rsidR="00636DDD">
              <w:rPr>
                <w:lang w:val="en-GB"/>
              </w:rPr>
              <w:t>f</w:t>
            </w:r>
            <w:r w:rsidR="00636DDD" w:rsidRPr="00636DDD">
              <w:rPr>
                <w:lang w:val="en-GB"/>
              </w:rPr>
              <w:t xml:space="preserve">urnishings, </w:t>
            </w:r>
            <w:proofErr w:type="gramStart"/>
            <w:r w:rsidR="00636DDD" w:rsidRPr="00636DDD">
              <w:rPr>
                <w:lang w:val="en-GB"/>
              </w:rPr>
              <w:t>households</w:t>
            </w:r>
            <w:proofErr w:type="gramEnd"/>
            <w:r w:rsidR="00636DDD" w:rsidRPr="00636DDD">
              <w:rPr>
                <w:lang w:val="en-GB"/>
              </w:rPr>
              <w:t xml:space="preserve"> equipment and maintenance </w:t>
            </w:r>
            <w:r w:rsidRPr="00DD6E6B">
              <w:rPr>
                <w:lang w:val="en-GB"/>
              </w:rPr>
              <w:t xml:space="preserve">by </w:t>
            </w:r>
            <w:r w:rsidR="00C6020C" w:rsidRPr="00DD6E6B">
              <w:rPr>
                <w:lang w:val="en-GB"/>
              </w:rPr>
              <w:t>1</w:t>
            </w:r>
            <w:r w:rsidRPr="00DD6E6B">
              <w:rPr>
                <w:lang w:val="en-GB"/>
              </w:rPr>
              <w:t>.</w:t>
            </w:r>
            <w:r w:rsidR="00C6020C" w:rsidRPr="00DD6E6B">
              <w:rPr>
                <w:lang w:val="en-GB"/>
              </w:rPr>
              <w:t xml:space="preserve">6%. </w:t>
            </w:r>
            <w:r w:rsidR="00FE77EF" w:rsidRPr="00DD6E6B">
              <w:rPr>
                <w:lang w:val="en-GB"/>
              </w:rPr>
              <w:t>The year-on-year rate of growth of prices of alcoholic beverages and tobacco remained relatively stable in Q</w:t>
            </w:r>
            <w:r w:rsidR="00C6020C" w:rsidRPr="00DD6E6B">
              <w:rPr>
                <w:lang w:val="en-GB"/>
              </w:rPr>
              <w:t>2</w:t>
            </w:r>
            <w:r w:rsidR="00FE77EF" w:rsidRPr="00DD6E6B">
              <w:rPr>
                <w:lang w:val="en-GB"/>
              </w:rPr>
              <w:t xml:space="preserve"> </w:t>
            </w:r>
            <w:r w:rsidR="00C6020C" w:rsidRPr="00DD6E6B">
              <w:rPr>
                <w:lang w:val="en-GB"/>
              </w:rPr>
              <w:t>(6</w:t>
            </w:r>
            <w:r w:rsidR="00FE77EF" w:rsidRPr="00DD6E6B">
              <w:rPr>
                <w:lang w:val="en-GB"/>
              </w:rPr>
              <w:t>.</w:t>
            </w:r>
            <w:r w:rsidR="00C6020C" w:rsidRPr="00DD6E6B">
              <w:rPr>
                <w:lang w:val="en-GB"/>
              </w:rPr>
              <w:t xml:space="preserve">5%, </w:t>
            </w:r>
            <w:r w:rsidR="00FE77EF" w:rsidRPr="00DD6E6B">
              <w:rPr>
                <w:lang w:val="en-GB"/>
              </w:rPr>
              <w:t>prices grew by 0.4% here quarter-on-quarter</w:t>
            </w:r>
            <w:r w:rsidR="00C6020C" w:rsidRPr="00DD6E6B">
              <w:rPr>
                <w:lang w:val="en-GB"/>
              </w:rPr>
              <w:t xml:space="preserve">). </w:t>
            </w:r>
            <w:r w:rsidR="00A13367" w:rsidRPr="00DD6E6B">
              <w:rPr>
                <w:lang w:val="en-GB"/>
              </w:rPr>
              <w:t xml:space="preserve">The year-on-year increase of prices in the area of health care did not change </w:t>
            </w:r>
            <w:r w:rsidR="00C6020C" w:rsidRPr="00DD6E6B">
              <w:rPr>
                <w:lang w:val="en-GB"/>
              </w:rPr>
              <w:t>(9</w:t>
            </w:r>
            <w:r w:rsidR="00A13367" w:rsidRPr="00DD6E6B">
              <w:rPr>
                <w:lang w:val="en-GB"/>
              </w:rPr>
              <w:t>.</w:t>
            </w:r>
            <w:r w:rsidR="00C6020C" w:rsidRPr="00DD6E6B">
              <w:rPr>
                <w:lang w:val="en-GB"/>
              </w:rPr>
              <w:t>5%, 3</w:t>
            </w:r>
            <w:r w:rsidR="00A13367" w:rsidRPr="00DD6E6B">
              <w:rPr>
                <w:lang w:val="en-GB"/>
              </w:rPr>
              <w:t>.</w:t>
            </w:r>
            <w:r w:rsidR="00C6020C" w:rsidRPr="00DD6E6B">
              <w:rPr>
                <w:lang w:val="en-GB"/>
              </w:rPr>
              <w:t>1%</w:t>
            </w:r>
            <w:r w:rsidR="00A13367" w:rsidRPr="00DD6E6B">
              <w:rPr>
                <w:lang w:val="en-GB"/>
              </w:rPr>
              <w:t xml:space="preserve"> quarter-on-quarter</w:t>
            </w:r>
            <w:r w:rsidR="00C6020C" w:rsidRPr="00DD6E6B">
              <w:rPr>
                <w:lang w:val="en-GB"/>
              </w:rPr>
              <w:t>) a</w:t>
            </w:r>
            <w:r w:rsidR="00247258" w:rsidRPr="00DD6E6B">
              <w:rPr>
                <w:lang w:val="en-GB"/>
              </w:rPr>
              <w:t xml:space="preserve">nd the pace was stable for prices of education </w:t>
            </w:r>
            <w:r w:rsidR="00C6020C" w:rsidRPr="00DD6E6B">
              <w:rPr>
                <w:lang w:val="en-GB"/>
              </w:rPr>
              <w:t>(7</w:t>
            </w:r>
            <w:r w:rsidR="00247258" w:rsidRPr="00DD6E6B">
              <w:rPr>
                <w:lang w:val="en-GB"/>
              </w:rPr>
              <w:t>.</w:t>
            </w:r>
            <w:r w:rsidR="00C6020C" w:rsidRPr="00DD6E6B">
              <w:rPr>
                <w:lang w:val="en-GB"/>
              </w:rPr>
              <w:t>2%, 0</w:t>
            </w:r>
            <w:r w:rsidR="00247258" w:rsidRPr="00DD6E6B">
              <w:rPr>
                <w:lang w:val="en-GB"/>
              </w:rPr>
              <w:t>.</w:t>
            </w:r>
            <w:r w:rsidR="00C6020C" w:rsidRPr="00DD6E6B">
              <w:rPr>
                <w:lang w:val="en-GB"/>
              </w:rPr>
              <w:t>2%</w:t>
            </w:r>
            <w:r w:rsidR="00247258" w:rsidRPr="00DD6E6B">
              <w:rPr>
                <w:lang w:val="en-GB"/>
              </w:rPr>
              <w:t xml:space="preserve"> quarter-on-quarter</w:t>
            </w:r>
            <w:r w:rsidR="00C6020C" w:rsidRPr="00DD6E6B">
              <w:rPr>
                <w:lang w:val="en-GB"/>
              </w:rPr>
              <w:t xml:space="preserve">). </w:t>
            </w:r>
            <w:r w:rsidR="00247258" w:rsidRPr="00DD6E6B">
              <w:rPr>
                <w:lang w:val="en-GB"/>
              </w:rPr>
              <w:t xml:space="preserve">The year-on-year growth of prices of post and telecommunication </w:t>
            </w:r>
            <w:r w:rsidR="0079505F" w:rsidRPr="00DD6E6B">
              <w:rPr>
                <w:lang w:val="en-GB"/>
              </w:rPr>
              <w:t xml:space="preserve">strengthened year-on-year </w:t>
            </w:r>
            <w:r w:rsidR="00C6020C" w:rsidRPr="00DD6E6B">
              <w:rPr>
                <w:lang w:val="en-GB"/>
              </w:rPr>
              <w:t>(3</w:t>
            </w:r>
            <w:r w:rsidR="00247258" w:rsidRPr="00DD6E6B">
              <w:rPr>
                <w:lang w:val="en-GB"/>
              </w:rPr>
              <w:t>.</w:t>
            </w:r>
            <w:r w:rsidR="00C6020C" w:rsidRPr="00DD6E6B">
              <w:rPr>
                <w:lang w:val="en-GB"/>
              </w:rPr>
              <w:t>9%</w:t>
            </w:r>
            <w:r w:rsidR="0079505F" w:rsidRPr="00DD6E6B">
              <w:rPr>
                <w:lang w:val="en-GB"/>
              </w:rPr>
              <w:t>;</w:t>
            </w:r>
            <w:r w:rsidR="00C6020C" w:rsidRPr="00DD6E6B">
              <w:rPr>
                <w:lang w:val="en-GB"/>
              </w:rPr>
              <w:t xml:space="preserve"> 1</w:t>
            </w:r>
            <w:r w:rsidR="00247258" w:rsidRPr="00DD6E6B">
              <w:rPr>
                <w:lang w:val="en-GB"/>
              </w:rPr>
              <w:t>.</w:t>
            </w:r>
            <w:r w:rsidR="00C6020C" w:rsidRPr="00DD6E6B">
              <w:rPr>
                <w:lang w:val="en-GB"/>
              </w:rPr>
              <w:t>4%</w:t>
            </w:r>
            <w:r w:rsidR="00247258" w:rsidRPr="00DD6E6B">
              <w:rPr>
                <w:lang w:val="en-GB"/>
              </w:rPr>
              <w:t xml:space="preserve"> quarter-on-quarter</w:t>
            </w:r>
            <w:r w:rsidR="00C6020C" w:rsidRPr="00DD6E6B">
              <w:rPr>
                <w:lang w:val="en-GB"/>
              </w:rPr>
              <w:t xml:space="preserve">).      </w:t>
            </w:r>
          </w:p>
        </w:tc>
      </w:tr>
      <w:tr w:rsidR="00C6020C" w:rsidRPr="00DD6E6B" w14:paraId="5894B598" w14:textId="77777777" w:rsidTr="006849F8">
        <w:trPr>
          <w:trHeight w:val="145"/>
        </w:trPr>
        <w:tc>
          <w:tcPr>
            <w:tcW w:w="1804" w:type="dxa"/>
            <w:shd w:val="clear" w:color="auto" w:fill="auto"/>
            <w:tcMar>
              <w:left w:w="0" w:type="dxa"/>
            </w:tcMar>
          </w:tcPr>
          <w:p w14:paraId="1A83D6C9" w14:textId="5655C6E7" w:rsidR="00C6020C" w:rsidRPr="00DD6E6B" w:rsidRDefault="002E3036" w:rsidP="006849F8">
            <w:pPr>
              <w:pStyle w:val="Marginlie"/>
              <w:rPr>
                <w:spacing w:val="0"/>
                <w:lang w:val="en-GB"/>
              </w:rPr>
            </w:pPr>
            <w:r w:rsidRPr="00DD6E6B">
              <w:rPr>
                <w:spacing w:val="0"/>
                <w:lang w:val="en-GB"/>
              </w:rPr>
              <w:t xml:space="preserve">Only the prices of transport were falling year-on-year. </w:t>
            </w:r>
          </w:p>
        </w:tc>
        <w:tc>
          <w:tcPr>
            <w:tcW w:w="224" w:type="dxa"/>
            <w:shd w:val="clear" w:color="auto" w:fill="auto"/>
            <w:tcMar>
              <w:left w:w="0" w:type="dxa"/>
            </w:tcMar>
          </w:tcPr>
          <w:p w14:paraId="4ED39A16"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26CB1942" w14:textId="098DAB66" w:rsidR="00C6020C" w:rsidRPr="00DD6E6B" w:rsidRDefault="00FE77EF" w:rsidP="006849F8">
            <w:pPr>
              <w:rPr>
                <w:lang w:val="en-GB"/>
              </w:rPr>
            </w:pPr>
            <w:r w:rsidRPr="00DD6E6B">
              <w:rPr>
                <w:lang w:val="en-GB"/>
              </w:rPr>
              <w:t xml:space="preserve">Transport was the only division of the consumer prices, where the prices decreased year-on-year. Prices went down by </w:t>
            </w:r>
            <w:r w:rsidR="00C6020C" w:rsidRPr="00DD6E6B">
              <w:rPr>
                <w:lang w:val="en-GB"/>
              </w:rPr>
              <w:t>4</w:t>
            </w:r>
            <w:r w:rsidRPr="00DD6E6B">
              <w:rPr>
                <w:lang w:val="en-GB"/>
              </w:rPr>
              <w:t>.</w:t>
            </w:r>
            <w:r w:rsidR="00C6020C" w:rsidRPr="00DD6E6B">
              <w:rPr>
                <w:lang w:val="en-GB"/>
              </w:rPr>
              <w:t>0%</w:t>
            </w:r>
            <w:r w:rsidRPr="00DD6E6B">
              <w:rPr>
                <w:lang w:val="en-GB"/>
              </w:rPr>
              <w:t xml:space="preserve"> here and </w:t>
            </w:r>
            <w:r w:rsidR="006D6B1A" w:rsidRPr="00DD6E6B">
              <w:rPr>
                <w:lang w:val="en-GB"/>
              </w:rPr>
              <w:t>the decrease of costs of operati</w:t>
            </w:r>
            <w:r w:rsidR="00636DDD">
              <w:rPr>
                <w:lang w:val="en-GB"/>
              </w:rPr>
              <w:t>on of</w:t>
            </w:r>
            <w:r w:rsidR="006D6B1A" w:rsidRPr="00DD6E6B">
              <w:rPr>
                <w:lang w:val="en-GB"/>
              </w:rPr>
              <w:t xml:space="preserve"> personal transport equipment by 10.3% stood solely behind it. </w:t>
            </w:r>
            <w:r w:rsidR="0050668E" w:rsidRPr="00DD6E6B">
              <w:rPr>
                <w:lang w:val="en-GB"/>
              </w:rPr>
              <w:t xml:space="preserve">The year-on-year growth of prices of </w:t>
            </w:r>
            <w:r w:rsidR="00636DDD">
              <w:rPr>
                <w:lang w:val="en-GB"/>
              </w:rPr>
              <w:t>p</w:t>
            </w:r>
            <w:r w:rsidR="0050668E" w:rsidRPr="00DD6E6B">
              <w:rPr>
                <w:lang w:val="en-GB"/>
              </w:rPr>
              <w:t>urchas</w:t>
            </w:r>
            <w:r w:rsidR="00636DDD">
              <w:rPr>
                <w:lang w:val="en-GB"/>
              </w:rPr>
              <w:t>e of vehicles</w:t>
            </w:r>
            <w:r w:rsidR="0050668E" w:rsidRPr="00DD6E6B">
              <w:rPr>
                <w:lang w:val="en-GB"/>
              </w:rPr>
              <w:t xml:space="preserve"> considerably shrank </w:t>
            </w:r>
            <w:r w:rsidR="00C6020C" w:rsidRPr="00DD6E6B">
              <w:rPr>
                <w:lang w:val="en-GB"/>
              </w:rPr>
              <w:t>(1</w:t>
            </w:r>
            <w:r w:rsidR="0050668E" w:rsidRPr="00DD6E6B">
              <w:rPr>
                <w:lang w:val="en-GB"/>
              </w:rPr>
              <w:t>.</w:t>
            </w:r>
            <w:r w:rsidR="00C6020C" w:rsidRPr="00DD6E6B">
              <w:rPr>
                <w:lang w:val="en-GB"/>
              </w:rPr>
              <w:t xml:space="preserve">0%). </w:t>
            </w:r>
            <w:r w:rsidR="00EA7C51" w:rsidRPr="00DD6E6B">
              <w:rPr>
                <w:lang w:val="en-GB"/>
              </w:rPr>
              <w:t>The prices of transport services ceased to be affected by the last year’s restrictions of student discounts on fare</w:t>
            </w:r>
            <w:r w:rsidR="00C6020C" w:rsidRPr="00DD6E6B">
              <w:rPr>
                <w:lang w:val="en-GB"/>
              </w:rPr>
              <w:t xml:space="preserve">, </w:t>
            </w:r>
            <w:r w:rsidR="00EA7C51" w:rsidRPr="00DD6E6B">
              <w:rPr>
                <w:lang w:val="en-GB"/>
              </w:rPr>
              <w:t xml:space="preserve">thus the pace markedly decelerated against the preceding quarter. </w:t>
            </w:r>
            <w:r w:rsidR="00C6020C" w:rsidRPr="00DD6E6B">
              <w:rPr>
                <w:lang w:val="en-GB"/>
              </w:rPr>
              <w:lastRenderedPageBreak/>
              <w:t>S</w:t>
            </w:r>
            <w:r w:rsidR="00D62180" w:rsidRPr="00DD6E6B">
              <w:rPr>
                <w:lang w:val="en-GB"/>
              </w:rPr>
              <w:t xml:space="preserve">till the prices of transport services went up by substantial </w:t>
            </w:r>
            <w:r w:rsidR="00C6020C" w:rsidRPr="00DD6E6B">
              <w:rPr>
                <w:lang w:val="en-GB"/>
              </w:rPr>
              <w:t>11</w:t>
            </w:r>
            <w:r w:rsidR="00D62180" w:rsidRPr="00DD6E6B">
              <w:rPr>
                <w:lang w:val="en-GB"/>
              </w:rPr>
              <w:t>.</w:t>
            </w:r>
            <w:r w:rsidR="00C6020C" w:rsidRPr="00DD6E6B">
              <w:rPr>
                <w:lang w:val="en-GB"/>
              </w:rPr>
              <w:t>3%</w:t>
            </w:r>
            <w:r w:rsidR="00D62180" w:rsidRPr="00DD6E6B">
              <w:rPr>
                <w:lang w:val="en-GB"/>
              </w:rPr>
              <w:t xml:space="preserve"> year-on-year</w:t>
            </w:r>
            <w:r w:rsidR="00C6020C" w:rsidRPr="00DD6E6B">
              <w:rPr>
                <w:lang w:val="en-GB"/>
              </w:rPr>
              <w:t xml:space="preserve">. </w:t>
            </w:r>
            <w:r w:rsidR="00D62180" w:rsidRPr="00DD6E6B">
              <w:rPr>
                <w:lang w:val="en-GB"/>
              </w:rPr>
              <w:t>Prices of transport also fell quarter-on-quarter for the third time in a row, specifically by 0.</w:t>
            </w:r>
            <w:r w:rsidR="00C6020C" w:rsidRPr="00DD6E6B">
              <w:rPr>
                <w:lang w:val="en-GB"/>
              </w:rPr>
              <w:t>8%.</w:t>
            </w:r>
          </w:p>
        </w:tc>
      </w:tr>
      <w:tr w:rsidR="00C6020C" w:rsidRPr="00DD6E6B" w14:paraId="143E686C" w14:textId="77777777" w:rsidTr="006849F8">
        <w:trPr>
          <w:trHeight w:val="145"/>
        </w:trPr>
        <w:tc>
          <w:tcPr>
            <w:tcW w:w="1804" w:type="dxa"/>
            <w:shd w:val="clear" w:color="auto" w:fill="auto"/>
            <w:tcMar>
              <w:left w:w="0" w:type="dxa"/>
            </w:tcMar>
          </w:tcPr>
          <w:p w14:paraId="5C076009" w14:textId="736F8122" w:rsidR="00C6020C" w:rsidRPr="00DD6E6B" w:rsidRDefault="002E3036" w:rsidP="006849F8">
            <w:pPr>
              <w:pStyle w:val="Marginlie"/>
              <w:rPr>
                <w:spacing w:val="0"/>
                <w:lang w:val="en-GB"/>
              </w:rPr>
            </w:pPr>
            <w:r w:rsidRPr="00DD6E6B">
              <w:rPr>
                <w:spacing w:val="0"/>
                <w:lang w:val="en-GB"/>
              </w:rPr>
              <w:lastRenderedPageBreak/>
              <w:t xml:space="preserve">Growth of consumer </w:t>
            </w:r>
            <w:r w:rsidR="00204A45" w:rsidRPr="00DD6E6B">
              <w:rPr>
                <w:spacing w:val="0"/>
                <w:lang w:val="en-GB"/>
              </w:rPr>
              <w:t xml:space="preserve">prices slowed down in the EU. </w:t>
            </w:r>
          </w:p>
        </w:tc>
        <w:tc>
          <w:tcPr>
            <w:tcW w:w="224" w:type="dxa"/>
            <w:shd w:val="clear" w:color="auto" w:fill="auto"/>
            <w:tcMar>
              <w:left w:w="0" w:type="dxa"/>
            </w:tcMar>
          </w:tcPr>
          <w:p w14:paraId="21FC0E9D"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5DC9729A" w14:textId="614EB95D" w:rsidR="00C6020C" w:rsidRPr="00DD6E6B" w:rsidRDefault="00C6020C" w:rsidP="006849F8">
            <w:pPr>
              <w:rPr>
                <w:lang w:val="en-GB"/>
              </w:rPr>
            </w:pPr>
            <w:r w:rsidRPr="00DD6E6B">
              <w:rPr>
                <w:lang w:val="en-GB"/>
              </w:rPr>
              <w:t>Harmoniz</w:t>
            </w:r>
            <w:r w:rsidR="006E7275" w:rsidRPr="00DD6E6B">
              <w:rPr>
                <w:lang w:val="en-GB"/>
              </w:rPr>
              <w:t xml:space="preserve">ed index of consumer prices </w:t>
            </w:r>
            <w:r w:rsidRPr="00DD6E6B">
              <w:rPr>
                <w:lang w:val="en-GB"/>
              </w:rPr>
              <w:t>(HICP)</w:t>
            </w:r>
            <w:r w:rsidRPr="00DD6E6B">
              <w:rPr>
                <w:rStyle w:val="Znakapoznpodarou"/>
                <w:lang w:val="en-GB"/>
              </w:rPr>
              <w:footnoteReference w:id="50"/>
            </w:r>
            <w:r w:rsidRPr="00DD6E6B">
              <w:rPr>
                <w:lang w:val="en-GB"/>
              </w:rPr>
              <w:t xml:space="preserve"> </w:t>
            </w:r>
            <w:r w:rsidR="006E7275" w:rsidRPr="00DD6E6B">
              <w:rPr>
                <w:lang w:val="en-GB"/>
              </w:rPr>
              <w:t>increased by 7.2% in the European Union year-on-year in Q2</w:t>
            </w:r>
            <w:r w:rsidRPr="00DD6E6B">
              <w:rPr>
                <w:lang w:val="en-GB"/>
              </w:rPr>
              <w:t>.</w:t>
            </w:r>
            <w:r w:rsidR="006E7275" w:rsidRPr="00DD6E6B">
              <w:rPr>
                <w:lang w:val="en-GB"/>
              </w:rPr>
              <w:t xml:space="preserve"> The year-on-year dynamics of consumer prices in the EU similarly to the domestic economy decelerates since the beginning of the year, mainly under the influence of falling prices of </w:t>
            </w:r>
            <w:r w:rsidR="009606FA">
              <w:rPr>
                <w:lang w:val="en-GB"/>
              </w:rPr>
              <w:t>energy</w:t>
            </w:r>
            <w:r w:rsidR="006E7275" w:rsidRPr="00DD6E6B">
              <w:rPr>
                <w:lang w:val="en-GB"/>
              </w:rPr>
              <w:t xml:space="preserve"> and fuels. On the other hand, </w:t>
            </w:r>
            <w:r w:rsidR="00D2628C" w:rsidRPr="00DD6E6B">
              <w:rPr>
                <w:lang w:val="en-GB"/>
              </w:rPr>
              <w:t>the growth of prices of food remained strong throughout H</w:t>
            </w:r>
            <w:r w:rsidRPr="00DD6E6B">
              <w:rPr>
                <w:lang w:val="en-GB"/>
              </w:rPr>
              <w:t>1.</w:t>
            </w:r>
            <w:r w:rsidR="00D2628C" w:rsidRPr="00DD6E6B">
              <w:rPr>
                <w:lang w:val="en-GB"/>
              </w:rPr>
              <w:t xml:space="preserve"> According to the HICP, the prices increased the most year-on-year in Q</w:t>
            </w:r>
            <w:r w:rsidRPr="00DD6E6B">
              <w:rPr>
                <w:lang w:val="en-GB"/>
              </w:rPr>
              <w:t>2</w:t>
            </w:r>
            <w:r w:rsidR="00D2628C" w:rsidRPr="00DD6E6B">
              <w:rPr>
                <w:lang w:val="en-GB"/>
              </w:rPr>
              <w:t xml:space="preserve"> in Hungary </w:t>
            </w:r>
            <w:r w:rsidRPr="00DD6E6B">
              <w:rPr>
                <w:lang w:val="en-GB"/>
              </w:rPr>
              <w:t>(22</w:t>
            </w:r>
            <w:r w:rsidR="00D2628C" w:rsidRPr="00DD6E6B">
              <w:rPr>
                <w:lang w:val="en-GB"/>
              </w:rPr>
              <w:t>.</w:t>
            </w:r>
            <w:r w:rsidRPr="00DD6E6B">
              <w:rPr>
                <w:lang w:val="en-GB"/>
              </w:rPr>
              <w:t xml:space="preserve">1%), </w:t>
            </w:r>
            <w:r w:rsidR="00D2628C" w:rsidRPr="00DD6E6B">
              <w:rPr>
                <w:lang w:val="en-GB"/>
              </w:rPr>
              <w:t xml:space="preserve">where mainly the prices of food, food service and accommodation and housing and </w:t>
            </w:r>
            <w:r w:rsidR="009606FA">
              <w:rPr>
                <w:lang w:val="en-GB"/>
              </w:rPr>
              <w:t>energy</w:t>
            </w:r>
            <w:r w:rsidR="00D2628C" w:rsidRPr="00DD6E6B">
              <w:rPr>
                <w:lang w:val="en-GB"/>
              </w:rPr>
              <w:t xml:space="preserve"> grew massively. Nevertheless, double-digit year-on-year increases had a majority of divisions</w:t>
            </w:r>
            <w:r w:rsidR="006453B2" w:rsidRPr="00DD6E6B">
              <w:rPr>
                <w:lang w:val="en-GB"/>
              </w:rPr>
              <w:t xml:space="preserve"> in</w:t>
            </w:r>
            <w:r w:rsidR="00D2628C" w:rsidRPr="00DD6E6B">
              <w:rPr>
                <w:lang w:val="en-GB"/>
              </w:rPr>
              <w:t xml:space="preserve"> the Hungarian consumer basket. </w:t>
            </w:r>
            <w:r w:rsidR="00D8125F" w:rsidRPr="00DD6E6B">
              <w:rPr>
                <w:lang w:val="en-GB"/>
              </w:rPr>
              <w:t xml:space="preserve">The subsequent countries in the ranking </w:t>
            </w:r>
            <w:r w:rsidRPr="00DD6E6B">
              <w:rPr>
                <w:lang w:val="en-GB"/>
              </w:rPr>
              <w:t xml:space="preserve">– </w:t>
            </w:r>
            <w:r w:rsidR="00D8125F" w:rsidRPr="00DD6E6B">
              <w:rPr>
                <w:lang w:val="en-GB"/>
              </w:rPr>
              <w:t xml:space="preserve">the CR </w:t>
            </w:r>
            <w:r w:rsidRPr="00DD6E6B">
              <w:rPr>
                <w:lang w:val="en-GB"/>
              </w:rPr>
              <w:t>(12</w:t>
            </w:r>
            <w:r w:rsidR="00D8125F" w:rsidRPr="00DD6E6B">
              <w:rPr>
                <w:lang w:val="en-GB"/>
              </w:rPr>
              <w:t>.</w:t>
            </w:r>
            <w:r w:rsidRPr="00DD6E6B">
              <w:rPr>
                <w:lang w:val="en-GB"/>
              </w:rPr>
              <w:t>6%), Slov</w:t>
            </w:r>
            <w:r w:rsidR="00D8125F" w:rsidRPr="00DD6E6B">
              <w:rPr>
                <w:lang w:val="en-GB"/>
              </w:rPr>
              <w:t xml:space="preserve">akia </w:t>
            </w:r>
            <w:r w:rsidRPr="00DD6E6B">
              <w:rPr>
                <w:lang w:val="en-GB"/>
              </w:rPr>
              <w:t>(12</w:t>
            </w:r>
            <w:r w:rsidR="00D8125F" w:rsidRPr="00DD6E6B">
              <w:rPr>
                <w:lang w:val="en-GB"/>
              </w:rPr>
              <w:t>.</w:t>
            </w:r>
            <w:r w:rsidRPr="00DD6E6B">
              <w:rPr>
                <w:lang w:val="en-GB"/>
              </w:rPr>
              <w:t>5%) a</w:t>
            </w:r>
            <w:r w:rsidR="00D8125F" w:rsidRPr="00DD6E6B">
              <w:rPr>
                <w:lang w:val="en-GB"/>
              </w:rPr>
              <w:t xml:space="preserve">nd Poland </w:t>
            </w:r>
            <w:r w:rsidRPr="00DD6E6B">
              <w:rPr>
                <w:lang w:val="en-GB"/>
              </w:rPr>
              <w:t>(12</w:t>
            </w:r>
            <w:r w:rsidR="00D8125F" w:rsidRPr="00DD6E6B">
              <w:rPr>
                <w:lang w:val="en-GB"/>
              </w:rPr>
              <w:t>.</w:t>
            </w:r>
            <w:r w:rsidRPr="00DD6E6B">
              <w:rPr>
                <w:lang w:val="en-GB"/>
              </w:rPr>
              <w:t>5%)</w:t>
            </w:r>
            <w:r w:rsidR="00D8125F" w:rsidRPr="00DD6E6B">
              <w:rPr>
                <w:lang w:val="en-GB"/>
              </w:rPr>
              <w:t xml:space="preserve"> were placed behind Hungary with a considerable distance. The consumer prices were growing year-on-year in the whole EU, but the inflation already returned into a moderate band in some countries </w:t>
            </w:r>
            <w:r w:rsidRPr="00DD6E6B">
              <w:rPr>
                <w:lang w:val="en-GB"/>
              </w:rPr>
              <w:t>–</w:t>
            </w:r>
            <w:r w:rsidR="00D8125F" w:rsidRPr="00DD6E6B">
              <w:rPr>
                <w:lang w:val="en-GB"/>
              </w:rPr>
              <w:t xml:space="preserve"> the prices increased year-on-year by </w:t>
            </w:r>
            <w:r w:rsidRPr="00DD6E6B">
              <w:rPr>
                <w:lang w:val="en-GB"/>
              </w:rPr>
              <w:t>1</w:t>
            </w:r>
            <w:r w:rsidR="00D8125F" w:rsidRPr="00DD6E6B">
              <w:rPr>
                <w:lang w:val="en-GB"/>
              </w:rPr>
              <w:t>.</w:t>
            </w:r>
            <w:r w:rsidRPr="00DD6E6B">
              <w:rPr>
                <w:lang w:val="en-GB"/>
              </w:rPr>
              <w:t>9%</w:t>
            </w:r>
            <w:r w:rsidR="00D8125F" w:rsidRPr="00DD6E6B">
              <w:rPr>
                <w:lang w:val="en-GB"/>
              </w:rPr>
              <w:t xml:space="preserve"> in Luxembourg</w:t>
            </w:r>
            <w:r w:rsidRPr="00DD6E6B">
              <w:rPr>
                <w:lang w:val="en-GB"/>
              </w:rPr>
              <w:t xml:space="preserve">, </w:t>
            </w:r>
            <w:r w:rsidR="00D8125F" w:rsidRPr="00DD6E6B">
              <w:rPr>
                <w:lang w:val="en-GB"/>
              </w:rPr>
              <w:t xml:space="preserve">by </w:t>
            </w:r>
            <w:r w:rsidRPr="00DD6E6B">
              <w:rPr>
                <w:lang w:val="en-GB"/>
              </w:rPr>
              <w:t>2</w:t>
            </w:r>
            <w:r w:rsidR="00D8125F" w:rsidRPr="00DD6E6B">
              <w:rPr>
                <w:lang w:val="en-GB"/>
              </w:rPr>
              <w:t>.</w:t>
            </w:r>
            <w:r w:rsidRPr="00DD6E6B">
              <w:rPr>
                <w:lang w:val="en-GB"/>
              </w:rPr>
              <w:t>6%</w:t>
            </w:r>
            <w:r w:rsidR="00D8125F" w:rsidRPr="00DD6E6B">
              <w:rPr>
                <w:lang w:val="en-GB"/>
              </w:rPr>
              <w:t xml:space="preserve"> in Belgium and by </w:t>
            </w:r>
            <w:r w:rsidRPr="00DD6E6B">
              <w:rPr>
                <w:lang w:val="en-GB"/>
              </w:rPr>
              <w:t>2</w:t>
            </w:r>
            <w:r w:rsidR="00D8125F" w:rsidRPr="00DD6E6B">
              <w:rPr>
                <w:lang w:val="en-GB"/>
              </w:rPr>
              <w:t>.</w:t>
            </w:r>
            <w:r w:rsidRPr="00DD6E6B">
              <w:rPr>
                <w:lang w:val="en-GB"/>
              </w:rPr>
              <w:t>8%</w:t>
            </w:r>
            <w:r w:rsidR="00D8125F" w:rsidRPr="00DD6E6B">
              <w:rPr>
                <w:lang w:val="en-GB"/>
              </w:rPr>
              <w:t xml:space="preserve"> in Spain</w:t>
            </w:r>
            <w:r w:rsidRPr="00DD6E6B">
              <w:rPr>
                <w:lang w:val="en-GB"/>
              </w:rPr>
              <w:t xml:space="preserve">. </w:t>
            </w:r>
            <w:r w:rsidR="00AE1767" w:rsidRPr="00DD6E6B">
              <w:rPr>
                <w:lang w:val="en-GB"/>
              </w:rPr>
              <w:t>Quarter-on-quarter, the consumer prices increased by 1.6% in the EU in Q</w:t>
            </w:r>
            <w:r w:rsidRPr="00DD6E6B">
              <w:rPr>
                <w:lang w:val="en-GB"/>
              </w:rPr>
              <w:t>2. </w:t>
            </w:r>
            <w:r w:rsidR="0022144F" w:rsidRPr="00DD6E6B">
              <w:rPr>
                <w:lang w:val="en-GB"/>
              </w:rPr>
              <w:t xml:space="preserve">Prices in Malta </w:t>
            </w:r>
            <w:r w:rsidRPr="00DD6E6B">
              <w:rPr>
                <w:lang w:val="en-GB"/>
              </w:rPr>
              <w:t>(6</w:t>
            </w:r>
            <w:r w:rsidR="0022144F" w:rsidRPr="00DD6E6B">
              <w:rPr>
                <w:lang w:val="en-GB"/>
              </w:rPr>
              <w:t>.</w:t>
            </w:r>
            <w:r w:rsidRPr="00DD6E6B">
              <w:rPr>
                <w:lang w:val="en-GB"/>
              </w:rPr>
              <w:t>0%),</w:t>
            </w:r>
            <w:r w:rsidR="0022144F" w:rsidRPr="00DD6E6B">
              <w:rPr>
                <w:lang w:val="en-GB"/>
              </w:rPr>
              <w:t xml:space="preserve"> Estonia </w:t>
            </w:r>
            <w:r w:rsidRPr="00DD6E6B">
              <w:rPr>
                <w:lang w:val="en-GB"/>
              </w:rPr>
              <w:t>(2</w:t>
            </w:r>
            <w:r w:rsidR="0022144F" w:rsidRPr="00DD6E6B">
              <w:rPr>
                <w:lang w:val="en-GB"/>
              </w:rPr>
              <w:t>.</w:t>
            </w:r>
            <w:r w:rsidRPr="00DD6E6B">
              <w:rPr>
                <w:lang w:val="en-GB"/>
              </w:rPr>
              <w:t>9%) a</w:t>
            </w:r>
            <w:r w:rsidR="0022144F" w:rsidRPr="00DD6E6B">
              <w:rPr>
                <w:lang w:val="en-GB"/>
              </w:rPr>
              <w:t xml:space="preserve">nd Greece </w:t>
            </w:r>
            <w:r w:rsidRPr="00DD6E6B">
              <w:rPr>
                <w:lang w:val="en-GB"/>
              </w:rPr>
              <w:t>(2</w:t>
            </w:r>
            <w:r w:rsidR="0022144F" w:rsidRPr="00DD6E6B">
              <w:rPr>
                <w:lang w:val="en-GB"/>
              </w:rPr>
              <w:t>.</w:t>
            </w:r>
            <w:r w:rsidRPr="00DD6E6B">
              <w:rPr>
                <w:lang w:val="en-GB"/>
              </w:rPr>
              <w:t>9%)</w:t>
            </w:r>
            <w:r w:rsidR="0022144F" w:rsidRPr="00DD6E6B">
              <w:rPr>
                <w:lang w:val="en-GB"/>
              </w:rPr>
              <w:t xml:space="preserve"> f</w:t>
            </w:r>
            <w:r w:rsidR="00A375ED">
              <w:rPr>
                <w:lang w:val="en-GB"/>
              </w:rPr>
              <w:t>eatured the largest </w:t>
            </w:r>
            <w:r w:rsidR="0022144F" w:rsidRPr="00DD6E6B">
              <w:rPr>
                <w:lang w:val="en-GB"/>
              </w:rPr>
              <w:t>quarter-on-quarter increase</w:t>
            </w:r>
            <w:r w:rsidRPr="00DD6E6B">
              <w:rPr>
                <w:lang w:val="en-GB"/>
              </w:rPr>
              <w:t>.</w:t>
            </w:r>
            <w:r w:rsidR="0022144F" w:rsidRPr="00DD6E6B">
              <w:rPr>
                <w:lang w:val="en-GB"/>
              </w:rPr>
              <w:t xml:space="preserve"> Consumer prices fell quarter-on-quarter in Belgium </w:t>
            </w:r>
            <w:r w:rsidR="00A375ED">
              <w:rPr>
                <w:lang w:val="en-GB"/>
              </w:rPr>
              <w:t>(</w:t>
            </w:r>
            <w:r w:rsidR="00A375ED">
              <w:rPr>
                <w:color w:val="000000"/>
                <w:shd w:val="clear" w:color="auto" w:fill="FFFFFF"/>
              </w:rPr>
              <w:t>–</w:t>
            </w:r>
            <w:r w:rsidRPr="00DD6E6B">
              <w:rPr>
                <w:lang w:val="en-GB"/>
              </w:rPr>
              <w:t>0</w:t>
            </w:r>
            <w:r w:rsidR="0022144F" w:rsidRPr="00DD6E6B">
              <w:rPr>
                <w:lang w:val="en-GB"/>
              </w:rPr>
              <w:t>.</w:t>
            </w:r>
            <w:r w:rsidRPr="00DD6E6B">
              <w:rPr>
                <w:lang w:val="en-GB"/>
              </w:rPr>
              <w:t>9%) a</w:t>
            </w:r>
            <w:r w:rsidR="0022144F" w:rsidRPr="00DD6E6B">
              <w:rPr>
                <w:lang w:val="en-GB"/>
              </w:rPr>
              <w:t xml:space="preserve">nd Denmark </w:t>
            </w:r>
            <w:r w:rsidR="00A375ED">
              <w:rPr>
                <w:lang w:val="en-GB"/>
              </w:rPr>
              <w:t>(</w:t>
            </w:r>
            <w:r w:rsidR="00A375ED">
              <w:rPr>
                <w:color w:val="000000"/>
                <w:shd w:val="clear" w:color="auto" w:fill="FFFFFF"/>
              </w:rPr>
              <w:t>–</w:t>
            </w:r>
            <w:r w:rsidRPr="00DD6E6B">
              <w:rPr>
                <w:lang w:val="en-GB"/>
              </w:rPr>
              <w:t>0</w:t>
            </w:r>
            <w:r w:rsidR="0022144F" w:rsidRPr="00DD6E6B">
              <w:rPr>
                <w:lang w:val="en-GB"/>
              </w:rPr>
              <w:t>.</w:t>
            </w:r>
            <w:r w:rsidRPr="00DD6E6B">
              <w:rPr>
                <w:lang w:val="en-GB"/>
              </w:rPr>
              <w:t>5%).</w:t>
            </w:r>
          </w:p>
        </w:tc>
      </w:tr>
      <w:tr w:rsidR="00C6020C" w:rsidRPr="00DD6E6B" w14:paraId="31A69CB7" w14:textId="77777777" w:rsidTr="006849F8">
        <w:trPr>
          <w:trHeight w:val="170"/>
        </w:trPr>
        <w:tc>
          <w:tcPr>
            <w:tcW w:w="1804" w:type="dxa"/>
            <w:vMerge w:val="restart"/>
            <w:shd w:val="clear" w:color="auto" w:fill="auto"/>
            <w:tcMar>
              <w:left w:w="0" w:type="dxa"/>
            </w:tcMar>
          </w:tcPr>
          <w:p w14:paraId="3938AEFB" w14:textId="77777777" w:rsidR="00C6020C" w:rsidRPr="00DD6E6B" w:rsidRDefault="00C6020C" w:rsidP="006849F8">
            <w:pPr>
              <w:pStyle w:val="Marginlie"/>
              <w:rPr>
                <w:spacing w:val="0"/>
                <w:lang w:val="en-GB"/>
              </w:rPr>
            </w:pPr>
          </w:p>
        </w:tc>
        <w:tc>
          <w:tcPr>
            <w:tcW w:w="224" w:type="dxa"/>
            <w:vMerge w:val="restart"/>
            <w:shd w:val="clear" w:color="auto" w:fill="auto"/>
            <w:tcMar>
              <w:left w:w="0" w:type="dxa"/>
            </w:tcMar>
          </w:tcPr>
          <w:p w14:paraId="4E9DB26B"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12D2878B" w14:textId="36993966" w:rsidR="00C6020C" w:rsidRPr="00DD6E6B" w:rsidRDefault="00BA0986" w:rsidP="006849F8">
            <w:pPr>
              <w:spacing w:after="0"/>
              <w:rPr>
                <w:lang w:val="en-GB"/>
              </w:rPr>
            </w:pPr>
            <w:r w:rsidRPr="00DD6E6B">
              <w:rPr>
                <w:b/>
                <w:sz w:val="18"/>
                <w:szCs w:val="18"/>
                <w:lang w:val="en-GB" w:eastAsia="en-US"/>
              </w:rPr>
              <w:t xml:space="preserve">Chart </w:t>
            </w:r>
            <w:r w:rsidR="00FA2C07" w:rsidRPr="00DD6E6B">
              <w:rPr>
                <w:b/>
                <w:sz w:val="18"/>
                <w:szCs w:val="18"/>
                <w:lang w:val="en-GB" w:eastAsia="en-US"/>
              </w:rPr>
              <w:t>11</w:t>
            </w:r>
            <w:r w:rsidR="00C6020C" w:rsidRPr="00DD6E6B">
              <w:rPr>
                <w:b/>
                <w:sz w:val="18"/>
                <w:szCs w:val="18"/>
                <w:lang w:val="en-GB" w:eastAsia="en-US"/>
              </w:rPr>
              <w:t xml:space="preserve"> </w:t>
            </w:r>
            <w:r w:rsidR="00570A34" w:rsidRPr="00DD6E6B">
              <w:rPr>
                <w:b/>
                <w:sz w:val="18"/>
                <w:szCs w:val="18"/>
                <w:lang w:val="en-GB" w:eastAsia="en-US"/>
              </w:rPr>
              <w:t xml:space="preserve">Prices of real estate </w:t>
            </w:r>
            <w:r w:rsidR="00C6020C" w:rsidRPr="00DD6E6B">
              <w:rPr>
                <w:sz w:val="18"/>
                <w:szCs w:val="18"/>
                <w:lang w:val="en-GB" w:eastAsia="en-US"/>
              </w:rPr>
              <w:t>(</w:t>
            </w:r>
            <w:r w:rsidR="003D1E2E" w:rsidRPr="00DD6E6B">
              <w:rPr>
                <w:sz w:val="18"/>
                <w:szCs w:val="18"/>
                <w:lang w:val="en-GB" w:eastAsia="en-US"/>
              </w:rPr>
              <w:t>year-on-year change</w:t>
            </w:r>
            <w:r w:rsidR="00C6020C" w:rsidRPr="00DD6E6B">
              <w:rPr>
                <w:sz w:val="18"/>
                <w:szCs w:val="18"/>
                <w:lang w:val="en-GB" w:eastAsia="en-US"/>
              </w:rPr>
              <w:t xml:space="preserve">, </w:t>
            </w:r>
            <w:r w:rsidR="003D1E2E" w:rsidRPr="00DD6E6B">
              <w:rPr>
                <w:sz w:val="18"/>
                <w:szCs w:val="18"/>
                <w:lang w:val="en-GB" w:eastAsia="en-US"/>
              </w:rPr>
              <w:t>in</w:t>
            </w:r>
            <w:r w:rsidR="00C6020C" w:rsidRPr="00DD6E6B">
              <w:rPr>
                <w:sz w:val="18"/>
                <w:szCs w:val="18"/>
                <w:lang w:val="en-GB" w:eastAsia="en-US"/>
              </w:rPr>
              <w:t> %)</w:t>
            </w:r>
          </w:p>
        </w:tc>
      </w:tr>
      <w:tr w:rsidR="00C6020C" w:rsidRPr="00DD6E6B" w14:paraId="3FC1D8F4" w14:textId="77777777" w:rsidTr="00201CB1">
        <w:tblPrEx>
          <w:tblCellMar>
            <w:left w:w="70" w:type="dxa"/>
            <w:right w:w="70" w:type="dxa"/>
          </w:tblCellMar>
        </w:tblPrEx>
        <w:trPr>
          <w:trHeight w:val="170"/>
        </w:trPr>
        <w:tc>
          <w:tcPr>
            <w:tcW w:w="1804" w:type="dxa"/>
            <w:vMerge/>
          </w:tcPr>
          <w:p w14:paraId="5FD6DB51" w14:textId="77777777" w:rsidR="00C6020C" w:rsidRPr="00DD6E6B" w:rsidRDefault="00C6020C" w:rsidP="006849F8">
            <w:pPr>
              <w:pStyle w:val="Marginlie"/>
              <w:rPr>
                <w:spacing w:val="0"/>
                <w:lang w:val="en-GB"/>
              </w:rPr>
            </w:pPr>
          </w:p>
        </w:tc>
        <w:tc>
          <w:tcPr>
            <w:tcW w:w="224" w:type="dxa"/>
            <w:vMerge/>
          </w:tcPr>
          <w:p w14:paraId="50A88D2A" w14:textId="77777777" w:rsidR="00C6020C" w:rsidRPr="00DD6E6B" w:rsidRDefault="00C6020C" w:rsidP="006849F8">
            <w:pPr>
              <w:pStyle w:val="Textpoznpodarou1"/>
              <w:jc w:val="both"/>
              <w:rPr>
                <w:lang w:val="en-GB"/>
              </w:rPr>
            </w:pPr>
          </w:p>
        </w:tc>
        <w:tc>
          <w:tcPr>
            <w:tcW w:w="7611" w:type="dxa"/>
            <w:shd w:val="clear" w:color="auto" w:fill="auto"/>
          </w:tcPr>
          <w:p w14:paraId="6D3C5CD2" w14:textId="79C85CB9" w:rsidR="00C6020C" w:rsidRPr="00DD6E6B" w:rsidRDefault="00201CB1" w:rsidP="006849F8">
            <w:pPr>
              <w:spacing w:after="0"/>
              <w:rPr>
                <w:lang w:val="en-GB"/>
              </w:rPr>
            </w:pPr>
            <w:r>
              <w:rPr>
                <w:noProof/>
              </w:rPr>
              <w:drawing>
                <wp:inline distT="0" distB="0" distL="0" distR="0" wp14:anchorId="169A28EF" wp14:editId="332118E4">
                  <wp:extent cx="4734425" cy="3378575"/>
                  <wp:effectExtent l="0" t="0" r="0" b="0"/>
                  <wp:docPr id="481890195" name="Graf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6020C" w:rsidRPr="00DD6E6B" w14:paraId="55D94CF1" w14:textId="77777777" w:rsidTr="006849F8">
        <w:trPr>
          <w:trHeight w:val="170"/>
        </w:trPr>
        <w:tc>
          <w:tcPr>
            <w:tcW w:w="1804" w:type="dxa"/>
            <w:vMerge/>
            <w:tcMar>
              <w:left w:w="0" w:type="dxa"/>
            </w:tcMar>
          </w:tcPr>
          <w:p w14:paraId="0AACDB71" w14:textId="77777777" w:rsidR="00C6020C" w:rsidRPr="00DD6E6B" w:rsidRDefault="00C6020C" w:rsidP="006849F8">
            <w:pPr>
              <w:pStyle w:val="Marginlie"/>
              <w:rPr>
                <w:spacing w:val="0"/>
                <w:lang w:val="en-GB"/>
              </w:rPr>
            </w:pPr>
          </w:p>
        </w:tc>
        <w:tc>
          <w:tcPr>
            <w:tcW w:w="224" w:type="dxa"/>
            <w:vMerge/>
            <w:tcMar>
              <w:left w:w="0" w:type="dxa"/>
            </w:tcMar>
          </w:tcPr>
          <w:p w14:paraId="246B2684"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3DB14CBA" w14:textId="3D7DFAFD" w:rsidR="00D55602" w:rsidRPr="00DD6E6B" w:rsidRDefault="00BA0986" w:rsidP="00201CB1">
            <w:pPr>
              <w:rPr>
                <w:b/>
                <w:bCs/>
                <w:sz w:val="16"/>
                <w:szCs w:val="16"/>
                <w:lang w:val="en-GB"/>
              </w:rPr>
            </w:pPr>
            <w:r w:rsidRPr="00DD6E6B">
              <w:rPr>
                <w:sz w:val="14"/>
                <w:szCs w:val="14"/>
                <w:lang w:val="en-GB"/>
              </w:rPr>
              <w:t>Source</w:t>
            </w:r>
            <w:r w:rsidR="00C6020C" w:rsidRPr="00DD6E6B">
              <w:rPr>
                <w:sz w:val="14"/>
                <w:szCs w:val="14"/>
                <w:lang w:val="en-GB"/>
              </w:rPr>
              <w:t xml:space="preserve">: </w:t>
            </w:r>
            <w:r w:rsidRPr="00DD6E6B">
              <w:rPr>
                <w:sz w:val="14"/>
                <w:szCs w:val="14"/>
                <w:lang w:val="en-GB"/>
              </w:rPr>
              <w:t>CZSO</w:t>
            </w:r>
          </w:p>
        </w:tc>
      </w:tr>
      <w:tr w:rsidR="00C6020C" w:rsidRPr="00DD6E6B" w14:paraId="74C137B9" w14:textId="77777777" w:rsidTr="006849F8">
        <w:trPr>
          <w:trHeight w:val="145"/>
        </w:trPr>
        <w:tc>
          <w:tcPr>
            <w:tcW w:w="1804" w:type="dxa"/>
            <w:shd w:val="clear" w:color="auto" w:fill="auto"/>
            <w:tcMar>
              <w:left w:w="0" w:type="dxa"/>
            </w:tcMar>
          </w:tcPr>
          <w:p w14:paraId="0C699D6F" w14:textId="6486D4AA" w:rsidR="00C6020C" w:rsidRPr="00DD6E6B" w:rsidRDefault="006E7275" w:rsidP="006849F8">
            <w:pPr>
              <w:pStyle w:val="Marginlie"/>
              <w:rPr>
                <w:spacing w:val="0"/>
                <w:lang w:val="en-GB"/>
              </w:rPr>
            </w:pPr>
            <w:r w:rsidRPr="00DD6E6B">
              <w:rPr>
                <w:spacing w:val="0"/>
                <w:lang w:val="en-GB"/>
              </w:rPr>
              <w:t xml:space="preserve">Catalogue prices of flats went down year-on-year. </w:t>
            </w:r>
          </w:p>
        </w:tc>
        <w:tc>
          <w:tcPr>
            <w:tcW w:w="224" w:type="dxa"/>
            <w:shd w:val="clear" w:color="auto" w:fill="auto"/>
            <w:tcMar>
              <w:left w:w="0" w:type="dxa"/>
            </w:tcMar>
          </w:tcPr>
          <w:p w14:paraId="4AC963AC"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2B0187BD" w14:textId="5A4803AC" w:rsidR="00C6020C" w:rsidRPr="00DD6E6B" w:rsidRDefault="00B05BB6" w:rsidP="006849F8">
            <w:pPr>
              <w:rPr>
                <w:lang w:val="en-GB"/>
              </w:rPr>
            </w:pPr>
            <w:r w:rsidRPr="00DD6E6B">
              <w:rPr>
                <w:lang w:val="en-GB"/>
              </w:rPr>
              <w:t>Catalogue prices of flats peaked at the end of the last year and two quarter-on-quarter decreases occurred in both Q</w:t>
            </w:r>
            <w:r w:rsidR="00C6020C" w:rsidRPr="00DD6E6B">
              <w:rPr>
                <w:lang w:val="en-GB"/>
              </w:rPr>
              <w:t>1</w:t>
            </w:r>
            <w:r w:rsidRPr="00DD6E6B">
              <w:rPr>
                <w:lang w:val="en-GB"/>
              </w:rPr>
              <w:t xml:space="preserve"> and </w:t>
            </w:r>
            <w:r w:rsidR="00636DDD">
              <w:rPr>
                <w:lang w:val="en-GB"/>
              </w:rPr>
              <w:t>Q</w:t>
            </w:r>
            <w:r w:rsidR="00C6020C" w:rsidRPr="00DD6E6B">
              <w:rPr>
                <w:lang w:val="en-GB"/>
              </w:rPr>
              <w:t>2</w:t>
            </w:r>
            <w:r w:rsidRPr="00DD6E6B">
              <w:rPr>
                <w:lang w:val="en-GB"/>
              </w:rPr>
              <w:t xml:space="preserve"> </w:t>
            </w:r>
            <w:r w:rsidR="00636DDD">
              <w:rPr>
                <w:lang w:val="en-GB"/>
              </w:rPr>
              <w:t xml:space="preserve">of </w:t>
            </w:r>
            <w:r w:rsidR="00C6020C" w:rsidRPr="00DD6E6B">
              <w:rPr>
                <w:lang w:val="en-GB"/>
              </w:rPr>
              <w:t>2023</w:t>
            </w:r>
            <w:r w:rsidRPr="00DD6E6B">
              <w:rPr>
                <w:lang w:val="en-GB"/>
              </w:rPr>
              <w:t xml:space="preserve"> </w:t>
            </w:r>
            <w:r w:rsidR="004734C8">
              <w:rPr>
                <w:lang w:val="en-GB"/>
              </w:rPr>
              <w:t>(</w:t>
            </w:r>
            <w:r w:rsidR="004734C8">
              <w:rPr>
                <w:color w:val="000000"/>
                <w:shd w:val="clear" w:color="auto" w:fill="FFFFFF"/>
              </w:rPr>
              <w:t>–</w:t>
            </w:r>
            <w:r w:rsidR="00C6020C" w:rsidRPr="00DD6E6B">
              <w:rPr>
                <w:lang w:val="en-GB"/>
              </w:rPr>
              <w:t>1</w:t>
            </w:r>
            <w:r w:rsidRPr="00DD6E6B">
              <w:rPr>
                <w:lang w:val="en-GB"/>
              </w:rPr>
              <w:t>.</w:t>
            </w:r>
            <w:r w:rsidR="00C6020C" w:rsidRPr="00DD6E6B">
              <w:rPr>
                <w:lang w:val="en-GB"/>
              </w:rPr>
              <w:t>9% a</w:t>
            </w:r>
            <w:r w:rsidRPr="00DD6E6B">
              <w:rPr>
                <w:lang w:val="en-GB"/>
              </w:rPr>
              <w:t>nd</w:t>
            </w:r>
            <w:r w:rsidR="004734C8">
              <w:rPr>
                <w:lang w:val="en-GB"/>
              </w:rPr>
              <w:t xml:space="preserve"> </w:t>
            </w:r>
            <w:r w:rsidR="004734C8">
              <w:rPr>
                <w:color w:val="000000"/>
                <w:shd w:val="clear" w:color="auto" w:fill="FFFFFF"/>
              </w:rPr>
              <w:t>–</w:t>
            </w:r>
            <w:r w:rsidR="00C6020C" w:rsidRPr="00DD6E6B">
              <w:rPr>
                <w:lang w:val="en-GB"/>
              </w:rPr>
              <w:t>1</w:t>
            </w:r>
            <w:r w:rsidRPr="00DD6E6B">
              <w:rPr>
                <w:lang w:val="en-GB"/>
              </w:rPr>
              <w:t>.</w:t>
            </w:r>
            <w:r w:rsidR="00C6020C" w:rsidRPr="00DD6E6B">
              <w:rPr>
                <w:lang w:val="en-GB"/>
              </w:rPr>
              <w:t xml:space="preserve">7%). </w:t>
            </w:r>
            <w:r w:rsidR="00260887" w:rsidRPr="00DD6E6B">
              <w:rPr>
                <w:lang w:val="en-GB"/>
              </w:rPr>
              <w:t>The catalogue prices fell year-on-year in Q</w:t>
            </w:r>
            <w:r w:rsidR="00C6020C" w:rsidRPr="00DD6E6B">
              <w:rPr>
                <w:lang w:val="en-GB"/>
              </w:rPr>
              <w:t>2</w:t>
            </w:r>
            <w:r w:rsidR="00260887" w:rsidRPr="00DD6E6B">
              <w:rPr>
                <w:lang w:val="en-GB"/>
              </w:rPr>
              <w:t xml:space="preserve"> for the first time since Q</w:t>
            </w:r>
            <w:r w:rsidR="00C6020C" w:rsidRPr="00DD6E6B">
              <w:rPr>
                <w:lang w:val="en-GB"/>
              </w:rPr>
              <w:t>2</w:t>
            </w:r>
            <w:r w:rsidR="00260887" w:rsidRPr="00DD6E6B">
              <w:rPr>
                <w:lang w:val="en-GB"/>
              </w:rPr>
              <w:t xml:space="preserve"> </w:t>
            </w:r>
            <w:r w:rsidR="00C6020C" w:rsidRPr="00DD6E6B">
              <w:rPr>
                <w:lang w:val="en-GB"/>
              </w:rPr>
              <w:t>2013,</w:t>
            </w:r>
            <w:r w:rsidR="00260887" w:rsidRPr="00DD6E6B">
              <w:rPr>
                <w:lang w:val="en-GB"/>
              </w:rPr>
              <w:t xml:space="preserve"> specifically by </w:t>
            </w:r>
            <w:r w:rsidR="00C6020C" w:rsidRPr="00DD6E6B">
              <w:rPr>
                <w:lang w:val="en-GB"/>
              </w:rPr>
              <w:t>0</w:t>
            </w:r>
            <w:r w:rsidR="00260887" w:rsidRPr="00DD6E6B">
              <w:rPr>
                <w:lang w:val="en-GB"/>
              </w:rPr>
              <w:t>.</w:t>
            </w:r>
            <w:r w:rsidR="00C6020C" w:rsidRPr="00DD6E6B">
              <w:rPr>
                <w:lang w:val="en-GB"/>
              </w:rPr>
              <w:t xml:space="preserve">7%. </w:t>
            </w:r>
            <w:r w:rsidR="00CF3B83" w:rsidRPr="00DD6E6B">
              <w:rPr>
                <w:lang w:val="en-GB"/>
              </w:rPr>
              <w:t xml:space="preserve">The decrease </w:t>
            </w:r>
            <w:r w:rsidR="00260887" w:rsidRPr="00DD6E6B">
              <w:rPr>
                <w:lang w:val="en-GB"/>
              </w:rPr>
              <w:t xml:space="preserve">related mainly to flats in the CR outside of Prague year-on-year </w:t>
            </w:r>
            <w:r w:rsidR="004734C8">
              <w:rPr>
                <w:lang w:val="en-GB"/>
              </w:rPr>
              <w:t>(</w:t>
            </w:r>
            <w:r w:rsidR="004734C8">
              <w:rPr>
                <w:color w:val="000000"/>
                <w:shd w:val="clear" w:color="auto" w:fill="FFFFFF"/>
              </w:rPr>
              <w:t>–</w:t>
            </w:r>
            <w:r w:rsidR="00C6020C" w:rsidRPr="00DD6E6B">
              <w:rPr>
                <w:lang w:val="en-GB"/>
              </w:rPr>
              <w:t>1</w:t>
            </w:r>
            <w:r w:rsidR="00260887" w:rsidRPr="00DD6E6B">
              <w:rPr>
                <w:lang w:val="en-GB"/>
              </w:rPr>
              <w:t>.</w:t>
            </w:r>
            <w:r w:rsidR="00C6020C" w:rsidRPr="00DD6E6B">
              <w:rPr>
                <w:lang w:val="en-GB"/>
              </w:rPr>
              <w:t xml:space="preserve">8%), </w:t>
            </w:r>
            <w:r w:rsidR="00D25FDC" w:rsidRPr="00DD6E6B">
              <w:rPr>
                <w:lang w:val="en-GB"/>
              </w:rPr>
              <w:t xml:space="preserve">the catalogue prices in Prague were still by </w:t>
            </w:r>
            <w:r w:rsidR="00C6020C" w:rsidRPr="00DD6E6B">
              <w:rPr>
                <w:lang w:val="en-GB"/>
              </w:rPr>
              <w:t>0</w:t>
            </w:r>
            <w:r w:rsidR="00D25FDC" w:rsidRPr="00DD6E6B">
              <w:rPr>
                <w:lang w:val="en-GB"/>
              </w:rPr>
              <w:t>.</w:t>
            </w:r>
            <w:r w:rsidR="00C6020C" w:rsidRPr="00DD6E6B">
              <w:rPr>
                <w:lang w:val="en-GB"/>
              </w:rPr>
              <w:t>3%</w:t>
            </w:r>
            <w:r w:rsidR="00D25FDC" w:rsidRPr="00DD6E6B">
              <w:rPr>
                <w:lang w:val="en-GB"/>
              </w:rPr>
              <w:t xml:space="preserve"> higher</w:t>
            </w:r>
            <w:r w:rsidR="00C6020C" w:rsidRPr="00DD6E6B">
              <w:rPr>
                <w:lang w:val="en-GB"/>
              </w:rPr>
              <w:t xml:space="preserve">. </w:t>
            </w:r>
            <w:r w:rsidR="00D25FDC" w:rsidRPr="00DD6E6B">
              <w:rPr>
                <w:lang w:val="en-GB"/>
              </w:rPr>
              <w:t xml:space="preserve">However, quarter-on-quarter the catalogue prices were falling both in Prague </w:t>
            </w:r>
            <w:r w:rsidR="004734C8">
              <w:rPr>
                <w:lang w:val="en-GB"/>
              </w:rPr>
              <w:t>(</w:t>
            </w:r>
            <w:r w:rsidR="004734C8">
              <w:rPr>
                <w:color w:val="000000"/>
                <w:shd w:val="clear" w:color="auto" w:fill="FFFFFF"/>
              </w:rPr>
              <w:t>–</w:t>
            </w:r>
            <w:r w:rsidR="00C6020C" w:rsidRPr="00DD6E6B">
              <w:rPr>
                <w:lang w:val="en-GB"/>
              </w:rPr>
              <w:t>1</w:t>
            </w:r>
            <w:r w:rsidR="00D25FDC" w:rsidRPr="00DD6E6B">
              <w:rPr>
                <w:lang w:val="en-GB"/>
              </w:rPr>
              <w:t>.</w:t>
            </w:r>
            <w:r w:rsidR="00C6020C" w:rsidRPr="00DD6E6B">
              <w:rPr>
                <w:lang w:val="en-GB"/>
              </w:rPr>
              <w:t xml:space="preserve">8%) </w:t>
            </w:r>
            <w:r w:rsidR="00D25FDC" w:rsidRPr="00DD6E6B">
              <w:rPr>
                <w:lang w:val="en-GB"/>
              </w:rPr>
              <w:t xml:space="preserve">and outside of Prague </w:t>
            </w:r>
            <w:r w:rsidR="004734C8">
              <w:rPr>
                <w:lang w:val="en-GB"/>
              </w:rPr>
              <w:t>(</w:t>
            </w:r>
            <w:r w:rsidR="004734C8">
              <w:rPr>
                <w:color w:val="000000"/>
                <w:shd w:val="clear" w:color="auto" w:fill="FFFFFF"/>
              </w:rPr>
              <w:t>–</w:t>
            </w:r>
            <w:r w:rsidR="00C6020C" w:rsidRPr="00DD6E6B">
              <w:rPr>
                <w:lang w:val="en-GB"/>
              </w:rPr>
              <w:t>1</w:t>
            </w:r>
            <w:r w:rsidR="00D25FDC" w:rsidRPr="00DD6E6B">
              <w:rPr>
                <w:lang w:val="en-GB"/>
              </w:rPr>
              <w:t>.</w:t>
            </w:r>
            <w:r w:rsidR="00C6020C" w:rsidRPr="00DD6E6B">
              <w:rPr>
                <w:lang w:val="en-GB"/>
              </w:rPr>
              <w:t xml:space="preserve">6%). </w:t>
            </w:r>
            <w:r w:rsidR="00526BE8" w:rsidRPr="00DD6E6B">
              <w:rPr>
                <w:lang w:val="en-GB"/>
              </w:rPr>
              <w:t xml:space="preserve">The dynamics of realised prices of older flats slows down even faster than the catalogue prices, </w:t>
            </w:r>
            <w:r w:rsidR="006576BB" w:rsidRPr="00DD6E6B">
              <w:rPr>
                <w:lang w:val="en-GB"/>
              </w:rPr>
              <w:t xml:space="preserve">which practically proves the cooling on the real estate market. Realised prices </w:t>
            </w:r>
            <w:r w:rsidR="006576BB" w:rsidRPr="00DD6E6B">
              <w:rPr>
                <w:lang w:val="en-GB"/>
              </w:rPr>
              <w:lastRenderedPageBreak/>
              <w:t xml:space="preserve">of older flats fell quarter-on-quarter for the third time in a row </w:t>
            </w:r>
            <w:r w:rsidR="004734C8">
              <w:rPr>
                <w:lang w:val="en-GB"/>
              </w:rPr>
              <w:t>(</w:t>
            </w:r>
            <w:r w:rsidR="004734C8">
              <w:rPr>
                <w:color w:val="000000"/>
                <w:shd w:val="clear" w:color="auto" w:fill="FFFFFF"/>
              </w:rPr>
              <w:t>–</w:t>
            </w:r>
            <w:r w:rsidR="00C6020C" w:rsidRPr="00DD6E6B">
              <w:rPr>
                <w:lang w:val="en-GB"/>
              </w:rPr>
              <w:t>2</w:t>
            </w:r>
            <w:r w:rsidR="006576BB" w:rsidRPr="00DD6E6B">
              <w:rPr>
                <w:lang w:val="en-GB"/>
              </w:rPr>
              <w:t>.</w:t>
            </w:r>
            <w:r w:rsidR="00C6020C" w:rsidRPr="00DD6E6B">
              <w:rPr>
                <w:lang w:val="en-GB"/>
              </w:rPr>
              <w:t>6%)</w:t>
            </w:r>
            <w:r w:rsidR="006576BB" w:rsidRPr="00DD6E6B">
              <w:rPr>
                <w:lang w:val="en-GB"/>
              </w:rPr>
              <w:t xml:space="preserve"> in the CR in Q2</w:t>
            </w:r>
            <w:r w:rsidR="00C6020C" w:rsidRPr="00DD6E6B">
              <w:rPr>
                <w:lang w:val="en-GB"/>
              </w:rPr>
              <w:t xml:space="preserve">. </w:t>
            </w:r>
            <w:r w:rsidR="006B0402" w:rsidRPr="00DD6E6B">
              <w:rPr>
                <w:lang w:val="en-GB"/>
              </w:rPr>
              <w:t>They were by 4.</w:t>
            </w:r>
            <w:r w:rsidR="00C6020C" w:rsidRPr="00DD6E6B">
              <w:rPr>
                <w:lang w:val="en-GB"/>
              </w:rPr>
              <w:t>1%</w:t>
            </w:r>
            <w:r w:rsidR="006B0402" w:rsidRPr="00DD6E6B">
              <w:rPr>
                <w:lang w:val="en-GB"/>
              </w:rPr>
              <w:t xml:space="preserve"> lower compared to the same period of the last year</w:t>
            </w:r>
            <w:r w:rsidR="00C6020C" w:rsidRPr="00DD6E6B">
              <w:rPr>
                <w:lang w:val="en-GB"/>
              </w:rPr>
              <w:t xml:space="preserve">, </w:t>
            </w:r>
            <w:r w:rsidR="006B0402" w:rsidRPr="00DD6E6B">
              <w:rPr>
                <w:lang w:val="en-GB"/>
              </w:rPr>
              <w:t>for the first time since Q</w:t>
            </w:r>
            <w:r w:rsidR="00C6020C" w:rsidRPr="00DD6E6B">
              <w:rPr>
                <w:lang w:val="en-GB"/>
              </w:rPr>
              <w:t>4</w:t>
            </w:r>
            <w:r w:rsidR="006B0402" w:rsidRPr="00DD6E6B">
              <w:rPr>
                <w:lang w:val="en-GB"/>
              </w:rPr>
              <w:t xml:space="preserve"> </w:t>
            </w:r>
            <w:r w:rsidR="00C6020C" w:rsidRPr="00DD6E6B">
              <w:rPr>
                <w:lang w:val="en-GB"/>
              </w:rPr>
              <w:t xml:space="preserve">2013. </w:t>
            </w:r>
            <w:r w:rsidR="00526BE8" w:rsidRPr="00DD6E6B">
              <w:rPr>
                <w:lang w:val="en-GB"/>
              </w:rPr>
              <w:t xml:space="preserve">At the same time the realised prices of older flats in Prague fell by </w:t>
            </w:r>
            <w:r w:rsidR="00C6020C" w:rsidRPr="00DD6E6B">
              <w:rPr>
                <w:lang w:val="en-GB"/>
              </w:rPr>
              <w:t>3</w:t>
            </w:r>
            <w:r w:rsidR="00526BE8" w:rsidRPr="00DD6E6B">
              <w:rPr>
                <w:lang w:val="en-GB"/>
              </w:rPr>
              <w:t>.</w:t>
            </w:r>
            <w:r w:rsidR="00C6020C" w:rsidRPr="00DD6E6B">
              <w:rPr>
                <w:lang w:val="en-GB"/>
              </w:rPr>
              <w:t>6%</w:t>
            </w:r>
            <w:r w:rsidR="00526BE8" w:rsidRPr="00DD6E6B">
              <w:rPr>
                <w:lang w:val="en-GB"/>
              </w:rPr>
              <w:t xml:space="preserve"> year-on-year and by </w:t>
            </w:r>
            <w:r w:rsidR="00C6020C" w:rsidRPr="00DD6E6B">
              <w:rPr>
                <w:lang w:val="en-GB"/>
              </w:rPr>
              <w:t>4</w:t>
            </w:r>
            <w:r w:rsidR="00526BE8" w:rsidRPr="00DD6E6B">
              <w:rPr>
                <w:lang w:val="en-GB"/>
              </w:rPr>
              <w:t>.</w:t>
            </w:r>
            <w:r w:rsidR="00C6020C" w:rsidRPr="00DD6E6B">
              <w:rPr>
                <w:lang w:val="en-GB"/>
              </w:rPr>
              <w:t>2%</w:t>
            </w:r>
            <w:r w:rsidR="00526BE8" w:rsidRPr="00DD6E6B">
              <w:rPr>
                <w:lang w:val="en-GB"/>
              </w:rPr>
              <w:t xml:space="preserve"> outside of Prague</w:t>
            </w:r>
            <w:r w:rsidR="00C6020C" w:rsidRPr="00DD6E6B">
              <w:rPr>
                <w:lang w:val="en-GB"/>
              </w:rPr>
              <w:t xml:space="preserve">. </w:t>
            </w:r>
            <w:r w:rsidR="00526BE8" w:rsidRPr="00DD6E6B">
              <w:rPr>
                <w:lang w:val="en-GB"/>
              </w:rPr>
              <w:t xml:space="preserve">The realised prices of new flats in Prague </w:t>
            </w:r>
            <w:r w:rsidR="00F53757" w:rsidRPr="00DD6E6B">
              <w:rPr>
                <w:lang w:val="en-GB"/>
              </w:rPr>
              <w:t xml:space="preserve">also deeply dived </w:t>
            </w:r>
            <w:r w:rsidR="00526BE8" w:rsidRPr="00DD6E6B">
              <w:rPr>
                <w:lang w:val="en-GB"/>
              </w:rPr>
              <w:t xml:space="preserve">for </w:t>
            </w:r>
            <w:r w:rsidR="00F53757" w:rsidRPr="00DD6E6B">
              <w:rPr>
                <w:lang w:val="en-GB"/>
              </w:rPr>
              <w:t>the second time in a row</w:t>
            </w:r>
            <w:r w:rsidR="00526BE8" w:rsidRPr="00DD6E6B">
              <w:rPr>
                <w:lang w:val="en-GB"/>
              </w:rPr>
              <w:t xml:space="preserve"> year-on-year</w:t>
            </w:r>
            <w:r w:rsidR="004734C8">
              <w:rPr>
                <w:lang w:val="en-GB"/>
              </w:rPr>
              <w:t xml:space="preserve"> (</w:t>
            </w:r>
            <w:r w:rsidR="004734C8">
              <w:rPr>
                <w:color w:val="000000"/>
                <w:shd w:val="clear" w:color="auto" w:fill="FFFFFF"/>
              </w:rPr>
              <w:t>–</w:t>
            </w:r>
            <w:r w:rsidR="00C6020C" w:rsidRPr="00DD6E6B">
              <w:rPr>
                <w:lang w:val="en-GB"/>
              </w:rPr>
              <w:t>6</w:t>
            </w:r>
            <w:r w:rsidR="00F53757" w:rsidRPr="00DD6E6B">
              <w:rPr>
                <w:lang w:val="en-GB"/>
              </w:rPr>
              <w:t>.</w:t>
            </w:r>
            <w:r w:rsidR="00C6020C" w:rsidRPr="00DD6E6B">
              <w:rPr>
                <w:lang w:val="en-GB"/>
              </w:rPr>
              <w:t>9%). Reali</w:t>
            </w:r>
            <w:r w:rsidR="00526BE8" w:rsidRPr="00DD6E6B">
              <w:rPr>
                <w:lang w:val="en-GB"/>
              </w:rPr>
              <w:t xml:space="preserve">sed prices of new flats fell in Prague quarter-on-quarter for the fourth time in a row </w:t>
            </w:r>
            <w:r w:rsidR="004734C8">
              <w:rPr>
                <w:lang w:val="en-GB"/>
              </w:rPr>
              <w:t>(</w:t>
            </w:r>
            <w:r w:rsidR="004734C8">
              <w:rPr>
                <w:color w:val="000000"/>
                <w:shd w:val="clear" w:color="auto" w:fill="FFFFFF"/>
              </w:rPr>
              <w:t>–</w:t>
            </w:r>
            <w:r w:rsidR="00C6020C" w:rsidRPr="00DD6E6B">
              <w:rPr>
                <w:lang w:val="en-GB"/>
              </w:rPr>
              <w:t>0</w:t>
            </w:r>
            <w:r w:rsidR="00526BE8" w:rsidRPr="00DD6E6B">
              <w:rPr>
                <w:lang w:val="en-GB"/>
              </w:rPr>
              <w:t>.</w:t>
            </w:r>
            <w:r w:rsidR="00C6020C" w:rsidRPr="00DD6E6B">
              <w:rPr>
                <w:lang w:val="en-GB"/>
              </w:rPr>
              <w:t xml:space="preserve">5%). </w:t>
            </w:r>
          </w:p>
        </w:tc>
      </w:tr>
      <w:tr w:rsidR="00C6020C" w:rsidRPr="00DD6E6B" w14:paraId="61900E32" w14:textId="77777777" w:rsidTr="006849F8">
        <w:trPr>
          <w:trHeight w:val="145"/>
        </w:trPr>
        <w:tc>
          <w:tcPr>
            <w:tcW w:w="1804" w:type="dxa"/>
            <w:shd w:val="clear" w:color="auto" w:fill="auto"/>
            <w:tcMar>
              <w:left w:w="0" w:type="dxa"/>
            </w:tcMar>
          </w:tcPr>
          <w:p w14:paraId="33839AC9" w14:textId="7FD86C8A" w:rsidR="00C6020C" w:rsidRPr="00DD6E6B" w:rsidRDefault="008E750C" w:rsidP="006849F8">
            <w:pPr>
              <w:pStyle w:val="Marginlie"/>
              <w:rPr>
                <w:spacing w:val="0"/>
                <w:lang w:val="en-GB"/>
              </w:rPr>
            </w:pPr>
            <w:r w:rsidRPr="00DD6E6B">
              <w:rPr>
                <w:spacing w:val="0"/>
                <w:lang w:val="en-GB"/>
              </w:rPr>
              <w:lastRenderedPageBreak/>
              <w:t xml:space="preserve">Growth of prices of industrial producers markedly slowed down. </w:t>
            </w:r>
          </w:p>
        </w:tc>
        <w:tc>
          <w:tcPr>
            <w:tcW w:w="224" w:type="dxa"/>
            <w:shd w:val="clear" w:color="auto" w:fill="auto"/>
            <w:tcMar>
              <w:left w:w="0" w:type="dxa"/>
            </w:tcMar>
          </w:tcPr>
          <w:p w14:paraId="5AD5DE1F"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59B72194" w14:textId="4C05E345" w:rsidR="00C6020C" w:rsidRPr="00DD6E6B" w:rsidRDefault="00526BE8" w:rsidP="006849F8">
            <w:pPr>
              <w:rPr>
                <w:lang w:val="en-GB"/>
              </w:rPr>
            </w:pPr>
            <w:r w:rsidRPr="00DD6E6B">
              <w:rPr>
                <w:lang w:val="en-GB"/>
              </w:rPr>
              <w:t xml:space="preserve">Industrial producer prices </w:t>
            </w:r>
            <w:r w:rsidR="002344DE" w:rsidRPr="00DD6E6B">
              <w:rPr>
                <w:lang w:val="en-GB"/>
              </w:rPr>
              <w:t xml:space="preserve">went up by </w:t>
            </w:r>
            <w:r w:rsidR="00C6020C" w:rsidRPr="00DD6E6B">
              <w:rPr>
                <w:lang w:val="en-GB"/>
              </w:rPr>
              <w:t>3</w:t>
            </w:r>
            <w:r w:rsidR="002344DE" w:rsidRPr="00DD6E6B">
              <w:rPr>
                <w:lang w:val="en-GB"/>
              </w:rPr>
              <w:t>.</w:t>
            </w:r>
            <w:r w:rsidR="00C6020C" w:rsidRPr="00DD6E6B">
              <w:rPr>
                <w:lang w:val="en-GB"/>
              </w:rPr>
              <w:t>9%</w:t>
            </w:r>
            <w:r w:rsidR="002344DE" w:rsidRPr="00DD6E6B">
              <w:rPr>
                <w:lang w:val="en-GB"/>
              </w:rPr>
              <w:t xml:space="preserve"> year-on-year in Q2 2023</w:t>
            </w:r>
            <w:r w:rsidR="00C6020C" w:rsidRPr="00DD6E6B">
              <w:rPr>
                <w:lang w:val="en-GB"/>
              </w:rPr>
              <w:t xml:space="preserve">. </w:t>
            </w:r>
            <w:r w:rsidR="002344DE" w:rsidRPr="00DD6E6B">
              <w:rPr>
                <w:lang w:val="en-GB"/>
              </w:rPr>
              <w:t>The increase thus considerably slowed down in comparison to Q1. The prices of industrial producers lowered by 2.</w:t>
            </w:r>
            <w:r w:rsidR="00C6020C" w:rsidRPr="00DD6E6B">
              <w:rPr>
                <w:lang w:val="en-GB"/>
              </w:rPr>
              <w:t>6%</w:t>
            </w:r>
            <w:r w:rsidR="002344DE" w:rsidRPr="00DD6E6B">
              <w:rPr>
                <w:lang w:val="en-GB"/>
              </w:rPr>
              <w:t xml:space="preserve"> quarter-on-quarter</w:t>
            </w:r>
            <w:r w:rsidR="00C6020C" w:rsidRPr="00DD6E6B">
              <w:rPr>
                <w:lang w:val="en-GB"/>
              </w:rPr>
              <w:t xml:space="preserve">. </w:t>
            </w:r>
            <w:r w:rsidR="00CC2342" w:rsidRPr="00DD6E6B">
              <w:rPr>
                <w:lang w:val="en-GB"/>
              </w:rPr>
              <w:t xml:space="preserve">Mostly the development of prices </w:t>
            </w:r>
            <w:r w:rsidR="00636DDD">
              <w:rPr>
                <w:lang w:val="en-GB"/>
              </w:rPr>
              <w:t>m</w:t>
            </w:r>
            <w:r w:rsidR="00CC2342" w:rsidRPr="00DD6E6B">
              <w:rPr>
                <w:lang w:val="en-GB"/>
              </w:rPr>
              <w:t>anufactur</w:t>
            </w:r>
            <w:r w:rsidR="00636DDD">
              <w:rPr>
                <w:lang w:val="en-GB"/>
              </w:rPr>
              <w:t>ed products</w:t>
            </w:r>
            <w:r w:rsidR="00CC2342" w:rsidRPr="00DD6E6B">
              <w:rPr>
                <w:lang w:val="en-GB"/>
              </w:rPr>
              <w:t xml:space="preserve">, which were by </w:t>
            </w:r>
            <w:r w:rsidR="00C6020C" w:rsidRPr="00DD6E6B">
              <w:rPr>
                <w:lang w:val="en-GB"/>
              </w:rPr>
              <w:t>0</w:t>
            </w:r>
            <w:r w:rsidR="00CC2342" w:rsidRPr="00DD6E6B">
              <w:rPr>
                <w:lang w:val="en-GB"/>
              </w:rPr>
              <w:t>.</w:t>
            </w:r>
            <w:r w:rsidR="00C6020C" w:rsidRPr="00DD6E6B">
              <w:rPr>
                <w:lang w:val="en-GB"/>
              </w:rPr>
              <w:t>9%</w:t>
            </w:r>
            <w:r w:rsidR="00CC2342" w:rsidRPr="00DD6E6B">
              <w:rPr>
                <w:lang w:val="en-GB"/>
              </w:rPr>
              <w:t xml:space="preserve"> lower year-on-year</w:t>
            </w:r>
            <w:r w:rsidR="00C6020C" w:rsidRPr="00DD6E6B">
              <w:rPr>
                <w:lang w:val="en-GB"/>
              </w:rPr>
              <w:t xml:space="preserve"> (</w:t>
            </w:r>
            <w:r w:rsidR="00CC2342" w:rsidRPr="00DD6E6B">
              <w:rPr>
                <w:lang w:val="en-GB"/>
              </w:rPr>
              <w:t>the first decrease since Q</w:t>
            </w:r>
            <w:r w:rsidR="00C6020C" w:rsidRPr="00DD6E6B">
              <w:rPr>
                <w:lang w:val="en-GB"/>
              </w:rPr>
              <w:t>4</w:t>
            </w:r>
            <w:r w:rsidR="00CC2342" w:rsidRPr="00DD6E6B">
              <w:rPr>
                <w:lang w:val="en-GB"/>
              </w:rPr>
              <w:t xml:space="preserve"> </w:t>
            </w:r>
            <w:r w:rsidR="00C6020C" w:rsidRPr="00DD6E6B">
              <w:rPr>
                <w:lang w:val="en-GB"/>
              </w:rPr>
              <w:t>2020)</w:t>
            </w:r>
            <w:r w:rsidR="00CC2342" w:rsidRPr="00DD6E6B">
              <w:rPr>
                <w:lang w:val="en-GB"/>
              </w:rPr>
              <w:t xml:space="preserve"> stood behind the slowdown of the year-on-year growth</w:t>
            </w:r>
            <w:r w:rsidR="00C6020C" w:rsidRPr="00DD6E6B">
              <w:rPr>
                <w:lang w:val="en-GB"/>
              </w:rPr>
              <w:t xml:space="preserve">. </w:t>
            </w:r>
            <w:r w:rsidR="00CC2342" w:rsidRPr="00DD6E6B">
              <w:rPr>
                <w:lang w:val="en-GB"/>
              </w:rPr>
              <w:t xml:space="preserve">The high comparative basis of the last year had an impact. </w:t>
            </w:r>
            <w:r w:rsidR="000D7DC0" w:rsidRPr="00DD6E6B">
              <w:rPr>
                <w:lang w:val="en-GB"/>
              </w:rPr>
              <w:t>Mainly prices of various materials or associated products were falling year-on-year</w:t>
            </w:r>
            <w:r w:rsidR="00C6020C" w:rsidRPr="00DD6E6B">
              <w:rPr>
                <w:lang w:val="en-GB"/>
              </w:rPr>
              <w:t xml:space="preserve">, </w:t>
            </w:r>
            <w:r w:rsidR="000D7DC0" w:rsidRPr="00DD6E6B">
              <w:rPr>
                <w:lang w:val="en-GB"/>
              </w:rPr>
              <w:t xml:space="preserve">but the dynamics was decelerating for the majority of types of products. </w:t>
            </w:r>
            <w:r w:rsidR="00A245CC" w:rsidRPr="00DD6E6B">
              <w:rPr>
                <w:lang w:val="en-GB"/>
              </w:rPr>
              <w:t>The year-on-year slump of prices of coke and refined oil products</w:t>
            </w:r>
            <w:r w:rsidR="00C6020C" w:rsidRPr="00DD6E6B">
              <w:rPr>
                <w:rStyle w:val="Znakapoznpodarou"/>
                <w:lang w:val="en-GB"/>
              </w:rPr>
              <w:footnoteReference w:id="51"/>
            </w:r>
            <w:r w:rsidR="00A245CC" w:rsidRPr="00DD6E6B">
              <w:rPr>
                <w:lang w:val="en-GB"/>
              </w:rPr>
              <w:t xml:space="preserve"> had a significant effect on the prices of industrial producers</w:t>
            </w:r>
            <w:r w:rsidR="00C6020C" w:rsidRPr="00DD6E6B">
              <w:rPr>
                <w:lang w:val="en-GB"/>
              </w:rPr>
              <w:t>.</w:t>
            </w:r>
            <w:r w:rsidR="00A245CC" w:rsidRPr="00DD6E6B">
              <w:rPr>
                <w:lang w:val="en-GB"/>
              </w:rPr>
              <w:t xml:space="preserve"> Prices of chemical substances and products </w:t>
            </w:r>
            <w:r w:rsidR="00B96949">
              <w:rPr>
                <w:lang w:val="en-GB"/>
              </w:rPr>
              <w:t>(</w:t>
            </w:r>
            <w:r w:rsidR="00062C40">
              <w:rPr>
                <w:color w:val="000000"/>
                <w:shd w:val="clear" w:color="auto" w:fill="FFFFFF"/>
              </w:rPr>
              <w:t>–</w:t>
            </w:r>
            <w:r w:rsidR="00C6020C" w:rsidRPr="00DD6E6B">
              <w:rPr>
                <w:lang w:val="en-GB"/>
              </w:rPr>
              <w:t>13</w:t>
            </w:r>
            <w:r w:rsidR="00A245CC" w:rsidRPr="00DD6E6B">
              <w:rPr>
                <w:lang w:val="en-GB"/>
              </w:rPr>
              <w:t>.</w:t>
            </w:r>
            <w:r w:rsidR="00C6020C" w:rsidRPr="00DD6E6B">
              <w:rPr>
                <w:lang w:val="en-GB"/>
              </w:rPr>
              <w:t xml:space="preserve">5%), </w:t>
            </w:r>
            <w:r w:rsidR="00A245CC" w:rsidRPr="00DD6E6B">
              <w:rPr>
                <w:lang w:val="en-GB"/>
              </w:rPr>
              <w:t xml:space="preserve">which are bound with the development of prices of oil, wood and wood products </w:t>
            </w:r>
            <w:r w:rsidR="00B96949">
              <w:rPr>
                <w:lang w:val="en-GB"/>
              </w:rPr>
              <w:t>(</w:t>
            </w:r>
            <w:r w:rsidR="00B96949">
              <w:rPr>
                <w:color w:val="000000"/>
                <w:shd w:val="clear" w:color="auto" w:fill="FFFFFF"/>
              </w:rPr>
              <w:t>–</w:t>
            </w:r>
            <w:r w:rsidR="00C6020C" w:rsidRPr="00DD6E6B">
              <w:rPr>
                <w:lang w:val="en-GB"/>
              </w:rPr>
              <w:t>13</w:t>
            </w:r>
            <w:r w:rsidR="00A245CC" w:rsidRPr="00DD6E6B">
              <w:rPr>
                <w:lang w:val="en-GB"/>
              </w:rPr>
              <w:t>.</w:t>
            </w:r>
            <w:r w:rsidR="00C6020C" w:rsidRPr="00DD6E6B">
              <w:rPr>
                <w:lang w:val="en-GB"/>
              </w:rPr>
              <w:t>3%),</w:t>
            </w:r>
            <w:r w:rsidR="00A245CC" w:rsidRPr="00DD6E6B">
              <w:rPr>
                <w:lang w:val="en-GB"/>
              </w:rPr>
              <w:t xml:space="preserve"> basic metals </w:t>
            </w:r>
            <w:r w:rsidR="00B96949">
              <w:rPr>
                <w:lang w:val="en-GB"/>
              </w:rPr>
              <w:t>(</w:t>
            </w:r>
            <w:r w:rsidR="00B96949">
              <w:rPr>
                <w:color w:val="000000"/>
                <w:shd w:val="clear" w:color="auto" w:fill="FFFFFF"/>
              </w:rPr>
              <w:t>–</w:t>
            </w:r>
            <w:r w:rsidR="00C6020C" w:rsidRPr="00DD6E6B">
              <w:rPr>
                <w:lang w:val="en-GB"/>
              </w:rPr>
              <w:t>11</w:t>
            </w:r>
            <w:r w:rsidR="00A245CC" w:rsidRPr="00DD6E6B">
              <w:rPr>
                <w:lang w:val="en-GB"/>
              </w:rPr>
              <w:t>.</w:t>
            </w:r>
            <w:r w:rsidR="00C6020C" w:rsidRPr="00DD6E6B">
              <w:rPr>
                <w:lang w:val="en-GB"/>
              </w:rPr>
              <w:t>5%),</w:t>
            </w:r>
            <w:r w:rsidR="00A245CC" w:rsidRPr="00DD6E6B">
              <w:rPr>
                <w:lang w:val="en-GB"/>
              </w:rPr>
              <w:t xml:space="preserve"> metalworking products </w:t>
            </w:r>
            <w:r w:rsidR="00B96949">
              <w:rPr>
                <w:lang w:val="en-GB"/>
              </w:rPr>
              <w:t>(</w:t>
            </w:r>
            <w:r w:rsidR="00B96949">
              <w:rPr>
                <w:color w:val="000000"/>
                <w:shd w:val="clear" w:color="auto" w:fill="FFFFFF"/>
              </w:rPr>
              <w:t>–</w:t>
            </w:r>
            <w:r w:rsidR="00C6020C" w:rsidRPr="00DD6E6B">
              <w:rPr>
                <w:lang w:val="en-GB"/>
              </w:rPr>
              <w:t>1</w:t>
            </w:r>
            <w:r w:rsidR="00A245CC" w:rsidRPr="00DD6E6B">
              <w:rPr>
                <w:lang w:val="en-GB"/>
              </w:rPr>
              <w:t>.</w:t>
            </w:r>
            <w:r w:rsidR="00C6020C" w:rsidRPr="00DD6E6B">
              <w:rPr>
                <w:lang w:val="en-GB"/>
              </w:rPr>
              <w:t>7%)</w:t>
            </w:r>
            <w:r w:rsidR="00A245CC" w:rsidRPr="00DD6E6B">
              <w:rPr>
                <w:lang w:val="en-GB"/>
              </w:rPr>
              <w:t xml:space="preserve"> or paper and paper products </w:t>
            </w:r>
            <w:r w:rsidR="00B96949">
              <w:rPr>
                <w:lang w:val="en-GB"/>
              </w:rPr>
              <w:t>(</w:t>
            </w:r>
            <w:r w:rsidR="00B96949">
              <w:rPr>
                <w:color w:val="000000"/>
                <w:shd w:val="clear" w:color="auto" w:fill="FFFFFF"/>
              </w:rPr>
              <w:t>–</w:t>
            </w:r>
            <w:r w:rsidR="00C6020C" w:rsidRPr="00DD6E6B">
              <w:rPr>
                <w:lang w:val="en-GB"/>
              </w:rPr>
              <w:t>0</w:t>
            </w:r>
            <w:r w:rsidR="00A245CC" w:rsidRPr="00DD6E6B">
              <w:rPr>
                <w:lang w:val="en-GB"/>
              </w:rPr>
              <w:t>.</w:t>
            </w:r>
            <w:r w:rsidR="00C6020C" w:rsidRPr="00DD6E6B">
              <w:rPr>
                <w:lang w:val="en-GB"/>
              </w:rPr>
              <w:t>8%)</w:t>
            </w:r>
            <w:r w:rsidR="00A245CC" w:rsidRPr="00DD6E6B">
              <w:rPr>
                <w:lang w:val="en-GB"/>
              </w:rPr>
              <w:t xml:space="preserve"> were lower</w:t>
            </w:r>
            <w:r w:rsidR="00C6020C" w:rsidRPr="00DD6E6B">
              <w:rPr>
                <w:lang w:val="en-GB"/>
              </w:rPr>
              <w:t>.</w:t>
            </w:r>
            <w:r w:rsidR="00A245CC" w:rsidRPr="00DD6E6B">
              <w:rPr>
                <w:lang w:val="en-GB"/>
              </w:rPr>
              <w:t xml:space="preserve"> The year-on-year growth of prices of food products </w:t>
            </w:r>
            <w:r w:rsidR="00C6020C" w:rsidRPr="00DD6E6B">
              <w:rPr>
                <w:lang w:val="en-GB"/>
              </w:rPr>
              <w:t>(11</w:t>
            </w:r>
            <w:r w:rsidR="00A245CC" w:rsidRPr="00DD6E6B">
              <w:rPr>
                <w:lang w:val="en-GB"/>
              </w:rPr>
              <w:t>.</w:t>
            </w:r>
            <w:r w:rsidR="00C6020C" w:rsidRPr="00DD6E6B">
              <w:rPr>
                <w:lang w:val="en-GB"/>
              </w:rPr>
              <w:t>4%)</w:t>
            </w:r>
            <w:r w:rsidR="00A245CC" w:rsidRPr="00DD6E6B">
              <w:rPr>
                <w:lang w:val="en-GB"/>
              </w:rPr>
              <w:t xml:space="preserve"> markedly weakened</w:t>
            </w:r>
            <w:r w:rsidR="00C6020C" w:rsidRPr="00DD6E6B">
              <w:rPr>
                <w:lang w:val="en-GB"/>
              </w:rPr>
              <w:t>,</w:t>
            </w:r>
            <w:r w:rsidR="00A245CC" w:rsidRPr="00DD6E6B">
              <w:rPr>
                <w:lang w:val="en-GB"/>
              </w:rPr>
              <w:t xml:space="preserve"> but on the contrary the dynamics of prices of beverages </w:t>
            </w:r>
            <w:r w:rsidR="00C6020C" w:rsidRPr="00DD6E6B">
              <w:rPr>
                <w:lang w:val="en-GB"/>
              </w:rPr>
              <w:t>(14</w:t>
            </w:r>
            <w:r w:rsidR="00A245CC" w:rsidRPr="00DD6E6B">
              <w:rPr>
                <w:lang w:val="en-GB"/>
              </w:rPr>
              <w:t>.</w:t>
            </w:r>
            <w:r w:rsidR="00C6020C" w:rsidRPr="00DD6E6B">
              <w:rPr>
                <w:lang w:val="en-GB"/>
              </w:rPr>
              <w:t>1%)</w:t>
            </w:r>
            <w:r w:rsidR="00A245CC" w:rsidRPr="00DD6E6B">
              <w:rPr>
                <w:lang w:val="en-GB"/>
              </w:rPr>
              <w:t xml:space="preserve"> slightly strengthened</w:t>
            </w:r>
            <w:r w:rsidR="00C6020C" w:rsidRPr="00DD6E6B">
              <w:rPr>
                <w:lang w:val="en-GB"/>
              </w:rPr>
              <w:t>.</w:t>
            </w:r>
            <w:r w:rsidR="00A245CC" w:rsidRPr="00DD6E6B">
              <w:rPr>
                <w:lang w:val="en-GB"/>
              </w:rPr>
              <w:t xml:space="preserve"> Growth of prices of machinery and equipment </w:t>
            </w:r>
            <w:r w:rsidR="00C6020C" w:rsidRPr="00DD6E6B">
              <w:rPr>
                <w:lang w:val="en-GB"/>
              </w:rPr>
              <w:t>(8</w:t>
            </w:r>
            <w:r w:rsidR="00A245CC" w:rsidRPr="00DD6E6B">
              <w:rPr>
                <w:lang w:val="en-GB"/>
              </w:rPr>
              <w:t>.</w:t>
            </w:r>
            <w:r w:rsidR="00C6020C" w:rsidRPr="00DD6E6B">
              <w:rPr>
                <w:lang w:val="en-GB"/>
              </w:rPr>
              <w:t>1%)</w:t>
            </w:r>
            <w:r w:rsidR="00A245CC" w:rsidRPr="00DD6E6B">
              <w:rPr>
                <w:lang w:val="en-GB"/>
              </w:rPr>
              <w:t xml:space="preserve"> remained relatively strong similarly to the prices of their repairs and installation </w:t>
            </w:r>
            <w:r w:rsidR="00C6020C" w:rsidRPr="00DD6E6B">
              <w:rPr>
                <w:lang w:val="en-GB"/>
              </w:rPr>
              <w:t>(9</w:t>
            </w:r>
            <w:r w:rsidR="00A245CC" w:rsidRPr="00DD6E6B">
              <w:rPr>
                <w:lang w:val="en-GB"/>
              </w:rPr>
              <w:t>.</w:t>
            </w:r>
            <w:r w:rsidR="00C6020C" w:rsidRPr="00DD6E6B">
              <w:rPr>
                <w:lang w:val="en-GB"/>
              </w:rPr>
              <w:t xml:space="preserve">4%). </w:t>
            </w:r>
            <w:r w:rsidR="00A245CC" w:rsidRPr="00DD6E6B">
              <w:rPr>
                <w:lang w:val="en-GB"/>
              </w:rPr>
              <w:t xml:space="preserve">Prices of motor vehicles </w:t>
            </w:r>
            <w:r w:rsidR="00C6020C" w:rsidRPr="00DD6E6B">
              <w:rPr>
                <w:lang w:val="en-GB"/>
              </w:rPr>
              <w:t>(3</w:t>
            </w:r>
            <w:r w:rsidR="00A245CC" w:rsidRPr="00DD6E6B">
              <w:rPr>
                <w:lang w:val="en-GB"/>
              </w:rPr>
              <w:t>.</w:t>
            </w:r>
            <w:r w:rsidR="00C6020C" w:rsidRPr="00DD6E6B">
              <w:rPr>
                <w:lang w:val="en-GB"/>
              </w:rPr>
              <w:t xml:space="preserve">3%) </w:t>
            </w:r>
            <w:r w:rsidR="00A245CC" w:rsidRPr="00DD6E6B">
              <w:rPr>
                <w:lang w:val="en-GB"/>
              </w:rPr>
              <w:t xml:space="preserve">as well as other transport equipment </w:t>
            </w:r>
            <w:r w:rsidR="00C6020C" w:rsidRPr="00DD6E6B">
              <w:rPr>
                <w:lang w:val="en-GB"/>
              </w:rPr>
              <w:t>(7</w:t>
            </w:r>
            <w:r w:rsidR="00A245CC" w:rsidRPr="00DD6E6B">
              <w:rPr>
                <w:lang w:val="en-GB"/>
              </w:rPr>
              <w:t>.</w:t>
            </w:r>
            <w:r w:rsidR="00C6020C" w:rsidRPr="00DD6E6B">
              <w:rPr>
                <w:lang w:val="en-GB"/>
              </w:rPr>
              <w:t>7%),</w:t>
            </w:r>
            <w:r w:rsidR="00A245CC" w:rsidRPr="00DD6E6B">
              <w:rPr>
                <w:lang w:val="en-GB"/>
              </w:rPr>
              <w:t xml:space="preserve"> basic pharmaceutical products </w:t>
            </w:r>
            <w:r w:rsidR="00C6020C" w:rsidRPr="00DD6E6B">
              <w:rPr>
                <w:lang w:val="en-GB"/>
              </w:rPr>
              <w:t>(4</w:t>
            </w:r>
            <w:r w:rsidR="00A245CC" w:rsidRPr="00DD6E6B">
              <w:rPr>
                <w:lang w:val="en-GB"/>
              </w:rPr>
              <w:t>.</w:t>
            </w:r>
            <w:r w:rsidR="00C6020C" w:rsidRPr="00DD6E6B">
              <w:rPr>
                <w:lang w:val="en-GB"/>
              </w:rPr>
              <w:t>3%),</w:t>
            </w:r>
            <w:r w:rsidR="00A245CC" w:rsidRPr="00DD6E6B">
              <w:rPr>
                <w:lang w:val="en-GB"/>
              </w:rPr>
              <w:t xml:space="preserve"> computers, electronic and optical appliances </w:t>
            </w:r>
            <w:r w:rsidR="00C6020C" w:rsidRPr="00DD6E6B">
              <w:rPr>
                <w:lang w:val="en-GB"/>
              </w:rPr>
              <w:t>(3</w:t>
            </w:r>
            <w:r w:rsidR="00A245CC" w:rsidRPr="00DD6E6B">
              <w:rPr>
                <w:lang w:val="en-GB"/>
              </w:rPr>
              <w:t>.</w:t>
            </w:r>
            <w:r w:rsidR="00C6020C" w:rsidRPr="00DD6E6B">
              <w:rPr>
                <w:lang w:val="en-GB"/>
              </w:rPr>
              <w:t>4%),</w:t>
            </w:r>
            <w:r w:rsidR="00A245CC" w:rsidRPr="00DD6E6B">
              <w:rPr>
                <w:lang w:val="en-GB"/>
              </w:rPr>
              <w:t xml:space="preserve"> electrical equipment </w:t>
            </w:r>
            <w:r w:rsidR="00C6020C" w:rsidRPr="00DD6E6B">
              <w:rPr>
                <w:lang w:val="en-GB"/>
              </w:rPr>
              <w:t>(1</w:t>
            </w:r>
            <w:r w:rsidR="00A245CC" w:rsidRPr="00DD6E6B">
              <w:rPr>
                <w:lang w:val="en-GB"/>
              </w:rPr>
              <w:t>.</w:t>
            </w:r>
            <w:r w:rsidR="00C6020C" w:rsidRPr="00DD6E6B">
              <w:rPr>
                <w:lang w:val="en-GB"/>
              </w:rPr>
              <w:t>9%)</w:t>
            </w:r>
            <w:r w:rsidR="00A245CC" w:rsidRPr="00DD6E6B">
              <w:rPr>
                <w:lang w:val="en-GB"/>
              </w:rPr>
              <w:t xml:space="preserve"> or rubber and plastic products were higher</w:t>
            </w:r>
            <w:r w:rsidR="00C6020C" w:rsidRPr="00DD6E6B">
              <w:rPr>
                <w:lang w:val="en-GB"/>
              </w:rPr>
              <w:t>.</w:t>
            </w:r>
            <w:r w:rsidR="00A245CC" w:rsidRPr="00DD6E6B">
              <w:rPr>
                <w:lang w:val="en-GB"/>
              </w:rPr>
              <w:t xml:space="preserve"> Prices fell for the third time in a row quarter-on-quarter in manufacturing,</w:t>
            </w:r>
            <w:r w:rsidR="008E750C" w:rsidRPr="00DD6E6B">
              <w:rPr>
                <w:lang w:val="en-GB"/>
              </w:rPr>
              <w:t xml:space="preserve"> </w:t>
            </w:r>
            <w:r w:rsidR="00A245CC" w:rsidRPr="00DD6E6B">
              <w:rPr>
                <w:lang w:val="en-GB"/>
              </w:rPr>
              <w:t xml:space="preserve">specifically by </w:t>
            </w:r>
            <w:r w:rsidR="00C6020C" w:rsidRPr="00DD6E6B">
              <w:rPr>
                <w:lang w:val="en-GB"/>
              </w:rPr>
              <w:t>1</w:t>
            </w:r>
            <w:r w:rsidR="00A245CC" w:rsidRPr="00DD6E6B">
              <w:rPr>
                <w:lang w:val="en-GB"/>
              </w:rPr>
              <w:t>.</w:t>
            </w:r>
            <w:r w:rsidR="00C6020C" w:rsidRPr="00DD6E6B">
              <w:rPr>
                <w:lang w:val="en-GB"/>
              </w:rPr>
              <w:t>6%.</w:t>
            </w:r>
          </w:p>
        </w:tc>
      </w:tr>
      <w:tr w:rsidR="00C6020C" w:rsidRPr="00DD6E6B" w14:paraId="7210FD57" w14:textId="77777777" w:rsidTr="006849F8">
        <w:trPr>
          <w:trHeight w:val="170"/>
        </w:trPr>
        <w:tc>
          <w:tcPr>
            <w:tcW w:w="1804" w:type="dxa"/>
            <w:vMerge w:val="restart"/>
            <w:shd w:val="clear" w:color="auto" w:fill="auto"/>
            <w:tcMar>
              <w:left w:w="0" w:type="dxa"/>
            </w:tcMar>
          </w:tcPr>
          <w:p w14:paraId="6E7D6F6D" w14:textId="77777777" w:rsidR="00C6020C" w:rsidRPr="00DD6E6B" w:rsidRDefault="00C6020C" w:rsidP="006849F8">
            <w:pPr>
              <w:pStyle w:val="Marginlie"/>
              <w:rPr>
                <w:spacing w:val="0"/>
                <w:lang w:val="en-GB"/>
              </w:rPr>
            </w:pPr>
          </w:p>
        </w:tc>
        <w:tc>
          <w:tcPr>
            <w:tcW w:w="224" w:type="dxa"/>
            <w:vMerge w:val="restart"/>
            <w:shd w:val="clear" w:color="auto" w:fill="auto"/>
            <w:tcMar>
              <w:left w:w="0" w:type="dxa"/>
            </w:tcMar>
          </w:tcPr>
          <w:p w14:paraId="5D288B94" w14:textId="77777777" w:rsidR="00C6020C" w:rsidRPr="00DD6E6B" w:rsidRDefault="00C6020C" w:rsidP="006849F8">
            <w:pPr>
              <w:pStyle w:val="Textpoznpodarou1"/>
              <w:jc w:val="both"/>
              <w:rPr>
                <w:highlight w:val="yellow"/>
                <w:lang w:val="en-GB"/>
              </w:rPr>
            </w:pPr>
          </w:p>
        </w:tc>
        <w:tc>
          <w:tcPr>
            <w:tcW w:w="7611" w:type="dxa"/>
            <w:shd w:val="clear" w:color="auto" w:fill="auto"/>
            <w:tcMar>
              <w:left w:w="0" w:type="dxa"/>
            </w:tcMar>
          </w:tcPr>
          <w:p w14:paraId="777F84A7" w14:textId="755D2897" w:rsidR="00C6020C" w:rsidRPr="00DD6E6B" w:rsidRDefault="00BA0986" w:rsidP="006849F8">
            <w:pPr>
              <w:spacing w:after="0"/>
              <w:rPr>
                <w:b/>
                <w:szCs w:val="20"/>
                <w:lang w:val="en-GB"/>
              </w:rPr>
            </w:pPr>
            <w:r w:rsidRPr="00DD6E6B">
              <w:rPr>
                <w:b/>
                <w:sz w:val="18"/>
                <w:szCs w:val="18"/>
                <w:lang w:val="en-GB"/>
              </w:rPr>
              <w:t xml:space="preserve">Chart </w:t>
            </w:r>
            <w:r w:rsidR="00FA2C07" w:rsidRPr="00DD6E6B">
              <w:rPr>
                <w:b/>
                <w:sz w:val="18"/>
                <w:szCs w:val="18"/>
                <w:lang w:val="en-GB"/>
              </w:rPr>
              <w:t>12</w:t>
            </w:r>
            <w:r w:rsidR="00C6020C" w:rsidRPr="00DD6E6B">
              <w:rPr>
                <w:b/>
                <w:sz w:val="18"/>
                <w:szCs w:val="18"/>
                <w:lang w:val="en-GB"/>
              </w:rPr>
              <w:t xml:space="preserve"> </w:t>
            </w:r>
            <w:r w:rsidR="00840013" w:rsidRPr="00DD6E6B">
              <w:rPr>
                <w:b/>
                <w:szCs w:val="20"/>
                <w:lang w:val="en-GB" w:eastAsia="en-US"/>
              </w:rPr>
              <w:t xml:space="preserve">Prices of main groups of industrial producers </w:t>
            </w:r>
            <w:r w:rsidR="00840013" w:rsidRPr="00DD6E6B">
              <w:rPr>
                <w:bCs/>
                <w:szCs w:val="20"/>
                <w:lang w:val="en-GB" w:eastAsia="en-US"/>
              </w:rPr>
              <w:t>(year-on-year change, in %, based on CPA classification)</w:t>
            </w:r>
            <w:r w:rsidR="00840013" w:rsidRPr="00DD6E6B">
              <w:rPr>
                <w:b/>
                <w:szCs w:val="20"/>
                <w:lang w:val="en-GB" w:eastAsia="en-US"/>
              </w:rPr>
              <w:t xml:space="preserve"> </w:t>
            </w:r>
          </w:p>
        </w:tc>
      </w:tr>
      <w:tr w:rsidR="00C6020C" w:rsidRPr="00DD6E6B" w14:paraId="118304D4" w14:textId="77777777" w:rsidTr="00201CB1">
        <w:tblPrEx>
          <w:tblCellMar>
            <w:left w:w="70" w:type="dxa"/>
            <w:right w:w="70" w:type="dxa"/>
          </w:tblCellMar>
        </w:tblPrEx>
        <w:trPr>
          <w:trHeight w:val="170"/>
        </w:trPr>
        <w:tc>
          <w:tcPr>
            <w:tcW w:w="1804" w:type="dxa"/>
            <w:vMerge/>
          </w:tcPr>
          <w:p w14:paraId="10D3EA6B" w14:textId="77777777" w:rsidR="00C6020C" w:rsidRPr="00DD6E6B" w:rsidRDefault="00C6020C" w:rsidP="006849F8">
            <w:pPr>
              <w:pStyle w:val="Marginlie"/>
              <w:rPr>
                <w:spacing w:val="0"/>
                <w:lang w:val="en-GB"/>
              </w:rPr>
            </w:pPr>
          </w:p>
        </w:tc>
        <w:tc>
          <w:tcPr>
            <w:tcW w:w="224" w:type="dxa"/>
            <w:vMerge/>
          </w:tcPr>
          <w:p w14:paraId="2CD4CF6F" w14:textId="77777777" w:rsidR="00C6020C" w:rsidRPr="00DD6E6B" w:rsidRDefault="00C6020C" w:rsidP="006849F8">
            <w:pPr>
              <w:pStyle w:val="Textpoznpodarou1"/>
              <w:jc w:val="both"/>
              <w:rPr>
                <w:lang w:val="en-GB"/>
              </w:rPr>
            </w:pPr>
          </w:p>
        </w:tc>
        <w:tc>
          <w:tcPr>
            <w:tcW w:w="7611" w:type="dxa"/>
            <w:shd w:val="clear" w:color="auto" w:fill="auto"/>
          </w:tcPr>
          <w:p w14:paraId="7B269084" w14:textId="532EF9A9" w:rsidR="00C6020C" w:rsidRPr="00DD6E6B" w:rsidRDefault="00201CB1" w:rsidP="006849F8">
            <w:pPr>
              <w:spacing w:after="0"/>
              <w:rPr>
                <w:lang w:val="en-GB"/>
              </w:rPr>
            </w:pPr>
            <w:r>
              <w:rPr>
                <w:noProof/>
              </w:rPr>
              <w:drawing>
                <wp:inline distT="0" distB="0" distL="0" distR="0" wp14:anchorId="4C2CBC75" wp14:editId="6B46BC34">
                  <wp:extent cx="4722350" cy="3384000"/>
                  <wp:effectExtent l="0" t="0" r="2540" b="6985"/>
                  <wp:docPr id="1252456884" name="Graf 1">
                    <a:extLst xmlns:a="http://schemas.openxmlformats.org/drawingml/2006/main">
                      <a:ext uri="{FF2B5EF4-FFF2-40B4-BE49-F238E27FC236}">
                        <a16:creationId xmlns:a16="http://schemas.microsoft.com/office/drawing/2014/main" id="{A96326AA-2E19-A591-4C15-9F538FA2A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6020C" w:rsidRPr="00DD6E6B" w14:paraId="5946625B" w14:textId="77777777" w:rsidTr="006849F8">
        <w:trPr>
          <w:trHeight w:val="170"/>
        </w:trPr>
        <w:tc>
          <w:tcPr>
            <w:tcW w:w="1804" w:type="dxa"/>
            <w:vMerge/>
            <w:tcMar>
              <w:left w:w="0" w:type="dxa"/>
            </w:tcMar>
          </w:tcPr>
          <w:p w14:paraId="6A5CE9A4" w14:textId="77777777" w:rsidR="00C6020C" w:rsidRPr="00DD6E6B" w:rsidRDefault="00C6020C" w:rsidP="006849F8">
            <w:pPr>
              <w:pStyle w:val="Marginlie"/>
              <w:rPr>
                <w:spacing w:val="0"/>
                <w:lang w:val="en-GB"/>
              </w:rPr>
            </w:pPr>
          </w:p>
        </w:tc>
        <w:tc>
          <w:tcPr>
            <w:tcW w:w="224" w:type="dxa"/>
            <w:vMerge/>
            <w:tcMar>
              <w:left w:w="0" w:type="dxa"/>
            </w:tcMar>
          </w:tcPr>
          <w:p w14:paraId="097C345D"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7CF189F4" w14:textId="1FB1886B" w:rsidR="0024175E" w:rsidRPr="00DD6E6B" w:rsidRDefault="00BA0986" w:rsidP="00201CB1">
            <w:pPr>
              <w:rPr>
                <w:b/>
                <w:bCs/>
                <w:lang w:val="en-GB"/>
              </w:rPr>
            </w:pPr>
            <w:r w:rsidRPr="00DD6E6B">
              <w:rPr>
                <w:sz w:val="14"/>
                <w:szCs w:val="14"/>
                <w:lang w:val="en-GB"/>
              </w:rPr>
              <w:t>Source</w:t>
            </w:r>
            <w:r w:rsidR="00C6020C" w:rsidRPr="00DD6E6B">
              <w:rPr>
                <w:sz w:val="14"/>
                <w:szCs w:val="14"/>
                <w:lang w:val="en-GB"/>
              </w:rPr>
              <w:t xml:space="preserve">: </w:t>
            </w:r>
            <w:r w:rsidRPr="00DD6E6B">
              <w:rPr>
                <w:sz w:val="14"/>
                <w:szCs w:val="14"/>
                <w:lang w:val="en-GB"/>
              </w:rPr>
              <w:t>CZSO</w:t>
            </w:r>
          </w:p>
        </w:tc>
      </w:tr>
      <w:tr w:rsidR="00C6020C" w:rsidRPr="00DD6E6B" w14:paraId="0FD52AD0" w14:textId="77777777" w:rsidTr="006849F8">
        <w:trPr>
          <w:trHeight w:val="145"/>
        </w:trPr>
        <w:tc>
          <w:tcPr>
            <w:tcW w:w="1804" w:type="dxa"/>
            <w:shd w:val="clear" w:color="auto" w:fill="auto"/>
            <w:tcMar>
              <w:left w:w="0" w:type="dxa"/>
            </w:tcMar>
          </w:tcPr>
          <w:p w14:paraId="7C381BB1" w14:textId="5ACFF608" w:rsidR="00C6020C" w:rsidRPr="00DD6E6B" w:rsidRDefault="00BA0986" w:rsidP="006849F8">
            <w:pPr>
              <w:pStyle w:val="Marginlie"/>
              <w:rPr>
                <w:spacing w:val="0"/>
                <w:lang w:val="en-GB"/>
              </w:rPr>
            </w:pPr>
            <w:r w:rsidRPr="00DD6E6B">
              <w:rPr>
                <w:spacing w:val="0"/>
                <w:lang w:val="en-GB"/>
              </w:rPr>
              <w:lastRenderedPageBreak/>
              <w:t xml:space="preserve">Prices of mining and quarrying were raised the strongest. </w:t>
            </w:r>
          </w:p>
        </w:tc>
        <w:tc>
          <w:tcPr>
            <w:tcW w:w="224" w:type="dxa"/>
            <w:shd w:val="clear" w:color="auto" w:fill="auto"/>
            <w:tcMar>
              <w:left w:w="0" w:type="dxa"/>
            </w:tcMar>
          </w:tcPr>
          <w:p w14:paraId="0F8B3EF4"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6BFACE9C" w14:textId="14F13933" w:rsidR="00C6020C" w:rsidRPr="00DD6E6B" w:rsidRDefault="008539B9" w:rsidP="006849F8">
            <w:pPr>
              <w:rPr>
                <w:lang w:val="en-GB"/>
              </w:rPr>
            </w:pPr>
            <w:r w:rsidRPr="00DD6E6B">
              <w:rPr>
                <w:lang w:val="en-GB"/>
              </w:rPr>
              <w:t>Year-on-year growth of prices of</w:t>
            </w:r>
            <w:r w:rsidR="002546EC" w:rsidRPr="00DD6E6B">
              <w:rPr>
                <w:lang w:val="en-GB"/>
              </w:rPr>
              <w:t xml:space="preserve"> electricity, gas, </w:t>
            </w:r>
            <w:r w:rsidRPr="00DD6E6B">
              <w:rPr>
                <w:lang w:val="en-GB"/>
              </w:rPr>
              <w:t>steam and air condi</w:t>
            </w:r>
            <w:r w:rsidR="002546EC" w:rsidRPr="00DD6E6B">
              <w:rPr>
                <w:lang w:val="en-GB"/>
              </w:rPr>
              <w:t xml:space="preserve">tioning </w:t>
            </w:r>
            <w:r w:rsidRPr="00DD6E6B">
              <w:rPr>
                <w:lang w:val="en-GB"/>
              </w:rPr>
              <w:t>not</w:t>
            </w:r>
            <w:r w:rsidR="002546EC" w:rsidRPr="00DD6E6B">
              <w:rPr>
                <w:lang w:val="en-GB"/>
              </w:rPr>
              <w:t>a</w:t>
            </w:r>
            <w:r w:rsidRPr="00DD6E6B">
              <w:rPr>
                <w:lang w:val="en-GB"/>
              </w:rPr>
              <w:t xml:space="preserve">bly weakened to </w:t>
            </w:r>
            <w:r w:rsidR="00C6020C" w:rsidRPr="00DD6E6B">
              <w:rPr>
                <w:lang w:val="en-GB"/>
              </w:rPr>
              <w:t>18</w:t>
            </w:r>
            <w:r w:rsidRPr="00DD6E6B">
              <w:rPr>
                <w:lang w:val="en-GB"/>
              </w:rPr>
              <w:t>.</w:t>
            </w:r>
            <w:r w:rsidR="00C6020C" w:rsidRPr="00DD6E6B">
              <w:rPr>
                <w:lang w:val="en-GB"/>
              </w:rPr>
              <w:t>4% a</w:t>
            </w:r>
            <w:r w:rsidR="002546EC" w:rsidRPr="00DD6E6B">
              <w:rPr>
                <w:lang w:val="en-GB"/>
              </w:rPr>
              <w:t xml:space="preserve">nd the prices decreased by 6.3% in this section quarter-on-quarter. On the contrary, </w:t>
            </w:r>
            <w:r w:rsidR="00B05BB6" w:rsidRPr="00DD6E6B">
              <w:rPr>
                <w:lang w:val="en-GB"/>
              </w:rPr>
              <w:t xml:space="preserve">for the prices of mining and quarrying </w:t>
            </w:r>
            <w:r w:rsidR="00BB46C6" w:rsidRPr="00DD6E6B">
              <w:rPr>
                <w:lang w:val="en-GB"/>
              </w:rPr>
              <w:t>the year-on-year increase hovered at substantial</w:t>
            </w:r>
            <w:r w:rsidR="00B05BB6" w:rsidRPr="00DD6E6B">
              <w:rPr>
                <w:lang w:val="en-GB"/>
              </w:rPr>
              <w:t xml:space="preserve"> </w:t>
            </w:r>
            <w:r w:rsidR="00C6020C" w:rsidRPr="00DD6E6B">
              <w:rPr>
                <w:lang w:val="en-GB"/>
              </w:rPr>
              <w:t>47</w:t>
            </w:r>
            <w:r w:rsidR="00B05BB6" w:rsidRPr="00DD6E6B">
              <w:rPr>
                <w:lang w:val="en-GB"/>
              </w:rPr>
              <w:t>.</w:t>
            </w:r>
            <w:r w:rsidR="00C6020C" w:rsidRPr="00DD6E6B">
              <w:rPr>
                <w:lang w:val="en-GB"/>
              </w:rPr>
              <w:t xml:space="preserve">6%, </w:t>
            </w:r>
            <w:r w:rsidR="00B05BB6" w:rsidRPr="00DD6E6B">
              <w:rPr>
                <w:lang w:val="en-GB"/>
              </w:rPr>
              <w:t xml:space="preserve">which was assisted by the development of black and brown coal and lignite mining </w:t>
            </w:r>
            <w:r w:rsidR="00C6020C" w:rsidRPr="00DD6E6B">
              <w:rPr>
                <w:lang w:val="en-GB"/>
              </w:rPr>
              <w:t>(71</w:t>
            </w:r>
            <w:r w:rsidR="00B05BB6" w:rsidRPr="00DD6E6B">
              <w:rPr>
                <w:lang w:val="en-GB"/>
              </w:rPr>
              <w:t>.</w:t>
            </w:r>
            <w:r w:rsidR="00C6020C" w:rsidRPr="00DD6E6B">
              <w:rPr>
                <w:lang w:val="en-GB"/>
              </w:rPr>
              <w:t xml:space="preserve">4%) </w:t>
            </w:r>
            <w:r w:rsidR="00B05BB6" w:rsidRPr="00DD6E6B">
              <w:rPr>
                <w:lang w:val="en-GB"/>
              </w:rPr>
              <w:t xml:space="preserve">as well as other mining </w:t>
            </w:r>
            <w:r w:rsidR="00C6020C" w:rsidRPr="00DD6E6B">
              <w:rPr>
                <w:lang w:val="en-GB"/>
              </w:rPr>
              <w:t>(24</w:t>
            </w:r>
            <w:r w:rsidR="00B05BB6" w:rsidRPr="00DD6E6B">
              <w:rPr>
                <w:lang w:val="en-GB"/>
              </w:rPr>
              <w:t>.</w:t>
            </w:r>
            <w:r w:rsidR="00C6020C" w:rsidRPr="00DD6E6B">
              <w:rPr>
                <w:lang w:val="en-GB"/>
              </w:rPr>
              <w:t xml:space="preserve">7%, </w:t>
            </w:r>
            <w:r w:rsidR="00B05BB6" w:rsidRPr="00DD6E6B">
              <w:rPr>
                <w:lang w:val="en-GB"/>
              </w:rPr>
              <w:t>mainly construction materials</w:t>
            </w:r>
            <w:r w:rsidR="00C6020C" w:rsidRPr="00DD6E6B">
              <w:rPr>
                <w:lang w:val="en-GB"/>
              </w:rPr>
              <w:t xml:space="preserve">). </w:t>
            </w:r>
            <w:r w:rsidR="002546EC" w:rsidRPr="00DD6E6B">
              <w:rPr>
                <w:lang w:val="en-GB"/>
              </w:rPr>
              <w:t xml:space="preserve">Only the growth of prices of oil and natural gas extraction weakened more notably </w:t>
            </w:r>
            <w:r w:rsidR="00C6020C" w:rsidRPr="00DD6E6B">
              <w:rPr>
                <w:lang w:val="en-GB"/>
              </w:rPr>
              <w:t>(38</w:t>
            </w:r>
            <w:r w:rsidR="002546EC" w:rsidRPr="00DD6E6B">
              <w:rPr>
                <w:lang w:val="en-GB"/>
              </w:rPr>
              <w:t>.</w:t>
            </w:r>
            <w:r w:rsidR="00C6020C" w:rsidRPr="00DD6E6B">
              <w:rPr>
                <w:lang w:val="en-GB"/>
              </w:rPr>
              <w:t xml:space="preserve">6%). </w:t>
            </w:r>
            <w:r w:rsidR="00F32550" w:rsidRPr="00DD6E6B">
              <w:rPr>
                <w:lang w:val="en-GB"/>
              </w:rPr>
              <w:t xml:space="preserve">Quarter-on-quarter, the prices of mining and quarrying grew by </w:t>
            </w:r>
            <w:r w:rsidR="00C6020C" w:rsidRPr="00DD6E6B">
              <w:rPr>
                <w:lang w:val="en-GB"/>
              </w:rPr>
              <w:t>1</w:t>
            </w:r>
            <w:r w:rsidR="00F32550" w:rsidRPr="00DD6E6B">
              <w:rPr>
                <w:lang w:val="en-GB"/>
              </w:rPr>
              <w:t>.</w:t>
            </w:r>
            <w:r w:rsidR="00C6020C" w:rsidRPr="00DD6E6B">
              <w:rPr>
                <w:lang w:val="en-GB"/>
              </w:rPr>
              <w:t xml:space="preserve">7%. </w:t>
            </w:r>
            <w:r w:rsidR="00F32550" w:rsidRPr="00DD6E6B">
              <w:rPr>
                <w:lang w:val="en-GB"/>
              </w:rPr>
              <w:t xml:space="preserve">Prices of water supply and services associated with waste water management were by </w:t>
            </w:r>
            <w:r w:rsidR="00C6020C" w:rsidRPr="00DD6E6B">
              <w:rPr>
                <w:lang w:val="en-GB"/>
              </w:rPr>
              <w:t>16</w:t>
            </w:r>
            <w:r w:rsidR="00F32550" w:rsidRPr="00DD6E6B">
              <w:rPr>
                <w:lang w:val="en-GB"/>
              </w:rPr>
              <w:t>.</w:t>
            </w:r>
            <w:r w:rsidR="00C6020C" w:rsidRPr="00DD6E6B">
              <w:rPr>
                <w:lang w:val="en-GB"/>
              </w:rPr>
              <w:t>3%</w:t>
            </w:r>
            <w:r w:rsidR="00F32550" w:rsidRPr="00DD6E6B">
              <w:rPr>
                <w:lang w:val="en-GB"/>
              </w:rPr>
              <w:t xml:space="preserve"> higher year-on-year</w:t>
            </w:r>
            <w:r w:rsidR="00C6020C" w:rsidRPr="00DD6E6B">
              <w:rPr>
                <w:lang w:val="en-GB"/>
              </w:rPr>
              <w:t>.</w:t>
            </w:r>
          </w:p>
        </w:tc>
      </w:tr>
      <w:tr w:rsidR="00C6020C" w:rsidRPr="00DD6E6B" w14:paraId="7DF1294F" w14:textId="77777777" w:rsidTr="006849F8">
        <w:trPr>
          <w:trHeight w:val="145"/>
        </w:trPr>
        <w:tc>
          <w:tcPr>
            <w:tcW w:w="1804" w:type="dxa"/>
            <w:shd w:val="clear" w:color="auto" w:fill="auto"/>
            <w:tcMar>
              <w:left w:w="0" w:type="dxa"/>
            </w:tcMar>
          </w:tcPr>
          <w:p w14:paraId="7FD83604" w14:textId="580A0426" w:rsidR="00C6020C" w:rsidRPr="00DD6E6B" w:rsidRDefault="00F32550" w:rsidP="006849F8">
            <w:pPr>
              <w:pStyle w:val="Marginlie"/>
              <w:rPr>
                <w:spacing w:val="0"/>
                <w:lang w:val="en-GB"/>
              </w:rPr>
            </w:pPr>
            <w:r w:rsidRPr="00DD6E6B">
              <w:rPr>
                <w:spacing w:val="0"/>
                <w:lang w:val="en-GB"/>
              </w:rPr>
              <w:t xml:space="preserve">Year-on-year growth of prices of industrial producers </w:t>
            </w:r>
            <w:r w:rsidR="00BB46C6" w:rsidRPr="00DD6E6B">
              <w:rPr>
                <w:spacing w:val="0"/>
                <w:lang w:val="en-GB"/>
              </w:rPr>
              <w:t>further</w:t>
            </w:r>
            <w:r w:rsidRPr="00DD6E6B">
              <w:rPr>
                <w:spacing w:val="0"/>
                <w:lang w:val="en-GB"/>
              </w:rPr>
              <w:t xml:space="preserve"> slowed down in the EU. </w:t>
            </w:r>
          </w:p>
        </w:tc>
        <w:tc>
          <w:tcPr>
            <w:tcW w:w="224" w:type="dxa"/>
            <w:shd w:val="clear" w:color="auto" w:fill="auto"/>
            <w:tcMar>
              <w:left w:w="0" w:type="dxa"/>
            </w:tcMar>
          </w:tcPr>
          <w:p w14:paraId="249D2A18"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3C64B143" w14:textId="7109D618" w:rsidR="00C6020C" w:rsidRPr="00DD6E6B" w:rsidRDefault="00D1276D" w:rsidP="006849F8">
            <w:pPr>
              <w:rPr>
                <w:lang w:val="en-GB"/>
              </w:rPr>
            </w:pPr>
            <w:r w:rsidRPr="00DD6E6B">
              <w:rPr>
                <w:lang w:val="en-GB"/>
              </w:rPr>
              <w:t>Prices of industrial producers in the EU</w:t>
            </w:r>
            <w:r w:rsidR="00C6020C" w:rsidRPr="00DD6E6B">
              <w:rPr>
                <w:rStyle w:val="Znakapoznpodarou"/>
                <w:lang w:val="en-GB"/>
              </w:rPr>
              <w:footnoteReference w:id="52"/>
            </w:r>
            <w:r w:rsidR="00C6020C" w:rsidRPr="00DD6E6B">
              <w:rPr>
                <w:lang w:val="en-GB"/>
              </w:rPr>
              <w:t xml:space="preserve"> </w:t>
            </w:r>
            <w:r w:rsidR="00A245CC" w:rsidRPr="00DD6E6B">
              <w:rPr>
                <w:lang w:val="en-GB"/>
              </w:rPr>
              <w:t xml:space="preserve">dropped by </w:t>
            </w:r>
            <w:r w:rsidR="00C6020C" w:rsidRPr="00DD6E6B">
              <w:rPr>
                <w:lang w:val="en-GB"/>
              </w:rPr>
              <w:t>0</w:t>
            </w:r>
            <w:r w:rsidR="00A245CC" w:rsidRPr="00DD6E6B">
              <w:rPr>
                <w:lang w:val="en-GB"/>
              </w:rPr>
              <w:t>.</w:t>
            </w:r>
            <w:r w:rsidR="00C6020C" w:rsidRPr="00DD6E6B">
              <w:rPr>
                <w:lang w:val="en-GB"/>
              </w:rPr>
              <w:t>3%</w:t>
            </w:r>
            <w:r w:rsidR="00A245CC" w:rsidRPr="00DD6E6B">
              <w:rPr>
                <w:lang w:val="en-GB"/>
              </w:rPr>
              <w:t xml:space="preserve"> year-on-year in Q2</w:t>
            </w:r>
            <w:r w:rsidR="00C6020C" w:rsidRPr="00DD6E6B">
              <w:rPr>
                <w:lang w:val="en-GB"/>
              </w:rPr>
              <w:t xml:space="preserve">. </w:t>
            </w:r>
            <w:r w:rsidR="00EA4507" w:rsidRPr="00DD6E6B">
              <w:rPr>
                <w:lang w:val="en-GB"/>
              </w:rPr>
              <w:t xml:space="preserve">Prices of mining and quarrying </w:t>
            </w:r>
            <w:r w:rsidR="00B96949">
              <w:rPr>
                <w:lang w:val="en-GB"/>
              </w:rPr>
              <w:t>(</w:t>
            </w:r>
            <w:r w:rsidR="00B96949">
              <w:rPr>
                <w:color w:val="000000"/>
                <w:shd w:val="clear" w:color="auto" w:fill="FFFFFF"/>
              </w:rPr>
              <w:t>–</w:t>
            </w:r>
            <w:r w:rsidR="00C6020C" w:rsidRPr="00DD6E6B">
              <w:rPr>
                <w:lang w:val="en-GB"/>
              </w:rPr>
              <w:t>11</w:t>
            </w:r>
            <w:r w:rsidR="00EA4507" w:rsidRPr="00DD6E6B">
              <w:rPr>
                <w:lang w:val="en-GB"/>
              </w:rPr>
              <w:t>.</w:t>
            </w:r>
            <w:r w:rsidR="00C6020C" w:rsidRPr="00DD6E6B">
              <w:rPr>
                <w:lang w:val="en-GB"/>
              </w:rPr>
              <w:t>8%)</w:t>
            </w:r>
            <w:r w:rsidR="00EA4507" w:rsidRPr="00DD6E6B">
              <w:rPr>
                <w:lang w:val="en-GB"/>
              </w:rPr>
              <w:t xml:space="preserve"> as well as electricity, gas, steam and air conditioning </w:t>
            </w:r>
            <w:r w:rsidR="00B96949">
              <w:rPr>
                <w:lang w:val="en-GB"/>
              </w:rPr>
              <w:t>(</w:t>
            </w:r>
            <w:r w:rsidR="00B96949">
              <w:rPr>
                <w:color w:val="000000"/>
                <w:shd w:val="clear" w:color="auto" w:fill="FFFFFF"/>
              </w:rPr>
              <w:t>–</w:t>
            </w:r>
            <w:r w:rsidR="00C6020C" w:rsidRPr="00DD6E6B">
              <w:rPr>
                <w:lang w:val="en-GB"/>
              </w:rPr>
              <w:t>7</w:t>
            </w:r>
            <w:r w:rsidR="00EA4507" w:rsidRPr="00DD6E6B">
              <w:rPr>
                <w:lang w:val="en-GB"/>
              </w:rPr>
              <w:t>.</w:t>
            </w:r>
            <w:r w:rsidR="00C6020C" w:rsidRPr="00DD6E6B">
              <w:rPr>
                <w:lang w:val="en-GB"/>
              </w:rPr>
              <w:t>8%)</w:t>
            </w:r>
            <w:r w:rsidR="00EA4507" w:rsidRPr="00DD6E6B">
              <w:rPr>
                <w:lang w:val="en-GB"/>
              </w:rPr>
              <w:t xml:space="preserve"> were significantly lower year-on-year</w:t>
            </w:r>
            <w:r w:rsidR="00C6020C" w:rsidRPr="00DD6E6B">
              <w:rPr>
                <w:lang w:val="en-GB"/>
              </w:rPr>
              <w:t>.</w:t>
            </w:r>
            <w:r w:rsidR="00EA4507" w:rsidRPr="00DD6E6B">
              <w:rPr>
                <w:lang w:val="en-GB"/>
              </w:rPr>
              <w:t xml:space="preserve"> In contrast the prices in manufacturing in spite of ongoing slow down still slightly grew year-on-year </w:t>
            </w:r>
            <w:r w:rsidR="00C6020C" w:rsidRPr="00DD6E6B">
              <w:rPr>
                <w:lang w:val="en-GB"/>
              </w:rPr>
              <w:t>(0</w:t>
            </w:r>
            <w:r w:rsidR="00EA4507" w:rsidRPr="00DD6E6B">
              <w:rPr>
                <w:lang w:val="en-GB"/>
              </w:rPr>
              <w:t>.</w:t>
            </w:r>
            <w:r w:rsidR="00C6020C" w:rsidRPr="00DD6E6B">
              <w:rPr>
                <w:lang w:val="en-GB"/>
              </w:rPr>
              <w:t xml:space="preserve">8%). </w:t>
            </w:r>
            <w:r w:rsidR="00EA4507" w:rsidRPr="00DD6E6B">
              <w:rPr>
                <w:lang w:val="en-GB"/>
              </w:rPr>
              <w:t>The prices of industrial producers grew the most in Q</w:t>
            </w:r>
            <w:r w:rsidR="00C6020C" w:rsidRPr="00DD6E6B">
              <w:rPr>
                <w:lang w:val="en-GB"/>
              </w:rPr>
              <w:t>2</w:t>
            </w:r>
            <w:r w:rsidR="00EA4507" w:rsidRPr="00DD6E6B">
              <w:rPr>
                <w:lang w:val="en-GB"/>
              </w:rPr>
              <w:t xml:space="preserve"> year-on-year in Hungary </w:t>
            </w:r>
            <w:r w:rsidR="00C6020C" w:rsidRPr="00DD6E6B">
              <w:rPr>
                <w:lang w:val="en-GB"/>
              </w:rPr>
              <w:t>(35</w:t>
            </w:r>
            <w:r w:rsidR="00EA4507" w:rsidRPr="00DD6E6B">
              <w:rPr>
                <w:lang w:val="en-GB"/>
              </w:rPr>
              <w:t>.</w:t>
            </w:r>
            <w:r w:rsidR="00C6020C" w:rsidRPr="00DD6E6B">
              <w:rPr>
                <w:lang w:val="en-GB"/>
              </w:rPr>
              <w:t>7%),</w:t>
            </w:r>
            <w:r w:rsidR="00EA4507" w:rsidRPr="00DD6E6B">
              <w:rPr>
                <w:lang w:val="en-GB"/>
              </w:rPr>
              <w:t xml:space="preserve"> Slovakia </w:t>
            </w:r>
            <w:r w:rsidR="00C6020C" w:rsidRPr="00DD6E6B">
              <w:rPr>
                <w:lang w:val="en-GB"/>
              </w:rPr>
              <w:t>(19</w:t>
            </w:r>
            <w:r w:rsidR="00EA4507" w:rsidRPr="00DD6E6B">
              <w:rPr>
                <w:lang w:val="en-GB"/>
              </w:rPr>
              <w:t>.</w:t>
            </w:r>
            <w:r w:rsidR="00C6020C" w:rsidRPr="00DD6E6B">
              <w:rPr>
                <w:lang w:val="en-GB"/>
              </w:rPr>
              <w:t>1%) a</w:t>
            </w:r>
            <w:r w:rsidR="00EA4507" w:rsidRPr="00DD6E6B">
              <w:rPr>
                <w:lang w:val="en-GB"/>
              </w:rPr>
              <w:t xml:space="preserve">nd in Latvia </w:t>
            </w:r>
            <w:r w:rsidR="00C6020C" w:rsidRPr="00DD6E6B">
              <w:rPr>
                <w:lang w:val="en-GB"/>
              </w:rPr>
              <w:t>(11</w:t>
            </w:r>
            <w:r w:rsidR="00EA4507" w:rsidRPr="00DD6E6B">
              <w:rPr>
                <w:lang w:val="en-GB"/>
              </w:rPr>
              <w:t>.</w:t>
            </w:r>
            <w:r w:rsidR="00C6020C" w:rsidRPr="00DD6E6B">
              <w:rPr>
                <w:lang w:val="en-GB"/>
              </w:rPr>
              <w:t xml:space="preserve">5%). </w:t>
            </w:r>
            <w:r w:rsidR="00EA4507" w:rsidRPr="00DD6E6B">
              <w:rPr>
                <w:lang w:val="en-GB"/>
              </w:rPr>
              <w:t xml:space="preserve">On the contrary the strongest year-on-year plunge occurred in Ireland </w:t>
            </w:r>
            <w:r w:rsidR="00B96949">
              <w:rPr>
                <w:lang w:val="en-GB"/>
              </w:rPr>
              <w:t>(</w:t>
            </w:r>
            <w:r w:rsidR="00B96949">
              <w:rPr>
                <w:color w:val="000000"/>
                <w:shd w:val="clear" w:color="auto" w:fill="FFFFFF"/>
              </w:rPr>
              <w:t>–</w:t>
            </w:r>
            <w:r w:rsidR="00C6020C" w:rsidRPr="00DD6E6B">
              <w:rPr>
                <w:lang w:val="en-GB"/>
              </w:rPr>
              <w:t>16</w:t>
            </w:r>
            <w:r w:rsidR="00EA4507" w:rsidRPr="00DD6E6B">
              <w:rPr>
                <w:lang w:val="en-GB"/>
              </w:rPr>
              <w:t>.</w:t>
            </w:r>
            <w:r w:rsidR="00C6020C" w:rsidRPr="00DD6E6B">
              <w:rPr>
                <w:lang w:val="en-GB"/>
              </w:rPr>
              <w:t>5%),</w:t>
            </w:r>
            <w:r w:rsidR="00EA4507" w:rsidRPr="00DD6E6B">
              <w:rPr>
                <w:lang w:val="en-GB"/>
              </w:rPr>
              <w:t xml:space="preserve"> Greece </w:t>
            </w:r>
            <w:r w:rsidR="00B96949">
              <w:rPr>
                <w:lang w:val="en-GB"/>
              </w:rPr>
              <w:t>(</w:t>
            </w:r>
            <w:r w:rsidR="00B96949">
              <w:rPr>
                <w:color w:val="000000"/>
                <w:shd w:val="clear" w:color="auto" w:fill="FFFFFF"/>
              </w:rPr>
              <w:t>–</w:t>
            </w:r>
            <w:r w:rsidR="00C6020C" w:rsidRPr="00DD6E6B">
              <w:rPr>
                <w:lang w:val="en-GB"/>
              </w:rPr>
              <w:t>10</w:t>
            </w:r>
            <w:r w:rsidR="00EA4507" w:rsidRPr="00DD6E6B">
              <w:rPr>
                <w:lang w:val="en-GB"/>
              </w:rPr>
              <w:t>.</w:t>
            </w:r>
            <w:r w:rsidR="00C6020C" w:rsidRPr="00DD6E6B">
              <w:rPr>
                <w:lang w:val="en-GB"/>
              </w:rPr>
              <w:t>4%) a</w:t>
            </w:r>
            <w:r w:rsidR="00EA4507" w:rsidRPr="00DD6E6B">
              <w:rPr>
                <w:lang w:val="en-GB"/>
              </w:rPr>
              <w:t xml:space="preserve">nd Belgium </w:t>
            </w:r>
            <w:r w:rsidR="00B96949">
              <w:rPr>
                <w:lang w:val="en-GB"/>
              </w:rPr>
              <w:t>(</w:t>
            </w:r>
            <w:r w:rsidR="00B96949">
              <w:rPr>
                <w:color w:val="000000"/>
                <w:shd w:val="clear" w:color="auto" w:fill="FFFFFF"/>
              </w:rPr>
              <w:t>–</w:t>
            </w:r>
            <w:r w:rsidR="00C6020C" w:rsidRPr="00DD6E6B">
              <w:rPr>
                <w:lang w:val="en-GB"/>
              </w:rPr>
              <w:t>9</w:t>
            </w:r>
            <w:r w:rsidR="00EA4507" w:rsidRPr="00DD6E6B">
              <w:rPr>
                <w:lang w:val="en-GB"/>
              </w:rPr>
              <w:t>.</w:t>
            </w:r>
            <w:r w:rsidR="00C6020C" w:rsidRPr="00DD6E6B">
              <w:rPr>
                <w:lang w:val="en-GB"/>
              </w:rPr>
              <w:t>6%).</w:t>
            </w:r>
            <w:r w:rsidR="00EA4507" w:rsidRPr="00DD6E6B">
              <w:rPr>
                <w:lang w:val="en-GB"/>
              </w:rPr>
              <w:t xml:space="preserve"> Prices of industrial producers fell for the third time in a row quarter-on-quarter in the EU </w:t>
            </w:r>
            <w:r w:rsidR="00B96949">
              <w:rPr>
                <w:lang w:val="en-GB"/>
              </w:rPr>
              <w:t>(</w:t>
            </w:r>
            <w:r w:rsidR="00B96949">
              <w:rPr>
                <w:color w:val="000000"/>
                <w:shd w:val="clear" w:color="auto" w:fill="FFFFFF"/>
              </w:rPr>
              <w:t>–</w:t>
            </w:r>
            <w:r w:rsidR="00C6020C" w:rsidRPr="00DD6E6B">
              <w:rPr>
                <w:lang w:val="en-GB"/>
              </w:rPr>
              <w:t>5</w:t>
            </w:r>
            <w:r w:rsidR="00EA4507" w:rsidRPr="00DD6E6B">
              <w:rPr>
                <w:lang w:val="en-GB"/>
              </w:rPr>
              <w:t>.</w:t>
            </w:r>
            <w:r w:rsidR="00C6020C" w:rsidRPr="00DD6E6B">
              <w:rPr>
                <w:lang w:val="en-GB"/>
              </w:rPr>
              <w:t>5%).</w:t>
            </w:r>
            <w:r w:rsidR="00EA4507" w:rsidRPr="00DD6E6B">
              <w:rPr>
                <w:lang w:val="en-GB"/>
              </w:rPr>
              <w:t xml:space="preserve"> The prices of mining and quarrying </w:t>
            </w:r>
            <w:r w:rsidR="008D3611">
              <w:rPr>
                <w:lang w:val="en-GB"/>
              </w:rPr>
              <w:t>(</w:t>
            </w:r>
            <w:r w:rsidR="008D3611">
              <w:rPr>
                <w:color w:val="000000"/>
                <w:shd w:val="clear" w:color="auto" w:fill="FFFFFF"/>
              </w:rPr>
              <w:t>–</w:t>
            </w:r>
            <w:r w:rsidR="00C6020C" w:rsidRPr="00DD6E6B">
              <w:rPr>
                <w:lang w:val="en-GB"/>
              </w:rPr>
              <w:t>20</w:t>
            </w:r>
            <w:r w:rsidR="0037520A" w:rsidRPr="00DD6E6B">
              <w:rPr>
                <w:lang w:val="en-GB"/>
              </w:rPr>
              <w:t>.</w:t>
            </w:r>
            <w:r w:rsidR="00C6020C" w:rsidRPr="00DD6E6B">
              <w:rPr>
                <w:lang w:val="en-GB"/>
              </w:rPr>
              <w:t xml:space="preserve">6%) </w:t>
            </w:r>
            <w:r w:rsidR="0037520A" w:rsidRPr="00DD6E6B">
              <w:rPr>
                <w:lang w:val="en-GB"/>
              </w:rPr>
              <w:t xml:space="preserve">as well as electricity, gas, steam and air conditioning </w:t>
            </w:r>
            <w:r w:rsidR="008D3611">
              <w:rPr>
                <w:lang w:val="en-GB"/>
              </w:rPr>
              <w:t>(</w:t>
            </w:r>
            <w:r w:rsidR="008D3611">
              <w:rPr>
                <w:color w:val="000000"/>
                <w:shd w:val="clear" w:color="auto" w:fill="FFFFFF"/>
              </w:rPr>
              <w:t>–</w:t>
            </w:r>
            <w:r w:rsidR="00C6020C" w:rsidRPr="00DD6E6B">
              <w:rPr>
                <w:lang w:val="en-GB"/>
              </w:rPr>
              <w:t>17</w:t>
            </w:r>
            <w:r w:rsidR="0037520A" w:rsidRPr="00DD6E6B">
              <w:rPr>
                <w:lang w:val="en-GB"/>
              </w:rPr>
              <w:t>.</w:t>
            </w:r>
            <w:r w:rsidR="00C6020C" w:rsidRPr="00DD6E6B">
              <w:rPr>
                <w:lang w:val="en-GB"/>
              </w:rPr>
              <w:t>4%)</w:t>
            </w:r>
            <w:r w:rsidR="0037520A" w:rsidRPr="00DD6E6B">
              <w:rPr>
                <w:lang w:val="en-GB"/>
              </w:rPr>
              <w:t xml:space="preserve"> sharply plummeted and prices in manufacturing were also lower compared to the preceding quarter </w:t>
            </w:r>
            <w:r w:rsidR="008D3611">
              <w:rPr>
                <w:lang w:val="en-GB"/>
              </w:rPr>
              <w:t>(</w:t>
            </w:r>
            <w:r w:rsidR="008D3611">
              <w:rPr>
                <w:color w:val="000000"/>
                <w:shd w:val="clear" w:color="auto" w:fill="FFFFFF"/>
              </w:rPr>
              <w:t>–</w:t>
            </w:r>
            <w:r w:rsidR="00C6020C" w:rsidRPr="00DD6E6B">
              <w:rPr>
                <w:lang w:val="en-GB"/>
              </w:rPr>
              <w:t>1</w:t>
            </w:r>
            <w:r w:rsidR="0037520A" w:rsidRPr="00DD6E6B">
              <w:rPr>
                <w:lang w:val="en-GB"/>
              </w:rPr>
              <w:t>.</w:t>
            </w:r>
            <w:r w:rsidR="00C6020C" w:rsidRPr="00DD6E6B">
              <w:rPr>
                <w:lang w:val="en-GB"/>
              </w:rPr>
              <w:t xml:space="preserve">0%). </w:t>
            </w:r>
            <w:r w:rsidR="00615EBF" w:rsidRPr="00DD6E6B">
              <w:rPr>
                <w:lang w:val="en-GB"/>
              </w:rPr>
              <w:t>Prices of industrial producers were falling in all EU countries quarter-on-quarter with the exception of Slovenia</w:t>
            </w:r>
            <w:r w:rsidR="00C6020C" w:rsidRPr="00DD6E6B">
              <w:rPr>
                <w:lang w:val="en-GB"/>
              </w:rPr>
              <w:t xml:space="preserve"> (</w:t>
            </w:r>
            <w:r w:rsidR="00615EBF" w:rsidRPr="00DD6E6B">
              <w:rPr>
                <w:lang w:val="en-GB"/>
              </w:rPr>
              <w:t xml:space="preserve">growth of </w:t>
            </w:r>
            <w:r w:rsidR="00C6020C" w:rsidRPr="00DD6E6B">
              <w:rPr>
                <w:lang w:val="en-GB"/>
              </w:rPr>
              <w:t>0</w:t>
            </w:r>
            <w:r w:rsidR="00615EBF" w:rsidRPr="00DD6E6B">
              <w:rPr>
                <w:lang w:val="en-GB"/>
              </w:rPr>
              <w:t>.</w:t>
            </w:r>
            <w:r w:rsidR="00C6020C" w:rsidRPr="00DD6E6B">
              <w:rPr>
                <w:lang w:val="en-GB"/>
              </w:rPr>
              <w:t xml:space="preserve">5%). </w:t>
            </w:r>
            <w:r w:rsidR="00615EBF" w:rsidRPr="00DD6E6B">
              <w:rPr>
                <w:lang w:val="en-GB"/>
              </w:rPr>
              <w:t xml:space="preserve">Prices in Cyprus and Malta ranged in the band of stagnation </w:t>
            </w:r>
            <w:r w:rsidR="00C6020C" w:rsidRPr="00DD6E6B">
              <w:rPr>
                <w:lang w:val="en-GB"/>
              </w:rPr>
              <w:t>(</w:t>
            </w:r>
            <w:r w:rsidR="00615EBF" w:rsidRPr="00DD6E6B">
              <w:rPr>
                <w:lang w:val="en-GB"/>
              </w:rPr>
              <w:t xml:space="preserve">they fell similarly by </w:t>
            </w:r>
            <w:r w:rsidR="00C6020C" w:rsidRPr="00DD6E6B">
              <w:rPr>
                <w:lang w:val="en-GB"/>
              </w:rPr>
              <w:t>0</w:t>
            </w:r>
            <w:r w:rsidR="00615EBF" w:rsidRPr="00DD6E6B">
              <w:rPr>
                <w:lang w:val="en-GB"/>
              </w:rPr>
              <w:t>.</w:t>
            </w:r>
            <w:r w:rsidR="00C6020C" w:rsidRPr="00DD6E6B">
              <w:rPr>
                <w:lang w:val="en-GB"/>
              </w:rPr>
              <w:t>1%</w:t>
            </w:r>
            <w:r w:rsidR="00615EBF" w:rsidRPr="00DD6E6B">
              <w:rPr>
                <w:lang w:val="en-GB"/>
              </w:rPr>
              <w:t xml:space="preserve"> quarter-on-quarter</w:t>
            </w:r>
            <w:r w:rsidR="00C6020C" w:rsidRPr="00DD6E6B">
              <w:rPr>
                <w:lang w:val="en-GB"/>
              </w:rPr>
              <w:t xml:space="preserve">), </w:t>
            </w:r>
            <w:r w:rsidR="00A245CC" w:rsidRPr="00DD6E6B">
              <w:rPr>
                <w:lang w:val="en-GB"/>
              </w:rPr>
              <w:t>the decreases were more pronounced elsewhere</w:t>
            </w:r>
            <w:r w:rsidR="00C6020C" w:rsidRPr="00DD6E6B">
              <w:rPr>
                <w:lang w:val="en-GB"/>
              </w:rPr>
              <w:t xml:space="preserve">. </w:t>
            </w:r>
            <w:r w:rsidR="008833D6" w:rsidRPr="00DD6E6B">
              <w:rPr>
                <w:lang w:val="en-GB"/>
              </w:rPr>
              <w:t xml:space="preserve">Prices in Ireland </w:t>
            </w:r>
            <w:r w:rsidR="008D3611">
              <w:rPr>
                <w:lang w:val="en-GB"/>
              </w:rPr>
              <w:t>(</w:t>
            </w:r>
            <w:r w:rsidR="008D3611">
              <w:rPr>
                <w:color w:val="000000"/>
                <w:shd w:val="clear" w:color="auto" w:fill="FFFFFF"/>
              </w:rPr>
              <w:t>–</w:t>
            </w:r>
            <w:r w:rsidR="00C6020C" w:rsidRPr="00DD6E6B">
              <w:rPr>
                <w:lang w:val="en-GB"/>
              </w:rPr>
              <w:t>12</w:t>
            </w:r>
            <w:r w:rsidR="008833D6" w:rsidRPr="00DD6E6B">
              <w:rPr>
                <w:lang w:val="en-GB"/>
              </w:rPr>
              <w:t>.</w:t>
            </w:r>
            <w:r w:rsidR="00C6020C" w:rsidRPr="00DD6E6B">
              <w:rPr>
                <w:lang w:val="en-GB"/>
              </w:rPr>
              <w:t>9%), Belg</w:t>
            </w:r>
            <w:r w:rsidR="008833D6" w:rsidRPr="00DD6E6B">
              <w:rPr>
                <w:lang w:val="en-GB"/>
              </w:rPr>
              <w:t xml:space="preserve">ium </w:t>
            </w:r>
            <w:r w:rsidR="008D3611">
              <w:rPr>
                <w:lang w:val="en-GB"/>
              </w:rPr>
              <w:t>(</w:t>
            </w:r>
            <w:r w:rsidR="008D3611">
              <w:rPr>
                <w:color w:val="000000"/>
                <w:shd w:val="clear" w:color="auto" w:fill="FFFFFF"/>
              </w:rPr>
              <w:t>–</w:t>
            </w:r>
            <w:r w:rsidR="00C6020C" w:rsidRPr="00DD6E6B">
              <w:rPr>
                <w:lang w:val="en-GB"/>
              </w:rPr>
              <w:t>12</w:t>
            </w:r>
            <w:r w:rsidR="008833D6" w:rsidRPr="00DD6E6B">
              <w:rPr>
                <w:lang w:val="en-GB"/>
              </w:rPr>
              <w:t>.</w:t>
            </w:r>
            <w:r w:rsidR="00C6020C" w:rsidRPr="00DD6E6B">
              <w:rPr>
                <w:lang w:val="en-GB"/>
              </w:rPr>
              <w:t>3%) a</w:t>
            </w:r>
            <w:r w:rsidR="008833D6" w:rsidRPr="00DD6E6B">
              <w:rPr>
                <w:lang w:val="en-GB"/>
              </w:rPr>
              <w:t xml:space="preserve">nd Italy </w:t>
            </w:r>
            <w:r w:rsidR="008D3611">
              <w:rPr>
                <w:lang w:val="en-GB"/>
              </w:rPr>
              <w:t>(</w:t>
            </w:r>
            <w:r w:rsidR="008D3611">
              <w:rPr>
                <w:color w:val="000000"/>
                <w:shd w:val="clear" w:color="auto" w:fill="FFFFFF"/>
              </w:rPr>
              <w:t>–</w:t>
            </w:r>
            <w:r w:rsidR="00C6020C" w:rsidRPr="00DD6E6B">
              <w:rPr>
                <w:lang w:val="en-GB"/>
              </w:rPr>
              <w:t>10</w:t>
            </w:r>
            <w:r w:rsidR="008833D6" w:rsidRPr="00DD6E6B">
              <w:rPr>
                <w:lang w:val="en-GB"/>
              </w:rPr>
              <w:t>.</w:t>
            </w:r>
            <w:r w:rsidR="00C6020C" w:rsidRPr="00DD6E6B">
              <w:rPr>
                <w:lang w:val="en-GB"/>
              </w:rPr>
              <w:t>2%)</w:t>
            </w:r>
            <w:r w:rsidR="008833D6" w:rsidRPr="00DD6E6B">
              <w:rPr>
                <w:lang w:val="en-GB"/>
              </w:rPr>
              <w:t xml:space="preserve"> featured the strongest quarter-on-quarter slumps in Q2</w:t>
            </w:r>
            <w:r w:rsidR="00C6020C" w:rsidRPr="00DD6E6B">
              <w:rPr>
                <w:lang w:val="en-GB"/>
              </w:rPr>
              <w:t xml:space="preserve">. </w:t>
            </w:r>
          </w:p>
        </w:tc>
      </w:tr>
      <w:tr w:rsidR="00C6020C" w:rsidRPr="00DD6E6B" w14:paraId="40150B66" w14:textId="77777777" w:rsidTr="006849F8">
        <w:trPr>
          <w:trHeight w:val="145"/>
        </w:trPr>
        <w:tc>
          <w:tcPr>
            <w:tcW w:w="1804" w:type="dxa"/>
            <w:shd w:val="clear" w:color="auto" w:fill="auto"/>
            <w:tcMar>
              <w:left w:w="0" w:type="dxa"/>
            </w:tcMar>
          </w:tcPr>
          <w:p w14:paraId="27CAB0F7" w14:textId="6021DEC4" w:rsidR="00C6020C" w:rsidRPr="00DD6E6B" w:rsidRDefault="00795C85" w:rsidP="006849F8">
            <w:pPr>
              <w:pStyle w:val="Marginlie"/>
              <w:rPr>
                <w:spacing w:val="0"/>
                <w:lang w:val="en-GB"/>
              </w:rPr>
            </w:pPr>
            <w:r w:rsidRPr="00DD6E6B">
              <w:rPr>
                <w:spacing w:val="0"/>
                <w:lang w:val="en-GB"/>
              </w:rPr>
              <w:t xml:space="preserve">The growth of prices of construction works slowed down. </w:t>
            </w:r>
          </w:p>
        </w:tc>
        <w:tc>
          <w:tcPr>
            <w:tcW w:w="224" w:type="dxa"/>
            <w:shd w:val="clear" w:color="auto" w:fill="auto"/>
            <w:tcMar>
              <w:left w:w="0" w:type="dxa"/>
            </w:tcMar>
          </w:tcPr>
          <w:p w14:paraId="25F3B18C"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10EF1C15" w14:textId="634C5E6D" w:rsidR="00C6020C" w:rsidRPr="00DD6E6B" w:rsidRDefault="00C6020C" w:rsidP="006849F8">
            <w:pPr>
              <w:rPr>
                <w:lang w:val="en-GB"/>
              </w:rPr>
            </w:pPr>
            <w:r w:rsidRPr="00DD6E6B">
              <w:rPr>
                <w:lang w:val="en-GB"/>
              </w:rPr>
              <w:t>Dynam</w:t>
            </w:r>
            <w:r w:rsidR="00D1276D" w:rsidRPr="00DD6E6B">
              <w:rPr>
                <w:lang w:val="en-GB"/>
              </w:rPr>
              <w:t xml:space="preserve">ics of prices of construction works was also </w:t>
            </w:r>
            <w:r w:rsidR="003B403E" w:rsidRPr="00DD6E6B">
              <w:rPr>
                <w:lang w:val="en-GB"/>
              </w:rPr>
              <w:t>weakening</w:t>
            </w:r>
            <w:r w:rsidR="00D1276D" w:rsidRPr="00DD6E6B">
              <w:rPr>
                <w:lang w:val="en-GB"/>
              </w:rPr>
              <w:t xml:space="preserve">, even though less intensively compared to other indices, since the labour presents a significant item in the costs of construction. </w:t>
            </w:r>
            <w:r w:rsidR="003B403E" w:rsidRPr="00DD6E6B">
              <w:rPr>
                <w:lang w:val="en-GB"/>
              </w:rPr>
              <w:t>Prices of construction works were based on estimates higher by 0.8% quarter-on-quarter in Q</w:t>
            </w:r>
            <w:r w:rsidRPr="00DD6E6B">
              <w:rPr>
                <w:lang w:val="en-GB"/>
              </w:rPr>
              <w:t>2</w:t>
            </w:r>
            <w:r w:rsidR="003B403E" w:rsidRPr="00DD6E6B">
              <w:rPr>
                <w:lang w:val="en-GB"/>
              </w:rPr>
              <w:t xml:space="preserve"> and grew by </w:t>
            </w:r>
            <w:r w:rsidRPr="00DD6E6B">
              <w:rPr>
                <w:lang w:val="en-GB"/>
              </w:rPr>
              <w:t>6</w:t>
            </w:r>
            <w:r w:rsidR="003B403E" w:rsidRPr="00DD6E6B">
              <w:rPr>
                <w:lang w:val="en-GB"/>
              </w:rPr>
              <w:t>.</w:t>
            </w:r>
            <w:r w:rsidRPr="00DD6E6B">
              <w:rPr>
                <w:lang w:val="en-GB"/>
              </w:rPr>
              <w:t>9%</w:t>
            </w:r>
            <w:r w:rsidR="003B403E" w:rsidRPr="00DD6E6B">
              <w:rPr>
                <w:lang w:val="en-GB"/>
              </w:rPr>
              <w:t xml:space="preserve"> year-on-year</w:t>
            </w:r>
            <w:r w:rsidRPr="00DD6E6B">
              <w:rPr>
                <w:lang w:val="en-GB"/>
              </w:rPr>
              <w:t xml:space="preserve">. </w:t>
            </w:r>
            <w:r w:rsidR="00812F19" w:rsidRPr="00DD6E6B">
              <w:rPr>
                <w:lang w:val="en-GB"/>
              </w:rPr>
              <w:t xml:space="preserve">As estimated, materials and products used in construction experienced a mild quarter-on-quarter decrease by </w:t>
            </w:r>
            <w:r w:rsidRPr="00DD6E6B">
              <w:rPr>
                <w:lang w:val="en-GB"/>
              </w:rPr>
              <w:t>0</w:t>
            </w:r>
            <w:r w:rsidR="00812F19" w:rsidRPr="00DD6E6B">
              <w:rPr>
                <w:lang w:val="en-GB"/>
              </w:rPr>
              <w:t>.</w:t>
            </w:r>
            <w:r w:rsidRPr="00DD6E6B">
              <w:rPr>
                <w:lang w:val="en-GB"/>
              </w:rPr>
              <w:t>1% a</w:t>
            </w:r>
            <w:r w:rsidR="00812F19" w:rsidRPr="00DD6E6B">
              <w:rPr>
                <w:lang w:val="en-GB"/>
              </w:rPr>
              <w:t xml:space="preserve">nd the year-on-year growth moderated to </w:t>
            </w:r>
            <w:r w:rsidRPr="00DD6E6B">
              <w:rPr>
                <w:lang w:val="en-GB"/>
              </w:rPr>
              <w:t>3</w:t>
            </w:r>
            <w:r w:rsidR="00812F19" w:rsidRPr="00DD6E6B">
              <w:rPr>
                <w:lang w:val="en-GB"/>
              </w:rPr>
              <w:t>.</w:t>
            </w:r>
            <w:r w:rsidRPr="00DD6E6B">
              <w:rPr>
                <w:lang w:val="en-GB"/>
              </w:rPr>
              <w:t>2%</w:t>
            </w:r>
            <w:r w:rsidR="00812F19" w:rsidRPr="00DD6E6B">
              <w:rPr>
                <w:lang w:val="en-GB"/>
              </w:rPr>
              <w:t xml:space="preserve"> here</w:t>
            </w:r>
            <w:r w:rsidRPr="00DD6E6B">
              <w:rPr>
                <w:lang w:val="en-GB"/>
              </w:rPr>
              <w:t>.</w:t>
            </w:r>
          </w:p>
        </w:tc>
      </w:tr>
      <w:tr w:rsidR="00C6020C" w:rsidRPr="00DD6E6B" w14:paraId="4C3218BD" w14:textId="77777777" w:rsidTr="006849F8">
        <w:trPr>
          <w:trHeight w:val="145"/>
        </w:trPr>
        <w:tc>
          <w:tcPr>
            <w:tcW w:w="1804" w:type="dxa"/>
            <w:shd w:val="clear" w:color="auto" w:fill="auto"/>
            <w:tcMar>
              <w:left w:w="0" w:type="dxa"/>
            </w:tcMar>
          </w:tcPr>
          <w:p w14:paraId="0263239F" w14:textId="3F4D8758" w:rsidR="00C6020C" w:rsidRPr="00DD6E6B" w:rsidRDefault="00D62FE9" w:rsidP="006849F8">
            <w:pPr>
              <w:pStyle w:val="Marginlie"/>
              <w:rPr>
                <w:spacing w:val="0"/>
                <w:lang w:val="en-GB"/>
              </w:rPr>
            </w:pPr>
            <w:r w:rsidRPr="00DD6E6B">
              <w:rPr>
                <w:spacing w:val="0"/>
                <w:lang w:val="en-GB"/>
              </w:rPr>
              <w:t xml:space="preserve">Year-on-year growth of prices of market services strengthened. </w:t>
            </w:r>
          </w:p>
        </w:tc>
        <w:tc>
          <w:tcPr>
            <w:tcW w:w="224" w:type="dxa"/>
            <w:shd w:val="clear" w:color="auto" w:fill="auto"/>
            <w:tcMar>
              <w:left w:w="0" w:type="dxa"/>
            </w:tcMar>
          </w:tcPr>
          <w:p w14:paraId="305A3CE4"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10DEBE2A" w14:textId="7D897A68" w:rsidR="00C6020C" w:rsidRPr="00DD6E6B" w:rsidRDefault="00F53757" w:rsidP="006849F8">
            <w:pPr>
              <w:rPr>
                <w:lang w:val="en-GB"/>
              </w:rPr>
            </w:pPr>
            <w:r w:rsidRPr="00DD6E6B">
              <w:rPr>
                <w:lang w:val="en-GB"/>
              </w:rPr>
              <w:t>Prices of mar</w:t>
            </w:r>
            <w:r w:rsidR="00D62FE9" w:rsidRPr="00DD6E6B">
              <w:rPr>
                <w:lang w:val="en-GB"/>
              </w:rPr>
              <w:t>ket</w:t>
            </w:r>
            <w:r w:rsidRPr="00DD6E6B">
              <w:rPr>
                <w:lang w:val="en-GB"/>
              </w:rPr>
              <w:t xml:space="preserve"> services </w:t>
            </w:r>
            <w:r w:rsidR="00D62FE9" w:rsidRPr="00DD6E6B">
              <w:rPr>
                <w:lang w:val="en-GB"/>
              </w:rPr>
              <w:t xml:space="preserve">were raised by </w:t>
            </w:r>
            <w:r w:rsidR="00C6020C" w:rsidRPr="00DD6E6B">
              <w:rPr>
                <w:lang w:val="en-GB"/>
              </w:rPr>
              <w:t>6</w:t>
            </w:r>
            <w:r w:rsidR="00D62FE9" w:rsidRPr="00DD6E6B">
              <w:rPr>
                <w:lang w:val="en-GB"/>
              </w:rPr>
              <w:t>.</w:t>
            </w:r>
            <w:r w:rsidR="00C6020C" w:rsidRPr="00DD6E6B">
              <w:rPr>
                <w:lang w:val="en-GB"/>
              </w:rPr>
              <w:t>3%</w:t>
            </w:r>
            <w:r w:rsidR="00D62FE9" w:rsidRPr="00DD6E6B">
              <w:rPr>
                <w:lang w:val="en-GB"/>
              </w:rPr>
              <w:t xml:space="preserve"> year-on-year in Q2</w:t>
            </w:r>
            <w:r w:rsidR="00C6020C" w:rsidRPr="00DD6E6B">
              <w:rPr>
                <w:lang w:val="en-GB"/>
              </w:rPr>
              <w:t xml:space="preserve">. </w:t>
            </w:r>
            <w:r w:rsidR="00A423DE" w:rsidRPr="00DD6E6B">
              <w:rPr>
                <w:lang w:val="en-GB"/>
              </w:rPr>
              <w:t>The pace of growth thus</w:t>
            </w:r>
            <w:r w:rsidR="004A076F" w:rsidRPr="00DD6E6B">
              <w:rPr>
                <w:lang w:val="en-GB"/>
              </w:rPr>
              <w:t xml:space="preserve"> accelerated compared to the previous quarter. Prices of market services increased by </w:t>
            </w:r>
            <w:r w:rsidR="00C6020C" w:rsidRPr="00DD6E6B">
              <w:rPr>
                <w:lang w:val="en-GB"/>
              </w:rPr>
              <w:t>2</w:t>
            </w:r>
            <w:r w:rsidR="004A076F" w:rsidRPr="00DD6E6B">
              <w:rPr>
                <w:lang w:val="en-GB"/>
              </w:rPr>
              <w:t>.</w:t>
            </w:r>
            <w:r w:rsidR="00C6020C" w:rsidRPr="00DD6E6B">
              <w:rPr>
                <w:lang w:val="en-GB"/>
              </w:rPr>
              <w:t>8%</w:t>
            </w:r>
            <w:r w:rsidR="004A076F" w:rsidRPr="00DD6E6B">
              <w:rPr>
                <w:lang w:val="en-GB"/>
              </w:rPr>
              <w:t xml:space="preserve"> quarter-on-quarter</w:t>
            </w:r>
            <w:r w:rsidR="00C6020C" w:rsidRPr="00DD6E6B">
              <w:rPr>
                <w:lang w:val="en-GB"/>
              </w:rPr>
              <w:t>.</w:t>
            </w:r>
            <w:r w:rsidR="004A076F" w:rsidRPr="00DD6E6B">
              <w:rPr>
                <w:lang w:val="en-GB"/>
              </w:rPr>
              <w:t xml:space="preserve"> The development of services was influenced by strengthening wages, which represent a significant cost item here. </w:t>
            </w:r>
            <w:r w:rsidR="00100FBC" w:rsidRPr="00DD6E6B">
              <w:rPr>
                <w:lang w:val="en-GB"/>
              </w:rPr>
              <w:t xml:space="preserve">The development of prices of services in the area of programming and associated consultancy, which went up by </w:t>
            </w:r>
            <w:r w:rsidR="00C6020C" w:rsidRPr="00DD6E6B">
              <w:rPr>
                <w:lang w:val="en-GB"/>
              </w:rPr>
              <w:t>9</w:t>
            </w:r>
            <w:r w:rsidR="00100FBC" w:rsidRPr="00DD6E6B">
              <w:rPr>
                <w:lang w:val="en-GB"/>
              </w:rPr>
              <w:t>.</w:t>
            </w:r>
            <w:r w:rsidR="00C6020C" w:rsidRPr="00DD6E6B">
              <w:rPr>
                <w:lang w:val="en-GB"/>
              </w:rPr>
              <w:t>5%</w:t>
            </w:r>
            <w:r w:rsidR="00100FBC" w:rsidRPr="00DD6E6B">
              <w:rPr>
                <w:lang w:val="en-GB"/>
              </w:rPr>
              <w:t xml:space="preserve"> contributed the most to the year-on-year growth</w:t>
            </w:r>
            <w:r w:rsidR="00C6020C" w:rsidRPr="00DD6E6B">
              <w:rPr>
                <w:lang w:val="en-GB"/>
              </w:rPr>
              <w:t xml:space="preserve">. </w:t>
            </w:r>
            <w:r w:rsidR="00343CD0" w:rsidRPr="00DD6E6B">
              <w:rPr>
                <w:lang w:val="en-GB"/>
              </w:rPr>
              <w:t xml:space="preserve">The effect of prices of land transport and transport via pipeline </w:t>
            </w:r>
            <w:r w:rsidR="00C6020C" w:rsidRPr="00DD6E6B">
              <w:rPr>
                <w:lang w:val="en-GB"/>
              </w:rPr>
              <w:t>(</w:t>
            </w:r>
            <w:r w:rsidR="00343CD0" w:rsidRPr="00DD6E6B">
              <w:rPr>
                <w:lang w:val="en-GB"/>
              </w:rPr>
              <w:t xml:space="preserve">year-on-year increase </w:t>
            </w:r>
            <w:r w:rsidR="00C6020C" w:rsidRPr="00DD6E6B">
              <w:rPr>
                <w:lang w:val="en-GB"/>
              </w:rPr>
              <w:t>5</w:t>
            </w:r>
            <w:r w:rsidR="00343CD0" w:rsidRPr="00DD6E6B">
              <w:rPr>
                <w:lang w:val="en-GB"/>
              </w:rPr>
              <w:t>.</w:t>
            </w:r>
            <w:r w:rsidR="00C6020C" w:rsidRPr="00DD6E6B">
              <w:rPr>
                <w:lang w:val="en-GB"/>
              </w:rPr>
              <w:t>3%), s</w:t>
            </w:r>
            <w:r w:rsidR="00343CD0" w:rsidRPr="00DD6E6B">
              <w:rPr>
                <w:lang w:val="en-GB"/>
              </w:rPr>
              <w:t xml:space="preserve">ervices in the area of real estate </w:t>
            </w:r>
            <w:r w:rsidR="00C6020C" w:rsidRPr="00DD6E6B">
              <w:rPr>
                <w:lang w:val="en-GB"/>
              </w:rPr>
              <w:t>(7</w:t>
            </w:r>
            <w:r w:rsidR="00343CD0" w:rsidRPr="00DD6E6B">
              <w:rPr>
                <w:lang w:val="en-GB"/>
              </w:rPr>
              <w:t>.</w:t>
            </w:r>
            <w:r w:rsidR="00C6020C" w:rsidRPr="00DD6E6B">
              <w:rPr>
                <w:lang w:val="en-GB"/>
              </w:rPr>
              <w:t>1%) a</w:t>
            </w:r>
            <w:r w:rsidR="00343CD0" w:rsidRPr="00DD6E6B">
              <w:rPr>
                <w:lang w:val="en-GB"/>
              </w:rPr>
              <w:t xml:space="preserve">nd services in the area of employment </w:t>
            </w:r>
            <w:r w:rsidR="00C6020C" w:rsidRPr="00DD6E6B">
              <w:rPr>
                <w:lang w:val="en-GB"/>
              </w:rPr>
              <w:t>(25</w:t>
            </w:r>
            <w:r w:rsidR="00343CD0" w:rsidRPr="00DD6E6B">
              <w:rPr>
                <w:lang w:val="en-GB"/>
              </w:rPr>
              <w:t>.</w:t>
            </w:r>
            <w:r w:rsidR="00C6020C" w:rsidRPr="00DD6E6B">
              <w:rPr>
                <w:lang w:val="en-GB"/>
              </w:rPr>
              <w:t>2%)</w:t>
            </w:r>
            <w:r w:rsidR="00100FBC" w:rsidRPr="00DD6E6B">
              <w:rPr>
                <w:lang w:val="en-GB"/>
              </w:rPr>
              <w:t xml:space="preserve"> was also strong</w:t>
            </w:r>
            <w:r w:rsidR="00C6020C" w:rsidRPr="00DD6E6B">
              <w:rPr>
                <w:lang w:val="en-GB"/>
              </w:rPr>
              <w:t xml:space="preserve">. </w:t>
            </w:r>
            <w:r w:rsidR="00156B1D" w:rsidRPr="00DD6E6B">
              <w:rPr>
                <w:lang w:val="en-GB"/>
              </w:rPr>
              <w:t xml:space="preserve">Strengthening of the year-on-year increase of the prices of advertising and market research </w:t>
            </w:r>
            <w:r w:rsidR="00C6020C" w:rsidRPr="00DD6E6B">
              <w:rPr>
                <w:lang w:val="en-GB"/>
              </w:rPr>
              <w:t>(6</w:t>
            </w:r>
            <w:r w:rsidR="00100FBC" w:rsidRPr="00DD6E6B">
              <w:rPr>
                <w:lang w:val="en-GB"/>
              </w:rPr>
              <w:t>.</w:t>
            </w:r>
            <w:r w:rsidR="00C6020C" w:rsidRPr="00DD6E6B">
              <w:rPr>
                <w:lang w:val="en-GB"/>
              </w:rPr>
              <w:t>4%)</w:t>
            </w:r>
            <w:r w:rsidR="00100FBC" w:rsidRPr="00DD6E6B">
              <w:rPr>
                <w:lang w:val="en-GB"/>
              </w:rPr>
              <w:t xml:space="preserve"> also had </w:t>
            </w:r>
            <w:r w:rsidR="008A428D" w:rsidRPr="00DD6E6B">
              <w:rPr>
                <w:lang w:val="en-GB"/>
              </w:rPr>
              <w:t>a</w:t>
            </w:r>
            <w:r w:rsidR="00100FBC" w:rsidRPr="00DD6E6B">
              <w:rPr>
                <w:lang w:val="en-GB"/>
              </w:rPr>
              <w:t xml:space="preserve"> notable effect on the prices of market services and </w:t>
            </w:r>
            <w:r w:rsidR="003472DE" w:rsidRPr="00DD6E6B">
              <w:rPr>
                <w:lang w:val="en-GB"/>
              </w:rPr>
              <w:t xml:space="preserve">raised prices of services associated with </w:t>
            </w:r>
            <w:r w:rsidR="00BB1A13" w:rsidRPr="00DD6E6B">
              <w:rPr>
                <w:lang w:val="en-GB"/>
              </w:rPr>
              <w:t xml:space="preserve">services to buildings and landscape activities </w:t>
            </w:r>
            <w:r w:rsidR="00C6020C" w:rsidRPr="00DD6E6B">
              <w:rPr>
                <w:lang w:val="en-GB"/>
              </w:rPr>
              <w:t>(13</w:t>
            </w:r>
            <w:r w:rsidR="00BB1A13" w:rsidRPr="00DD6E6B">
              <w:rPr>
                <w:lang w:val="en-GB"/>
              </w:rPr>
              <w:t>.</w:t>
            </w:r>
            <w:r w:rsidR="00C6020C" w:rsidRPr="00DD6E6B">
              <w:rPr>
                <w:lang w:val="en-GB"/>
              </w:rPr>
              <w:t xml:space="preserve">7%), </w:t>
            </w:r>
            <w:r w:rsidR="00BB1A13" w:rsidRPr="00DD6E6B">
              <w:rPr>
                <w:lang w:val="en-GB"/>
              </w:rPr>
              <w:t xml:space="preserve">information services </w:t>
            </w:r>
            <w:r w:rsidR="00C6020C" w:rsidRPr="00DD6E6B">
              <w:rPr>
                <w:lang w:val="en-GB"/>
              </w:rPr>
              <w:t>(12</w:t>
            </w:r>
            <w:r w:rsidR="00BB1A13" w:rsidRPr="00DD6E6B">
              <w:rPr>
                <w:lang w:val="en-GB"/>
              </w:rPr>
              <w:t>.</w:t>
            </w:r>
            <w:r w:rsidR="00C6020C" w:rsidRPr="00DD6E6B">
              <w:rPr>
                <w:lang w:val="en-GB"/>
              </w:rPr>
              <w:t>8%), po</w:t>
            </w:r>
            <w:r w:rsidR="00BB1A13" w:rsidRPr="00DD6E6B">
              <w:rPr>
                <w:lang w:val="en-GB"/>
              </w:rPr>
              <w:t xml:space="preserve">stal and courier services </w:t>
            </w:r>
            <w:r w:rsidR="00C6020C" w:rsidRPr="00DD6E6B">
              <w:rPr>
                <w:lang w:val="en-GB"/>
              </w:rPr>
              <w:t>(8</w:t>
            </w:r>
            <w:r w:rsidR="00BB1A13" w:rsidRPr="00DD6E6B">
              <w:rPr>
                <w:lang w:val="en-GB"/>
              </w:rPr>
              <w:t>.</w:t>
            </w:r>
            <w:r w:rsidR="00C6020C" w:rsidRPr="00DD6E6B">
              <w:rPr>
                <w:lang w:val="en-GB"/>
              </w:rPr>
              <w:t>0%), s</w:t>
            </w:r>
            <w:r w:rsidR="00BB1A13" w:rsidRPr="00DD6E6B">
              <w:rPr>
                <w:lang w:val="en-GB"/>
              </w:rPr>
              <w:t xml:space="preserve">ervices in the area of lease and operative lease </w:t>
            </w:r>
            <w:r w:rsidR="00C6020C" w:rsidRPr="00DD6E6B">
              <w:rPr>
                <w:lang w:val="en-GB"/>
              </w:rPr>
              <w:t>(5</w:t>
            </w:r>
            <w:r w:rsidR="00BB1A13" w:rsidRPr="00DD6E6B">
              <w:rPr>
                <w:lang w:val="en-GB"/>
              </w:rPr>
              <w:t>.</w:t>
            </w:r>
            <w:r w:rsidR="00C6020C" w:rsidRPr="00DD6E6B">
              <w:rPr>
                <w:lang w:val="en-GB"/>
              </w:rPr>
              <w:t>6%), archite</w:t>
            </w:r>
            <w:r w:rsidR="00BB1A13" w:rsidRPr="00DD6E6B">
              <w:rPr>
                <w:lang w:val="en-GB"/>
              </w:rPr>
              <w:t xml:space="preserve">ctural and engineering services, </w:t>
            </w:r>
            <w:r w:rsidR="0031701C" w:rsidRPr="00DD6E6B">
              <w:rPr>
                <w:lang w:val="en-GB"/>
              </w:rPr>
              <w:t xml:space="preserve">technical testing and analysis </w:t>
            </w:r>
            <w:r w:rsidR="00C6020C" w:rsidRPr="00DD6E6B">
              <w:rPr>
                <w:lang w:val="en-GB"/>
              </w:rPr>
              <w:t>(4</w:t>
            </w:r>
            <w:r w:rsidR="0031701C" w:rsidRPr="00DD6E6B">
              <w:rPr>
                <w:lang w:val="en-GB"/>
              </w:rPr>
              <w:t>.</w:t>
            </w:r>
            <w:r w:rsidR="00C6020C" w:rsidRPr="00DD6E6B">
              <w:rPr>
                <w:lang w:val="en-GB"/>
              </w:rPr>
              <w:t xml:space="preserve">1%), </w:t>
            </w:r>
            <w:r w:rsidR="0031701C" w:rsidRPr="00DD6E6B">
              <w:rPr>
                <w:lang w:val="en-GB"/>
              </w:rPr>
              <w:t xml:space="preserve">warehousing and support activities for transportation </w:t>
            </w:r>
            <w:r w:rsidR="00C6020C" w:rsidRPr="00DD6E6B">
              <w:rPr>
                <w:lang w:val="en-GB"/>
              </w:rPr>
              <w:t>(3</w:t>
            </w:r>
            <w:r w:rsidR="0031701C" w:rsidRPr="00DD6E6B">
              <w:rPr>
                <w:lang w:val="en-GB"/>
              </w:rPr>
              <w:t>.</w:t>
            </w:r>
            <w:r w:rsidR="00C6020C" w:rsidRPr="00DD6E6B">
              <w:rPr>
                <w:lang w:val="en-GB"/>
              </w:rPr>
              <w:t>6%)</w:t>
            </w:r>
            <w:r w:rsidR="0031701C" w:rsidRPr="00DD6E6B">
              <w:rPr>
                <w:lang w:val="en-GB"/>
              </w:rPr>
              <w:t xml:space="preserve"> or insurance, reinsurance and pension funding </w:t>
            </w:r>
            <w:r w:rsidR="00C6020C" w:rsidRPr="00DD6E6B">
              <w:rPr>
                <w:lang w:val="en-GB"/>
              </w:rPr>
              <w:t>(2</w:t>
            </w:r>
            <w:r w:rsidR="0031701C" w:rsidRPr="00DD6E6B">
              <w:rPr>
                <w:lang w:val="en-GB"/>
              </w:rPr>
              <w:t>.</w:t>
            </w:r>
            <w:r w:rsidR="00C6020C" w:rsidRPr="00DD6E6B">
              <w:rPr>
                <w:lang w:val="en-GB"/>
              </w:rPr>
              <w:t>9%)</w:t>
            </w:r>
            <w:r w:rsidR="00100FBC" w:rsidRPr="00DD6E6B">
              <w:rPr>
                <w:lang w:val="en-GB"/>
              </w:rPr>
              <w:t xml:space="preserve"> had an impact</w:t>
            </w:r>
            <w:r w:rsidR="00C6020C" w:rsidRPr="00DD6E6B">
              <w:rPr>
                <w:lang w:val="en-GB"/>
              </w:rPr>
              <w:t>.</w:t>
            </w:r>
          </w:p>
        </w:tc>
      </w:tr>
      <w:tr w:rsidR="00C6020C" w:rsidRPr="00DD6E6B" w14:paraId="74526FB3" w14:textId="77777777" w:rsidTr="006849F8">
        <w:trPr>
          <w:trHeight w:val="145"/>
        </w:trPr>
        <w:tc>
          <w:tcPr>
            <w:tcW w:w="1804" w:type="dxa"/>
            <w:shd w:val="clear" w:color="auto" w:fill="auto"/>
            <w:tcMar>
              <w:left w:w="0" w:type="dxa"/>
            </w:tcMar>
          </w:tcPr>
          <w:p w14:paraId="38EBEF71" w14:textId="18EE5873" w:rsidR="00C6020C" w:rsidRPr="00DD6E6B" w:rsidRDefault="00343CD0" w:rsidP="006849F8">
            <w:pPr>
              <w:pStyle w:val="Marginlie"/>
              <w:rPr>
                <w:spacing w:val="0"/>
                <w:lang w:val="en-GB"/>
              </w:rPr>
            </w:pPr>
            <w:r w:rsidRPr="00DD6E6B">
              <w:rPr>
                <w:spacing w:val="0"/>
                <w:lang w:val="en-GB"/>
              </w:rPr>
              <w:lastRenderedPageBreak/>
              <w:t>Prices of agricultural produc</w:t>
            </w:r>
            <w:r w:rsidR="00796F41">
              <w:rPr>
                <w:spacing w:val="0"/>
                <w:lang w:val="en-GB"/>
              </w:rPr>
              <w:t>ts</w:t>
            </w:r>
            <w:r w:rsidRPr="00DD6E6B">
              <w:rPr>
                <w:spacing w:val="0"/>
                <w:lang w:val="en-GB"/>
              </w:rPr>
              <w:t xml:space="preserve"> were falling. </w:t>
            </w:r>
            <w:r w:rsidR="00BB71D2" w:rsidRPr="00DD6E6B">
              <w:rPr>
                <w:spacing w:val="0"/>
                <w:lang w:val="en-GB"/>
              </w:rPr>
              <w:t xml:space="preserve">Mainly prices of the </w:t>
            </w:r>
            <w:r w:rsidR="00796F41">
              <w:rPr>
                <w:spacing w:val="0"/>
                <w:lang w:val="en-GB"/>
              </w:rPr>
              <w:t>crop</w:t>
            </w:r>
            <w:r w:rsidR="00BB71D2" w:rsidRPr="00DD6E6B">
              <w:rPr>
                <w:spacing w:val="0"/>
                <w:lang w:val="en-GB"/>
              </w:rPr>
              <w:t xml:space="preserve"> product</w:t>
            </w:r>
            <w:r w:rsidR="00796F41">
              <w:rPr>
                <w:spacing w:val="0"/>
                <w:lang w:val="en-GB"/>
              </w:rPr>
              <w:t>s</w:t>
            </w:r>
            <w:r w:rsidR="00BB71D2" w:rsidRPr="00DD6E6B">
              <w:rPr>
                <w:spacing w:val="0"/>
                <w:lang w:val="en-GB"/>
              </w:rPr>
              <w:t xml:space="preserve"> were falling. </w:t>
            </w:r>
          </w:p>
        </w:tc>
        <w:tc>
          <w:tcPr>
            <w:tcW w:w="224" w:type="dxa"/>
            <w:shd w:val="clear" w:color="auto" w:fill="auto"/>
            <w:tcMar>
              <w:left w:w="0" w:type="dxa"/>
            </w:tcMar>
          </w:tcPr>
          <w:p w14:paraId="4E4D814A"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0E65D96A" w14:textId="3035D47F" w:rsidR="00C6020C" w:rsidRPr="00DD6E6B" w:rsidRDefault="00BA0986" w:rsidP="006849F8">
            <w:pPr>
              <w:rPr>
                <w:lang w:val="en-GB"/>
              </w:rPr>
            </w:pPr>
            <w:r w:rsidRPr="00DD6E6B">
              <w:rPr>
                <w:lang w:val="en-GB"/>
              </w:rPr>
              <w:t>Prices of agricultural produc</w:t>
            </w:r>
            <w:r w:rsidR="00CA4B39">
              <w:rPr>
                <w:lang w:val="en-GB"/>
              </w:rPr>
              <w:t xml:space="preserve">ts </w:t>
            </w:r>
            <w:r w:rsidRPr="00DD6E6B">
              <w:rPr>
                <w:lang w:val="en-GB"/>
              </w:rPr>
              <w:t>including fish</w:t>
            </w:r>
            <w:r w:rsidR="00CA4B39">
              <w:rPr>
                <w:lang w:val="en-GB"/>
              </w:rPr>
              <w:t>es</w:t>
            </w:r>
            <w:r w:rsidRPr="00DD6E6B">
              <w:rPr>
                <w:lang w:val="en-GB"/>
              </w:rPr>
              <w:t xml:space="preserve"> slumped by 8.1% year-on-year in Q</w:t>
            </w:r>
            <w:r w:rsidR="00C6020C" w:rsidRPr="00DD6E6B">
              <w:rPr>
                <w:lang w:val="en-GB"/>
              </w:rPr>
              <w:t xml:space="preserve">2. </w:t>
            </w:r>
            <w:r w:rsidR="00403BBF" w:rsidRPr="00DD6E6B">
              <w:rPr>
                <w:lang w:val="en-GB"/>
              </w:rPr>
              <w:t xml:space="preserve">It was the first year-on-year decrease since the end of year </w:t>
            </w:r>
            <w:r w:rsidR="00C6020C" w:rsidRPr="00DD6E6B">
              <w:rPr>
                <w:lang w:val="en-GB"/>
              </w:rPr>
              <w:t xml:space="preserve">2020. </w:t>
            </w:r>
            <w:r w:rsidR="00403BBF" w:rsidRPr="00DD6E6B">
              <w:rPr>
                <w:lang w:val="en-GB"/>
              </w:rPr>
              <w:t xml:space="preserve">Only prices of the </w:t>
            </w:r>
            <w:r w:rsidR="00CA4B39">
              <w:rPr>
                <w:lang w:val="en-GB"/>
              </w:rPr>
              <w:t xml:space="preserve">crop </w:t>
            </w:r>
            <w:r w:rsidR="00403BBF" w:rsidRPr="00DD6E6B">
              <w:rPr>
                <w:lang w:val="en-GB"/>
              </w:rPr>
              <w:t>product</w:t>
            </w:r>
            <w:r w:rsidR="00CA4B39">
              <w:rPr>
                <w:lang w:val="en-GB"/>
              </w:rPr>
              <w:t>s</w:t>
            </w:r>
            <w:r w:rsidR="00403BBF" w:rsidRPr="00DD6E6B">
              <w:rPr>
                <w:lang w:val="en-GB"/>
              </w:rPr>
              <w:t xml:space="preserve"> were falling year-on-year </w:t>
            </w:r>
            <w:r w:rsidR="00C6020C" w:rsidRPr="00DD6E6B">
              <w:rPr>
                <w:lang w:val="en-GB"/>
              </w:rPr>
              <w:t>(−20</w:t>
            </w:r>
            <w:r w:rsidR="00403BBF" w:rsidRPr="00DD6E6B">
              <w:rPr>
                <w:lang w:val="en-GB"/>
              </w:rPr>
              <w:t>.</w:t>
            </w:r>
            <w:r w:rsidR="00C6020C" w:rsidRPr="00DD6E6B">
              <w:rPr>
                <w:lang w:val="en-GB"/>
              </w:rPr>
              <w:t>8%)</w:t>
            </w:r>
            <w:r w:rsidR="00403BBF" w:rsidRPr="00DD6E6B">
              <w:rPr>
                <w:lang w:val="en-GB"/>
              </w:rPr>
              <w:t xml:space="preserve"> but the increase slowed down for the </w:t>
            </w:r>
            <w:r w:rsidR="00CA4B39">
              <w:rPr>
                <w:lang w:val="en-GB"/>
              </w:rPr>
              <w:t xml:space="preserve">animals and </w:t>
            </w:r>
            <w:r w:rsidR="00403BBF" w:rsidRPr="00DD6E6B">
              <w:rPr>
                <w:lang w:val="en-GB"/>
              </w:rPr>
              <w:t>animal product</w:t>
            </w:r>
            <w:r w:rsidR="00CA4B39">
              <w:rPr>
                <w:lang w:val="en-GB"/>
              </w:rPr>
              <w:t>s</w:t>
            </w:r>
            <w:r w:rsidR="00403BBF" w:rsidRPr="00DD6E6B">
              <w:rPr>
                <w:lang w:val="en-GB"/>
              </w:rPr>
              <w:t xml:space="preserve"> to </w:t>
            </w:r>
            <w:r w:rsidR="00C6020C" w:rsidRPr="00DD6E6B">
              <w:rPr>
                <w:lang w:val="en-GB"/>
              </w:rPr>
              <w:t>12</w:t>
            </w:r>
            <w:r w:rsidR="00403BBF" w:rsidRPr="00DD6E6B">
              <w:rPr>
                <w:lang w:val="en-GB"/>
              </w:rPr>
              <w:t>.</w:t>
            </w:r>
            <w:r w:rsidR="00C6020C" w:rsidRPr="00DD6E6B">
              <w:rPr>
                <w:lang w:val="en-GB"/>
              </w:rPr>
              <w:t xml:space="preserve">4%. </w:t>
            </w:r>
            <w:r w:rsidR="00403BBF" w:rsidRPr="00DD6E6B">
              <w:rPr>
                <w:lang w:val="en-GB"/>
              </w:rPr>
              <w:t>Quarter-on-quarter, the prices of agricultural produc</w:t>
            </w:r>
            <w:r w:rsidR="00CA4B39">
              <w:rPr>
                <w:lang w:val="en-GB"/>
              </w:rPr>
              <w:t>ts</w:t>
            </w:r>
            <w:r w:rsidR="00403BBF" w:rsidRPr="00DD6E6B">
              <w:rPr>
                <w:lang w:val="en-GB"/>
              </w:rPr>
              <w:t xml:space="preserve"> lowered by marked </w:t>
            </w:r>
            <w:r w:rsidR="00C6020C" w:rsidRPr="00DD6E6B">
              <w:rPr>
                <w:lang w:val="en-GB"/>
              </w:rPr>
              <w:t>9</w:t>
            </w:r>
            <w:r w:rsidR="00403BBF" w:rsidRPr="00DD6E6B">
              <w:rPr>
                <w:lang w:val="en-GB"/>
              </w:rPr>
              <w:t>.</w:t>
            </w:r>
            <w:r w:rsidR="00C6020C" w:rsidRPr="00DD6E6B">
              <w:rPr>
                <w:lang w:val="en-GB"/>
              </w:rPr>
              <w:t>1% a</w:t>
            </w:r>
            <w:r w:rsidR="00403BBF" w:rsidRPr="00DD6E6B">
              <w:rPr>
                <w:lang w:val="en-GB"/>
              </w:rPr>
              <w:t xml:space="preserve">nd prices of </w:t>
            </w:r>
            <w:r w:rsidR="00DB46D6" w:rsidRPr="00DD6E6B">
              <w:rPr>
                <w:lang w:val="en-GB"/>
              </w:rPr>
              <w:t xml:space="preserve">both </w:t>
            </w:r>
            <w:r w:rsidR="00403BBF" w:rsidRPr="00DD6E6B">
              <w:rPr>
                <w:lang w:val="en-GB"/>
              </w:rPr>
              <w:t xml:space="preserve">the </w:t>
            </w:r>
            <w:r w:rsidR="00CA4B39">
              <w:rPr>
                <w:lang w:val="en-GB"/>
              </w:rPr>
              <w:t>crop</w:t>
            </w:r>
            <w:r w:rsidR="00DB46D6" w:rsidRPr="00DD6E6B">
              <w:rPr>
                <w:lang w:val="en-GB"/>
              </w:rPr>
              <w:t xml:space="preserve"> </w:t>
            </w:r>
            <w:r w:rsidR="00C6020C" w:rsidRPr="00DD6E6B">
              <w:rPr>
                <w:lang w:val="en-GB"/>
              </w:rPr>
              <w:t>(−11</w:t>
            </w:r>
            <w:r w:rsidR="00DB46D6" w:rsidRPr="00DD6E6B">
              <w:rPr>
                <w:lang w:val="en-GB"/>
              </w:rPr>
              <w:t>.</w:t>
            </w:r>
            <w:r w:rsidR="00C6020C" w:rsidRPr="00DD6E6B">
              <w:rPr>
                <w:lang w:val="en-GB"/>
              </w:rPr>
              <w:t>2%)</w:t>
            </w:r>
            <w:r w:rsidR="00DB46D6" w:rsidRPr="00DD6E6B">
              <w:rPr>
                <w:lang w:val="en-GB"/>
              </w:rPr>
              <w:t xml:space="preserve"> and animal </w:t>
            </w:r>
            <w:r w:rsidR="00C6020C" w:rsidRPr="00DD6E6B">
              <w:rPr>
                <w:lang w:val="en-GB"/>
              </w:rPr>
              <w:t>(−6</w:t>
            </w:r>
            <w:r w:rsidR="00DB46D6" w:rsidRPr="00DD6E6B">
              <w:rPr>
                <w:lang w:val="en-GB"/>
              </w:rPr>
              <w:t>.</w:t>
            </w:r>
            <w:r w:rsidR="00C6020C" w:rsidRPr="00DD6E6B">
              <w:rPr>
                <w:lang w:val="en-GB"/>
              </w:rPr>
              <w:t>6%)</w:t>
            </w:r>
            <w:r w:rsidR="00DB46D6" w:rsidRPr="00DD6E6B">
              <w:rPr>
                <w:lang w:val="en-GB"/>
              </w:rPr>
              <w:t xml:space="preserve"> product</w:t>
            </w:r>
            <w:r w:rsidR="00CA4B39">
              <w:rPr>
                <w:lang w:val="en-GB"/>
              </w:rPr>
              <w:t>s</w:t>
            </w:r>
            <w:r w:rsidR="00DB46D6" w:rsidRPr="00DD6E6B">
              <w:rPr>
                <w:lang w:val="en-GB"/>
              </w:rPr>
              <w:t xml:space="preserve"> fell. The year-on-year decrease of prices of </w:t>
            </w:r>
            <w:r w:rsidR="00CA4B39">
              <w:rPr>
                <w:lang w:val="en-GB"/>
              </w:rPr>
              <w:t>crop</w:t>
            </w:r>
            <w:r w:rsidR="00DB46D6" w:rsidRPr="00DD6E6B">
              <w:rPr>
                <w:lang w:val="en-GB"/>
              </w:rPr>
              <w:t xml:space="preserve"> product</w:t>
            </w:r>
            <w:r w:rsidR="00CA4B39">
              <w:rPr>
                <w:lang w:val="en-GB"/>
              </w:rPr>
              <w:t>s</w:t>
            </w:r>
            <w:r w:rsidR="00DB46D6" w:rsidRPr="00DD6E6B">
              <w:rPr>
                <w:lang w:val="en-GB"/>
              </w:rPr>
              <w:t xml:space="preserve"> was mainly affected by the slump of prices of cereals </w:t>
            </w:r>
            <w:r w:rsidR="00C6020C" w:rsidRPr="00DD6E6B">
              <w:rPr>
                <w:lang w:val="en-GB"/>
              </w:rPr>
              <w:t>(−22</w:t>
            </w:r>
            <w:r w:rsidR="00DB46D6" w:rsidRPr="00DD6E6B">
              <w:rPr>
                <w:lang w:val="en-GB"/>
              </w:rPr>
              <w:t>.</w:t>
            </w:r>
            <w:r w:rsidR="00C6020C" w:rsidRPr="00DD6E6B">
              <w:rPr>
                <w:lang w:val="en-GB"/>
              </w:rPr>
              <w:t xml:space="preserve">3%), </w:t>
            </w:r>
            <w:r w:rsidR="00DB46D6" w:rsidRPr="00DD6E6B">
              <w:rPr>
                <w:lang w:val="en-GB"/>
              </w:rPr>
              <w:t xml:space="preserve">in that the prices of wheat plunged by </w:t>
            </w:r>
            <w:r w:rsidR="00C6020C" w:rsidRPr="00DD6E6B">
              <w:rPr>
                <w:lang w:val="en-GB"/>
              </w:rPr>
              <w:t>28</w:t>
            </w:r>
            <w:r w:rsidR="00DB46D6" w:rsidRPr="00DD6E6B">
              <w:rPr>
                <w:lang w:val="en-GB"/>
              </w:rPr>
              <w:t>.</w:t>
            </w:r>
            <w:r w:rsidR="00C6020C" w:rsidRPr="00DD6E6B">
              <w:rPr>
                <w:lang w:val="en-GB"/>
              </w:rPr>
              <w:t xml:space="preserve">0%, </w:t>
            </w:r>
            <w:r w:rsidR="00DB46D6" w:rsidRPr="00DD6E6B">
              <w:rPr>
                <w:lang w:val="en-GB"/>
              </w:rPr>
              <w:t xml:space="preserve">barley by </w:t>
            </w:r>
            <w:r w:rsidR="00C6020C" w:rsidRPr="00DD6E6B">
              <w:rPr>
                <w:lang w:val="en-GB"/>
              </w:rPr>
              <w:t>13</w:t>
            </w:r>
            <w:r w:rsidR="00DB46D6" w:rsidRPr="00DD6E6B">
              <w:rPr>
                <w:lang w:val="en-GB"/>
              </w:rPr>
              <w:t>.</w:t>
            </w:r>
            <w:r w:rsidR="00C6020C" w:rsidRPr="00DD6E6B">
              <w:rPr>
                <w:lang w:val="en-GB"/>
              </w:rPr>
              <w:t>0% a</w:t>
            </w:r>
            <w:r w:rsidR="00DB46D6" w:rsidRPr="00DD6E6B">
              <w:rPr>
                <w:lang w:val="en-GB"/>
              </w:rPr>
              <w:t xml:space="preserve">nd corn by </w:t>
            </w:r>
            <w:r w:rsidR="00C6020C" w:rsidRPr="00DD6E6B">
              <w:rPr>
                <w:lang w:val="en-GB"/>
              </w:rPr>
              <w:t>9</w:t>
            </w:r>
            <w:r w:rsidR="00DB46D6" w:rsidRPr="00DD6E6B">
              <w:rPr>
                <w:lang w:val="en-GB"/>
              </w:rPr>
              <w:t>.</w:t>
            </w:r>
            <w:r w:rsidR="00C6020C" w:rsidRPr="00DD6E6B">
              <w:rPr>
                <w:lang w:val="en-GB"/>
              </w:rPr>
              <w:t xml:space="preserve">1%, </w:t>
            </w:r>
            <w:r w:rsidR="00DB46D6" w:rsidRPr="00DD6E6B">
              <w:rPr>
                <w:lang w:val="en-GB"/>
              </w:rPr>
              <w:t xml:space="preserve">on the contrary the prices of oat grew by </w:t>
            </w:r>
            <w:r w:rsidR="00C6020C" w:rsidRPr="00DD6E6B">
              <w:rPr>
                <w:lang w:val="en-GB"/>
              </w:rPr>
              <w:t>4</w:t>
            </w:r>
            <w:r w:rsidR="00DB46D6" w:rsidRPr="00DD6E6B">
              <w:rPr>
                <w:lang w:val="en-GB"/>
              </w:rPr>
              <w:t>.</w:t>
            </w:r>
            <w:r w:rsidR="00C6020C" w:rsidRPr="00DD6E6B">
              <w:rPr>
                <w:lang w:val="en-GB"/>
              </w:rPr>
              <w:t>1%.</w:t>
            </w:r>
            <w:r w:rsidR="00DB46D6" w:rsidRPr="00DD6E6B">
              <w:rPr>
                <w:lang w:val="en-GB"/>
              </w:rPr>
              <w:t xml:space="preserve"> Prices of industrial </w:t>
            </w:r>
            <w:r w:rsidR="00CA4B39">
              <w:rPr>
                <w:lang w:val="en-GB"/>
              </w:rPr>
              <w:t>crops</w:t>
            </w:r>
            <w:r w:rsidR="00DB46D6" w:rsidRPr="00DD6E6B">
              <w:rPr>
                <w:lang w:val="en-GB"/>
              </w:rPr>
              <w:t xml:space="preserve"> were by </w:t>
            </w:r>
            <w:r w:rsidR="00C6020C" w:rsidRPr="00DD6E6B">
              <w:rPr>
                <w:lang w:val="en-GB"/>
              </w:rPr>
              <w:t>34</w:t>
            </w:r>
            <w:r w:rsidR="00DB46D6" w:rsidRPr="00DD6E6B">
              <w:rPr>
                <w:lang w:val="en-GB"/>
              </w:rPr>
              <w:t>.</w:t>
            </w:r>
            <w:r w:rsidR="00C6020C" w:rsidRPr="00DD6E6B">
              <w:rPr>
                <w:lang w:val="en-GB"/>
              </w:rPr>
              <w:t>0%</w:t>
            </w:r>
            <w:r w:rsidR="00DB46D6" w:rsidRPr="00DD6E6B">
              <w:rPr>
                <w:lang w:val="en-GB"/>
              </w:rPr>
              <w:t xml:space="preserve"> lower year-on-year</w:t>
            </w:r>
            <w:r w:rsidR="00C6020C" w:rsidRPr="00DD6E6B">
              <w:rPr>
                <w:lang w:val="en-GB"/>
              </w:rPr>
              <w:t>,</w:t>
            </w:r>
            <w:r w:rsidR="00DB46D6" w:rsidRPr="00DD6E6B">
              <w:rPr>
                <w:lang w:val="en-GB"/>
              </w:rPr>
              <w:t xml:space="preserve"> mainly owing to the oil </w:t>
            </w:r>
            <w:r w:rsidR="00CA4B39">
              <w:rPr>
                <w:lang w:val="en-GB"/>
              </w:rPr>
              <w:t>seeds</w:t>
            </w:r>
            <w:r w:rsidR="00DB46D6" w:rsidRPr="00DD6E6B">
              <w:rPr>
                <w:lang w:val="en-GB"/>
              </w:rPr>
              <w:t xml:space="preserve">, where the dive arrived at </w:t>
            </w:r>
            <w:r w:rsidR="00062C40">
              <w:rPr>
                <w:color w:val="000000"/>
                <w:shd w:val="clear" w:color="auto" w:fill="FFFFFF"/>
              </w:rPr>
              <w:t>–</w:t>
            </w:r>
            <w:r w:rsidR="00C6020C" w:rsidRPr="00DD6E6B">
              <w:rPr>
                <w:lang w:val="en-GB"/>
              </w:rPr>
              <w:t>35</w:t>
            </w:r>
            <w:r w:rsidR="00DB46D6" w:rsidRPr="00DD6E6B">
              <w:rPr>
                <w:lang w:val="en-GB"/>
              </w:rPr>
              <w:t>.</w:t>
            </w:r>
            <w:r w:rsidR="00C6020C" w:rsidRPr="00DD6E6B">
              <w:rPr>
                <w:lang w:val="en-GB"/>
              </w:rPr>
              <w:t xml:space="preserve">1%. </w:t>
            </w:r>
            <w:r w:rsidR="00DB46D6" w:rsidRPr="00DD6E6B">
              <w:rPr>
                <w:lang w:val="en-GB"/>
              </w:rPr>
              <w:t xml:space="preserve">Prices of </w:t>
            </w:r>
            <w:r w:rsidR="00EE65DE" w:rsidRPr="00DD6E6B">
              <w:rPr>
                <w:lang w:val="en-GB"/>
              </w:rPr>
              <w:t>fo</w:t>
            </w:r>
            <w:r w:rsidR="00CA4B39">
              <w:rPr>
                <w:lang w:val="en-GB"/>
              </w:rPr>
              <w:t>rage plants</w:t>
            </w:r>
            <w:r w:rsidR="00EE65DE" w:rsidRPr="00DD6E6B">
              <w:rPr>
                <w:lang w:val="en-GB"/>
              </w:rPr>
              <w:t xml:space="preserve"> decreased by </w:t>
            </w:r>
            <w:r w:rsidR="00C6020C" w:rsidRPr="00DD6E6B">
              <w:rPr>
                <w:lang w:val="en-GB"/>
              </w:rPr>
              <w:t>1</w:t>
            </w:r>
            <w:r w:rsidR="00EE65DE" w:rsidRPr="00DD6E6B">
              <w:rPr>
                <w:lang w:val="en-GB"/>
              </w:rPr>
              <w:t>.</w:t>
            </w:r>
            <w:r w:rsidR="00C6020C" w:rsidRPr="00DD6E6B">
              <w:rPr>
                <w:lang w:val="en-GB"/>
              </w:rPr>
              <w:t>9%</w:t>
            </w:r>
            <w:r w:rsidR="00EE65DE" w:rsidRPr="00DD6E6B">
              <w:rPr>
                <w:lang w:val="en-GB"/>
              </w:rPr>
              <w:t xml:space="preserve"> year-on-year</w:t>
            </w:r>
            <w:r w:rsidR="00C6020C" w:rsidRPr="00DD6E6B">
              <w:rPr>
                <w:lang w:val="en-GB"/>
              </w:rPr>
              <w:t xml:space="preserve">. </w:t>
            </w:r>
            <w:r w:rsidR="00397C8B" w:rsidRPr="00DD6E6B">
              <w:rPr>
                <w:lang w:val="en-GB"/>
              </w:rPr>
              <w:t xml:space="preserve">On the contrary the year-on-year increase of prices of vegetables and </w:t>
            </w:r>
            <w:r w:rsidR="00CA4B39">
              <w:rPr>
                <w:lang w:val="en-GB"/>
              </w:rPr>
              <w:t>horticultural</w:t>
            </w:r>
            <w:r w:rsidR="00397C8B" w:rsidRPr="00DD6E6B">
              <w:rPr>
                <w:lang w:val="en-GB"/>
              </w:rPr>
              <w:t xml:space="preserve"> products strengthened to </w:t>
            </w:r>
            <w:r w:rsidR="00C6020C" w:rsidRPr="00DD6E6B">
              <w:rPr>
                <w:lang w:val="en-GB"/>
              </w:rPr>
              <w:t>23</w:t>
            </w:r>
            <w:r w:rsidR="00397C8B" w:rsidRPr="00DD6E6B">
              <w:rPr>
                <w:lang w:val="en-GB"/>
              </w:rPr>
              <w:t>.</w:t>
            </w:r>
            <w:r w:rsidR="00C6020C" w:rsidRPr="00DD6E6B">
              <w:rPr>
                <w:lang w:val="en-GB"/>
              </w:rPr>
              <w:t xml:space="preserve">9%. </w:t>
            </w:r>
            <w:r w:rsidR="00EE65DE" w:rsidRPr="00DD6E6B">
              <w:rPr>
                <w:lang w:val="en-GB"/>
              </w:rPr>
              <w:t xml:space="preserve">Prices of potatoes hiked up by </w:t>
            </w:r>
            <w:r w:rsidR="00C6020C" w:rsidRPr="00DD6E6B">
              <w:rPr>
                <w:lang w:val="en-GB"/>
              </w:rPr>
              <w:t>29</w:t>
            </w:r>
            <w:r w:rsidR="00EE65DE" w:rsidRPr="00DD6E6B">
              <w:rPr>
                <w:lang w:val="en-GB"/>
              </w:rPr>
              <w:t>.</w:t>
            </w:r>
            <w:r w:rsidR="00C6020C" w:rsidRPr="00DD6E6B">
              <w:rPr>
                <w:lang w:val="en-GB"/>
              </w:rPr>
              <w:t>0% a</w:t>
            </w:r>
            <w:r w:rsidR="00EE65DE" w:rsidRPr="00DD6E6B">
              <w:rPr>
                <w:lang w:val="en-GB"/>
              </w:rPr>
              <w:t xml:space="preserve">nd they decreased for fruit by </w:t>
            </w:r>
            <w:r w:rsidR="00C6020C" w:rsidRPr="00DD6E6B">
              <w:rPr>
                <w:lang w:val="en-GB"/>
              </w:rPr>
              <w:t>5</w:t>
            </w:r>
            <w:r w:rsidR="00EE65DE" w:rsidRPr="00DD6E6B">
              <w:rPr>
                <w:lang w:val="en-GB"/>
              </w:rPr>
              <w:t>.</w:t>
            </w:r>
            <w:r w:rsidR="00C6020C" w:rsidRPr="00DD6E6B">
              <w:rPr>
                <w:lang w:val="en-GB"/>
              </w:rPr>
              <w:t xml:space="preserve">9%. </w:t>
            </w:r>
            <w:r w:rsidR="00F8633B" w:rsidRPr="00DD6E6B">
              <w:rPr>
                <w:lang w:val="en-GB"/>
              </w:rPr>
              <w:t>The year-on-year increase of prices of animals weakened to 14.2% year-on-year in the animal production,</w:t>
            </w:r>
            <w:r w:rsidR="00C6020C" w:rsidRPr="00DD6E6B">
              <w:rPr>
                <w:lang w:val="en-GB"/>
              </w:rPr>
              <w:t xml:space="preserve"> </w:t>
            </w:r>
            <w:r w:rsidR="00F8633B" w:rsidRPr="00DD6E6B">
              <w:rPr>
                <w:lang w:val="en-GB"/>
              </w:rPr>
              <w:t xml:space="preserve">the growth of prices of pigs and piglets </w:t>
            </w:r>
            <w:r w:rsidR="00C6020C" w:rsidRPr="00DD6E6B">
              <w:rPr>
                <w:lang w:val="en-GB"/>
              </w:rPr>
              <w:t>(24</w:t>
            </w:r>
            <w:r w:rsidR="00F8633B" w:rsidRPr="00DD6E6B">
              <w:rPr>
                <w:lang w:val="en-GB"/>
              </w:rPr>
              <w:t>.</w:t>
            </w:r>
            <w:r w:rsidR="00C6020C" w:rsidRPr="00DD6E6B">
              <w:rPr>
                <w:lang w:val="en-GB"/>
              </w:rPr>
              <w:t>1%),</w:t>
            </w:r>
            <w:r w:rsidR="00F8633B" w:rsidRPr="00DD6E6B">
              <w:rPr>
                <w:lang w:val="en-GB"/>
              </w:rPr>
              <w:t xml:space="preserve"> poultry </w:t>
            </w:r>
            <w:r w:rsidR="00C6020C" w:rsidRPr="00DD6E6B">
              <w:rPr>
                <w:lang w:val="en-GB"/>
              </w:rPr>
              <w:t>(17</w:t>
            </w:r>
            <w:r w:rsidR="00F8633B" w:rsidRPr="00DD6E6B">
              <w:rPr>
                <w:lang w:val="en-GB"/>
              </w:rPr>
              <w:t>.</w:t>
            </w:r>
            <w:r w:rsidR="00C6020C" w:rsidRPr="00DD6E6B">
              <w:rPr>
                <w:lang w:val="en-GB"/>
              </w:rPr>
              <w:t xml:space="preserve">0%) </w:t>
            </w:r>
            <w:r w:rsidR="00F8633B" w:rsidRPr="00DD6E6B">
              <w:rPr>
                <w:lang w:val="en-GB"/>
              </w:rPr>
              <w:t xml:space="preserve">as well as cattle </w:t>
            </w:r>
            <w:r w:rsidR="00C6020C" w:rsidRPr="00DD6E6B">
              <w:rPr>
                <w:lang w:val="en-GB"/>
              </w:rPr>
              <w:t>(0</w:t>
            </w:r>
            <w:r w:rsidR="00F8633B" w:rsidRPr="00DD6E6B">
              <w:rPr>
                <w:lang w:val="en-GB"/>
              </w:rPr>
              <w:t>.</w:t>
            </w:r>
            <w:r w:rsidR="00C6020C" w:rsidRPr="00DD6E6B">
              <w:rPr>
                <w:lang w:val="en-GB"/>
              </w:rPr>
              <w:t>9%)</w:t>
            </w:r>
            <w:r w:rsidR="00F8633B" w:rsidRPr="00DD6E6B">
              <w:rPr>
                <w:lang w:val="en-GB"/>
              </w:rPr>
              <w:t xml:space="preserve"> was lower</w:t>
            </w:r>
            <w:r w:rsidR="00C6020C" w:rsidRPr="00DD6E6B">
              <w:rPr>
                <w:lang w:val="en-GB"/>
              </w:rPr>
              <w:t xml:space="preserve">. </w:t>
            </w:r>
            <w:r w:rsidR="00B0601B" w:rsidRPr="00DD6E6B">
              <w:rPr>
                <w:lang w:val="en-GB"/>
              </w:rPr>
              <w:t xml:space="preserve">The increase of prices of milk also decreased to </w:t>
            </w:r>
            <w:r w:rsidR="00C6020C" w:rsidRPr="00DD6E6B">
              <w:rPr>
                <w:lang w:val="en-GB"/>
              </w:rPr>
              <w:t>7</w:t>
            </w:r>
            <w:r w:rsidR="00B0601B" w:rsidRPr="00DD6E6B">
              <w:rPr>
                <w:lang w:val="en-GB"/>
              </w:rPr>
              <w:t>.</w:t>
            </w:r>
            <w:r w:rsidR="00C6020C" w:rsidRPr="00DD6E6B">
              <w:rPr>
                <w:lang w:val="en-GB"/>
              </w:rPr>
              <w:t>8% a</w:t>
            </w:r>
            <w:r w:rsidR="00B0601B" w:rsidRPr="00DD6E6B">
              <w:rPr>
                <w:lang w:val="en-GB"/>
              </w:rPr>
              <w:t xml:space="preserve">nd eggs to </w:t>
            </w:r>
            <w:r w:rsidR="00C6020C" w:rsidRPr="00DD6E6B">
              <w:rPr>
                <w:lang w:val="en-GB"/>
              </w:rPr>
              <w:t>42</w:t>
            </w:r>
            <w:r w:rsidR="00B0601B" w:rsidRPr="00DD6E6B">
              <w:rPr>
                <w:lang w:val="en-GB"/>
              </w:rPr>
              <w:t>.</w:t>
            </w:r>
            <w:r w:rsidR="00C6020C" w:rsidRPr="00DD6E6B">
              <w:rPr>
                <w:lang w:val="en-GB"/>
              </w:rPr>
              <w:t>1%.</w:t>
            </w:r>
          </w:p>
        </w:tc>
      </w:tr>
      <w:tr w:rsidR="00C6020C" w:rsidRPr="00DD6E6B" w14:paraId="4E047492" w14:textId="77777777" w:rsidTr="006849F8">
        <w:trPr>
          <w:trHeight w:val="145"/>
        </w:trPr>
        <w:tc>
          <w:tcPr>
            <w:tcW w:w="1804" w:type="dxa"/>
            <w:shd w:val="clear" w:color="auto" w:fill="auto"/>
            <w:tcMar>
              <w:left w:w="0" w:type="dxa"/>
            </w:tcMar>
          </w:tcPr>
          <w:p w14:paraId="19942F13" w14:textId="3236EB6A" w:rsidR="00C6020C" w:rsidRPr="00DD6E6B" w:rsidRDefault="00C6020C" w:rsidP="006849F8">
            <w:pPr>
              <w:pStyle w:val="Marginlie"/>
              <w:rPr>
                <w:spacing w:val="0"/>
                <w:lang w:val="en-GB"/>
              </w:rPr>
            </w:pPr>
          </w:p>
        </w:tc>
        <w:tc>
          <w:tcPr>
            <w:tcW w:w="224" w:type="dxa"/>
            <w:shd w:val="clear" w:color="auto" w:fill="auto"/>
            <w:tcMar>
              <w:left w:w="0" w:type="dxa"/>
            </w:tcMar>
          </w:tcPr>
          <w:p w14:paraId="64DEA7EB"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4CDCCF2B" w14:textId="7757488A" w:rsidR="00C6020C" w:rsidRPr="00DD6E6B" w:rsidRDefault="00EE65DE" w:rsidP="00062C40">
            <w:pPr>
              <w:rPr>
                <w:lang w:val="en-GB"/>
              </w:rPr>
            </w:pPr>
            <w:r w:rsidRPr="00DD6E6B">
              <w:rPr>
                <w:lang w:val="en-GB"/>
              </w:rPr>
              <w:t>Year-on-year growth of the prices of foreign trade further slowed down in Q</w:t>
            </w:r>
            <w:r w:rsidR="00C6020C" w:rsidRPr="00DD6E6B">
              <w:rPr>
                <w:lang w:val="en-GB"/>
              </w:rPr>
              <w:t>2.</w:t>
            </w:r>
            <w:r w:rsidRPr="00DD6E6B">
              <w:rPr>
                <w:lang w:val="en-GB"/>
              </w:rPr>
              <w:t xml:space="preserve"> The koruna foreign exchange per euro as well as dollar strengthened year-on-year</w:t>
            </w:r>
            <w:r w:rsidR="00C6020C" w:rsidRPr="00DD6E6B">
              <w:rPr>
                <w:rStyle w:val="Znakapoznpodarou"/>
                <w:lang w:val="en-GB"/>
              </w:rPr>
              <w:footnoteReference w:id="53"/>
            </w:r>
            <w:r w:rsidR="00C6020C" w:rsidRPr="00DD6E6B">
              <w:rPr>
                <w:lang w:val="en-GB"/>
              </w:rPr>
              <w:t xml:space="preserve"> a</w:t>
            </w:r>
            <w:r w:rsidRPr="00DD6E6B">
              <w:rPr>
                <w:lang w:val="en-GB"/>
              </w:rPr>
              <w:t>nd thus had an anti-inflationary effect</w:t>
            </w:r>
            <w:r w:rsidR="00C6020C" w:rsidRPr="00DD6E6B">
              <w:rPr>
                <w:lang w:val="en-GB"/>
              </w:rPr>
              <w:t>,</w:t>
            </w:r>
            <w:r w:rsidRPr="00DD6E6B">
              <w:rPr>
                <w:lang w:val="en-GB"/>
              </w:rPr>
              <w:t xml:space="preserve"> however the high comparative bas</w:t>
            </w:r>
            <w:r w:rsidR="008B6EBD" w:rsidRPr="00DD6E6B">
              <w:rPr>
                <w:lang w:val="en-GB"/>
              </w:rPr>
              <w:t>i</w:t>
            </w:r>
            <w:r w:rsidRPr="00DD6E6B">
              <w:rPr>
                <w:lang w:val="en-GB"/>
              </w:rPr>
              <w:t>s of the last year, mainly the notable level of prices of materials played a main role. Prices of export of goods fell by 1.8% year-on-year in Q</w:t>
            </w:r>
            <w:r w:rsidR="00C6020C" w:rsidRPr="00DD6E6B">
              <w:rPr>
                <w:lang w:val="en-GB"/>
              </w:rPr>
              <w:t>2</w:t>
            </w:r>
            <w:r w:rsidRPr="00DD6E6B">
              <w:rPr>
                <w:lang w:val="en-GB"/>
              </w:rPr>
              <w:t xml:space="preserve"> and were by 2.2% lower quarter-on-quarter. </w:t>
            </w:r>
            <w:r w:rsidR="002D00F7" w:rsidRPr="00DD6E6B">
              <w:rPr>
                <w:lang w:val="en-GB"/>
              </w:rPr>
              <w:t>Prices of export of other materials</w:t>
            </w:r>
            <w:r w:rsidR="00C6020C" w:rsidRPr="00DD6E6B">
              <w:rPr>
                <w:rStyle w:val="Znakapoznpodarou"/>
                <w:lang w:val="en-GB"/>
              </w:rPr>
              <w:footnoteReference w:id="54"/>
            </w:r>
            <w:r w:rsidR="00062C40">
              <w:rPr>
                <w:lang w:val="en-GB"/>
              </w:rPr>
              <w:t xml:space="preserve"> (</w:t>
            </w:r>
            <w:r w:rsidR="00062C40">
              <w:rPr>
                <w:color w:val="000000"/>
                <w:shd w:val="clear" w:color="auto" w:fill="FFFFFF"/>
              </w:rPr>
              <w:t>–</w:t>
            </w:r>
            <w:r w:rsidR="00C6020C" w:rsidRPr="00DD6E6B">
              <w:rPr>
                <w:lang w:val="en-GB"/>
              </w:rPr>
              <w:t>25</w:t>
            </w:r>
            <w:r w:rsidR="002D00F7" w:rsidRPr="00DD6E6B">
              <w:rPr>
                <w:lang w:val="en-GB"/>
              </w:rPr>
              <w:t>.</w:t>
            </w:r>
            <w:r w:rsidR="00C6020C" w:rsidRPr="00DD6E6B">
              <w:rPr>
                <w:lang w:val="en-GB"/>
              </w:rPr>
              <w:t>5%) a</w:t>
            </w:r>
            <w:r w:rsidR="002D00F7" w:rsidRPr="00DD6E6B">
              <w:rPr>
                <w:lang w:val="en-GB"/>
              </w:rPr>
              <w:t xml:space="preserve">nd chemicals </w:t>
            </w:r>
            <w:r w:rsidR="00062C40">
              <w:rPr>
                <w:lang w:val="en-GB"/>
              </w:rPr>
              <w:t>(</w:t>
            </w:r>
            <w:r w:rsidR="00062C40">
              <w:rPr>
                <w:color w:val="000000"/>
                <w:shd w:val="clear" w:color="auto" w:fill="FFFFFF"/>
              </w:rPr>
              <w:t>–</w:t>
            </w:r>
            <w:r w:rsidR="00C6020C" w:rsidRPr="00DD6E6B">
              <w:rPr>
                <w:lang w:val="en-GB"/>
              </w:rPr>
              <w:t>9</w:t>
            </w:r>
            <w:r w:rsidR="002D00F7" w:rsidRPr="00DD6E6B">
              <w:rPr>
                <w:lang w:val="en-GB"/>
              </w:rPr>
              <w:t>.</w:t>
            </w:r>
            <w:r w:rsidR="00C6020C" w:rsidRPr="00DD6E6B">
              <w:rPr>
                <w:lang w:val="en-GB"/>
              </w:rPr>
              <w:t xml:space="preserve">4%) </w:t>
            </w:r>
            <w:r w:rsidR="002D00F7" w:rsidRPr="00DD6E6B">
              <w:rPr>
                <w:lang w:val="en-GB"/>
              </w:rPr>
              <w:t xml:space="preserve">plummeted the most year-on-year and prices of food and live animals </w:t>
            </w:r>
            <w:r w:rsidR="00062C40">
              <w:rPr>
                <w:lang w:val="en-GB"/>
              </w:rPr>
              <w:t>(</w:t>
            </w:r>
            <w:r w:rsidR="00062C40">
              <w:rPr>
                <w:color w:val="000000"/>
                <w:shd w:val="clear" w:color="auto" w:fill="FFFFFF"/>
              </w:rPr>
              <w:t>–</w:t>
            </w:r>
            <w:r w:rsidR="00C6020C" w:rsidRPr="00DD6E6B">
              <w:rPr>
                <w:lang w:val="en-GB"/>
              </w:rPr>
              <w:t>4</w:t>
            </w:r>
            <w:r w:rsidR="002D00F7" w:rsidRPr="00DD6E6B">
              <w:rPr>
                <w:lang w:val="en-GB"/>
              </w:rPr>
              <w:t>.</w:t>
            </w:r>
            <w:r w:rsidR="00C6020C" w:rsidRPr="00DD6E6B">
              <w:rPr>
                <w:lang w:val="en-GB"/>
              </w:rPr>
              <w:t>7%) a</w:t>
            </w:r>
            <w:r w:rsidR="002D00F7" w:rsidRPr="00DD6E6B">
              <w:rPr>
                <w:lang w:val="en-GB"/>
              </w:rPr>
              <w:t>nd semi-finished products</w:t>
            </w:r>
            <w:r w:rsidR="00C6020C" w:rsidRPr="00DD6E6B">
              <w:rPr>
                <w:rStyle w:val="Znakapoznpodarou"/>
                <w:lang w:val="en-GB"/>
              </w:rPr>
              <w:footnoteReference w:id="55"/>
            </w:r>
            <w:r w:rsidR="00062C40">
              <w:rPr>
                <w:lang w:val="en-GB"/>
              </w:rPr>
              <w:t xml:space="preserve"> (</w:t>
            </w:r>
            <w:r w:rsidR="00062C40">
              <w:rPr>
                <w:color w:val="000000"/>
                <w:shd w:val="clear" w:color="auto" w:fill="FFFFFF"/>
              </w:rPr>
              <w:t>–</w:t>
            </w:r>
            <w:r w:rsidR="00C6020C" w:rsidRPr="00DD6E6B">
              <w:rPr>
                <w:lang w:val="en-GB"/>
              </w:rPr>
              <w:t>4</w:t>
            </w:r>
            <w:r w:rsidR="002D00F7" w:rsidRPr="00DD6E6B">
              <w:rPr>
                <w:lang w:val="en-GB"/>
              </w:rPr>
              <w:t>.</w:t>
            </w:r>
            <w:r w:rsidR="00C6020C" w:rsidRPr="00DD6E6B">
              <w:rPr>
                <w:lang w:val="en-GB"/>
              </w:rPr>
              <w:t>3%)</w:t>
            </w:r>
            <w:r w:rsidR="002D00F7" w:rsidRPr="00DD6E6B">
              <w:rPr>
                <w:lang w:val="en-GB"/>
              </w:rPr>
              <w:t xml:space="preserve"> were also lower</w:t>
            </w:r>
            <w:r w:rsidR="00C6020C" w:rsidRPr="00DD6E6B">
              <w:rPr>
                <w:lang w:val="en-GB"/>
              </w:rPr>
              <w:t xml:space="preserve">. </w:t>
            </w:r>
            <w:r w:rsidR="007B5D71" w:rsidRPr="00DD6E6B">
              <w:rPr>
                <w:lang w:val="en-GB"/>
              </w:rPr>
              <w:t xml:space="preserve">On the contrary the prices of beverages and tobacco </w:t>
            </w:r>
            <w:r w:rsidR="00C6020C" w:rsidRPr="00DD6E6B">
              <w:rPr>
                <w:lang w:val="en-GB"/>
              </w:rPr>
              <w:t>(18</w:t>
            </w:r>
            <w:r w:rsidR="007B5D71" w:rsidRPr="00DD6E6B">
              <w:rPr>
                <w:lang w:val="en-GB"/>
              </w:rPr>
              <w:t>.</w:t>
            </w:r>
            <w:r w:rsidR="00C6020C" w:rsidRPr="00DD6E6B">
              <w:rPr>
                <w:lang w:val="en-GB"/>
              </w:rPr>
              <w:t>4%)</w:t>
            </w:r>
            <w:r w:rsidR="007B5D71" w:rsidRPr="00DD6E6B">
              <w:rPr>
                <w:lang w:val="en-GB"/>
              </w:rPr>
              <w:t xml:space="preserve"> considerably increased year-on-year</w:t>
            </w:r>
            <w:r w:rsidR="00C6020C" w:rsidRPr="00DD6E6B">
              <w:rPr>
                <w:lang w:val="en-GB"/>
              </w:rPr>
              <w:t xml:space="preserve">, </w:t>
            </w:r>
            <w:r w:rsidR="007B5D71" w:rsidRPr="00DD6E6B">
              <w:rPr>
                <w:lang w:val="en-GB"/>
              </w:rPr>
              <w:t xml:space="preserve">prices were higher for mineral fuels and lubricants </w:t>
            </w:r>
            <w:r w:rsidR="00C6020C" w:rsidRPr="00DD6E6B">
              <w:rPr>
                <w:lang w:val="en-GB"/>
              </w:rPr>
              <w:t>(2</w:t>
            </w:r>
            <w:r w:rsidR="007B5D71" w:rsidRPr="00DD6E6B">
              <w:rPr>
                <w:lang w:val="en-GB"/>
              </w:rPr>
              <w:t>.</w:t>
            </w:r>
            <w:r w:rsidR="00C6020C" w:rsidRPr="00DD6E6B">
              <w:rPr>
                <w:lang w:val="en-GB"/>
              </w:rPr>
              <w:t>3%),</w:t>
            </w:r>
            <w:r w:rsidR="007B5D71" w:rsidRPr="00DD6E6B">
              <w:rPr>
                <w:lang w:val="en-GB"/>
              </w:rPr>
              <w:t xml:space="preserve"> </w:t>
            </w:r>
            <w:r w:rsidR="00765887">
              <w:rPr>
                <w:lang w:val="en-GB"/>
              </w:rPr>
              <w:t>miscellaneous manufactured articles</w:t>
            </w:r>
            <w:r w:rsidR="007B5D71" w:rsidRPr="00DD6E6B">
              <w:rPr>
                <w:lang w:val="en-GB"/>
              </w:rPr>
              <w:t xml:space="preserve"> </w:t>
            </w:r>
            <w:r w:rsidR="00C6020C" w:rsidRPr="00DD6E6B">
              <w:rPr>
                <w:lang w:val="en-GB"/>
              </w:rPr>
              <w:t>(1</w:t>
            </w:r>
            <w:r w:rsidR="007B5D71" w:rsidRPr="00DD6E6B">
              <w:rPr>
                <w:lang w:val="en-GB"/>
              </w:rPr>
              <w:t>.</w:t>
            </w:r>
            <w:r w:rsidR="00C6020C" w:rsidRPr="00DD6E6B">
              <w:rPr>
                <w:lang w:val="en-GB"/>
              </w:rPr>
              <w:t>1%) a</w:t>
            </w:r>
            <w:r w:rsidR="007B5D71" w:rsidRPr="00DD6E6B">
              <w:rPr>
                <w:lang w:val="en-GB"/>
              </w:rPr>
              <w:t xml:space="preserve">nd machinery and transport equipment </w:t>
            </w:r>
            <w:r w:rsidR="00C6020C" w:rsidRPr="00DD6E6B">
              <w:rPr>
                <w:lang w:val="en-GB"/>
              </w:rPr>
              <w:t>(1</w:t>
            </w:r>
            <w:r w:rsidR="007B5D71" w:rsidRPr="00DD6E6B">
              <w:rPr>
                <w:lang w:val="en-GB"/>
              </w:rPr>
              <w:t>.</w:t>
            </w:r>
            <w:r w:rsidR="00C6020C" w:rsidRPr="00DD6E6B">
              <w:rPr>
                <w:lang w:val="en-GB"/>
              </w:rPr>
              <w:t>0%).</w:t>
            </w:r>
          </w:p>
        </w:tc>
      </w:tr>
      <w:tr w:rsidR="00C6020C" w:rsidRPr="00DD6E6B" w14:paraId="4FB1FA53" w14:textId="77777777" w:rsidTr="006849F8">
        <w:trPr>
          <w:trHeight w:val="145"/>
        </w:trPr>
        <w:tc>
          <w:tcPr>
            <w:tcW w:w="1804" w:type="dxa"/>
            <w:shd w:val="clear" w:color="auto" w:fill="auto"/>
            <w:tcMar>
              <w:left w:w="0" w:type="dxa"/>
            </w:tcMar>
          </w:tcPr>
          <w:p w14:paraId="1BF8D79D" w14:textId="77777777" w:rsidR="00C6020C" w:rsidRPr="00DD6E6B" w:rsidRDefault="00C6020C" w:rsidP="006849F8">
            <w:pPr>
              <w:pStyle w:val="Marginlie"/>
              <w:rPr>
                <w:spacing w:val="0"/>
                <w:lang w:val="en-GB"/>
              </w:rPr>
            </w:pPr>
          </w:p>
        </w:tc>
        <w:tc>
          <w:tcPr>
            <w:tcW w:w="224" w:type="dxa"/>
            <w:shd w:val="clear" w:color="auto" w:fill="auto"/>
            <w:tcMar>
              <w:left w:w="0" w:type="dxa"/>
            </w:tcMar>
          </w:tcPr>
          <w:p w14:paraId="34745BF5" w14:textId="77777777" w:rsidR="00C6020C" w:rsidRPr="00DD6E6B" w:rsidRDefault="00C6020C" w:rsidP="006849F8">
            <w:pPr>
              <w:pStyle w:val="Textpoznpodarou1"/>
              <w:jc w:val="both"/>
              <w:rPr>
                <w:lang w:val="en-GB"/>
              </w:rPr>
            </w:pPr>
          </w:p>
        </w:tc>
        <w:tc>
          <w:tcPr>
            <w:tcW w:w="7611" w:type="dxa"/>
            <w:shd w:val="clear" w:color="auto" w:fill="auto"/>
            <w:tcMar>
              <w:left w:w="0" w:type="dxa"/>
            </w:tcMar>
          </w:tcPr>
          <w:p w14:paraId="6EF88923" w14:textId="7073D8F7" w:rsidR="00C6020C" w:rsidRPr="00DD6E6B" w:rsidRDefault="0066701F" w:rsidP="006849F8">
            <w:pPr>
              <w:rPr>
                <w:lang w:val="en-GB"/>
              </w:rPr>
            </w:pPr>
            <w:r w:rsidRPr="00DD6E6B">
              <w:rPr>
                <w:lang w:val="en-GB"/>
              </w:rPr>
              <w:t xml:space="preserve">In case of prices of export the year-on-year </w:t>
            </w:r>
            <w:r w:rsidR="00062C40">
              <w:rPr>
                <w:lang w:val="en-GB"/>
              </w:rPr>
              <w:t>(</w:t>
            </w:r>
            <w:r w:rsidR="00062C40">
              <w:rPr>
                <w:color w:val="000000"/>
                <w:shd w:val="clear" w:color="auto" w:fill="FFFFFF"/>
              </w:rPr>
              <w:t>–</w:t>
            </w:r>
            <w:r w:rsidR="00C6020C" w:rsidRPr="00DD6E6B">
              <w:rPr>
                <w:lang w:val="en-GB"/>
              </w:rPr>
              <w:t>7</w:t>
            </w:r>
            <w:r w:rsidRPr="00DD6E6B">
              <w:rPr>
                <w:lang w:val="en-GB"/>
              </w:rPr>
              <w:t>.</w:t>
            </w:r>
            <w:r w:rsidR="00C6020C" w:rsidRPr="00DD6E6B">
              <w:rPr>
                <w:lang w:val="en-GB"/>
              </w:rPr>
              <w:t>6%)</w:t>
            </w:r>
            <w:r w:rsidRPr="00DD6E6B">
              <w:rPr>
                <w:lang w:val="en-GB"/>
              </w:rPr>
              <w:t xml:space="preserve"> as well as quarter-on-quarter </w:t>
            </w:r>
            <w:r w:rsidR="00C6020C" w:rsidRPr="00DD6E6B">
              <w:rPr>
                <w:lang w:val="en-GB"/>
              </w:rPr>
              <w:t>(−4</w:t>
            </w:r>
            <w:r w:rsidRPr="00DD6E6B">
              <w:rPr>
                <w:lang w:val="en-GB"/>
              </w:rPr>
              <w:t>.</w:t>
            </w:r>
            <w:r w:rsidR="00C6020C" w:rsidRPr="00DD6E6B">
              <w:rPr>
                <w:lang w:val="en-GB"/>
              </w:rPr>
              <w:t xml:space="preserve">5%) </w:t>
            </w:r>
            <w:r w:rsidRPr="00DD6E6B">
              <w:rPr>
                <w:lang w:val="en-GB"/>
              </w:rPr>
              <w:t>slump also eventuated</w:t>
            </w:r>
            <w:r w:rsidR="00C6020C" w:rsidRPr="00DD6E6B">
              <w:rPr>
                <w:lang w:val="en-GB"/>
              </w:rPr>
              <w:t xml:space="preserve">. </w:t>
            </w:r>
            <w:r w:rsidRPr="00DD6E6B">
              <w:rPr>
                <w:lang w:val="en-GB"/>
              </w:rPr>
              <w:t xml:space="preserve">Mainly prices of import of mineral fuels and lubricants </w:t>
            </w:r>
            <w:r w:rsidR="00062C40">
              <w:rPr>
                <w:lang w:val="en-GB"/>
              </w:rPr>
              <w:t>(</w:t>
            </w:r>
            <w:r w:rsidR="00062C40">
              <w:rPr>
                <w:color w:val="000000"/>
                <w:shd w:val="clear" w:color="auto" w:fill="FFFFFF"/>
              </w:rPr>
              <w:t>–</w:t>
            </w:r>
            <w:r w:rsidR="00C6020C" w:rsidRPr="00DD6E6B">
              <w:rPr>
                <w:lang w:val="en-GB"/>
              </w:rPr>
              <w:t>32</w:t>
            </w:r>
            <w:r w:rsidRPr="00DD6E6B">
              <w:rPr>
                <w:lang w:val="en-GB"/>
              </w:rPr>
              <w:t>.</w:t>
            </w:r>
            <w:r w:rsidR="00C6020C" w:rsidRPr="00DD6E6B">
              <w:rPr>
                <w:lang w:val="en-GB"/>
              </w:rPr>
              <w:t>0%) a</w:t>
            </w:r>
            <w:r w:rsidRPr="00DD6E6B">
              <w:rPr>
                <w:lang w:val="en-GB"/>
              </w:rPr>
              <w:t xml:space="preserve">nd other materials </w:t>
            </w:r>
            <w:r w:rsidR="00062C40">
              <w:rPr>
                <w:lang w:val="en-GB"/>
              </w:rPr>
              <w:t>(</w:t>
            </w:r>
            <w:r w:rsidR="00062C40">
              <w:rPr>
                <w:color w:val="000000"/>
                <w:shd w:val="clear" w:color="auto" w:fill="FFFFFF"/>
              </w:rPr>
              <w:t>–</w:t>
            </w:r>
            <w:r w:rsidR="00C6020C" w:rsidRPr="00DD6E6B">
              <w:rPr>
                <w:lang w:val="en-GB"/>
              </w:rPr>
              <w:t>15</w:t>
            </w:r>
            <w:r w:rsidRPr="00DD6E6B">
              <w:rPr>
                <w:lang w:val="en-GB"/>
              </w:rPr>
              <w:t>.</w:t>
            </w:r>
            <w:r w:rsidR="00C6020C" w:rsidRPr="00DD6E6B">
              <w:rPr>
                <w:lang w:val="en-GB"/>
              </w:rPr>
              <w:t>8%)</w:t>
            </w:r>
            <w:r w:rsidRPr="00DD6E6B">
              <w:rPr>
                <w:lang w:val="en-GB"/>
              </w:rPr>
              <w:t xml:space="preserve"> were falling year-on-year</w:t>
            </w:r>
            <w:r w:rsidR="00C6020C" w:rsidRPr="00DD6E6B">
              <w:rPr>
                <w:lang w:val="en-GB"/>
              </w:rPr>
              <w:t xml:space="preserve">. </w:t>
            </w:r>
            <w:r w:rsidR="00062C40">
              <w:rPr>
                <w:lang w:val="en-GB"/>
              </w:rPr>
              <w:t>Prices of chemicals (</w:t>
            </w:r>
            <w:r w:rsidR="00062C40">
              <w:rPr>
                <w:color w:val="000000"/>
                <w:shd w:val="clear" w:color="auto" w:fill="FFFFFF"/>
              </w:rPr>
              <w:t>–</w:t>
            </w:r>
            <w:r w:rsidR="00C6020C" w:rsidRPr="00DD6E6B">
              <w:rPr>
                <w:lang w:val="en-GB"/>
              </w:rPr>
              <w:t>10</w:t>
            </w:r>
            <w:r w:rsidRPr="00DD6E6B">
              <w:rPr>
                <w:lang w:val="en-GB"/>
              </w:rPr>
              <w:t>.</w:t>
            </w:r>
            <w:r w:rsidR="00C6020C" w:rsidRPr="00DD6E6B">
              <w:rPr>
                <w:lang w:val="en-GB"/>
              </w:rPr>
              <w:t xml:space="preserve">9%), </w:t>
            </w:r>
            <w:r w:rsidRPr="00DD6E6B">
              <w:rPr>
                <w:lang w:val="en-GB"/>
              </w:rPr>
              <w:t xml:space="preserve">semi-finished products </w:t>
            </w:r>
            <w:r w:rsidR="00C6020C" w:rsidRPr="00DD6E6B">
              <w:rPr>
                <w:lang w:val="en-GB"/>
              </w:rPr>
              <w:t>(−7</w:t>
            </w:r>
            <w:r w:rsidRPr="00DD6E6B">
              <w:rPr>
                <w:lang w:val="en-GB"/>
              </w:rPr>
              <w:t>.</w:t>
            </w:r>
            <w:r w:rsidR="00C6020C" w:rsidRPr="00DD6E6B">
              <w:rPr>
                <w:lang w:val="en-GB"/>
              </w:rPr>
              <w:t xml:space="preserve">9%) </w:t>
            </w:r>
            <w:r w:rsidRPr="00DD6E6B">
              <w:rPr>
                <w:lang w:val="en-GB"/>
              </w:rPr>
              <w:t xml:space="preserve">and machinery and transport equipment </w:t>
            </w:r>
            <w:r w:rsidR="00062C40">
              <w:rPr>
                <w:lang w:val="en-GB"/>
              </w:rPr>
              <w:t>(</w:t>
            </w:r>
            <w:r w:rsidR="00062C40">
              <w:rPr>
                <w:color w:val="000000"/>
                <w:shd w:val="clear" w:color="auto" w:fill="FFFFFF"/>
              </w:rPr>
              <w:t>–</w:t>
            </w:r>
            <w:r w:rsidR="00C6020C" w:rsidRPr="00DD6E6B">
              <w:rPr>
                <w:lang w:val="en-GB"/>
              </w:rPr>
              <w:t>1</w:t>
            </w:r>
            <w:r w:rsidRPr="00DD6E6B">
              <w:rPr>
                <w:lang w:val="en-GB"/>
              </w:rPr>
              <w:t>.</w:t>
            </w:r>
            <w:r w:rsidR="00C6020C" w:rsidRPr="00DD6E6B">
              <w:rPr>
                <w:lang w:val="en-GB"/>
              </w:rPr>
              <w:t>6%)</w:t>
            </w:r>
            <w:r w:rsidRPr="00DD6E6B">
              <w:rPr>
                <w:lang w:val="en-GB"/>
              </w:rPr>
              <w:t xml:space="preserve"> were lower</w:t>
            </w:r>
            <w:r w:rsidR="00C6020C" w:rsidRPr="00DD6E6B">
              <w:rPr>
                <w:lang w:val="en-GB"/>
              </w:rPr>
              <w:t xml:space="preserve">. </w:t>
            </w:r>
            <w:r w:rsidRPr="00DD6E6B">
              <w:rPr>
                <w:lang w:val="en-GB"/>
              </w:rPr>
              <w:t xml:space="preserve">In contrast the prices of </w:t>
            </w:r>
            <w:r w:rsidR="00374E8C" w:rsidRPr="00DD6E6B">
              <w:rPr>
                <w:lang w:val="en-GB"/>
              </w:rPr>
              <w:t xml:space="preserve">import of beverages and tobacco </w:t>
            </w:r>
            <w:r w:rsidR="00C6020C" w:rsidRPr="00DD6E6B">
              <w:rPr>
                <w:lang w:val="en-GB"/>
              </w:rPr>
              <w:t>(22</w:t>
            </w:r>
            <w:r w:rsidR="00374E8C" w:rsidRPr="00DD6E6B">
              <w:rPr>
                <w:lang w:val="en-GB"/>
              </w:rPr>
              <w:t>.</w:t>
            </w:r>
            <w:r w:rsidR="00C6020C" w:rsidRPr="00DD6E6B">
              <w:rPr>
                <w:lang w:val="en-GB"/>
              </w:rPr>
              <w:t>2%),</w:t>
            </w:r>
            <w:r w:rsidR="00374E8C" w:rsidRPr="00DD6E6B">
              <w:rPr>
                <w:lang w:val="en-GB"/>
              </w:rPr>
              <w:t xml:space="preserve"> food and live products </w:t>
            </w:r>
            <w:r w:rsidR="00C6020C" w:rsidRPr="00DD6E6B">
              <w:rPr>
                <w:lang w:val="en-GB"/>
              </w:rPr>
              <w:t>(6</w:t>
            </w:r>
            <w:r w:rsidR="00374E8C" w:rsidRPr="00DD6E6B">
              <w:rPr>
                <w:lang w:val="en-GB"/>
              </w:rPr>
              <w:t>.</w:t>
            </w:r>
            <w:r w:rsidR="00C6020C" w:rsidRPr="00DD6E6B">
              <w:rPr>
                <w:lang w:val="en-GB"/>
              </w:rPr>
              <w:t>4%) a</w:t>
            </w:r>
            <w:r w:rsidR="00374E8C" w:rsidRPr="00DD6E6B">
              <w:rPr>
                <w:lang w:val="en-GB"/>
              </w:rPr>
              <w:t xml:space="preserve">nd </w:t>
            </w:r>
            <w:r w:rsidR="00765887">
              <w:rPr>
                <w:lang w:val="en-GB"/>
              </w:rPr>
              <w:t>miscellaneous manufactured articles</w:t>
            </w:r>
            <w:r w:rsidR="00374E8C" w:rsidRPr="00DD6E6B">
              <w:rPr>
                <w:lang w:val="en-GB"/>
              </w:rPr>
              <w:t xml:space="preserve"> </w:t>
            </w:r>
            <w:r w:rsidR="00C6020C" w:rsidRPr="00DD6E6B">
              <w:rPr>
                <w:lang w:val="en-GB"/>
              </w:rPr>
              <w:t>(5</w:t>
            </w:r>
            <w:r w:rsidR="00374E8C" w:rsidRPr="00DD6E6B">
              <w:rPr>
                <w:lang w:val="en-GB"/>
              </w:rPr>
              <w:t>.</w:t>
            </w:r>
            <w:r w:rsidR="00C6020C" w:rsidRPr="00DD6E6B">
              <w:rPr>
                <w:lang w:val="en-GB"/>
              </w:rPr>
              <w:t>9%)</w:t>
            </w:r>
            <w:r w:rsidRPr="00DD6E6B">
              <w:rPr>
                <w:lang w:val="en-GB"/>
              </w:rPr>
              <w:t xml:space="preserve"> </w:t>
            </w:r>
            <w:r w:rsidR="008D1F3D" w:rsidRPr="00DD6E6B">
              <w:rPr>
                <w:lang w:val="en-GB"/>
              </w:rPr>
              <w:t>strongly grew</w:t>
            </w:r>
            <w:r w:rsidRPr="00DD6E6B">
              <w:rPr>
                <w:lang w:val="en-GB"/>
              </w:rPr>
              <w:t xml:space="preserve"> year-on-year</w:t>
            </w:r>
            <w:r w:rsidR="00C6020C" w:rsidRPr="00DD6E6B">
              <w:rPr>
                <w:lang w:val="en-GB"/>
              </w:rPr>
              <w:t xml:space="preserve">. </w:t>
            </w:r>
            <w:r w:rsidR="002D00F7" w:rsidRPr="00DD6E6B">
              <w:rPr>
                <w:lang w:val="en-GB"/>
              </w:rPr>
              <w:t xml:space="preserve">Year-on-year terms of trade climbed up to record </w:t>
            </w:r>
            <w:r w:rsidR="00C6020C" w:rsidRPr="00DD6E6B">
              <w:rPr>
                <w:lang w:val="en-GB"/>
              </w:rPr>
              <w:t>106</w:t>
            </w:r>
            <w:r w:rsidR="002D00F7" w:rsidRPr="00DD6E6B">
              <w:rPr>
                <w:lang w:val="en-GB"/>
              </w:rPr>
              <w:t>.</w:t>
            </w:r>
            <w:r w:rsidR="00C6020C" w:rsidRPr="00DD6E6B">
              <w:rPr>
                <w:lang w:val="en-GB"/>
              </w:rPr>
              <w:t>3%</w:t>
            </w:r>
            <w:r w:rsidR="002D00F7" w:rsidRPr="00DD6E6B">
              <w:rPr>
                <w:lang w:val="en-GB"/>
              </w:rPr>
              <w:t xml:space="preserve"> in Q2</w:t>
            </w:r>
            <w:r w:rsidR="00C6020C" w:rsidRPr="00DD6E6B">
              <w:rPr>
                <w:lang w:val="en-GB"/>
              </w:rPr>
              <w:t xml:space="preserve">. </w:t>
            </w:r>
            <w:r w:rsidR="008D1F3D" w:rsidRPr="00DD6E6B">
              <w:rPr>
                <w:lang w:val="en-GB"/>
              </w:rPr>
              <w:t xml:space="preserve">The terms of trade reached the highest value in trade with mineral fuels and lubricants </w:t>
            </w:r>
            <w:r w:rsidR="00C6020C" w:rsidRPr="00DD6E6B">
              <w:rPr>
                <w:lang w:val="en-GB"/>
              </w:rPr>
              <w:t>(150</w:t>
            </w:r>
            <w:r w:rsidR="008D1F3D" w:rsidRPr="00DD6E6B">
              <w:rPr>
                <w:lang w:val="en-GB"/>
              </w:rPr>
              <w:t>.</w:t>
            </w:r>
            <w:r w:rsidR="00C6020C" w:rsidRPr="00DD6E6B">
              <w:rPr>
                <w:lang w:val="en-GB"/>
              </w:rPr>
              <w:t>4%) a</w:t>
            </w:r>
            <w:r w:rsidR="008D1F3D" w:rsidRPr="00DD6E6B">
              <w:rPr>
                <w:lang w:val="en-GB"/>
              </w:rPr>
              <w:t xml:space="preserve">nd further the terms of trade were positive in trade with semi-finished products </w:t>
            </w:r>
            <w:r w:rsidR="00C6020C" w:rsidRPr="00DD6E6B">
              <w:rPr>
                <w:lang w:val="en-GB"/>
              </w:rPr>
              <w:t>(103</w:t>
            </w:r>
            <w:r w:rsidR="008D1F3D" w:rsidRPr="00DD6E6B">
              <w:rPr>
                <w:lang w:val="en-GB"/>
              </w:rPr>
              <w:t>.</w:t>
            </w:r>
            <w:r w:rsidR="00C6020C" w:rsidRPr="00DD6E6B">
              <w:rPr>
                <w:lang w:val="en-GB"/>
              </w:rPr>
              <w:t>9%),</w:t>
            </w:r>
            <w:r w:rsidR="008D1F3D" w:rsidRPr="00DD6E6B">
              <w:rPr>
                <w:lang w:val="en-GB"/>
              </w:rPr>
              <w:t xml:space="preserve"> machinery and transport equipment </w:t>
            </w:r>
            <w:r w:rsidR="00C6020C" w:rsidRPr="00DD6E6B">
              <w:rPr>
                <w:lang w:val="en-GB"/>
              </w:rPr>
              <w:t>(102</w:t>
            </w:r>
            <w:r w:rsidR="008D1F3D" w:rsidRPr="00DD6E6B">
              <w:rPr>
                <w:lang w:val="en-GB"/>
              </w:rPr>
              <w:t>.</w:t>
            </w:r>
            <w:r w:rsidR="00C6020C" w:rsidRPr="00DD6E6B">
              <w:rPr>
                <w:lang w:val="en-GB"/>
              </w:rPr>
              <w:t>6%) a</w:t>
            </w:r>
            <w:r w:rsidR="008D1F3D" w:rsidRPr="00DD6E6B">
              <w:rPr>
                <w:lang w:val="en-GB"/>
              </w:rPr>
              <w:t xml:space="preserve">nd chemicals </w:t>
            </w:r>
            <w:r w:rsidR="00C6020C" w:rsidRPr="00DD6E6B">
              <w:rPr>
                <w:lang w:val="en-GB"/>
              </w:rPr>
              <w:t>(101</w:t>
            </w:r>
            <w:r w:rsidR="008D1F3D" w:rsidRPr="00DD6E6B">
              <w:rPr>
                <w:lang w:val="en-GB"/>
              </w:rPr>
              <w:t>.</w:t>
            </w:r>
            <w:r w:rsidR="00C6020C" w:rsidRPr="00DD6E6B">
              <w:rPr>
                <w:lang w:val="en-GB"/>
              </w:rPr>
              <w:t xml:space="preserve">7%). </w:t>
            </w:r>
            <w:r w:rsidR="002D00F7" w:rsidRPr="00DD6E6B">
              <w:rPr>
                <w:lang w:val="en-GB"/>
              </w:rPr>
              <w:t xml:space="preserve">Terms of trade fell to significant negative figures on the contrary in case of other materials </w:t>
            </w:r>
            <w:r w:rsidR="00C6020C" w:rsidRPr="00DD6E6B">
              <w:rPr>
                <w:lang w:val="en-GB"/>
              </w:rPr>
              <w:t>(88</w:t>
            </w:r>
            <w:r w:rsidR="002D00F7" w:rsidRPr="00DD6E6B">
              <w:rPr>
                <w:lang w:val="en-GB"/>
              </w:rPr>
              <w:t>.</w:t>
            </w:r>
            <w:r w:rsidR="00C6020C" w:rsidRPr="00DD6E6B">
              <w:rPr>
                <w:lang w:val="en-GB"/>
              </w:rPr>
              <w:t xml:space="preserve">5%), </w:t>
            </w:r>
            <w:r w:rsidR="002D00F7" w:rsidRPr="00DD6E6B">
              <w:rPr>
                <w:lang w:val="en-GB"/>
              </w:rPr>
              <w:t xml:space="preserve">food and live animals </w:t>
            </w:r>
            <w:r w:rsidR="00C6020C" w:rsidRPr="00DD6E6B">
              <w:rPr>
                <w:lang w:val="en-GB"/>
              </w:rPr>
              <w:t>(89</w:t>
            </w:r>
            <w:r w:rsidR="002D00F7" w:rsidRPr="00DD6E6B">
              <w:rPr>
                <w:lang w:val="en-GB"/>
              </w:rPr>
              <w:t>.</w:t>
            </w:r>
            <w:r w:rsidR="00C6020C" w:rsidRPr="00DD6E6B">
              <w:rPr>
                <w:lang w:val="en-GB"/>
              </w:rPr>
              <w:t>6%),</w:t>
            </w:r>
            <w:r w:rsidR="002D00F7" w:rsidRPr="00DD6E6B">
              <w:rPr>
                <w:lang w:val="en-GB"/>
              </w:rPr>
              <w:t xml:space="preserve"> </w:t>
            </w:r>
            <w:r w:rsidR="00765887">
              <w:rPr>
                <w:lang w:val="en-GB"/>
              </w:rPr>
              <w:t>miscellaneous manufactured articles</w:t>
            </w:r>
            <w:r w:rsidR="002D00F7" w:rsidRPr="00DD6E6B">
              <w:rPr>
                <w:lang w:val="en-GB"/>
              </w:rPr>
              <w:t xml:space="preserve"> </w:t>
            </w:r>
            <w:r w:rsidR="00C6020C" w:rsidRPr="00DD6E6B">
              <w:rPr>
                <w:lang w:val="en-GB"/>
              </w:rPr>
              <w:t>(95</w:t>
            </w:r>
            <w:r w:rsidR="002D00F7" w:rsidRPr="00DD6E6B">
              <w:rPr>
                <w:lang w:val="en-GB"/>
              </w:rPr>
              <w:t>.</w:t>
            </w:r>
            <w:r w:rsidR="00C6020C" w:rsidRPr="00DD6E6B">
              <w:rPr>
                <w:lang w:val="en-GB"/>
              </w:rPr>
              <w:t>5%) a</w:t>
            </w:r>
            <w:r w:rsidR="002D00F7" w:rsidRPr="00DD6E6B">
              <w:rPr>
                <w:lang w:val="en-GB"/>
              </w:rPr>
              <w:t xml:space="preserve">nd beverages and tobacco </w:t>
            </w:r>
            <w:r w:rsidR="00C6020C" w:rsidRPr="00DD6E6B">
              <w:rPr>
                <w:lang w:val="en-GB"/>
              </w:rPr>
              <w:t>(96</w:t>
            </w:r>
            <w:r w:rsidR="002D00F7" w:rsidRPr="00DD6E6B">
              <w:rPr>
                <w:lang w:val="en-GB"/>
              </w:rPr>
              <w:t>.</w:t>
            </w:r>
            <w:r w:rsidR="00C6020C" w:rsidRPr="00DD6E6B">
              <w:rPr>
                <w:lang w:val="en-GB"/>
              </w:rPr>
              <w:t xml:space="preserve">9%).    </w:t>
            </w:r>
          </w:p>
        </w:tc>
      </w:tr>
      <w:bookmarkEnd w:id="25"/>
    </w:tbl>
    <w:p w14:paraId="6F4E324E" w14:textId="77777777" w:rsidR="00C6020C" w:rsidRPr="00DD6E6B" w:rsidRDefault="00C6020C" w:rsidP="00765928">
      <w:pPr>
        <w:pStyle w:val="Nadpis11"/>
        <w:spacing w:after="120"/>
        <w:rPr>
          <w:lang w:val="en-GB"/>
        </w:rPr>
      </w:pPr>
    </w:p>
    <w:p w14:paraId="0B044C66" w14:textId="77777777" w:rsidR="00C6020C" w:rsidRPr="00DD6E6B" w:rsidRDefault="00C6020C">
      <w:pPr>
        <w:spacing w:after="0" w:line="240" w:lineRule="auto"/>
        <w:jc w:val="left"/>
        <w:rPr>
          <w:rFonts w:eastAsia="MS Gothic"/>
          <w:b/>
          <w:bCs/>
          <w:color w:val="71818C"/>
          <w:sz w:val="32"/>
          <w:szCs w:val="28"/>
          <w:lang w:val="en-GB"/>
        </w:rPr>
      </w:pPr>
      <w:r w:rsidRPr="00DD6E6B">
        <w:rPr>
          <w:lang w:val="en-GB"/>
        </w:rPr>
        <w:br w:type="page"/>
      </w:r>
    </w:p>
    <w:p w14:paraId="1B448BE0" w14:textId="30B7B17F" w:rsidR="006A3CAF" w:rsidRPr="00DD6E6B" w:rsidRDefault="006A3CAF" w:rsidP="006A3CAF">
      <w:pPr>
        <w:pStyle w:val="Nadpis11"/>
        <w:spacing w:after="120"/>
        <w:rPr>
          <w:lang w:val="en-GB"/>
        </w:rPr>
      </w:pPr>
      <w:bookmarkStart w:id="35" w:name="_Toc148437389"/>
      <w:bookmarkEnd w:id="26"/>
      <w:r w:rsidRPr="00DD6E6B">
        <w:rPr>
          <w:lang w:val="en-GB"/>
        </w:rPr>
        <w:lastRenderedPageBreak/>
        <w:t>6. </w:t>
      </w:r>
      <w:r w:rsidR="00D62FE9" w:rsidRPr="00DD6E6B">
        <w:rPr>
          <w:lang w:val="en-GB"/>
        </w:rPr>
        <w:t>Labour Market</w:t>
      </w:r>
      <w:bookmarkEnd w:id="35"/>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6A3CAF" w:rsidRPr="00DD6E6B" w14:paraId="7C3EB322" w14:textId="77777777" w:rsidTr="00DA0121">
        <w:trPr>
          <w:trHeight w:val="155"/>
        </w:trPr>
        <w:tc>
          <w:tcPr>
            <w:tcW w:w="1754" w:type="dxa"/>
            <w:shd w:val="clear" w:color="auto" w:fill="auto"/>
            <w:tcMar>
              <w:left w:w="0" w:type="dxa"/>
            </w:tcMar>
          </w:tcPr>
          <w:p w14:paraId="2FB6CB58" w14:textId="52796F62" w:rsidR="006A3CAF" w:rsidRPr="00DD6E6B" w:rsidRDefault="004A07FB" w:rsidP="00DA0121">
            <w:pPr>
              <w:pStyle w:val="Marginlie"/>
              <w:spacing w:after="120"/>
              <w:rPr>
                <w:color w:val="0D0D0D" w:themeColor="text1" w:themeTint="F2"/>
                <w:spacing w:val="-4"/>
                <w:lang w:val="en-GB"/>
              </w:rPr>
            </w:pPr>
            <w:r w:rsidRPr="00DD6E6B">
              <w:rPr>
                <w:color w:val="0D0D0D" w:themeColor="text1" w:themeTint="F2"/>
                <w:spacing w:val="-4"/>
                <w:lang w:val="en-GB"/>
              </w:rPr>
              <w:t>Partial cooling manifested on the labour market</w:t>
            </w:r>
            <w:r w:rsidR="006A3CAF" w:rsidRPr="00DD6E6B">
              <w:rPr>
                <w:color w:val="0D0D0D" w:themeColor="text1" w:themeTint="F2"/>
                <w:spacing w:val="-4"/>
                <w:lang w:val="en-GB"/>
              </w:rPr>
              <w:t xml:space="preserve">, </w:t>
            </w:r>
            <w:r w:rsidRPr="00DD6E6B">
              <w:rPr>
                <w:color w:val="0D0D0D" w:themeColor="text1" w:themeTint="F2"/>
                <w:spacing w:val="-4"/>
                <w:lang w:val="en-GB"/>
              </w:rPr>
              <w:t>the imbalance between supply and demand narrowed</w:t>
            </w:r>
            <w:r w:rsidR="006A3CAF" w:rsidRPr="00DD6E6B">
              <w:rPr>
                <w:color w:val="0D0D0D" w:themeColor="text1" w:themeTint="F2"/>
                <w:spacing w:val="-4"/>
                <w:lang w:val="en-GB"/>
              </w:rPr>
              <w:t xml:space="preserve">. </w:t>
            </w:r>
            <w:r w:rsidRPr="00DD6E6B">
              <w:rPr>
                <w:color w:val="0D0D0D" w:themeColor="text1" w:themeTint="F2"/>
                <w:spacing w:val="-4"/>
                <w:lang w:val="en-GB"/>
              </w:rPr>
              <w:t xml:space="preserve">Situation however significantly differed in the individual segments of the economy. </w:t>
            </w:r>
            <w:r w:rsidR="006A3CAF" w:rsidRPr="00DD6E6B">
              <w:rPr>
                <w:color w:val="0D0D0D" w:themeColor="text1" w:themeTint="F2"/>
                <w:spacing w:val="-4"/>
                <w:lang w:val="en-GB"/>
              </w:rPr>
              <w:t xml:space="preserve">  </w:t>
            </w:r>
          </w:p>
        </w:tc>
        <w:tc>
          <w:tcPr>
            <w:tcW w:w="220" w:type="dxa"/>
            <w:shd w:val="clear" w:color="auto" w:fill="auto"/>
            <w:tcMar>
              <w:left w:w="0" w:type="dxa"/>
            </w:tcMar>
          </w:tcPr>
          <w:p w14:paraId="12A3C6F0"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3013A21B" w14:textId="1D952423" w:rsidR="006A3CAF" w:rsidRPr="00DD6E6B" w:rsidRDefault="002120F9" w:rsidP="00FF556A">
            <w:pPr>
              <w:rPr>
                <w:color w:val="0D0D0D" w:themeColor="text1" w:themeTint="F2"/>
                <w:spacing w:val="-4"/>
                <w:lang w:val="en-GB"/>
              </w:rPr>
            </w:pPr>
            <w:r w:rsidRPr="00DD6E6B">
              <w:rPr>
                <w:color w:val="0D0D0D" w:themeColor="text1" w:themeTint="F2"/>
                <w:spacing w:val="-4"/>
                <w:lang w:val="en-GB"/>
              </w:rPr>
              <w:t>Despite ongoing stagnation of the performance of the domestic economy, the cooling of the previously strongly overheated labour market has been only partially evident in the CR this year so far</w:t>
            </w:r>
            <w:r w:rsidR="006A3CAF" w:rsidRPr="00DD6E6B">
              <w:rPr>
                <w:color w:val="0D0D0D" w:themeColor="text1" w:themeTint="F2"/>
                <w:spacing w:val="-4"/>
                <w:lang w:val="en-GB"/>
              </w:rPr>
              <w:t>. T</w:t>
            </w:r>
            <w:r w:rsidR="00254E62" w:rsidRPr="00DD6E6B">
              <w:rPr>
                <w:color w:val="0D0D0D" w:themeColor="text1" w:themeTint="F2"/>
                <w:spacing w:val="-4"/>
                <w:lang w:val="en-GB"/>
              </w:rPr>
              <w:t xml:space="preserve">his can be next to the traditional lag of the labour market in relation to the business cycle also explained by the markedly differentiated impact of the preceding shocks </w:t>
            </w:r>
            <w:r w:rsidR="006A3CAF" w:rsidRPr="00DD6E6B">
              <w:rPr>
                <w:color w:val="0D0D0D" w:themeColor="text1" w:themeTint="F2"/>
                <w:spacing w:val="-4"/>
                <w:lang w:val="en-GB"/>
              </w:rPr>
              <w:t>(pandemic</w:t>
            </w:r>
            <w:r w:rsidR="00254E62" w:rsidRPr="00DD6E6B">
              <w:rPr>
                <w:color w:val="0D0D0D" w:themeColor="text1" w:themeTint="F2"/>
                <w:spacing w:val="-4"/>
                <w:lang w:val="en-GB"/>
              </w:rPr>
              <w:t xml:space="preserve"> restrictions, energy crisis</w:t>
            </w:r>
            <w:r w:rsidR="006A3CAF" w:rsidRPr="00DD6E6B">
              <w:rPr>
                <w:color w:val="0D0D0D" w:themeColor="text1" w:themeTint="F2"/>
                <w:spacing w:val="-4"/>
                <w:lang w:val="en-GB"/>
              </w:rPr>
              <w:t>)</w:t>
            </w:r>
            <w:r w:rsidR="00254E62" w:rsidRPr="00DD6E6B">
              <w:rPr>
                <w:color w:val="0D0D0D" w:themeColor="text1" w:themeTint="F2"/>
                <w:spacing w:val="-4"/>
                <w:lang w:val="en-GB"/>
              </w:rPr>
              <w:t xml:space="preserve"> on the various segments of the economy. </w:t>
            </w:r>
            <w:r w:rsidR="004A07FB" w:rsidRPr="00DD6E6B">
              <w:rPr>
                <w:color w:val="0D0D0D" w:themeColor="text1" w:themeTint="F2"/>
                <w:spacing w:val="-4"/>
                <w:lang w:val="en-GB"/>
              </w:rPr>
              <w:t>Cooling of the</w:t>
            </w:r>
            <w:r w:rsidR="00254E62" w:rsidRPr="00DD6E6B">
              <w:rPr>
                <w:color w:val="0D0D0D" w:themeColor="text1" w:themeTint="F2"/>
                <w:spacing w:val="-4"/>
                <w:lang w:val="en-GB"/>
              </w:rPr>
              <w:t xml:space="preserve"> </w:t>
            </w:r>
            <w:r w:rsidR="004A07FB" w:rsidRPr="00DD6E6B">
              <w:rPr>
                <w:color w:val="0D0D0D" w:themeColor="text1" w:themeTint="F2"/>
                <w:spacing w:val="-4"/>
                <w:lang w:val="en-GB"/>
              </w:rPr>
              <w:t>labour market was more notable in subjective stances of the employers (ascertained with the business cycle surveys</w:t>
            </w:r>
            <w:r w:rsidR="006A3CAF" w:rsidRPr="00DD6E6B">
              <w:rPr>
                <w:color w:val="0D0D0D" w:themeColor="text1" w:themeTint="F2"/>
                <w:spacing w:val="-4"/>
                <w:lang w:val="en-GB"/>
              </w:rPr>
              <w:t xml:space="preserve">). </w:t>
            </w:r>
            <w:r w:rsidR="004A07FB" w:rsidRPr="00DD6E6B">
              <w:rPr>
                <w:color w:val="0D0D0D" w:themeColor="text1" w:themeTint="F2"/>
                <w:spacing w:val="-4"/>
                <w:lang w:val="en-GB"/>
              </w:rPr>
              <w:t xml:space="preserve">Thus the </w:t>
            </w:r>
            <w:r w:rsidR="009B5629" w:rsidRPr="00DD6E6B">
              <w:rPr>
                <w:color w:val="0D0D0D" w:themeColor="text1" w:themeTint="F2"/>
                <w:spacing w:val="-4"/>
                <w:lang w:val="en-GB"/>
              </w:rPr>
              <w:t xml:space="preserve">short-term </w:t>
            </w:r>
            <w:r w:rsidR="00BF7D00" w:rsidRPr="00DD6E6B">
              <w:rPr>
                <w:color w:val="0D0D0D" w:themeColor="text1" w:themeTint="F2"/>
                <w:spacing w:val="-4"/>
                <w:lang w:val="en-GB"/>
              </w:rPr>
              <w:t>anticipations</w:t>
            </w:r>
            <w:r w:rsidR="009B5629" w:rsidRPr="00DD6E6B">
              <w:rPr>
                <w:color w:val="0D0D0D" w:themeColor="text1" w:themeTint="F2"/>
                <w:spacing w:val="-4"/>
                <w:lang w:val="en-GB"/>
              </w:rPr>
              <w:t xml:space="preserve"> of businesses in the area of employment w</w:t>
            </w:r>
            <w:r w:rsidR="00BF7D00" w:rsidRPr="00DD6E6B">
              <w:rPr>
                <w:color w:val="0D0D0D" w:themeColor="text1" w:themeTint="F2"/>
                <w:spacing w:val="-4"/>
                <w:lang w:val="en-GB"/>
              </w:rPr>
              <w:t>ere</w:t>
            </w:r>
            <w:r w:rsidR="009B5629" w:rsidRPr="00DD6E6B">
              <w:rPr>
                <w:color w:val="0D0D0D" w:themeColor="text1" w:themeTint="F2"/>
                <w:spacing w:val="-4"/>
                <w:lang w:val="en-GB"/>
              </w:rPr>
              <w:t xml:space="preserve"> further deteriorating in the course of H</w:t>
            </w:r>
            <w:r w:rsidR="006A3CAF" w:rsidRPr="00DD6E6B">
              <w:rPr>
                <w:color w:val="0D0D0D" w:themeColor="text1" w:themeTint="F2"/>
                <w:spacing w:val="-4"/>
                <w:lang w:val="en-GB"/>
              </w:rPr>
              <w:t>1</w:t>
            </w:r>
            <w:r w:rsidR="009B5629" w:rsidRPr="00DD6E6B">
              <w:rPr>
                <w:color w:val="0D0D0D" w:themeColor="text1" w:themeTint="F2"/>
                <w:spacing w:val="-4"/>
                <w:lang w:val="en-GB"/>
              </w:rPr>
              <w:t xml:space="preserve"> and at the same time the number of businesses stating shortage of labour force </w:t>
            </w:r>
            <w:r w:rsidR="00BF7D00" w:rsidRPr="00DD6E6B">
              <w:rPr>
                <w:color w:val="0D0D0D" w:themeColor="text1" w:themeTint="F2"/>
                <w:spacing w:val="-4"/>
                <w:lang w:val="en-GB"/>
              </w:rPr>
              <w:t xml:space="preserve">as a barrier to their growth diminished </w:t>
            </w:r>
            <w:r w:rsidR="004A07FB" w:rsidRPr="00DD6E6B">
              <w:rPr>
                <w:color w:val="0D0D0D" w:themeColor="text1" w:themeTint="F2"/>
                <w:spacing w:val="-4"/>
                <w:lang w:val="en-GB"/>
              </w:rPr>
              <w:t>during H1</w:t>
            </w:r>
            <w:r w:rsidR="006A3CAF" w:rsidRPr="00DD6E6B">
              <w:rPr>
                <w:color w:val="0D0D0D" w:themeColor="text1" w:themeTint="F2"/>
                <w:spacing w:val="-4"/>
                <w:lang w:val="en-GB"/>
              </w:rPr>
              <w:t xml:space="preserve">. </w:t>
            </w:r>
            <w:r w:rsidR="004A07FB" w:rsidRPr="00DD6E6B">
              <w:rPr>
                <w:color w:val="0D0D0D" w:themeColor="text1" w:themeTint="F2"/>
                <w:spacing w:val="-4"/>
                <w:lang w:val="en-GB"/>
              </w:rPr>
              <w:t xml:space="preserve">Still the employment considerably grew in the economy, even </w:t>
            </w:r>
            <w:r w:rsidR="00BF7D00" w:rsidRPr="00DD6E6B">
              <w:rPr>
                <w:color w:val="0D0D0D" w:themeColor="text1" w:themeTint="F2"/>
                <w:spacing w:val="-4"/>
                <w:lang w:val="en-GB"/>
              </w:rPr>
              <w:t>though</w:t>
            </w:r>
            <w:r w:rsidR="004A07FB" w:rsidRPr="00DD6E6B">
              <w:rPr>
                <w:color w:val="0D0D0D" w:themeColor="text1" w:themeTint="F2"/>
                <w:spacing w:val="-4"/>
                <w:lang w:val="en-GB"/>
              </w:rPr>
              <w:t xml:space="preserve"> not at all across the board, and also under specific circumstance </w:t>
            </w:r>
            <w:r w:rsidR="006A3CAF" w:rsidRPr="00DD6E6B">
              <w:rPr>
                <w:color w:val="0D0D0D" w:themeColor="text1" w:themeTint="F2"/>
                <w:spacing w:val="-4"/>
                <w:lang w:val="en-GB"/>
              </w:rPr>
              <w:t>(</w:t>
            </w:r>
            <w:r w:rsidR="004A07FB" w:rsidRPr="00DD6E6B">
              <w:rPr>
                <w:color w:val="0D0D0D" w:themeColor="text1" w:themeTint="F2"/>
                <w:spacing w:val="-4"/>
                <w:lang w:val="en-GB"/>
              </w:rPr>
              <w:t>gradual integration of the refugees from Ukraine</w:t>
            </w:r>
            <w:r w:rsidR="006A3CAF" w:rsidRPr="00DD6E6B">
              <w:rPr>
                <w:color w:val="0D0D0D" w:themeColor="text1" w:themeTint="F2"/>
                <w:spacing w:val="-4"/>
                <w:lang w:val="en-GB"/>
              </w:rPr>
              <w:t>).</w:t>
            </w:r>
            <w:r w:rsidR="004A07FB" w:rsidRPr="00DD6E6B">
              <w:rPr>
                <w:color w:val="0D0D0D" w:themeColor="text1" w:themeTint="F2"/>
                <w:spacing w:val="-4"/>
                <w:lang w:val="en-GB"/>
              </w:rPr>
              <w:t xml:space="preserve"> The number of job vacancies slightly shrank while accompanied </w:t>
            </w:r>
            <w:r w:rsidR="00BF7D00" w:rsidRPr="00DD6E6B">
              <w:rPr>
                <w:color w:val="0D0D0D" w:themeColor="text1" w:themeTint="F2"/>
                <w:spacing w:val="-4"/>
                <w:lang w:val="en-GB"/>
              </w:rPr>
              <w:t xml:space="preserve">simultaneously </w:t>
            </w:r>
            <w:r w:rsidR="004A07FB" w:rsidRPr="00DD6E6B">
              <w:rPr>
                <w:color w:val="0D0D0D" w:themeColor="text1" w:themeTint="F2"/>
                <w:spacing w:val="-4"/>
                <w:lang w:val="en-GB"/>
              </w:rPr>
              <w:t>by negligible increase of unemployment in the economy</w:t>
            </w:r>
            <w:r w:rsidR="006A3CAF" w:rsidRPr="00DD6E6B">
              <w:rPr>
                <w:color w:val="0D0D0D" w:themeColor="text1" w:themeTint="F2"/>
                <w:spacing w:val="-4"/>
                <w:lang w:val="en-GB"/>
              </w:rPr>
              <w:t xml:space="preserve">. </w:t>
            </w:r>
            <w:r w:rsidR="00BF4DCD" w:rsidRPr="00DD6E6B">
              <w:rPr>
                <w:color w:val="0D0D0D" w:themeColor="text1" w:themeTint="F2"/>
                <w:spacing w:val="-4"/>
                <w:lang w:val="en-GB"/>
              </w:rPr>
              <w:t xml:space="preserve">Advantageous position of the employees on the labour market accompanied by persisting strong growth of the cost of living of households </w:t>
            </w:r>
            <w:r w:rsidR="004A07FB" w:rsidRPr="00DD6E6B">
              <w:rPr>
                <w:color w:val="0D0D0D" w:themeColor="text1" w:themeTint="F2"/>
                <w:spacing w:val="-4"/>
                <w:lang w:val="en-GB"/>
              </w:rPr>
              <w:t>heightened the pressure on the wage growth</w:t>
            </w:r>
            <w:r w:rsidR="006A3CAF" w:rsidRPr="00DD6E6B">
              <w:rPr>
                <w:color w:val="0D0D0D" w:themeColor="text1" w:themeTint="F2"/>
                <w:spacing w:val="-4"/>
                <w:lang w:val="en-GB"/>
              </w:rPr>
              <w:t xml:space="preserve">. </w:t>
            </w:r>
            <w:r w:rsidRPr="00DD6E6B">
              <w:rPr>
                <w:color w:val="0D0D0D" w:themeColor="text1" w:themeTint="F2"/>
                <w:spacing w:val="-4"/>
                <w:lang w:val="en-GB"/>
              </w:rPr>
              <w:t>Desp</w:t>
            </w:r>
            <w:r w:rsidR="004A07FB" w:rsidRPr="00DD6E6B">
              <w:rPr>
                <w:color w:val="0D0D0D" w:themeColor="text1" w:themeTint="F2"/>
                <w:spacing w:val="-4"/>
                <w:lang w:val="en-GB"/>
              </w:rPr>
              <w:t xml:space="preserve">ite disinflationary tendencies the year-on-year loss of the purchasing power of wages still remains significant in the economy. </w:t>
            </w:r>
            <w:r w:rsidR="006A3CAF" w:rsidRPr="00DD6E6B">
              <w:rPr>
                <w:color w:val="0D0D0D" w:themeColor="text1" w:themeTint="F2"/>
                <w:spacing w:val="-4"/>
                <w:lang w:val="en-GB"/>
              </w:rPr>
              <w:t xml:space="preserve"> </w:t>
            </w:r>
          </w:p>
        </w:tc>
      </w:tr>
      <w:tr w:rsidR="006A3CAF" w:rsidRPr="00485366" w14:paraId="41C47A7E" w14:textId="77777777" w:rsidTr="00DA0121">
        <w:trPr>
          <w:trHeight w:val="155"/>
        </w:trPr>
        <w:tc>
          <w:tcPr>
            <w:tcW w:w="1754" w:type="dxa"/>
            <w:shd w:val="clear" w:color="auto" w:fill="auto"/>
            <w:tcMar>
              <w:left w:w="0" w:type="dxa"/>
            </w:tcMar>
          </w:tcPr>
          <w:p w14:paraId="0C6B0A94" w14:textId="37A0746C" w:rsidR="006A3CAF" w:rsidRPr="00DD6E6B" w:rsidRDefault="00BB71D2" w:rsidP="00DA0121">
            <w:pPr>
              <w:pStyle w:val="Marginlie"/>
              <w:spacing w:after="120"/>
              <w:rPr>
                <w:color w:val="0D0D0D" w:themeColor="text1" w:themeTint="F2"/>
                <w:spacing w:val="-4"/>
                <w:lang w:val="en-GB"/>
              </w:rPr>
            </w:pPr>
            <w:r w:rsidRPr="00DD6E6B">
              <w:rPr>
                <w:color w:val="0D0D0D" w:themeColor="text1" w:themeTint="F2"/>
                <w:spacing w:val="-4"/>
                <w:lang w:val="en-GB"/>
              </w:rPr>
              <w:t>Total employment clim</w:t>
            </w:r>
            <w:r w:rsidR="002120F9" w:rsidRPr="00DD6E6B">
              <w:rPr>
                <w:color w:val="0D0D0D" w:themeColor="text1" w:themeTint="F2"/>
                <w:spacing w:val="-4"/>
                <w:lang w:val="en-GB"/>
              </w:rPr>
              <w:t>b</w:t>
            </w:r>
            <w:r w:rsidRPr="00DD6E6B">
              <w:rPr>
                <w:color w:val="0D0D0D" w:themeColor="text1" w:themeTint="F2"/>
                <w:spacing w:val="-4"/>
                <w:lang w:val="en-GB"/>
              </w:rPr>
              <w:t xml:space="preserve">ed up to record level. </w:t>
            </w:r>
            <w:r w:rsidR="007718D7" w:rsidRPr="00DD6E6B">
              <w:rPr>
                <w:color w:val="0D0D0D" w:themeColor="text1" w:themeTint="F2"/>
                <w:spacing w:val="-4"/>
                <w:lang w:val="en-GB"/>
              </w:rPr>
              <w:t xml:space="preserve">It was also aided by the revival of small business, which manifested across all main branches. </w:t>
            </w:r>
          </w:p>
        </w:tc>
        <w:tc>
          <w:tcPr>
            <w:tcW w:w="220" w:type="dxa"/>
            <w:shd w:val="clear" w:color="auto" w:fill="auto"/>
            <w:tcMar>
              <w:left w:w="0" w:type="dxa"/>
            </w:tcMar>
          </w:tcPr>
          <w:p w14:paraId="0181808C"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02D37D9" w14:textId="627154B5" w:rsidR="006A3CAF" w:rsidRPr="00DD6E6B" w:rsidRDefault="00D62FE9" w:rsidP="00CC433B">
            <w:pPr>
              <w:rPr>
                <w:color w:val="0D0D0D" w:themeColor="text1" w:themeTint="F2"/>
                <w:spacing w:val="-4"/>
                <w:lang w:val="en-GB"/>
              </w:rPr>
            </w:pPr>
            <w:r w:rsidRPr="00DD6E6B">
              <w:rPr>
                <w:lang w:val="en-GB"/>
              </w:rPr>
              <w:t>Total employment</w:t>
            </w:r>
            <w:r w:rsidR="006A3CAF" w:rsidRPr="00DD6E6B">
              <w:rPr>
                <w:color w:val="0D0D0D" w:themeColor="text1" w:themeTint="F2"/>
                <w:spacing w:val="-4"/>
                <w:vertAlign w:val="superscript"/>
                <w:lang w:val="en-GB"/>
              </w:rPr>
              <w:footnoteReference w:id="56"/>
            </w:r>
            <w:r w:rsidR="006A3CAF" w:rsidRPr="00DD6E6B">
              <w:rPr>
                <w:lang w:val="en-GB"/>
              </w:rPr>
              <w:t xml:space="preserve"> </w:t>
            </w:r>
            <w:r w:rsidR="002120F9" w:rsidRPr="00DD6E6B">
              <w:rPr>
                <w:lang w:val="en-GB"/>
              </w:rPr>
              <w:t xml:space="preserve">was </w:t>
            </w:r>
            <w:r w:rsidR="007718D7" w:rsidRPr="00DD6E6B">
              <w:rPr>
                <w:lang w:val="en-GB"/>
              </w:rPr>
              <w:t>considerably</w:t>
            </w:r>
            <w:r w:rsidR="002120F9" w:rsidRPr="00DD6E6B">
              <w:rPr>
                <w:lang w:val="en-GB"/>
              </w:rPr>
              <w:t xml:space="preserve"> expan</w:t>
            </w:r>
            <w:r w:rsidR="004A07FB" w:rsidRPr="00DD6E6B">
              <w:rPr>
                <w:lang w:val="en-GB"/>
              </w:rPr>
              <w:t>ding</w:t>
            </w:r>
            <w:r w:rsidR="002120F9" w:rsidRPr="00DD6E6B">
              <w:rPr>
                <w:lang w:val="en-GB"/>
              </w:rPr>
              <w:t xml:space="preserve"> this year. </w:t>
            </w:r>
            <w:r w:rsidR="007718D7" w:rsidRPr="00DD6E6B">
              <w:rPr>
                <w:lang w:val="en-GB"/>
              </w:rPr>
              <w:t xml:space="preserve">It was by </w:t>
            </w:r>
            <w:r w:rsidR="006A3CAF" w:rsidRPr="00DD6E6B">
              <w:rPr>
                <w:lang w:val="en-GB"/>
              </w:rPr>
              <w:t>0</w:t>
            </w:r>
            <w:r w:rsidR="007718D7" w:rsidRPr="00DD6E6B">
              <w:rPr>
                <w:lang w:val="en-GB"/>
              </w:rPr>
              <w:t>.</w:t>
            </w:r>
            <w:r w:rsidR="006A3CAF" w:rsidRPr="00DD6E6B">
              <w:rPr>
                <w:lang w:val="en-GB"/>
              </w:rPr>
              <w:t>8%</w:t>
            </w:r>
            <w:r w:rsidR="00CC433B">
              <w:rPr>
                <w:lang w:val="en-GB"/>
              </w:rPr>
              <w:t>, i.e. by</w:t>
            </w:r>
            <w:r w:rsidR="00514BAE" w:rsidRPr="00DD6E6B">
              <w:rPr>
                <w:lang w:val="en-GB"/>
              </w:rPr>
              <w:t xml:space="preserve"> 45</w:t>
            </w:r>
            <w:r w:rsidR="00CC433B">
              <w:rPr>
                <w:lang w:val="en-GB"/>
              </w:rPr>
              <w:t> </w:t>
            </w:r>
            <w:r w:rsidR="00514BAE" w:rsidRPr="00DD6E6B">
              <w:rPr>
                <w:lang w:val="en-GB"/>
              </w:rPr>
              <w:t>thousand persons</w:t>
            </w:r>
            <w:r w:rsidR="00CC433B">
              <w:rPr>
                <w:lang w:val="en-GB"/>
              </w:rPr>
              <w:t>,</w:t>
            </w:r>
            <w:r w:rsidR="00514BAE" w:rsidRPr="00DD6E6B">
              <w:rPr>
                <w:lang w:val="en-GB"/>
              </w:rPr>
              <w:t xml:space="preserve"> </w:t>
            </w:r>
            <w:r w:rsidR="007718D7" w:rsidRPr="00DD6E6B">
              <w:rPr>
                <w:lang w:val="en-GB"/>
              </w:rPr>
              <w:t xml:space="preserve">higher year-on-year in Q2 and quarter-on-quarter it strengthened even by </w:t>
            </w:r>
            <w:r w:rsidR="006A3CAF" w:rsidRPr="00DD6E6B">
              <w:rPr>
                <w:lang w:val="en-GB"/>
              </w:rPr>
              <w:t xml:space="preserve">1%. </w:t>
            </w:r>
            <w:r w:rsidR="00610131" w:rsidRPr="00DD6E6B">
              <w:rPr>
                <w:lang w:val="en-GB"/>
              </w:rPr>
              <w:t>Number</w:t>
            </w:r>
            <w:r w:rsidR="007718D7" w:rsidRPr="00DD6E6B">
              <w:rPr>
                <w:lang w:val="en-GB"/>
              </w:rPr>
              <w:t xml:space="preserve"> of workers reached a record level </w:t>
            </w:r>
            <w:r w:rsidR="006A3CAF" w:rsidRPr="00DD6E6B">
              <w:rPr>
                <w:lang w:val="en-GB"/>
              </w:rPr>
              <w:t>(5</w:t>
            </w:r>
            <w:r w:rsidR="007718D7" w:rsidRPr="00DD6E6B">
              <w:rPr>
                <w:lang w:val="en-GB"/>
              </w:rPr>
              <w:t>.</w:t>
            </w:r>
            <w:r w:rsidR="006A3CAF" w:rsidRPr="00DD6E6B">
              <w:rPr>
                <w:lang w:val="en-GB"/>
              </w:rPr>
              <w:t xml:space="preserve">51 mil), </w:t>
            </w:r>
            <w:r w:rsidR="007718D7" w:rsidRPr="00DD6E6B">
              <w:rPr>
                <w:lang w:val="en-GB"/>
              </w:rPr>
              <w:t xml:space="preserve">it was by </w:t>
            </w:r>
            <w:r w:rsidR="006A3CAF" w:rsidRPr="00DD6E6B">
              <w:rPr>
                <w:lang w:val="en-GB"/>
              </w:rPr>
              <w:t>68 t</w:t>
            </w:r>
            <w:r w:rsidR="007718D7" w:rsidRPr="00DD6E6B">
              <w:rPr>
                <w:lang w:val="en-GB"/>
              </w:rPr>
              <w:t>housand higher compared to year 2019</w:t>
            </w:r>
            <w:r w:rsidR="006A3CAF" w:rsidRPr="00DD6E6B">
              <w:rPr>
                <w:lang w:val="en-GB"/>
              </w:rPr>
              <w:t xml:space="preserve">. </w:t>
            </w:r>
            <w:r w:rsidR="00610131" w:rsidRPr="00DD6E6B">
              <w:rPr>
                <w:lang w:val="en-GB"/>
              </w:rPr>
              <w:t xml:space="preserve">The revival of the entrepreneurial activity significantly contributed to the year-on-year growth of employment. </w:t>
            </w:r>
            <w:r w:rsidR="007718D7" w:rsidRPr="00DD6E6B">
              <w:rPr>
                <w:lang w:val="en-GB"/>
              </w:rPr>
              <w:t>Quantity of self-employed</w:t>
            </w:r>
            <w:r w:rsidR="006A3CAF" w:rsidRPr="00DD6E6B">
              <w:rPr>
                <w:rStyle w:val="Znakapoznpodarou"/>
                <w:spacing w:val="-5"/>
                <w:lang w:val="en-GB"/>
              </w:rPr>
              <w:footnoteReference w:id="57"/>
            </w:r>
            <w:r w:rsidR="006A3CAF" w:rsidRPr="00DD6E6B">
              <w:rPr>
                <w:color w:val="0D0D0D" w:themeColor="text1" w:themeTint="F2"/>
                <w:spacing w:val="-4"/>
                <w:lang w:val="en-GB"/>
              </w:rPr>
              <w:t xml:space="preserve"> </w:t>
            </w:r>
            <w:r w:rsidR="007718D7" w:rsidRPr="00DD6E6B">
              <w:rPr>
                <w:color w:val="0D0D0D" w:themeColor="text1" w:themeTint="F2"/>
                <w:spacing w:val="-4"/>
                <w:lang w:val="en-GB"/>
              </w:rPr>
              <w:t xml:space="preserve">widened by </w:t>
            </w:r>
            <w:r w:rsidR="006A3CAF" w:rsidRPr="00DD6E6B">
              <w:rPr>
                <w:color w:val="0D0D0D" w:themeColor="text1" w:themeTint="F2"/>
                <w:spacing w:val="-4"/>
                <w:lang w:val="en-GB"/>
              </w:rPr>
              <w:t>2</w:t>
            </w:r>
            <w:r w:rsidR="007718D7" w:rsidRPr="00DD6E6B">
              <w:rPr>
                <w:color w:val="0D0D0D" w:themeColor="text1" w:themeTint="F2"/>
                <w:spacing w:val="-4"/>
                <w:lang w:val="en-GB"/>
              </w:rPr>
              <w:t>.</w:t>
            </w:r>
            <w:r w:rsidR="006A3CAF" w:rsidRPr="00DD6E6B">
              <w:rPr>
                <w:color w:val="0D0D0D" w:themeColor="text1" w:themeTint="F2"/>
                <w:spacing w:val="-4"/>
                <w:lang w:val="en-GB"/>
              </w:rPr>
              <w:t xml:space="preserve">4%, </w:t>
            </w:r>
            <w:r w:rsidR="007718D7" w:rsidRPr="00DD6E6B">
              <w:rPr>
                <w:color w:val="0D0D0D" w:themeColor="text1" w:themeTint="F2"/>
                <w:spacing w:val="-4"/>
                <w:lang w:val="en-GB"/>
              </w:rPr>
              <w:t>mainly thanks t</w:t>
            </w:r>
            <w:r w:rsidR="006209F8" w:rsidRPr="00DD6E6B">
              <w:rPr>
                <w:color w:val="0D0D0D" w:themeColor="text1" w:themeTint="F2"/>
                <w:spacing w:val="-4"/>
                <w:lang w:val="en-GB"/>
              </w:rPr>
              <w:t>o</w:t>
            </w:r>
            <w:r w:rsidR="007718D7" w:rsidRPr="00DD6E6B">
              <w:rPr>
                <w:color w:val="0D0D0D" w:themeColor="text1" w:themeTint="F2"/>
                <w:spacing w:val="-4"/>
                <w:lang w:val="en-GB"/>
              </w:rPr>
              <w:t xml:space="preserve"> construction </w:t>
            </w:r>
            <w:r w:rsidR="006A3CAF" w:rsidRPr="00DD6E6B">
              <w:rPr>
                <w:color w:val="0D0D0D" w:themeColor="text1" w:themeTint="F2"/>
                <w:spacing w:val="-4"/>
                <w:lang w:val="en-GB"/>
              </w:rPr>
              <w:t>(+7 t</w:t>
            </w:r>
            <w:r w:rsidR="007718D7" w:rsidRPr="00DD6E6B">
              <w:rPr>
                <w:color w:val="0D0D0D" w:themeColor="text1" w:themeTint="F2"/>
                <w:spacing w:val="-4"/>
                <w:lang w:val="en-GB"/>
              </w:rPr>
              <w:t>housand</w:t>
            </w:r>
            <w:r w:rsidR="006A3CAF" w:rsidRPr="00DD6E6B">
              <w:rPr>
                <w:color w:val="0D0D0D" w:themeColor="text1" w:themeTint="F2"/>
                <w:spacing w:val="-4"/>
                <w:lang w:val="en-GB"/>
              </w:rPr>
              <w:t xml:space="preserve">), </w:t>
            </w:r>
            <w:r w:rsidR="007718D7" w:rsidRPr="00DD6E6B">
              <w:rPr>
                <w:color w:val="0D0D0D" w:themeColor="text1" w:themeTint="F2"/>
                <w:spacing w:val="-4"/>
                <w:lang w:val="en-GB"/>
              </w:rPr>
              <w:t xml:space="preserve">information and communication </w:t>
            </w:r>
            <w:r w:rsidR="006A3CAF" w:rsidRPr="00DD6E6B">
              <w:rPr>
                <w:color w:val="0D0D0D" w:themeColor="text1" w:themeTint="F2"/>
                <w:spacing w:val="-4"/>
                <w:lang w:val="en-GB"/>
              </w:rPr>
              <w:t>(+10%) a</w:t>
            </w:r>
            <w:r w:rsidR="007718D7" w:rsidRPr="00DD6E6B">
              <w:rPr>
                <w:color w:val="0D0D0D" w:themeColor="text1" w:themeTint="F2"/>
                <w:spacing w:val="-4"/>
                <w:lang w:val="en-GB"/>
              </w:rPr>
              <w:t xml:space="preserve">nd financial activities </w:t>
            </w:r>
            <w:r w:rsidR="006A3CAF" w:rsidRPr="00DD6E6B">
              <w:rPr>
                <w:color w:val="0D0D0D" w:themeColor="text1" w:themeTint="F2"/>
                <w:spacing w:val="-4"/>
                <w:lang w:val="en-GB"/>
              </w:rPr>
              <w:t>(+6%)</w:t>
            </w:r>
            <w:r w:rsidR="007718D7" w:rsidRPr="00DD6E6B">
              <w:rPr>
                <w:color w:val="0D0D0D" w:themeColor="text1" w:themeTint="F2"/>
                <w:spacing w:val="-4"/>
                <w:lang w:val="en-GB"/>
              </w:rPr>
              <w:t xml:space="preserve"> then experienced the relatively highest growth</w:t>
            </w:r>
            <w:r w:rsidR="006A3CAF" w:rsidRPr="00DD6E6B">
              <w:rPr>
                <w:color w:val="0D0D0D" w:themeColor="text1" w:themeTint="F2"/>
                <w:spacing w:val="-4"/>
                <w:lang w:val="en-GB"/>
              </w:rPr>
              <w:t xml:space="preserve">. </w:t>
            </w:r>
            <w:r w:rsidR="00610131" w:rsidRPr="00DD6E6B">
              <w:rPr>
                <w:color w:val="0D0D0D" w:themeColor="text1" w:themeTint="F2"/>
                <w:spacing w:val="-4"/>
                <w:lang w:val="en-GB"/>
              </w:rPr>
              <w:t xml:space="preserve">At least a mild increase of the number of small businesses occurred in all main branches. Still the number </w:t>
            </w:r>
            <w:r w:rsidR="006209F8" w:rsidRPr="00DD6E6B">
              <w:rPr>
                <w:color w:val="0D0D0D" w:themeColor="text1" w:themeTint="F2"/>
                <w:spacing w:val="-4"/>
                <w:lang w:val="en-GB"/>
              </w:rPr>
              <w:t xml:space="preserve">of </w:t>
            </w:r>
            <w:r w:rsidR="00610131" w:rsidRPr="00DD6E6B">
              <w:rPr>
                <w:color w:val="0D0D0D" w:themeColor="text1" w:themeTint="F2"/>
                <w:spacing w:val="-4"/>
                <w:lang w:val="en-GB"/>
              </w:rPr>
              <w:t xml:space="preserve">self-employed remained considerably below the level from year </w:t>
            </w:r>
            <w:r w:rsidR="006A3CAF" w:rsidRPr="00DD6E6B">
              <w:rPr>
                <w:color w:val="0D0D0D" w:themeColor="text1" w:themeTint="F2"/>
                <w:spacing w:val="-4"/>
                <w:lang w:val="en-GB"/>
              </w:rPr>
              <w:t>2019 (-4%, 30 t</w:t>
            </w:r>
            <w:r w:rsidR="00610131" w:rsidRPr="00DD6E6B">
              <w:rPr>
                <w:color w:val="0D0D0D" w:themeColor="text1" w:themeTint="F2"/>
                <w:spacing w:val="-4"/>
                <w:lang w:val="en-GB"/>
              </w:rPr>
              <w:t>housand persons</w:t>
            </w:r>
            <w:r w:rsidR="006A3CAF" w:rsidRPr="00DD6E6B">
              <w:rPr>
                <w:color w:val="0D0D0D" w:themeColor="text1" w:themeTint="F2"/>
                <w:spacing w:val="-4"/>
                <w:lang w:val="en-GB"/>
              </w:rPr>
              <w:t>)</w:t>
            </w:r>
            <w:r w:rsidR="006A3CAF" w:rsidRPr="00DD6E6B">
              <w:rPr>
                <w:rStyle w:val="Znakapoznpodarou"/>
                <w:color w:val="0D0D0D" w:themeColor="text1" w:themeTint="F2"/>
                <w:spacing w:val="-4"/>
                <w:lang w:val="en-GB"/>
              </w:rPr>
              <w:footnoteReference w:id="58"/>
            </w:r>
            <w:r w:rsidR="00610131" w:rsidRPr="00DD6E6B">
              <w:rPr>
                <w:color w:val="0D0D0D" w:themeColor="text1" w:themeTint="F2"/>
                <w:spacing w:val="-4"/>
                <w:lang w:val="en-GB"/>
              </w:rPr>
              <w:t xml:space="preserve"> in Q2 this year</w:t>
            </w:r>
            <w:r w:rsidR="006A3CAF" w:rsidRPr="00DD6E6B">
              <w:rPr>
                <w:color w:val="0D0D0D" w:themeColor="text1" w:themeTint="F2"/>
                <w:spacing w:val="-4"/>
                <w:lang w:val="en-GB"/>
              </w:rPr>
              <w:t>.</w:t>
            </w:r>
          </w:p>
        </w:tc>
      </w:tr>
      <w:tr w:rsidR="006A3CAF" w:rsidRPr="00DD6E6B" w14:paraId="31356CF5" w14:textId="77777777" w:rsidTr="00DA0121">
        <w:trPr>
          <w:trHeight w:val="155"/>
        </w:trPr>
        <w:tc>
          <w:tcPr>
            <w:tcW w:w="1754" w:type="dxa"/>
            <w:shd w:val="clear" w:color="auto" w:fill="auto"/>
            <w:tcMar>
              <w:left w:w="0" w:type="dxa"/>
            </w:tcMar>
          </w:tcPr>
          <w:p w14:paraId="299BFFFA" w14:textId="500BEEEA" w:rsidR="006A3CAF" w:rsidRPr="00DD6E6B" w:rsidRDefault="007718D7" w:rsidP="00DA0121">
            <w:pPr>
              <w:pStyle w:val="Marginlie"/>
              <w:spacing w:after="120"/>
              <w:rPr>
                <w:color w:val="0D0D0D" w:themeColor="text1" w:themeTint="F2"/>
                <w:spacing w:val="-4"/>
                <w:lang w:val="en-GB"/>
              </w:rPr>
            </w:pPr>
            <w:r w:rsidRPr="00DD6E6B">
              <w:rPr>
                <w:color w:val="0D0D0D" w:themeColor="text1" w:themeTint="F2"/>
                <w:spacing w:val="-4"/>
                <w:lang w:val="en-GB"/>
              </w:rPr>
              <w:t xml:space="preserve">Number of employees grew solely thanks to services, where they increased across all main branches. </w:t>
            </w:r>
          </w:p>
          <w:p w14:paraId="60B7E93E" w14:textId="77777777" w:rsidR="006A3CAF" w:rsidRPr="00DD6E6B" w:rsidRDefault="006A3CAF" w:rsidP="00DA0121">
            <w:pPr>
              <w:pStyle w:val="Marginlie"/>
              <w:spacing w:after="120"/>
              <w:rPr>
                <w:color w:val="0D0D0D" w:themeColor="text1" w:themeTint="F2"/>
                <w:spacing w:val="-4"/>
                <w:lang w:val="en-GB"/>
              </w:rPr>
            </w:pPr>
          </w:p>
          <w:p w14:paraId="0A7BDE0C" w14:textId="77777777" w:rsidR="006A3CAF" w:rsidRPr="00DD6E6B" w:rsidRDefault="006A3CAF" w:rsidP="00DA0121">
            <w:pPr>
              <w:pStyle w:val="Marginlie"/>
              <w:spacing w:after="120"/>
              <w:rPr>
                <w:color w:val="0D0D0D" w:themeColor="text1" w:themeTint="F2"/>
                <w:spacing w:val="-4"/>
                <w:lang w:val="en-GB"/>
              </w:rPr>
            </w:pPr>
          </w:p>
          <w:p w14:paraId="4D0222C3" w14:textId="77777777" w:rsidR="006A3CAF" w:rsidRPr="00DD6E6B" w:rsidRDefault="006A3CAF" w:rsidP="00DA0121">
            <w:pPr>
              <w:pStyle w:val="Marginlie"/>
              <w:spacing w:after="120"/>
              <w:rPr>
                <w:color w:val="0D0D0D" w:themeColor="text1" w:themeTint="F2"/>
                <w:spacing w:val="-4"/>
                <w:lang w:val="en-GB"/>
              </w:rPr>
            </w:pPr>
          </w:p>
          <w:p w14:paraId="65FC79B7" w14:textId="77777777" w:rsidR="006A3CAF" w:rsidRPr="00DD6E6B" w:rsidRDefault="006A3CAF" w:rsidP="00DA0121">
            <w:pPr>
              <w:pStyle w:val="Marginlie"/>
              <w:spacing w:after="120"/>
              <w:rPr>
                <w:color w:val="0D0D0D" w:themeColor="text1" w:themeTint="F2"/>
                <w:spacing w:val="-4"/>
                <w:lang w:val="en-GB"/>
              </w:rPr>
            </w:pPr>
          </w:p>
          <w:p w14:paraId="21D64A62" w14:textId="2FD08805" w:rsidR="006A3CAF" w:rsidRPr="00DD6E6B" w:rsidRDefault="00C6479C" w:rsidP="00DA0121">
            <w:pPr>
              <w:pStyle w:val="Marginlie"/>
              <w:spacing w:after="120"/>
              <w:rPr>
                <w:color w:val="0D0D0D" w:themeColor="text1" w:themeTint="F2"/>
                <w:spacing w:val="-4"/>
                <w:lang w:val="en-GB"/>
              </w:rPr>
            </w:pPr>
            <w:r w:rsidRPr="00DD6E6B">
              <w:rPr>
                <w:color w:val="0D0D0D" w:themeColor="text1" w:themeTint="F2"/>
                <w:spacing w:val="-4"/>
                <w:lang w:val="en-GB"/>
              </w:rPr>
              <w:t xml:space="preserve">On the contrary, the number of employees shrank in manufacturing for the first time after two years. </w:t>
            </w:r>
          </w:p>
        </w:tc>
        <w:tc>
          <w:tcPr>
            <w:tcW w:w="220" w:type="dxa"/>
            <w:shd w:val="clear" w:color="auto" w:fill="auto"/>
            <w:tcMar>
              <w:left w:w="0" w:type="dxa"/>
            </w:tcMar>
          </w:tcPr>
          <w:p w14:paraId="34F05078"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024BCE49" w14:textId="5C7D8DF0" w:rsidR="006A3CAF" w:rsidRPr="00DD6E6B" w:rsidRDefault="00C6479C" w:rsidP="00062C40">
            <w:pPr>
              <w:rPr>
                <w:color w:val="0D0D0D" w:themeColor="text1" w:themeTint="F2"/>
                <w:spacing w:val="-4"/>
                <w:lang w:val="en-GB"/>
              </w:rPr>
            </w:pPr>
            <w:r w:rsidRPr="00DD6E6B">
              <w:rPr>
                <w:color w:val="0D0D0D" w:themeColor="text1" w:themeTint="F2"/>
                <w:spacing w:val="-4"/>
                <w:lang w:val="en-GB"/>
              </w:rPr>
              <w:t xml:space="preserve">Growth of total employment was however driven mainly by employees also this year. Their quantity however increased only by </w:t>
            </w:r>
            <w:r w:rsidR="006A3CAF" w:rsidRPr="00DD6E6B">
              <w:rPr>
                <w:color w:val="0D0D0D" w:themeColor="text1" w:themeTint="F2"/>
                <w:spacing w:val="-4"/>
                <w:lang w:val="en-GB"/>
              </w:rPr>
              <w:t>28 t</w:t>
            </w:r>
            <w:r w:rsidRPr="00DD6E6B">
              <w:rPr>
                <w:color w:val="0D0D0D" w:themeColor="text1" w:themeTint="F2"/>
                <w:spacing w:val="-4"/>
                <w:lang w:val="en-GB"/>
              </w:rPr>
              <w:t xml:space="preserve">housand </w:t>
            </w:r>
            <w:r w:rsidR="006A3CAF" w:rsidRPr="00DD6E6B">
              <w:rPr>
                <w:color w:val="0D0D0D" w:themeColor="text1" w:themeTint="F2"/>
                <w:spacing w:val="-4"/>
                <w:lang w:val="en-GB"/>
              </w:rPr>
              <w:t>(+0</w:t>
            </w:r>
            <w:r w:rsidRPr="00DD6E6B">
              <w:rPr>
                <w:color w:val="0D0D0D" w:themeColor="text1" w:themeTint="F2"/>
                <w:spacing w:val="-4"/>
                <w:lang w:val="en-GB"/>
              </w:rPr>
              <w:t>.</w:t>
            </w:r>
            <w:r w:rsidR="006A3CAF" w:rsidRPr="00DD6E6B">
              <w:rPr>
                <w:color w:val="0D0D0D" w:themeColor="text1" w:themeTint="F2"/>
                <w:spacing w:val="-4"/>
                <w:lang w:val="en-GB"/>
              </w:rPr>
              <w:t xml:space="preserve">6%, </w:t>
            </w:r>
            <w:r w:rsidRPr="00DD6E6B">
              <w:rPr>
                <w:color w:val="0D0D0D" w:themeColor="text1" w:themeTint="F2"/>
                <w:spacing w:val="-4"/>
                <w:lang w:val="en-GB"/>
              </w:rPr>
              <w:t xml:space="preserve">the least since the peak of the pandemics at the beginning of year </w:t>
            </w:r>
            <w:r w:rsidR="006A3CAF" w:rsidRPr="00DD6E6B">
              <w:rPr>
                <w:color w:val="0D0D0D" w:themeColor="text1" w:themeTint="F2"/>
                <w:spacing w:val="-4"/>
                <w:lang w:val="en-GB"/>
              </w:rPr>
              <w:t>2021)</w:t>
            </w:r>
            <w:r w:rsidRPr="00DD6E6B">
              <w:rPr>
                <w:color w:val="0D0D0D" w:themeColor="text1" w:themeTint="F2"/>
                <w:spacing w:val="-4"/>
                <w:lang w:val="en-GB"/>
              </w:rPr>
              <w:t xml:space="preserve"> year-on-year in Q2</w:t>
            </w:r>
            <w:r w:rsidR="006A3CAF" w:rsidRPr="00DD6E6B">
              <w:rPr>
                <w:color w:val="0D0D0D" w:themeColor="text1" w:themeTint="F2"/>
                <w:spacing w:val="-4"/>
                <w:lang w:val="en-GB"/>
              </w:rPr>
              <w:t xml:space="preserve">. </w:t>
            </w:r>
            <w:r w:rsidR="009D7CC3" w:rsidRPr="00DD6E6B">
              <w:rPr>
                <w:color w:val="0D0D0D" w:themeColor="text1" w:themeTint="F2"/>
                <w:spacing w:val="-4"/>
                <w:lang w:val="en-GB"/>
              </w:rPr>
              <w:t xml:space="preserve">In spite of the previous period however, the increase of the job positions occurred only in the tertiary sector in Q2 this year </w:t>
            </w:r>
            <w:r w:rsidR="006A3CAF" w:rsidRPr="00DD6E6B">
              <w:rPr>
                <w:color w:val="0D0D0D" w:themeColor="text1" w:themeTint="F2"/>
                <w:spacing w:val="-4"/>
                <w:lang w:val="en-GB"/>
              </w:rPr>
              <w:t>(</w:t>
            </w:r>
            <w:r w:rsidR="009D7CC3" w:rsidRPr="00DD6E6B">
              <w:rPr>
                <w:color w:val="0D0D0D" w:themeColor="text1" w:themeTint="F2"/>
                <w:spacing w:val="-4"/>
                <w:lang w:val="en-GB"/>
              </w:rPr>
              <w:t>where it however had for the vast part an across the board character</w:t>
            </w:r>
            <w:r w:rsidR="006A3CAF" w:rsidRPr="00DD6E6B">
              <w:rPr>
                <w:color w:val="0D0D0D" w:themeColor="text1" w:themeTint="F2"/>
                <w:spacing w:val="-4"/>
                <w:lang w:val="en-GB"/>
              </w:rPr>
              <w:t xml:space="preserve">). </w:t>
            </w:r>
            <w:r w:rsidR="004E07F5" w:rsidRPr="00DD6E6B">
              <w:rPr>
                <w:color w:val="0D0D0D" w:themeColor="text1" w:themeTint="F2"/>
                <w:spacing w:val="-4"/>
                <w:lang w:val="en-GB"/>
              </w:rPr>
              <w:t xml:space="preserve">The more than </w:t>
            </w:r>
            <w:r w:rsidR="006A3CAF" w:rsidRPr="00DD6E6B">
              <w:rPr>
                <w:color w:val="0D0D0D" w:themeColor="text1" w:themeTint="F2"/>
                <w:spacing w:val="-4"/>
                <w:lang w:val="en-GB"/>
              </w:rPr>
              <w:t>2%</w:t>
            </w:r>
            <w:r w:rsidR="004E07F5" w:rsidRPr="00DD6E6B">
              <w:rPr>
                <w:color w:val="0D0D0D" w:themeColor="text1" w:themeTint="F2"/>
                <w:spacing w:val="-4"/>
                <w:lang w:val="en-GB"/>
              </w:rPr>
              <w:t xml:space="preserve"> strengthening of employment in public services was clearly evident there</w:t>
            </w:r>
            <w:r w:rsidR="006A3CAF" w:rsidRPr="00DD6E6B">
              <w:rPr>
                <w:color w:val="0D0D0D" w:themeColor="text1" w:themeTint="F2"/>
                <w:spacing w:val="-4"/>
                <w:lang w:val="en-GB"/>
              </w:rPr>
              <w:t>,</w:t>
            </w:r>
            <w:r w:rsidR="004E07F5" w:rsidRPr="00DD6E6B">
              <w:rPr>
                <w:color w:val="0D0D0D" w:themeColor="text1" w:themeTint="F2"/>
                <w:spacing w:val="-4"/>
                <w:lang w:val="en-GB"/>
              </w:rPr>
              <w:t xml:space="preserve"> when new positions in the areas typically linked with high participation of females (education, health and social care) were created for the reasons of heighte</w:t>
            </w:r>
            <w:r w:rsidR="001A3329" w:rsidRPr="00DD6E6B">
              <w:rPr>
                <w:color w:val="0D0D0D" w:themeColor="text1" w:themeTint="F2"/>
                <w:spacing w:val="-4"/>
                <w:lang w:val="en-GB"/>
              </w:rPr>
              <w:t>ned</w:t>
            </w:r>
            <w:r w:rsidR="004E07F5" w:rsidRPr="00DD6E6B">
              <w:rPr>
                <w:color w:val="0D0D0D" w:themeColor="text1" w:themeTint="F2"/>
                <w:spacing w:val="-4"/>
                <w:lang w:val="en-GB"/>
              </w:rPr>
              <w:t xml:space="preserve"> society-wide demand</w:t>
            </w:r>
            <w:r w:rsidR="006A3CAF" w:rsidRPr="00DD6E6B">
              <w:rPr>
                <w:rStyle w:val="Znakapoznpodarou"/>
                <w:color w:val="0D0D0D" w:themeColor="text1" w:themeTint="F2"/>
                <w:spacing w:val="-4"/>
                <w:lang w:val="en-GB"/>
              </w:rPr>
              <w:footnoteReference w:id="59"/>
            </w:r>
            <w:r w:rsidR="004E07F5" w:rsidRPr="00DD6E6B">
              <w:rPr>
                <w:color w:val="0D0D0D" w:themeColor="text1" w:themeTint="F2"/>
                <w:spacing w:val="-4"/>
                <w:lang w:val="en-GB"/>
              </w:rPr>
              <w:t>. New employee positions were also created, even less intensively, also in the traditionally dynamic information and communication.</w:t>
            </w:r>
            <w:r w:rsidR="00BD57E9" w:rsidRPr="00DD6E6B">
              <w:rPr>
                <w:color w:val="0D0D0D" w:themeColor="text1" w:themeTint="F2"/>
                <w:spacing w:val="-4"/>
                <w:lang w:val="en-GB"/>
              </w:rPr>
              <w:t xml:space="preserve"> Branch professional, scientific, technical and administrative activities, providing services for businesses</w:t>
            </w:r>
            <w:r w:rsidR="00BD57E9" w:rsidRPr="00DD6E6B">
              <w:rPr>
                <w:color w:val="0D0D0D" w:themeColor="text1" w:themeTint="F2"/>
                <w:spacing w:val="-8"/>
                <w:lang w:val="en-GB"/>
              </w:rPr>
              <w:t xml:space="preserve"> also signalled a more stable growth of demand for workers. By contrast the traditional branches of production due to the effect of strong growth of production costs as well as sluggish foreign demand struggled with growing difficulties. Thus the growth of the number of employees halted in manufacturing in Q2 for the first time in two years </w:t>
            </w:r>
            <w:r w:rsidR="006A3CAF" w:rsidRPr="00DD6E6B">
              <w:rPr>
                <w:color w:val="0D0D0D" w:themeColor="text1" w:themeTint="F2"/>
                <w:spacing w:val="-8"/>
                <w:lang w:val="en-GB"/>
              </w:rPr>
              <w:lastRenderedPageBreak/>
              <w:t>(</w:t>
            </w:r>
            <w:r w:rsidR="00062C40">
              <w:rPr>
                <w:color w:val="000000"/>
                <w:shd w:val="clear" w:color="auto" w:fill="FFFFFF"/>
              </w:rPr>
              <w:t>–</w:t>
            </w:r>
            <w:r w:rsidR="006A3CAF" w:rsidRPr="00DD6E6B">
              <w:rPr>
                <w:color w:val="0D0D0D" w:themeColor="text1" w:themeTint="F2"/>
                <w:spacing w:val="-8"/>
                <w:lang w:val="en-GB"/>
              </w:rPr>
              <w:t>0</w:t>
            </w:r>
            <w:r w:rsidR="00BD57E9" w:rsidRPr="00DD6E6B">
              <w:rPr>
                <w:color w:val="0D0D0D" w:themeColor="text1" w:themeTint="F2"/>
                <w:spacing w:val="-8"/>
                <w:lang w:val="en-GB"/>
              </w:rPr>
              <w:t>.</w:t>
            </w:r>
            <w:r w:rsidR="006A3CAF" w:rsidRPr="00DD6E6B">
              <w:rPr>
                <w:color w:val="0D0D0D" w:themeColor="text1" w:themeTint="F2"/>
                <w:spacing w:val="-8"/>
                <w:lang w:val="en-GB"/>
              </w:rPr>
              <w:t>9%)</w:t>
            </w:r>
            <w:r w:rsidR="006A3CAF" w:rsidRPr="00DD6E6B">
              <w:rPr>
                <w:rStyle w:val="Znakapoznpodarou"/>
                <w:color w:val="0D0D0D" w:themeColor="text1" w:themeTint="F2"/>
                <w:spacing w:val="-8"/>
                <w:lang w:val="en-GB"/>
              </w:rPr>
              <w:footnoteReference w:id="60"/>
            </w:r>
            <w:r w:rsidR="006A3CAF" w:rsidRPr="00DD6E6B">
              <w:rPr>
                <w:color w:val="0D0D0D" w:themeColor="text1" w:themeTint="F2"/>
                <w:spacing w:val="-8"/>
                <w:lang w:val="en-GB"/>
              </w:rPr>
              <w:t>,</w:t>
            </w:r>
            <w:r w:rsidR="00BD57E9" w:rsidRPr="00DD6E6B">
              <w:rPr>
                <w:color w:val="0D0D0D" w:themeColor="text1" w:themeTint="F2"/>
                <w:spacing w:val="-8"/>
                <w:lang w:val="en-GB"/>
              </w:rPr>
              <w:t xml:space="preserve"> mild growth continued in the primary sector of the economy, even though at a slower pace than last year. </w:t>
            </w:r>
          </w:p>
        </w:tc>
      </w:tr>
      <w:tr w:rsidR="006A3CAF" w:rsidRPr="00DD6E6B" w14:paraId="35911B1D" w14:textId="77777777" w:rsidTr="00DA0121">
        <w:trPr>
          <w:trHeight w:val="155"/>
        </w:trPr>
        <w:tc>
          <w:tcPr>
            <w:tcW w:w="1754" w:type="dxa"/>
            <w:shd w:val="clear" w:color="auto" w:fill="auto"/>
            <w:tcMar>
              <w:left w:w="0" w:type="dxa"/>
            </w:tcMar>
          </w:tcPr>
          <w:p w14:paraId="69A1D3D0" w14:textId="3A00B288" w:rsidR="006A3CAF" w:rsidRPr="00DD6E6B" w:rsidRDefault="00D8210B" w:rsidP="00DA0121">
            <w:pPr>
              <w:pStyle w:val="Marginlie"/>
              <w:spacing w:after="120"/>
              <w:rPr>
                <w:color w:val="0D0D0D" w:themeColor="text1" w:themeTint="F2"/>
                <w:spacing w:val="-4"/>
                <w:lang w:val="en-GB"/>
              </w:rPr>
            </w:pPr>
            <w:r w:rsidRPr="00DD6E6B">
              <w:rPr>
                <w:color w:val="0D0D0D" w:themeColor="text1" w:themeTint="F2"/>
                <w:spacing w:val="-4"/>
                <w:lang w:val="en-GB"/>
              </w:rPr>
              <w:lastRenderedPageBreak/>
              <w:t>More frequent use of part-time job contracts prevented faster growth of hours worked in services.</w:t>
            </w:r>
          </w:p>
        </w:tc>
        <w:tc>
          <w:tcPr>
            <w:tcW w:w="220" w:type="dxa"/>
            <w:shd w:val="clear" w:color="auto" w:fill="auto"/>
            <w:tcMar>
              <w:left w:w="0" w:type="dxa"/>
            </w:tcMar>
          </w:tcPr>
          <w:p w14:paraId="0047B71F"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5A48CA98" w14:textId="7601BA55" w:rsidR="006A3CAF" w:rsidRPr="00DD6E6B" w:rsidRDefault="004E07F5" w:rsidP="00D612BF">
            <w:pPr>
              <w:rPr>
                <w:color w:val="0D0D0D" w:themeColor="text1" w:themeTint="F2"/>
                <w:spacing w:val="-4"/>
                <w:lang w:val="en-GB"/>
              </w:rPr>
            </w:pPr>
            <w:r w:rsidRPr="00DD6E6B">
              <w:rPr>
                <w:color w:val="0D0D0D" w:themeColor="text1" w:themeTint="F2"/>
                <w:spacing w:val="-4"/>
                <w:lang w:val="en-GB"/>
              </w:rPr>
              <w:t xml:space="preserve">Total number of hours worked increased by 0.9% in the economy year-on-year in Q2 and similarly to the beginning of this year it grew comparably to the total employment </w:t>
            </w:r>
            <w:r w:rsidR="006A3CAF" w:rsidRPr="00DD6E6B">
              <w:rPr>
                <w:color w:val="0D0D0D" w:themeColor="text1" w:themeTint="F2"/>
                <w:spacing w:val="-4"/>
                <w:lang w:val="en-GB"/>
              </w:rPr>
              <w:t>(</w:t>
            </w:r>
            <w:r w:rsidR="005A7990" w:rsidRPr="00DD6E6B">
              <w:rPr>
                <w:color w:val="0D0D0D" w:themeColor="text1" w:themeTint="F2"/>
                <w:spacing w:val="-4"/>
                <w:lang w:val="en-GB"/>
              </w:rPr>
              <w:t xml:space="preserve">although </w:t>
            </w:r>
            <w:r w:rsidR="0078539D" w:rsidRPr="00DD6E6B">
              <w:rPr>
                <w:color w:val="0D0D0D" w:themeColor="text1" w:themeTint="F2"/>
                <w:spacing w:val="-4"/>
                <w:lang w:val="en-GB"/>
              </w:rPr>
              <w:t xml:space="preserve">the hours worked </w:t>
            </w:r>
            <w:r w:rsidR="006502AB" w:rsidRPr="00DD6E6B">
              <w:rPr>
                <w:color w:val="0D0D0D" w:themeColor="text1" w:themeTint="F2"/>
                <w:spacing w:val="-4"/>
                <w:lang w:val="en-GB"/>
              </w:rPr>
              <w:t xml:space="preserve">were </w:t>
            </w:r>
            <w:r w:rsidR="0078539D" w:rsidRPr="00DD6E6B">
              <w:rPr>
                <w:color w:val="0D0D0D" w:themeColor="text1" w:themeTint="F2"/>
                <w:spacing w:val="-4"/>
                <w:lang w:val="en-GB"/>
              </w:rPr>
              <w:t>significantly</w:t>
            </w:r>
            <w:r w:rsidR="006502AB" w:rsidRPr="00DD6E6B">
              <w:rPr>
                <w:color w:val="0D0D0D" w:themeColor="text1" w:themeTint="F2"/>
                <w:spacing w:val="-4"/>
                <w:lang w:val="en-GB"/>
              </w:rPr>
              <w:t xml:space="preserve"> ahead of the </w:t>
            </w:r>
            <w:r w:rsidR="004D7385" w:rsidRPr="00DD6E6B">
              <w:rPr>
                <w:color w:val="0D0D0D" w:themeColor="text1" w:themeTint="F2"/>
                <w:spacing w:val="-4"/>
                <w:lang w:val="en-GB"/>
              </w:rPr>
              <w:t xml:space="preserve">rate of growth of the employment </w:t>
            </w:r>
            <w:r w:rsidR="00D105FD" w:rsidRPr="00DD6E6B">
              <w:rPr>
                <w:color w:val="0D0D0D" w:themeColor="text1" w:themeTint="F2"/>
                <w:spacing w:val="-4"/>
                <w:lang w:val="en-GB"/>
              </w:rPr>
              <w:t>for the whole last year</w:t>
            </w:r>
            <w:r w:rsidR="006A3CAF" w:rsidRPr="00DD6E6B">
              <w:rPr>
                <w:color w:val="0D0D0D" w:themeColor="text1" w:themeTint="F2"/>
                <w:spacing w:val="-4"/>
                <w:lang w:val="en-GB"/>
              </w:rPr>
              <w:t xml:space="preserve">). </w:t>
            </w:r>
            <w:r w:rsidR="004B6C4C" w:rsidRPr="00DD6E6B">
              <w:rPr>
                <w:color w:val="0D0D0D" w:themeColor="text1" w:themeTint="F2"/>
                <w:spacing w:val="-4"/>
                <w:lang w:val="en-GB"/>
              </w:rPr>
              <w:t>Expan</w:t>
            </w:r>
            <w:r w:rsidR="00965504" w:rsidRPr="00DD6E6B">
              <w:rPr>
                <w:color w:val="0D0D0D" w:themeColor="text1" w:themeTint="F2"/>
                <w:spacing w:val="-4"/>
                <w:lang w:val="en-GB"/>
              </w:rPr>
              <w:t xml:space="preserve">sion of the part-time job contracts </w:t>
            </w:r>
            <w:r w:rsidR="006A3CAF" w:rsidRPr="00DD6E6B">
              <w:rPr>
                <w:color w:val="0D0D0D" w:themeColor="text1" w:themeTint="F2"/>
                <w:spacing w:val="-4"/>
                <w:lang w:val="en-GB"/>
              </w:rPr>
              <w:t>(</w:t>
            </w:r>
            <w:r w:rsidR="002318C6" w:rsidRPr="00DD6E6B">
              <w:rPr>
                <w:color w:val="0D0D0D" w:themeColor="text1" w:themeTint="F2"/>
                <w:spacing w:val="-4"/>
                <w:lang w:val="en-GB"/>
              </w:rPr>
              <w:t xml:space="preserve">connected with the growing employment of females supported by the refugee wave </w:t>
            </w:r>
            <w:r w:rsidR="00BA2B7C" w:rsidRPr="00DD6E6B">
              <w:rPr>
                <w:color w:val="0D0D0D" w:themeColor="text1" w:themeTint="F2"/>
                <w:spacing w:val="-4"/>
                <w:lang w:val="en-GB"/>
              </w:rPr>
              <w:t xml:space="preserve">as well as newly introduced </w:t>
            </w:r>
            <w:r w:rsidR="00965504" w:rsidRPr="00DD6E6B">
              <w:rPr>
                <w:color w:val="0D0D0D" w:themeColor="text1" w:themeTint="F2"/>
                <w:spacing w:val="-4"/>
                <w:lang w:val="en-GB"/>
              </w:rPr>
              <w:t xml:space="preserve">tax </w:t>
            </w:r>
            <w:r w:rsidR="000A1B1A" w:rsidRPr="00DD6E6B">
              <w:rPr>
                <w:color w:val="0D0D0D" w:themeColor="text1" w:themeTint="F2"/>
                <w:spacing w:val="-4"/>
                <w:lang w:val="en-GB"/>
              </w:rPr>
              <w:t xml:space="preserve">relief </w:t>
            </w:r>
            <w:r w:rsidR="00FC6CCA" w:rsidRPr="00DD6E6B">
              <w:rPr>
                <w:color w:val="0D0D0D" w:themeColor="text1" w:themeTint="F2"/>
                <w:spacing w:val="-4"/>
                <w:lang w:val="en-GB"/>
              </w:rPr>
              <w:t>to support part-time jobs</w:t>
            </w:r>
            <w:r w:rsidR="006A3CAF" w:rsidRPr="00DD6E6B">
              <w:rPr>
                <w:color w:val="0D0D0D" w:themeColor="text1" w:themeTint="F2"/>
                <w:spacing w:val="-4"/>
                <w:lang w:val="en-GB"/>
              </w:rPr>
              <w:t>)</w:t>
            </w:r>
            <w:r w:rsidR="00965504" w:rsidRPr="00DD6E6B">
              <w:rPr>
                <w:color w:val="0D0D0D" w:themeColor="text1" w:themeTint="F2"/>
                <w:spacing w:val="-4"/>
                <w:lang w:val="en-GB"/>
              </w:rPr>
              <w:t xml:space="preserve"> prevented </w:t>
            </w:r>
            <w:r w:rsidR="00965504" w:rsidRPr="00D612BF">
              <w:rPr>
                <w:color w:val="0D0D0D" w:themeColor="text1" w:themeTint="F2"/>
                <w:spacing w:val="-4"/>
                <w:lang w:val="en-GB"/>
              </w:rPr>
              <w:t>swifter</w:t>
            </w:r>
            <w:r w:rsidR="00965504" w:rsidRPr="00DD6E6B">
              <w:rPr>
                <w:color w:val="0D0D0D" w:themeColor="text1" w:themeTint="F2"/>
                <w:spacing w:val="-4"/>
                <w:lang w:val="en-GB"/>
              </w:rPr>
              <w:t xml:space="preserve"> growth of the hours worked this year</w:t>
            </w:r>
            <w:r w:rsidR="006A3CAF" w:rsidRPr="00DD6E6B">
              <w:rPr>
                <w:color w:val="0D0D0D" w:themeColor="text1" w:themeTint="F2"/>
                <w:spacing w:val="-4"/>
                <w:lang w:val="en-GB"/>
              </w:rPr>
              <w:t xml:space="preserve">. </w:t>
            </w:r>
            <w:r w:rsidR="00D8210B" w:rsidRPr="00DD6E6B">
              <w:rPr>
                <w:color w:val="0D0D0D" w:themeColor="text1" w:themeTint="F2"/>
                <w:spacing w:val="-4"/>
                <w:lang w:val="en-GB"/>
              </w:rPr>
              <w:t xml:space="preserve">Growth of the hours worked more notably overtook the employment dynamics only in industry. </w:t>
            </w:r>
          </w:p>
        </w:tc>
      </w:tr>
      <w:tr w:rsidR="006A3CAF" w:rsidRPr="00DD6E6B" w14:paraId="32472F33" w14:textId="77777777" w:rsidTr="00DA0121">
        <w:trPr>
          <w:trHeight w:val="155"/>
        </w:trPr>
        <w:tc>
          <w:tcPr>
            <w:tcW w:w="1754" w:type="dxa"/>
            <w:vMerge w:val="restart"/>
            <w:shd w:val="clear" w:color="auto" w:fill="auto"/>
            <w:tcMar>
              <w:left w:w="0" w:type="dxa"/>
            </w:tcMar>
          </w:tcPr>
          <w:p w14:paraId="16E839B5" w14:textId="77777777" w:rsidR="006A3CAF" w:rsidRPr="00DD6E6B" w:rsidRDefault="006A3CAF" w:rsidP="00DA0121">
            <w:pPr>
              <w:pStyle w:val="Marginlie"/>
              <w:spacing w:after="120"/>
              <w:rPr>
                <w:spacing w:val="-4"/>
                <w:lang w:val="en-GB"/>
              </w:rPr>
            </w:pPr>
          </w:p>
        </w:tc>
        <w:tc>
          <w:tcPr>
            <w:tcW w:w="220" w:type="dxa"/>
            <w:vMerge w:val="restart"/>
            <w:shd w:val="clear" w:color="auto" w:fill="auto"/>
            <w:tcMar>
              <w:left w:w="0" w:type="dxa"/>
            </w:tcMar>
          </w:tcPr>
          <w:p w14:paraId="65FAA453" w14:textId="77777777" w:rsidR="006A3CAF" w:rsidRPr="00DD6E6B" w:rsidRDefault="006A3CAF" w:rsidP="00DA0121">
            <w:pPr>
              <w:pStyle w:val="Textpoznpodarou"/>
              <w:spacing w:after="120"/>
              <w:jc w:val="both"/>
              <w:rPr>
                <w:spacing w:val="-4"/>
                <w:lang w:val="en-GB"/>
              </w:rPr>
            </w:pPr>
          </w:p>
        </w:tc>
        <w:tc>
          <w:tcPr>
            <w:tcW w:w="7700" w:type="dxa"/>
            <w:shd w:val="clear" w:color="auto" w:fill="auto"/>
            <w:tcMar>
              <w:left w:w="0" w:type="dxa"/>
            </w:tcMar>
          </w:tcPr>
          <w:p w14:paraId="5B7F009B" w14:textId="48774382" w:rsidR="006A3CAF" w:rsidRPr="00D80129" w:rsidRDefault="00BA0986" w:rsidP="00320ACF">
            <w:pPr>
              <w:spacing w:after="0"/>
              <w:rPr>
                <w:spacing w:val="-3"/>
                <w:szCs w:val="20"/>
                <w:lang w:val="en-GB"/>
              </w:rPr>
            </w:pPr>
            <w:r w:rsidRPr="00D80129">
              <w:rPr>
                <w:rFonts w:cs="Arial"/>
                <w:b/>
                <w:bCs/>
                <w:color w:val="000000"/>
                <w:spacing w:val="-3"/>
                <w:szCs w:val="20"/>
                <w:lang w:val="en-GB"/>
              </w:rPr>
              <w:t>Chart</w:t>
            </w:r>
            <w:r w:rsidR="006A3CAF" w:rsidRPr="00D80129">
              <w:rPr>
                <w:rFonts w:cs="Arial"/>
                <w:b/>
                <w:bCs/>
                <w:color w:val="000000"/>
                <w:spacing w:val="-3"/>
                <w:szCs w:val="20"/>
                <w:lang w:val="en-GB"/>
              </w:rPr>
              <w:t xml:space="preserve"> 13 </w:t>
            </w:r>
            <w:r w:rsidR="009931C3" w:rsidRPr="00D80129">
              <w:rPr>
                <w:rFonts w:cs="Arial"/>
                <w:b/>
                <w:bCs/>
                <w:color w:val="000000"/>
                <w:spacing w:val="-3"/>
                <w:szCs w:val="20"/>
                <w:lang w:val="en-GB"/>
              </w:rPr>
              <w:t xml:space="preserve">Total employment </w:t>
            </w:r>
            <w:r w:rsidR="009931C3" w:rsidRPr="00D80129">
              <w:rPr>
                <w:rFonts w:cs="Arial"/>
                <w:color w:val="000000"/>
                <w:spacing w:val="-3"/>
                <w:szCs w:val="20"/>
                <w:lang w:val="en-GB"/>
              </w:rPr>
              <w:t>(year-on-year in %),</w:t>
            </w:r>
            <w:r w:rsidR="009931C3" w:rsidRPr="00D80129">
              <w:rPr>
                <w:rFonts w:cs="Arial"/>
                <w:b/>
                <w:bCs/>
                <w:color w:val="000000"/>
                <w:spacing w:val="-3"/>
                <w:szCs w:val="20"/>
                <w:lang w:val="en-GB"/>
              </w:rPr>
              <w:t xml:space="preserve"> contributions of branches to year-on-year change of employment </w:t>
            </w:r>
            <w:r w:rsidR="009931C3" w:rsidRPr="00D80129">
              <w:rPr>
                <w:rFonts w:cs="Arial"/>
                <w:color w:val="000000"/>
                <w:spacing w:val="-3"/>
                <w:szCs w:val="20"/>
                <w:lang w:val="en-GB"/>
              </w:rPr>
              <w:t>(in p.p.)</w:t>
            </w:r>
            <w:r w:rsidR="00C408AE" w:rsidRPr="00D80129">
              <w:rPr>
                <w:rFonts w:cs="Arial"/>
                <w:b/>
                <w:bCs/>
                <w:color w:val="000000"/>
                <w:spacing w:val="-3"/>
                <w:szCs w:val="20"/>
                <w:lang w:val="en-GB"/>
              </w:rPr>
              <w:t>,</w:t>
            </w:r>
            <w:r w:rsidR="00320ACF" w:rsidRPr="00D80129">
              <w:rPr>
                <w:rFonts w:cs="Arial"/>
                <w:b/>
                <w:bCs/>
                <w:color w:val="000000"/>
                <w:spacing w:val="-3"/>
                <w:szCs w:val="20"/>
                <w:lang w:val="en-GB"/>
              </w:rPr>
              <w:t xml:space="preserve"> expectations of employment</w:t>
            </w:r>
            <w:r w:rsidR="009931C3" w:rsidRPr="00D80129">
              <w:rPr>
                <w:rFonts w:cs="Arial"/>
                <w:color w:val="000000"/>
                <w:spacing w:val="-3"/>
                <w:szCs w:val="20"/>
                <w:lang w:val="en-GB"/>
              </w:rPr>
              <w:t xml:space="preserve"> (balance in p. p.) </w:t>
            </w:r>
          </w:p>
        </w:tc>
      </w:tr>
      <w:tr w:rsidR="006A3CAF" w:rsidRPr="00DD6E6B" w14:paraId="460C7FAC" w14:textId="77777777" w:rsidTr="00320ACF">
        <w:tblPrEx>
          <w:tblCellMar>
            <w:left w:w="70" w:type="dxa"/>
            <w:right w:w="70" w:type="dxa"/>
          </w:tblCellMar>
        </w:tblPrEx>
        <w:trPr>
          <w:trHeight w:val="155"/>
        </w:trPr>
        <w:tc>
          <w:tcPr>
            <w:tcW w:w="1754" w:type="dxa"/>
            <w:vMerge/>
            <w:shd w:val="clear" w:color="auto" w:fill="auto"/>
          </w:tcPr>
          <w:p w14:paraId="6FEA78CA" w14:textId="77777777" w:rsidR="006A3CAF" w:rsidRPr="00DD6E6B" w:rsidRDefault="006A3CAF" w:rsidP="00DA0121">
            <w:pPr>
              <w:pStyle w:val="Marginlie"/>
              <w:spacing w:after="120"/>
              <w:rPr>
                <w:spacing w:val="-4"/>
                <w:lang w:val="en-GB"/>
              </w:rPr>
            </w:pPr>
          </w:p>
        </w:tc>
        <w:tc>
          <w:tcPr>
            <w:tcW w:w="220" w:type="dxa"/>
            <w:vMerge/>
            <w:shd w:val="clear" w:color="auto" w:fill="auto"/>
          </w:tcPr>
          <w:p w14:paraId="1128BF3E" w14:textId="77777777" w:rsidR="006A3CAF" w:rsidRPr="00DD6E6B" w:rsidRDefault="006A3CAF" w:rsidP="00DA0121">
            <w:pPr>
              <w:pStyle w:val="Textpoznpodarou"/>
              <w:spacing w:after="120"/>
              <w:jc w:val="both"/>
              <w:rPr>
                <w:spacing w:val="-4"/>
                <w:lang w:val="en-GB"/>
              </w:rPr>
            </w:pPr>
          </w:p>
        </w:tc>
        <w:tc>
          <w:tcPr>
            <w:tcW w:w="7700" w:type="dxa"/>
            <w:shd w:val="clear" w:color="auto" w:fill="auto"/>
          </w:tcPr>
          <w:p w14:paraId="633D69B0" w14:textId="26AEE12E" w:rsidR="006A3CAF" w:rsidRPr="00DD6E6B" w:rsidRDefault="00320ACF" w:rsidP="00DA0121">
            <w:pPr>
              <w:spacing w:after="0"/>
              <w:rPr>
                <w:spacing w:val="-4"/>
                <w:lang w:val="en-GB"/>
              </w:rPr>
            </w:pPr>
            <w:r>
              <w:rPr>
                <w:noProof/>
              </w:rPr>
              <w:drawing>
                <wp:inline distT="0" distB="0" distL="0" distR="0" wp14:anchorId="1E0169DF" wp14:editId="31CBAD24">
                  <wp:extent cx="4774143" cy="3812048"/>
                  <wp:effectExtent l="0" t="0" r="762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A3CAF" w:rsidRPr="00DD6E6B" w14:paraId="72083D39" w14:textId="77777777" w:rsidTr="00DA0121">
        <w:trPr>
          <w:trHeight w:val="671"/>
        </w:trPr>
        <w:tc>
          <w:tcPr>
            <w:tcW w:w="1754" w:type="dxa"/>
            <w:vMerge/>
            <w:shd w:val="clear" w:color="auto" w:fill="auto"/>
            <w:tcMar>
              <w:left w:w="0" w:type="dxa"/>
            </w:tcMar>
          </w:tcPr>
          <w:p w14:paraId="688AB130" w14:textId="77777777" w:rsidR="006A3CAF" w:rsidRPr="00DD6E6B" w:rsidRDefault="006A3CAF" w:rsidP="00DA0121">
            <w:pPr>
              <w:pStyle w:val="Marginlie"/>
              <w:spacing w:after="120"/>
              <w:rPr>
                <w:spacing w:val="-4"/>
                <w:lang w:val="en-GB"/>
              </w:rPr>
            </w:pPr>
          </w:p>
        </w:tc>
        <w:tc>
          <w:tcPr>
            <w:tcW w:w="220" w:type="dxa"/>
            <w:vMerge/>
            <w:shd w:val="clear" w:color="auto" w:fill="auto"/>
            <w:tcMar>
              <w:left w:w="0" w:type="dxa"/>
            </w:tcMar>
          </w:tcPr>
          <w:p w14:paraId="2BBC781F" w14:textId="77777777" w:rsidR="006A3CAF" w:rsidRPr="00DD6E6B" w:rsidRDefault="006A3CAF" w:rsidP="00DA0121">
            <w:pPr>
              <w:pStyle w:val="Textpoznpodarou"/>
              <w:spacing w:after="120"/>
              <w:jc w:val="both"/>
              <w:rPr>
                <w:spacing w:val="-4"/>
                <w:lang w:val="en-GB"/>
              </w:rPr>
            </w:pPr>
          </w:p>
        </w:tc>
        <w:tc>
          <w:tcPr>
            <w:tcW w:w="7700" w:type="dxa"/>
            <w:shd w:val="clear" w:color="auto" w:fill="auto"/>
            <w:tcMar>
              <w:left w:w="0" w:type="dxa"/>
            </w:tcMar>
          </w:tcPr>
          <w:p w14:paraId="3CB16521" w14:textId="77777777" w:rsidR="00050AFA" w:rsidRPr="00DD6E6B" w:rsidRDefault="006A3CAF" w:rsidP="00050AFA">
            <w:pPr>
              <w:spacing w:after="0" w:line="240" w:lineRule="auto"/>
              <w:rPr>
                <w:rFonts w:cs="Arial"/>
                <w:sz w:val="14"/>
                <w:szCs w:val="14"/>
                <w:lang w:val="en-GB"/>
              </w:rPr>
            </w:pPr>
            <w:r w:rsidRPr="00DD6E6B">
              <w:rPr>
                <w:rFonts w:cs="Arial"/>
                <w:color w:val="0D0D0D" w:themeColor="text1" w:themeTint="F2"/>
                <w:spacing w:val="-2"/>
                <w:sz w:val="14"/>
                <w:szCs w:val="14"/>
                <w:lang w:val="en-GB"/>
              </w:rPr>
              <w:t>*</w:t>
            </w:r>
            <w:r w:rsidRPr="00DD6E6B">
              <w:rPr>
                <w:rFonts w:cs="Arial"/>
                <w:sz w:val="14"/>
                <w:szCs w:val="14"/>
                <w:lang w:val="en-GB"/>
              </w:rPr>
              <w:t xml:space="preserve"> </w:t>
            </w:r>
            <w:r w:rsidR="00050AFA" w:rsidRPr="00DD6E6B">
              <w:rPr>
                <w:rFonts w:cs="Arial"/>
                <w:sz w:val="14"/>
                <w:szCs w:val="14"/>
                <w:lang w:val="en-GB"/>
              </w:rPr>
              <w:t xml:space="preserve">Mining and energetics; Financial and insurance activities; Real estate activities; Arts, entertainment and recreation activities. </w:t>
            </w:r>
          </w:p>
          <w:p w14:paraId="7C816838" w14:textId="77777777" w:rsidR="00050AFA" w:rsidRPr="00DD6E6B" w:rsidRDefault="00050AFA" w:rsidP="00050AFA">
            <w:pPr>
              <w:spacing w:after="0" w:line="240" w:lineRule="auto"/>
              <w:rPr>
                <w:rFonts w:cs="Arial"/>
                <w:sz w:val="14"/>
                <w:szCs w:val="14"/>
                <w:lang w:val="en-GB"/>
              </w:rPr>
            </w:pPr>
            <w:r w:rsidRPr="00DD6E6B">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6608934F" w14:textId="1076775E" w:rsidR="00ED229E" w:rsidRPr="00320ACF" w:rsidRDefault="00FA6DD8" w:rsidP="00320ACF">
            <w:pPr>
              <w:spacing w:after="200" w:line="240" w:lineRule="auto"/>
              <w:rPr>
                <w:rFonts w:cs="Arial"/>
                <w:sz w:val="14"/>
                <w:szCs w:val="14"/>
                <w:lang w:val="en-GB"/>
              </w:rPr>
            </w:pPr>
            <w:r w:rsidRPr="00DD6E6B">
              <w:rPr>
                <w:rFonts w:cs="Arial"/>
                <w:sz w:val="14"/>
                <w:szCs w:val="14"/>
                <w:lang w:val="en-GB"/>
              </w:rPr>
              <w:t>Source</w:t>
            </w:r>
            <w:r w:rsidR="006A3CAF" w:rsidRPr="00DD6E6B">
              <w:rPr>
                <w:rFonts w:cs="Arial"/>
                <w:sz w:val="14"/>
                <w:szCs w:val="14"/>
                <w:lang w:val="en-GB"/>
              </w:rPr>
              <w:t xml:space="preserve">: </w:t>
            </w:r>
            <w:r w:rsidRPr="00DD6E6B">
              <w:rPr>
                <w:rFonts w:cs="Arial"/>
                <w:sz w:val="14"/>
                <w:szCs w:val="14"/>
                <w:lang w:val="en-GB"/>
              </w:rPr>
              <w:t xml:space="preserve">CZSO </w:t>
            </w:r>
            <w:r w:rsidR="006A3CAF" w:rsidRPr="00DD6E6B">
              <w:rPr>
                <w:rFonts w:cs="Arial"/>
                <w:sz w:val="14"/>
                <w:szCs w:val="14"/>
                <w:lang w:val="en-GB"/>
              </w:rPr>
              <w:t>(n</w:t>
            </w:r>
            <w:r w:rsidRPr="00DD6E6B">
              <w:rPr>
                <w:rFonts w:cs="Arial"/>
                <w:sz w:val="14"/>
                <w:szCs w:val="14"/>
                <w:lang w:val="en-GB"/>
              </w:rPr>
              <w:t>ational accounts</w:t>
            </w:r>
            <w:r w:rsidR="006A3CAF" w:rsidRPr="00DD6E6B">
              <w:rPr>
                <w:rFonts w:cs="Arial"/>
                <w:sz w:val="14"/>
                <w:szCs w:val="14"/>
                <w:lang w:val="en-GB"/>
              </w:rPr>
              <w:t>), Eurostat (</w:t>
            </w:r>
            <w:r w:rsidR="00EC3E77" w:rsidRPr="00DD6E6B">
              <w:rPr>
                <w:rFonts w:cs="Arial"/>
                <w:sz w:val="14"/>
                <w:szCs w:val="14"/>
                <w:lang w:val="en-GB"/>
              </w:rPr>
              <w:t>business cycle surveys</w:t>
            </w:r>
            <w:r w:rsidR="006A3CAF" w:rsidRPr="00DD6E6B">
              <w:rPr>
                <w:rFonts w:cs="Arial"/>
                <w:sz w:val="14"/>
                <w:szCs w:val="14"/>
                <w:lang w:val="en-GB"/>
              </w:rPr>
              <w:t>).</w:t>
            </w:r>
          </w:p>
        </w:tc>
      </w:tr>
      <w:tr w:rsidR="00D80129" w:rsidRPr="00DD6E6B" w14:paraId="183AE1A6" w14:textId="77777777" w:rsidTr="00DA0121">
        <w:trPr>
          <w:trHeight w:val="145"/>
        </w:trPr>
        <w:tc>
          <w:tcPr>
            <w:tcW w:w="1754" w:type="dxa"/>
            <w:shd w:val="clear" w:color="auto" w:fill="auto"/>
            <w:tcMar>
              <w:left w:w="0" w:type="dxa"/>
            </w:tcMar>
          </w:tcPr>
          <w:p w14:paraId="235EAADC" w14:textId="7ABF4D71"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Number of foreigners in the employee position crossed 800 thousand in the CR. Its growth was traditionally driven by citizens of Ukraine. </w:t>
            </w:r>
          </w:p>
        </w:tc>
        <w:tc>
          <w:tcPr>
            <w:tcW w:w="220" w:type="dxa"/>
            <w:shd w:val="clear" w:color="auto" w:fill="auto"/>
            <w:tcMar>
              <w:left w:w="0" w:type="dxa"/>
            </w:tcMar>
          </w:tcPr>
          <w:p w14:paraId="01CD80CF" w14:textId="77777777" w:rsidR="00D80129" w:rsidRPr="00DD6E6B" w:rsidRDefault="00D80129" w:rsidP="00D80129">
            <w:pPr>
              <w:pStyle w:val="Textpoznpodarou"/>
              <w:spacing w:after="120"/>
              <w:jc w:val="both"/>
              <w:rPr>
                <w:color w:val="0D0D0D" w:themeColor="text1" w:themeTint="F2"/>
                <w:spacing w:val="-4"/>
                <w:highlight w:val="yellow"/>
                <w:lang w:val="en-GB"/>
              </w:rPr>
            </w:pPr>
          </w:p>
        </w:tc>
        <w:tc>
          <w:tcPr>
            <w:tcW w:w="7700" w:type="dxa"/>
            <w:shd w:val="clear" w:color="auto" w:fill="auto"/>
            <w:tcMar>
              <w:left w:w="0" w:type="dxa"/>
            </w:tcMar>
          </w:tcPr>
          <w:p w14:paraId="43D3323B" w14:textId="180AE110" w:rsidR="00D80129" w:rsidRPr="00DD6E6B" w:rsidRDefault="00D80129" w:rsidP="00D80129">
            <w:pPr>
              <w:spacing w:after="200"/>
              <w:rPr>
                <w:color w:val="0D0D0D" w:themeColor="text1" w:themeTint="F2"/>
                <w:spacing w:val="-4"/>
                <w:lang w:val="en-GB"/>
              </w:rPr>
            </w:pPr>
            <w:r w:rsidRPr="00DD6E6B">
              <w:rPr>
                <w:color w:val="0D0D0D" w:themeColor="text1" w:themeTint="F2"/>
                <w:spacing w:val="-6"/>
                <w:lang w:val="en-GB"/>
              </w:rPr>
              <w:t xml:space="preserve">With respect to the greatly limited source of available labour force in the CR as well as the strong pressure on the optimisation of the production, the domestic employers further intensively demanded new workers from abroad. Legislative amendments lowering the administrative demands in this area helped to ease the employment of foreigners. Following the temporary slowdown of the inflow of foreign workers into the CR at the beginning of this year, the number of registrations again increased more in Q2. Record 803 thousand of foreigners worked in the employee position in the CR at the end of July this year </w:t>
            </w:r>
            <w:r w:rsidRPr="00DD6E6B">
              <w:rPr>
                <w:lang w:val="en-GB"/>
              </w:rPr>
              <w:t>(based on the records of labour offices</w:t>
            </w:r>
            <w:r w:rsidRPr="00DD6E6B">
              <w:rPr>
                <w:color w:val="0D0D0D" w:themeColor="text1" w:themeTint="F2"/>
                <w:spacing w:val="-6"/>
                <w:lang w:val="en-GB"/>
              </w:rPr>
              <w:t xml:space="preserve">), by 105 thousand more compared to January 2022 (for Ukrainians the number increased from </w:t>
            </w:r>
            <w:r w:rsidRPr="00DD6E6B">
              <w:rPr>
                <w:lang w:val="en-GB"/>
              </w:rPr>
              <w:t xml:space="preserve">198 thousand to 273 thousand, driven from nearly </w:t>
            </w:r>
            <w:r w:rsidRPr="00DD6E6B">
              <w:rPr>
                <w:lang w:val="en-GB"/>
              </w:rPr>
              <w:lastRenderedPageBreak/>
              <w:t>80% by females</w:t>
            </w:r>
            <w:r w:rsidRPr="00DD6E6B">
              <w:rPr>
                <w:rStyle w:val="Znakapoznpodarou"/>
                <w:lang w:val="en-GB"/>
              </w:rPr>
              <w:footnoteReference w:id="61"/>
            </w:r>
            <w:r w:rsidRPr="00DD6E6B">
              <w:rPr>
                <w:lang w:val="en-GB"/>
              </w:rPr>
              <w:t>). Increase of other groups of foreigners was of a lower order for the same time period</w:t>
            </w:r>
            <w:r w:rsidRPr="00DD6E6B">
              <w:rPr>
                <w:rStyle w:val="Znakapoznpodarou"/>
                <w:lang w:val="en-GB"/>
              </w:rPr>
              <w:footnoteReference w:id="62"/>
            </w:r>
            <w:r w:rsidRPr="00DD6E6B">
              <w:rPr>
                <w:lang w:val="en-GB"/>
              </w:rPr>
              <w:t xml:space="preserve">. </w:t>
            </w:r>
          </w:p>
        </w:tc>
      </w:tr>
      <w:tr w:rsidR="00D80129" w:rsidRPr="00DD6E6B" w14:paraId="2E28DDE8" w14:textId="77777777" w:rsidTr="00DA0121">
        <w:trPr>
          <w:trHeight w:val="145"/>
        </w:trPr>
        <w:tc>
          <w:tcPr>
            <w:tcW w:w="1754" w:type="dxa"/>
            <w:shd w:val="clear" w:color="auto" w:fill="auto"/>
            <w:tcMar>
              <w:left w:w="0" w:type="dxa"/>
            </w:tcMar>
          </w:tcPr>
          <w:p w14:paraId="4121B9C1" w14:textId="2ABC1770"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Anticipations of businesses in the area of employment deteriorated in H1. Trade kept mild optimism.  </w:t>
            </w:r>
          </w:p>
          <w:p w14:paraId="45DFF94E" w14:textId="77777777" w:rsidR="00D80129" w:rsidRPr="00DD6E6B" w:rsidRDefault="00D80129" w:rsidP="00D80129">
            <w:pPr>
              <w:pStyle w:val="Marginlie"/>
              <w:rPr>
                <w:color w:val="0D0D0D" w:themeColor="text1" w:themeTint="F2"/>
                <w:spacing w:val="-5"/>
                <w:highlight w:val="yellow"/>
                <w:lang w:val="en-GB"/>
              </w:rPr>
            </w:pPr>
          </w:p>
        </w:tc>
        <w:tc>
          <w:tcPr>
            <w:tcW w:w="220" w:type="dxa"/>
            <w:shd w:val="clear" w:color="auto" w:fill="auto"/>
            <w:tcMar>
              <w:left w:w="0" w:type="dxa"/>
            </w:tcMar>
          </w:tcPr>
          <w:p w14:paraId="3C6BF728" w14:textId="77777777" w:rsidR="00D80129" w:rsidRPr="00DD6E6B" w:rsidRDefault="00D80129" w:rsidP="00D80129">
            <w:pPr>
              <w:pStyle w:val="Textpoznpodarou"/>
              <w:spacing w:after="120"/>
              <w:jc w:val="both"/>
              <w:rPr>
                <w:color w:val="0D0D0D" w:themeColor="text1" w:themeTint="F2"/>
                <w:spacing w:val="-4"/>
                <w:highlight w:val="yellow"/>
                <w:lang w:val="en-GB"/>
              </w:rPr>
            </w:pPr>
          </w:p>
        </w:tc>
        <w:tc>
          <w:tcPr>
            <w:tcW w:w="7700" w:type="dxa"/>
            <w:shd w:val="clear" w:color="auto" w:fill="auto"/>
            <w:tcMar>
              <w:left w:w="0" w:type="dxa"/>
            </w:tcMar>
          </w:tcPr>
          <w:p w14:paraId="14F5A0DC" w14:textId="4718F20E" w:rsidR="00D80129" w:rsidRPr="00DD6E6B" w:rsidRDefault="00D80129" w:rsidP="00D80129">
            <w:pPr>
              <w:spacing w:after="200"/>
              <w:rPr>
                <w:color w:val="0D0D0D" w:themeColor="text1" w:themeTint="F2"/>
                <w:spacing w:val="-4"/>
                <w:highlight w:val="yellow"/>
                <w:lang w:val="en-GB"/>
              </w:rPr>
            </w:pPr>
            <w:r w:rsidRPr="00DD6E6B">
              <w:rPr>
                <w:color w:val="0D0D0D" w:themeColor="text1" w:themeTint="F2"/>
                <w:spacing w:val="-4"/>
                <w:lang w:val="en-GB"/>
              </w:rPr>
              <w:t>Short-term anticipations of businesses in the whole economy in the area of employment further weakened in H1 2023 and reached the lowest level since the peak of pandemics (March 2021) in May. Signs of stabilisation however occurred during this year’s summer months since the pessimism of businesses in this area did not deepen further in any of the main branches. Based on the data from August 2023, 12% of business in industry, 18% in construction and 25% in services planned to reduce the numbers of employees in the nearest three months, but only 6% in trade (where the businesses keep positive outlook even despite the falling household consumption). Situation at the level of sub-branches differed within both industry and services</w:t>
            </w:r>
            <w:r w:rsidRPr="00DD6E6B">
              <w:rPr>
                <w:rStyle w:val="Znakapoznpodarou"/>
                <w:color w:val="0D0D0D" w:themeColor="text1" w:themeTint="F2"/>
                <w:spacing w:val="-4"/>
                <w:lang w:val="en-GB"/>
              </w:rPr>
              <w:footnoteReference w:id="63"/>
            </w:r>
            <w:r w:rsidRPr="00DD6E6B">
              <w:rPr>
                <w:color w:val="0D0D0D" w:themeColor="text1" w:themeTint="F2"/>
                <w:spacing w:val="-4"/>
                <w:lang w:val="en-GB"/>
              </w:rPr>
              <w:t>. Resulting from the deterioration of the total economic outlooks as well as the strong inflow of persons from Ukraine on the domestic labour market, the proportion of businesses, which consider the shortage of labour force to be one of the significant growth barriers was falling in the majority of main branches – it was the most apparent in construction (where the difficulty with human resources did not represent a main barrier this year in August after more than two years).</w:t>
            </w:r>
          </w:p>
        </w:tc>
      </w:tr>
      <w:tr w:rsidR="00D80129" w:rsidRPr="00DD6E6B" w14:paraId="574E8143" w14:textId="77777777" w:rsidTr="00DA0121">
        <w:trPr>
          <w:trHeight w:val="145"/>
        </w:trPr>
        <w:tc>
          <w:tcPr>
            <w:tcW w:w="1754" w:type="dxa"/>
            <w:shd w:val="clear" w:color="auto" w:fill="auto"/>
            <w:tcMar>
              <w:left w:w="0" w:type="dxa"/>
            </w:tcMar>
          </w:tcPr>
          <w:p w14:paraId="5710B8F4" w14:textId="685D495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General unemployment rate as well as the number of long-term unemployed grew only slightly. Larger movement occurred for the working reserve; its size is however still low. </w:t>
            </w:r>
          </w:p>
          <w:p w14:paraId="660E4009" w14:textId="77777777" w:rsidR="00D80129" w:rsidRPr="00DD6E6B" w:rsidRDefault="00D80129" w:rsidP="00D80129">
            <w:pPr>
              <w:pStyle w:val="Marginlie"/>
              <w:rPr>
                <w:color w:val="0D0D0D" w:themeColor="text1" w:themeTint="F2"/>
                <w:spacing w:val="-4"/>
                <w:lang w:val="en-GB"/>
              </w:rPr>
            </w:pPr>
          </w:p>
          <w:p w14:paraId="379446AD" w14:textId="77777777" w:rsidR="00D80129" w:rsidRPr="00DD6E6B" w:rsidRDefault="00D80129" w:rsidP="00D80129">
            <w:pPr>
              <w:pStyle w:val="Marginlie"/>
              <w:rPr>
                <w:color w:val="0D0D0D" w:themeColor="text1" w:themeTint="F2"/>
                <w:spacing w:val="-4"/>
                <w:lang w:val="en-GB"/>
              </w:rPr>
            </w:pPr>
          </w:p>
          <w:p w14:paraId="4E68331D" w14:textId="77777777" w:rsidR="00D80129" w:rsidRPr="00DD6E6B" w:rsidRDefault="00D80129" w:rsidP="00D80129">
            <w:pPr>
              <w:pStyle w:val="Marginlie"/>
              <w:rPr>
                <w:color w:val="0D0D0D" w:themeColor="text1" w:themeTint="F2"/>
                <w:spacing w:val="-4"/>
                <w:lang w:val="en-GB"/>
              </w:rPr>
            </w:pPr>
          </w:p>
          <w:p w14:paraId="0E7DB854" w14:textId="77777777" w:rsidR="00D80129" w:rsidRPr="00DD6E6B" w:rsidRDefault="00D80129" w:rsidP="00D80129">
            <w:pPr>
              <w:pStyle w:val="Marginlie"/>
              <w:rPr>
                <w:color w:val="0D0D0D" w:themeColor="text1" w:themeTint="F2"/>
                <w:spacing w:val="-4"/>
                <w:lang w:val="en-GB"/>
              </w:rPr>
            </w:pPr>
          </w:p>
          <w:p w14:paraId="08152B5C" w14:textId="77777777" w:rsidR="00D80129" w:rsidRPr="00DD6E6B" w:rsidRDefault="00D80129" w:rsidP="00D80129">
            <w:pPr>
              <w:pStyle w:val="Marginlie"/>
              <w:rPr>
                <w:color w:val="0D0D0D" w:themeColor="text1" w:themeTint="F2"/>
                <w:spacing w:val="-4"/>
                <w:lang w:val="en-GB"/>
              </w:rPr>
            </w:pPr>
          </w:p>
          <w:p w14:paraId="2F2D2EC8" w14:textId="77777777" w:rsidR="00D80129" w:rsidRPr="00DD6E6B" w:rsidRDefault="00D80129" w:rsidP="00D80129">
            <w:pPr>
              <w:pStyle w:val="Marginlie"/>
              <w:rPr>
                <w:color w:val="0D0D0D" w:themeColor="text1" w:themeTint="F2"/>
                <w:spacing w:val="-4"/>
                <w:lang w:val="en-GB"/>
              </w:rPr>
            </w:pPr>
          </w:p>
          <w:p w14:paraId="736877A2" w14:textId="77777777" w:rsidR="00D80129" w:rsidRPr="00DD6E6B" w:rsidRDefault="00D80129" w:rsidP="00D80129">
            <w:pPr>
              <w:pStyle w:val="Marginlie"/>
              <w:rPr>
                <w:color w:val="0D0D0D" w:themeColor="text1" w:themeTint="F2"/>
                <w:spacing w:val="-4"/>
                <w:lang w:val="en-GB"/>
              </w:rPr>
            </w:pPr>
          </w:p>
          <w:p w14:paraId="09C27EE9" w14:textId="77777777" w:rsidR="00D80129" w:rsidRPr="00DD6E6B" w:rsidRDefault="00D80129" w:rsidP="00D80129">
            <w:pPr>
              <w:pStyle w:val="Marginlie"/>
              <w:rPr>
                <w:color w:val="0D0D0D" w:themeColor="text1" w:themeTint="F2"/>
                <w:spacing w:val="-4"/>
                <w:lang w:val="en-GB"/>
              </w:rPr>
            </w:pPr>
          </w:p>
          <w:p w14:paraId="058B6A45" w14:textId="100E1F3C" w:rsidR="00D80129" w:rsidRPr="00DD6E6B" w:rsidRDefault="00D80129" w:rsidP="00D80129">
            <w:pPr>
              <w:pStyle w:val="Marginlie"/>
              <w:rPr>
                <w:color w:val="0D0D0D" w:themeColor="text1" w:themeTint="F2"/>
                <w:spacing w:val="-4"/>
                <w:lang w:val="en-GB"/>
              </w:rPr>
            </w:pPr>
            <w:r w:rsidRPr="00DD6E6B">
              <w:rPr>
                <w:color w:val="0D0D0D" w:themeColor="text1" w:themeTint="F2"/>
                <w:spacing w:val="-5"/>
                <w:lang w:val="en-GB"/>
              </w:rPr>
              <w:lastRenderedPageBreak/>
              <w:t>Concerns of people about the growth of unemployment weakened, still they remained above the long-term average.</w:t>
            </w:r>
          </w:p>
          <w:p w14:paraId="50788054" w14:textId="77777777" w:rsidR="00D80129" w:rsidRPr="00DD6E6B" w:rsidRDefault="00D80129" w:rsidP="00D80129">
            <w:pPr>
              <w:pStyle w:val="Marginlie"/>
              <w:rPr>
                <w:color w:val="0D0D0D" w:themeColor="text1" w:themeTint="F2"/>
                <w:spacing w:val="-5"/>
                <w:lang w:val="en-GB"/>
              </w:rPr>
            </w:pPr>
          </w:p>
        </w:tc>
        <w:tc>
          <w:tcPr>
            <w:tcW w:w="220" w:type="dxa"/>
            <w:shd w:val="clear" w:color="auto" w:fill="auto"/>
            <w:tcMar>
              <w:left w:w="0" w:type="dxa"/>
            </w:tcMar>
          </w:tcPr>
          <w:p w14:paraId="39DFF740" w14:textId="77777777" w:rsidR="00D80129" w:rsidRPr="00DD6E6B" w:rsidRDefault="00D80129" w:rsidP="00D80129">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01D18D5" w14:textId="3B564CFC" w:rsidR="00D80129" w:rsidRPr="00DD6E6B" w:rsidRDefault="00D80129" w:rsidP="00D80129">
            <w:pPr>
              <w:spacing w:after="200"/>
              <w:rPr>
                <w:color w:val="0D0D0D" w:themeColor="text1" w:themeTint="F2"/>
                <w:spacing w:val="-4"/>
                <w:lang w:val="en-GB"/>
              </w:rPr>
            </w:pPr>
            <w:r w:rsidRPr="00DD6E6B">
              <w:rPr>
                <w:color w:val="0D0D0D" w:themeColor="text1" w:themeTint="F2"/>
                <w:spacing w:val="-4"/>
                <w:lang w:val="en-GB"/>
              </w:rPr>
              <w:t>General unemployment rate</w:t>
            </w:r>
            <w:r w:rsidRPr="00DD6E6B">
              <w:rPr>
                <w:rStyle w:val="Znakapoznpodarou"/>
                <w:color w:val="0D0D0D" w:themeColor="text1" w:themeTint="F2"/>
                <w:spacing w:val="-4"/>
                <w:lang w:val="en-GB"/>
              </w:rPr>
              <w:footnoteReference w:id="64"/>
            </w:r>
            <w:r w:rsidRPr="00DD6E6B">
              <w:rPr>
                <w:color w:val="0D0D0D" w:themeColor="text1" w:themeTint="F2"/>
                <w:spacing w:val="-4"/>
                <w:lang w:val="en-GB"/>
              </w:rPr>
              <w:t>, which stagnated near historical minimum for a major part of the last year, has started to slightly grow since the beginning of this year. Thus there were 2.3% of economically active males (aged 15 till 64 years) and 3.4% females</w:t>
            </w:r>
            <w:r w:rsidRPr="00DD6E6B">
              <w:rPr>
                <w:rStyle w:val="Znakapoznpodarou"/>
                <w:color w:val="0D0D0D" w:themeColor="text1" w:themeTint="F2"/>
                <w:spacing w:val="-4"/>
                <w:lang w:val="en-GB"/>
              </w:rPr>
              <w:footnoteReference w:id="65"/>
            </w:r>
            <w:r w:rsidRPr="00DD6E6B">
              <w:rPr>
                <w:color w:val="0D0D0D" w:themeColor="text1" w:themeTint="F2"/>
                <w:spacing w:val="-4"/>
                <w:lang w:val="en-GB"/>
              </w:rPr>
              <w:t xml:space="preserve"> without a job in July. The year-on-year increase was only small in both cases (0.3 to 0.4 p. p.). Figures regarding the job applicants registered at labour offices (LO) also correspond to this development, their course agreed with the common seasonal effects</w:t>
            </w:r>
            <w:r w:rsidRPr="00DD6E6B">
              <w:rPr>
                <w:rStyle w:val="Znakapoznpodarou"/>
                <w:color w:val="0D0D0D" w:themeColor="text1" w:themeTint="F2"/>
                <w:spacing w:val="-4"/>
                <w:lang w:val="en-GB"/>
              </w:rPr>
              <w:footnoteReference w:id="66"/>
            </w:r>
            <w:r w:rsidRPr="00DD6E6B">
              <w:rPr>
                <w:color w:val="0D0D0D" w:themeColor="text1" w:themeTint="F2"/>
                <w:spacing w:val="-4"/>
                <w:lang w:val="en-GB"/>
              </w:rPr>
              <w:t>. The long-term unemployment has not risen much either and persons, who were without a job for more than one year, still comprised only slightly over one quarter of all unemployed. The size of the potential working reserve however considerably increased for the second quarter in a row – the number of economically inactive not seeking work but stating willingness to work was the highest in the last two years (87 thousand)</w:t>
            </w:r>
            <w:r w:rsidRPr="00DD6E6B">
              <w:rPr>
                <w:rStyle w:val="Znakapoznpodarou"/>
                <w:color w:val="0D0D0D" w:themeColor="text1" w:themeTint="F2"/>
                <w:spacing w:val="-4"/>
                <w:lang w:val="en-GB"/>
              </w:rPr>
              <w:footnoteReference w:id="67"/>
            </w:r>
            <w:r w:rsidRPr="00DD6E6B">
              <w:rPr>
                <w:color w:val="0D0D0D" w:themeColor="text1" w:themeTint="F2"/>
                <w:spacing w:val="-4"/>
                <w:lang w:val="en-GB"/>
              </w:rPr>
              <w:t xml:space="preserve">. Quantity of job vacancies in the offer of LO was mildly lower year-on-year in all months this year, but already only by 28 thousand in July (just below one tenth). Mainly the low qualification positions stood behind the decrease – </w:t>
            </w:r>
            <w:r w:rsidRPr="00DD6E6B">
              <w:rPr>
                <w:color w:val="0D0D0D" w:themeColor="text1" w:themeTint="F2"/>
                <w:spacing w:val="-4"/>
                <w:lang w:val="en-GB"/>
              </w:rPr>
              <w:lastRenderedPageBreak/>
              <w:t xml:space="preserve">nevertheless they still form the core of the supply of jobs. Number of registered positions is still higher than the number of registered applicants in the CR (more distinct excess of job applicants over the job positions prevails only in the structurally affected regions – the </w:t>
            </w:r>
            <w:proofErr w:type="spellStart"/>
            <w:r w:rsidRPr="00DD6E6B">
              <w:rPr>
                <w:color w:val="0D0D0D" w:themeColor="text1" w:themeTint="F2"/>
                <w:spacing w:val="-4"/>
                <w:lang w:val="en-GB"/>
              </w:rPr>
              <w:t>Ustecky</w:t>
            </w:r>
            <w:proofErr w:type="spellEnd"/>
            <w:r w:rsidRPr="00DD6E6B">
              <w:rPr>
                <w:color w:val="0D0D0D" w:themeColor="text1" w:themeTint="F2"/>
                <w:spacing w:val="-4"/>
                <w:lang w:val="en-GB"/>
              </w:rPr>
              <w:t xml:space="preserve"> and Moravia-Silesian regions). Concerns of people regarding the growth of unemployment were gradually falling since the beginning of this year. For households, negative outlooks of the total economic situation of the CR were falling simultaneously and pessimism was also subsiding on the anticipated own financial condition. Still the number of persons expecting growth of unemployment in the upcoming twelve months is considerably higher than in the whole boom period </w:t>
            </w:r>
            <w:r w:rsidRPr="00DD6E6B">
              <w:rPr>
                <w:color w:val="1D1B11" w:themeColor="background2" w:themeShade="1A"/>
                <w:spacing w:val="-4"/>
                <w:lang w:val="en-GB"/>
              </w:rPr>
              <w:t>at the end of the last decade</w:t>
            </w:r>
          </w:p>
        </w:tc>
      </w:tr>
      <w:tr w:rsidR="00D80129" w:rsidRPr="00DD6E6B" w14:paraId="4DEC522A" w14:textId="77777777" w:rsidTr="00DA0121">
        <w:trPr>
          <w:trHeight w:val="155"/>
        </w:trPr>
        <w:tc>
          <w:tcPr>
            <w:tcW w:w="1754" w:type="dxa"/>
            <w:vMerge w:val="restart"/>
            <w:shd w:val="clear" w:color="auto" w:fill="auto"/>
            <w:tcMar>
              <w:left w:w="0" w:type="dxa"/>
            </w:tcMar>
          </w:tcPr>
          <w:p w14:paraId="19542161" w14:textId="77777777" w:rsidR="00D80129" w:rsidRPr="00DD6E6B" w:rsidRDefault="00D80129" w:rsidP="00D80129">
            <w:pPr>
              <w:pStyle w:val="Marginlie"/>
              <w:spacing w:after="120"/>
              <w:rPr>
                <w:spacing w:val="-4"/>
                <w:lang w:val="en-GB"/>
              </w:rPr>
            </w:pPr>
          </w:p>
        </w:tc>
        <w:tc>
          <w:tcPr>
            <w:tcW w:w="220" w:type="dxa"/>
            <w:vMerge w:val="restart"/>
            <w:shd w:val="clear" w:color="auto" w:fill="auto"/>
            <w:tcMar>
              <w:left w:w="0" w:type="dxa"/>
            </w:tcMar>
          </w:tcPr>
          <w:p w14:paraId="4B91373E" w14:textId="77777777" w:rsidR="00D80129" w:rsidRPr="00DD6E6B" w:rsidRDefault="00D80129" w:rsidP="00D80129">
            <w:pPr>
              <w:pStyle w:val="Textpoznpodarou"/>
              <w:spacing w:after="120"/>
              <w:jc w:val="both"/>
              <w:rPr>
                <w:spacing w:val="-4"/>
                <w:lang w:val="en-GB"/>
              </w:rPr>
            </w:pPr>
          </w:p>
        </w:tc>
        <w:tc>
          <w:tcPr>
            <w:tcW w:w="7700" w:type="dxa"/>
            <w:shd w:val="clear" w:color="auto" w:fill="auto"/>
            <w:tcMar>
              <w:left w:w="0" w:type="dxa"/>
            </w:tcMar>
          </w:tcPr>
          <w:p w14:paraId="1D01176C" w14:textId="2D497C62" w:rsidR="00D80129" w:rsidRPr="00E7709B" w:rsidRDefault="00D80129" w:rsidP="00D80129">
            <w:pPr>
              <w:spacing w:after="0"/>
              <w:rPr>
                <w:b/>
                <w:spacing w:val="-4"/>
                <w:lang w:val="en-GB"/>
              </w:rPr>
            </w:pPr>
            <w:r w:rsidRPr="00E7709B">
              <w:rPr>
                <w:b/>
                <w:spacing w:val="-4"/>
                <w:lang w:val="en-GB"/>
              </w:rPr>
              <w:t xml:space="preserve">Chart 14 </w:t>
            </w:r>
            <w:r w:rsidRPr="00E7709B">
              <w:rPr>
                <w:rFonts w:cs="Arial"/>
                <w:b/>
                <w:spacing w:val="-4"/>
                <w:lang w:val="en-GB"/>
              </w:rPr>
              <w:t xml:space="preserve">General unemployment rate </w:t>
            </w:r>
            <w:r w:rsidRPr="00E7709B">
              <w:rPr>
                <w:rFonts w:cs="Arial"/>
                <w:bCs/>
                <w:spacing w:val="-4"/>
                <w:lang w:val="en-GB"/>
              </w:rPr>
              <w:t>(in %, age 15 to 64 years)</w:t>
            </w:r>
            <w:r w:rsidRPr="00E7709B">
              <w:rPr>
                <w:rFonts w:cs="Arial"/>
                <w:b/>
                <w:spacing w:val="-4"/>
                <w:lang w:val="en-GB"/>
              </w:rPr>
              <w:t xml:space="preserve">, economically inactive willing to work* </w:t>
            </w:r>
            <w:r w:rsidRPr="00E7709B">
              <w:rPr>
                <w:rFonts w:cs="Arial"/>
                <w:bCs/>
                <w:spacing w:val="-4"/>
                <w:lang w:val="en-GB"/>
              </w:rPr>
              <w:t>(in thousand persons),</w:t>
            </w:r>
            <w:r w:rsidRPr="00E7709B">
              <w:rPr>
                <w:rFonts w:cs="Arial"/>
                <w:b/>
                <w:spacing w:val="-4"/>
                <w:lang w:val="en-GB"/>
              </w:rPr>
              <w:t xml:space="preserve"> job vacancies** </w:t>
            </w:r>
            <w:r w:rsidRPr="00E7709B">
              <w:rPr>
                <w:rFonts w:cs="Arial"/>
                <w:bCs/>
                <w:spacing w:val="-4"/>
                <w:lang w:val="en-GB"/>
              </w:rPr>
              <w:t>(in thousand)</w:t>
            </w:r>
            <w:r>
              <w:rPr>
                <w:rFonts w:cs="Arial"/>
                <w:b/>
                <w:spacing w:val="-4"/>
                <w:lang w:val="en-GB"/>
              </w:rPr>
              <w:t>,</w:t>
            </w:r>
            <w:r w:rsidRPr="00E7709B">
              <w:rPr>
                <w:rFonts w:cs="Arial"/>
                <w:b/>
                <w:spacing w:val="-4"/>
                <w:lang w:val="en-GB"/>
              </w:rPr>
              <w:t xml:space="preserve"> unemployment expectations of households*** </w:t>
            </w:r>
            <w:r w:rsidRPr="00E7709B">
              <w:rPr>
                <w:rFonts w:cs="Arial"/>
                <w:bCs/>
                <w:spacing w:val="-4"/>
                <w:lang w:val="en-GB"/>
              </w:rPr>
              <w:t>(in p. p.)</w:t>
            </w:r>
          </w:p>
        </w:tc>
      </w:tr>
      <w:tr w:rsidR="00D80129" w:rsidRPr="00DD6E6B" w14:paraId="7E5255C2" w14:textId="77777777" w:rsidTr="004819D1">
        <w:tblPrEx>
          <w:tblCellMar>
            <w:left w:w="70" w:type="dxa"/>
            <w:right w:w="70" w:type="dxa"/>
          </w:tblCellMar>
        </w:tblPrEx>
        <w:trPr>
          <w:trHeight w:val="155"/>
        </w:trPr>
        <w:tc>
          <w:tcPr>
            <w:tcW w:w="1754" w:type="dxa"/>
            <w:vMerge/>
            <w:shd w:val="clear" w:color="auto" w:fill="auto"/>
          </w:tcPr>
          <w:p w14:paraId="7E18FD7B" w14:textId="77777777" w:rsidR="00D80129" w:rsidRPr="00DD6E6B" w:rsidRDefault="00D80129" w:rsidP="00D80129">
            <w:pPr>
              <w:pStyle w:val="Marginlie"/>
              <w:spacing w:after="120"/>
              <w:rPr>
                <w:spacing w:val="-4"/>
                <w:lang w:val="en-GB"/>
              </w:rPr>
            </w:pPr>
          </w:p>
        </w:tc>
        <w:tc>
          <w:tcPr>
            <w:tcW w:w="220" w:type="dxa"/>
            <w:vMerge/>
            <w:shd w:val="clear" w:color="auto" w:fill="auto"/>
          </w:tcPr>
          <w:p w14:paraId="1FC14AED" w14:textId="77777777" w:rsidR="00D80129" w:rsidRPr="00DD6E6B" w:rsidRDefault="00D80129" w:rsidP="00D80129">
            <w:pPr>
              <w:pStyle w:val="Textpoznpodarou"/>
              <w:spacing w:after="120"/>
              <w:jc w:val="both"/>
              <w:rPr>
                <w:spacing w:val="-4"/>
                <w:lang w:val="en-GB"/>
              </w:rPr>
            </w:pPr>
          </w:p>
        </w:tc>
        <w:tc>
          <w:tcPr>
            <w:tcW w:w="7700" w:type="dxa"/>
            <w:shd w:val="clear" w:color="auto" w:fill="auto"/>
          </w:tcPr>
          <w:p w14:paraId="556427A9" w14:textId="787F0080" w:rsidR="00D80129" w:rsidRPr="00DD6E6B" w:rsidRDefault="00D80129" w:rsidP="00D80129">
            <w:pPr>
              <w:spacing w:after="0"/>
              <w:rPr>
                <w:spacing w:val="-4"/>
                <w:lang w:val="en-GB"/>
              </w:rPr>
            </w:pPr>
            <w:r>
              <w:rPr>
                <w:noProof/>
              </w:rPr>
              <w:drawing>
                <wp:inline distT="0" distB="0" distL="0" distR="0" wp14:anchorId="3B43354C" wp14:editId="445354B8">
                  <wp:extent cx="4727495" cy="3449729"/>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80129" w:rsidRPr="00DD6E6B" w14:paraId="754CE6C5" w14:textId="77777777" w:rsidTr="00DA0121">
        <w:trPr>
          <w:trHeight w:val="132"/>
        </w:trPr>
        <w:tc>
          <w:tcPr>
            <w:tcW w:w="1754" w:type="dxa"/>
            <w:vMerge/>
            <w:shd w:val="clear" w:color="auto" w:fill="auto"/>
            <w:tcMar>
              <w:left w:w="0" w:type="dxa"/>
            </w:tcMar>
          </w:tcPr>
          <w:p w14:paraId="37B0EBBD" w14:textId="77777777" w:rsidR="00D80129" w:rsidRPr="00DD6E6B" w:rsidRDefault="00D80129" w:rsidP="00D80129">
            <w:pPr>
              <w:pStyle w:val="Marginlie"/>
              <w:rPr>
                <w:spacing w:val="-4"/>
                <w:lang w:val="en-GB"/>
              </w:rPr>
            </w:pPr>
          </w:p>
        </w:tc>
        <w:tc>
          <w:tcPr>
            <w:tcW w:w="220" w:type="dxa"/>
            <w:vMerge/>
            <w:shd w:val="clear" w:color="auto" w:fill="auto"/>
            <w:tcMar>
              <w:left w:w="0" w:type="dxa"/>
            </w:tcMar>
          </w:tcPr>
          <w:p w14:paraId="195079AB"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782482E2" w14:textId="5E2ECD28" w:rsidR="00D80129" w:rsidRPr="00DD6E6B" w:rsidRDefault="00D80129" w:rsidP="00D80129">
            <w:pPr>
              <w:spacing w:after="0" w:line="240" w:lineRule="auto"/>
              <w:rPr>
                <w:rFonts w:cs="Arial"/>
                <w:color w:val="0D0D0D" w:themeColor="text1" w:themeTint="F2"/>
                <w:sz w:val="14"/>
                <w:szCs w:val="14"/>
                <w:lang w:val="en-GB"/>
              </w:rPr>
            </w:pPr>
            <w:r w:rsidRPr="00DD6E6B">
              <w:rPr>
                <w:rFonts w:cs="Arial"/>
                <w:color w:val="0D0D0D" w:themeColor="text1" w:themeTint="F2"/>
                <w:sz w:val="14"/>
                <w:szCs w:val="14"/>
                <w:lang w:val="en-GB"/>
              </w:rPr>
              <w:t>Note: Figures regarding the unemployment rate as well as economic activity are seasonally adjusted.</w:t>
            </w:r>
            <w:r>
              <w:rPr>
                <w:rFonts w:cs="Arial"/>
                <w:color w:val="0D0D0D" w:themeColor="text1" w:themeTint="F2"/>
                <w:sz w:val="14"/>
                <w:szCs w:val="14"/>
                <w:lang w:val="en-GB"/>
              </w:rPr>
              <w:t xml:space="preserve"> Job vacancies </w:t>
            </w:r>
            <w:r>
              <w:rPr>
                <w:rFonts w:cs="Arial"/>
                <w:color w:val="0D0D0D" w:themeColor="text1" w:themeTint="F2"/>
                <w:spacing w:val="-4"/>
                <w:sz w:val="14"/>
                <w:szCs w:val="14"/>
                <w:lang w:val="en-GB"/>
              </w:rPr>
              <w:t>express</w:t>
            </w:r>
            <w:r w:rsidRPr="00DD6E6B">
              <w:rPr>
                <w:rFonts w:cs="Arial"/>
                <w:color w:val="0D0D0D" w:themeColor="text1" w:themeTint="F2"/>
                <w:sz w:val="14"/>
                <w:szCs w:val="14"/>
                <w:lang w:val="en-GB"/>
              </w:rPr>
              <w:t xml:space="preserve"> balance at the end of quarter.</w:t>
            </w:r>
          </w:p>
          <w:p w14:paraId="2BBE025A" w14:textId="35E8A45F" w:rsidR="00D80129" w:rsidRDefault="00D80129" w:rsidP="00D80129">
            <w:pPr>
              <w:spacing w:after="0" w:line="240" w:lineRule="auto"/>
              <w:rPr>
                <w:rFonts w:cs="Arial"/>
                <w:bCs/>
                <w:color w:val="0D0D0D" w:themeColor="text1" w:themeTint="F2"/>
                <w:sz w:val="14"/>
                <w:szCs w:val="14"/>
                <w:lang w:val="en-GB"/>
              </w:rPr>
            </w:pPr>
            <w:r w:rsidRPr="00DD6E6B">
              <w:rPr>
                <w:rFonts w:cs="Arial"/>
                <w:bCs/>
                <w:color w:val="0D0D0D" w:themeColor="text1" w:themeTint="F2"/>
                <w:sz w:val="14"/>
                <w:szCs w:val="14"/>
                <w:lang w:val="en-GB"/>
              </w:rPr>
              <w:t xml:space="preserve">*Persons not in employment, not seeking work, but expressing the willingness to work. </w:t>
            </w:r>
          </w:p>
          <w:p w14:paraId="38F69705" w14:textId="3E51B7EF" w:rsidR="00D80129" w:rsidRPr="00DD6E6B" w:rsidRDefault="00D80129" w:rsidP="00D80129">
            <w:pPr>
              <w:spacing w:after="0" w:line="240" w:lineRule="auto"/>
              <w:rPr>
                <w:rFonts w:cs="Arial"/>
                <w:bCs/>
                <w:color w:val="0D0D0D" w:themeColor="text1" w:themeTint="F2"/>
                <w:sz w:val="14"/>
                <w:szCs w:val="14"/>
                <w:lang w:val="en-GB"/>
              </w:rPr>
            </w:pPr>
            <w:r>
              <w:rPr>
                <w:rFonts w:cs="Arial"/>
                <w:bCs/>
                <w:color w:val="0D0D0D" w:themeColor="text1" w:themeTint="F2"/>
                <w:sz w:val="14"/>
                <w:szCs w:val="14"/>
                <w:lang w:val="en-GB"/>
              </w:rPr>
              <w:t>**</w:t>
            </w:r>
            <w:r w:rsidRPr="00E7709B">
              <w:rPr>
                <w:rFonts w:cs="Arial"/>
                <w:bCs/>
                <w:color w:val="0D0D0D" w:themeColor="text1" w:themeTint="F2"/>
                <w:sz w:val="14"/>
                <w:szCs w:val="14"/>
                <w:lang w:val="en-GB"/>
              </w:rPr>
              <w:t>Vacancies for lower qualifications</w:t>
            </w:r>
            <w:r>
              <w:rPr>
                <w:rFonts w:cs="Arial"/>
                <w:bCs/>
                <w:color w:val="0D0D0D" w:themeColor="text1" w:themeTint="F2"/>
                <w:sz w:val="14"/>
                <w:szCs w:val="14"/>
                <w:lang w:val="en-GB"/>
              </w:rPr>
              <w:t xml:space="preserve"> include jobs for people with secondary education with apprenticeship certificate and for those with secondary education without A-level examination. </w:t>
            </w:r>
            <w:r w:rsidRPr="004819D1">
              <w:rPr>
                <w:rFonts w:cs="Arial"/>
                <w:bCs/>
                <w:color w:val="0D0D0D" w:themeColor="text1" w:themeTint="F2"/>
                <w:sz w:val="14"/>
                <w:szCs w:val="14"/>
                <w:lang w:val="en-GB"/>
              </w:rPr>
              <w:t>Vacancies for higher qualifications</w:t>
            </w:r>
            <w:r>
              <w:rPr>
                <w:rFonts w:cs="Arial"/>
                <w:bCs/>
                <w:color w:val="0D0D0D" w:themeColor="text1" w:themeTint="F2"/>
                <w:sz w:val="14"/>
                <w:szCs w:val="14"/>
                <w:lang w:val="en-GB"/>
              </w:rPr>
              <w:t xml:space="preserve"> comprise jobs for people with secondary education with A-level examination, graduates from higher professional schools or from universities.</w:t>
            </w:r>
          </w:p>
          <w:p w14:paraId="336D000D" w14:textId="266C6591" w:rsidR="00D80129" w:rsidRPr="00DD6E6B" w:rsidRDefault="00D80129" w:rsidP="00D80129">
            <w:pPr>
              <w:spacing w:after="0" w:line="240" w:lineRule="auto"/>
              <w:rPr>
                <w:rFonts w:cs="Arial"/>
                <w:color w:val="0D0D0D" w:themeColor="text1" w:themeTint="F2"/>
                <w:spacing w:val="-2"/>
                <w:sz w:val="14"/>
                <w:szCs w:val="14"/>
                <w:lang w:val="en-GB"/>
              </w:rPr>
            </w:pPr>
            <w:r w:rsidRPr="00DD6E6B">
              <w:rPr>
                <w:rFonts w:cs="Arial"/>
                <w:color w:val="0D0D0D" w:themeColor="text1" w:themeTint="F2"/>
                <w:spacing w:val="-2"/>
                <w:sz w:val="14"/>
                <w:szCs w:val="14"/>
                <w:lang w:val="en-GB"/>
              </w:rPr>
              <w:t>*</w:t>
            </w:r>
            <w:r>
              <w:rPr>
                <w:rFonts w:cs="Arial"/>
                <w:color w:val="0D0D0D" w:themeColor="text1" w:themeTint="F2"/>
                <w:spacing w:val="-2"/>
                <w:sz w:val="14"/>
                <w:szCs w:val="14"/>
                <w:lang w:val="en-GB"/>
              </w:rPr>
              <w:t>*</w:t>
            </w:r>
            <w:r w:rsidRPr="00DD6E6B">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39AE7861" w14:textId="18BA0BBF" w:rsidR="00D80129" w:rsidRPr="00E7709B" w:rsidRDefault="00D80129" w:rsidP="00D80129">
            <w:pPr>
              <w:spacing w:after="200" w:line="240" w:lineRule="auto"/>
              <w:rPr>
                <w:rFonts w:cs="Arial"/>
                <w:color w:val="0D0D0D" w:themeColor="text1" w:themeTint="F2"/>
                <w:spacing w:val="-2"/>
                <w:sz w:val="14"/>
                <w:szCs w:val="14"/>
                <w:lang w:val="en-GB"/>
              </w:rPr>
            </w:pPr>
            <w:r w:rsidRPr="00DD6E6B">
              <w:rPr>
                <w:rFonts w:cs="Arial"/>
                <w:color w:val="0D0D0D" w:themeColor="text1" w:themeTint="F2"/>
                <w:spacing w:val="-2"/>
                <w:sz w:val="14"/>
                <w:szCs w:val="14"/>
                <w:lang w:val="en-GB"/>
              </w:rPr>
              <w:t>Source: CZSO (LFSS, business cycle survey), MLSA (job vacancies registered at labour offices in the CR</w:t>
            </w:r>
            <w:r>
              <w:rPr>
                <w:rFonts w:cs="Arial"/>
                <w:color w:val="0D0D0D" w:themeColor="text1" w:themeTint="F2"/>
                <w:spacing w:val="-2"/>
                <w:sz w:val="14"/>
                <w:szCs w:val="14"/>
                <w:lang w:val="en-GB"/>
              </w:rPr>
              <w:t>)</w:t>
            </w:r>
          </w:p>
        </w:tc>
      </w:tr>
      <w:tr w:rsidR="00D80129" w:rsidRPr="00DD6E6B" w14:paraId="2701D68E" w14:textId="77777777" w:rsidTr="00DA0121">
        <w:trPr>
          <w:trHeight w:val="132"/>
        </w:trPr>
        <w:tc>
          <w:tcPr>
            <w:tcW w:w="1754" w:type="dxa"/>
            <w:shd w:val="clear" w:color="auto" w:fill="auto"/>
            <w:tcMar>
              <w:left w:w="0" w:type="dxa"/>
            </w:tcMar>
          </w:tcPr>
          <w:p w14:paraId="220A0EBC"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Both year-on-year and quarter-on-quarter growth of wages slackened in Q2.</w:t>
            </w:r>
          </w:p>
          <w:p w14:paraId="76E40C40" w14:textId="77777777" w:rsidR="00D80129" w:rsidRPr="00DD6E6B" w:rsidRDefault="00D80129" w:rsidP="00D80129">
            <w:pPr>
              <w:pStyle w:val="Marginlie"/>
              <w:rPr>
                <w:color w:val="0D0D0D" w:themeColor="text1" w:themeTint="F2"/>
                <w:spacing w:val="-4"/>
                <w:lang w:val="en-GB"/>
              </w:rPr>
            </w:pPr>
          </w:p>
          <w:p w14:paraId="25B6D7CE" w14:textId="77777777" w:rsidR="00D80129" w:rsidRPr="00DD6E6B" w:rsidRDefault="00D80129" w:rsidP="00D80129">
            <w:pPr>
              <w:pStyle w:val="Marginlie"/>
              <w:rPr>
                <w:color w:val="0D0D0D" w:themeColor="text1" w:themeTint="F2"/>
                <w:spacing w:val="-4"/>
                <w:lang w:val="en-GB"/>
              </w:rPr>
            </w:pPr>
          </w:p>
          <w:p w14:paraId="7281CAAE" w14:textId="77777777" w:rsidR="00D80129" w:rsidRPr="00DD6E6B" w:rsidRDefault="00D80129" w:rsidP="00D80129">
            <w:pPr>
              <w:pStyle w:val="Marginlie"/>
              <w:rPr>
                <w:color w:val="0D0D0D" w:themeColor="text1" w:themeTint="F2"/>
                <w:spacing w:val="-4"/>
                <w:lang w:val="en-GB"/>
              </w:rPr>
            </w:pPr>
          </w:p>
          <w:p w14:paraId="78497509" w14:textId="77777777" w:rsidR="00D80129" w:rsidRPr="00DD6E6B" w:rsidRDefault="00D80129" w:rsidP="00D80129">
            <w:pPr>
              <w:pStyle w:val="Marginlie"/>
              <w:rPr>
                <w:color w:val="0D0D0D" w:themeColor="text1" w:themeTint="F2"/>
                <w:spacing w:val="-4"/>
                <w:lang w:val="en-GB"/>
              </w:rPr>
            </w:pPr>
          </w:p>
          <w:p w14:paraId="351BD5FA" w14:textId="77777777" w:rsidR="00D80129" w:rsidRPr="00DD6E6B" w:rsidRDefault="00D80129" w:rsidP="00D80129">
            <w:pPr>
              <w:pStyle w:val="Marginlie"/>
              <w:rPr>
                <w:color w:val="0D0D0D" w:themeColor="text1" w:themeTint="F2"/>
                <w:spacing w:val="-4"/>
                <w:lang w:val="en-GB"/>
              </w:rPr>
            </w:pPr>
          </w:p>
          <w:p w14:paraId="5B4DB8D8" w14:textId="07ECAD78"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The decrease of the real wage was unique due to both its depth and length. The size of real wage </w:t>
            </w:r>
            <w:r w:rsidRPr="00DD6E6B">
              <w:rPr>
                <w:color w:val="0D0D0D" w:themeColor="text1" w:themeTint="F2"/>
                <w:spacing w:val="-4"/>
                <w:lang w:val="en-GB"/>
              </w:rPr>
              <w:lastRenderedPageBreak/>
              <w:t>corresponded to the level from Q3 2017.</w:t>
            </w:r>
          </w:p>
        </w:tc>
        <w:tc>
          <w:tcPr>
            <w:tcW w:w="220" w:type="dxa"/>
            <w:shd w:val="clear" w:color="auto" w:fill="auto"/>
            <w:tcMar>
              <w:left w:w="0" w:type="dxa"/>
            </w:tcMar>
          </w:tcPr>
          <w:p w14:paraId="4FB92729" w14:textId="77777777" w:rsidR="00D80129" w:rsidRPr="00DD6E6B" w:rsidRDefault="00D80129" w:rsidP="00D80129">
            <w:pPr>
              <w:pStyle w:val="Textpoznpodarou"/>
              <w:jc w:val="both"/>
              <w:rPr>
                <w:color w:val="0D0D0D" w:themeColor="text1" w:themeTint="F2"/>
                <w:spacing w:val="-4"/>
                <w:lang w:val="en-GB"/>
              </w:rPr>
            </w:pPr>
          </w:p>
        </w:tc>
        <w:tc>
          <w:tcPr>
            <w:tcW w:w="7700" w:type="dxa"/>
            <w:shd w:val="clear" w:color="auto" w:fill="auto"/>
            <w:tcMar>
              <w:left w:w="0" w:type="dxa"/>
            </w:tcMar>
          </w:tcPr>
          <w:p w14:paraId="0D2030EE" w14:textId="1DC77950" w:rsidR="00D80129" w:rsidRPr="00DD6E6B" w:rsidRDefault="00D80129" w:rsidP="00D80129">
            <w:pPr>
              <w:spacing w:after="200"/>
              <w:rPr>
                <w:lang w:val="en-GB"/>
              </w:rPr>
            </w:pPr>
            <w:r w:rsidRPr="00DD6E6B">
              <w:rPr>
                <w:color w:val="0D0D0D" w:themeColor="text1" w:themeTint="F2"/>
                <w:spacing w:val="-4"/>
                <w:lang w:val="en-GB"/>
              </w:rPr>
              <w:t>The average gross wage (per employee, reflecting the type of job contract) strengthened by nominal 7.7% year-on-year in Q2 this year. Compared to the pace from the beginning of the year (+8.7%), the growth slightly slowed down. It was also apparent on the quarter-on-quarter dynamics of the seasonally adjusted wages this year (+2.2% in Q1, +1.5% in Q2). Even in spite of the disinflationary tendencies in the economy, the year-on-year decrease of the purchasing power of the average wage still remains significant, when it amounted to 3.1%</w:t>
            </w:r>
            <w:r w:rsidRPr="00DD6E6B">
              <w:rPr>
                <w:rStyle w:val="Znakapoznpodarou"/>
                <w:color w:val="0D0D0D" w:themeColor="text1" w:themeTint="F2"/>
                <w:spacing w:val="-4"/>
                <w:lang w:val="en-GB"/>
              </w:rPr>
              <w:footnoteReference w:id="68"/>
            </w:r>
            <w:r w:rsidRPr="00DD6E6B">
              <w:rPr>
                <w:color w:val="0D0D0D" w:themeColor="text1" w:themeTint="F2"/>
                <w:spacing w:val="-4"/>
                <w:lang w:val="en-GB"/>
              </w:rPr>
              <w:t xml:space="preserve"> in Q2. Decline of the purchasing power of the employee earnings thus continued for the seventh quarter in a row, which was the longest in the history of the independent CR and at the same time the total depth of the decrease for the whole period was unprecedented. The size of the real wage (after seasonal adjustment) in this year’s Q2 thus corresponded to the level from Q3 2017, the same can also be said about the analogical comparison of the </w:t>
            </w:r>
            <w:r w:rsidRPr="00DD6E6B">
              <w:rPr>
                <w:color w:val="0D0D0D" w:themeColor="text1" w:themeTint="F2"/>
                <w:spacing w:val="-4"/>
                <w:lang w:val="en-GB"/>
              </w:rPr>
              <w:lastRenderedPageBreak/>
              <w:t>real labour productivity (when expressed per employed person). The year-on-year decrease of the real wage afflicted nearly all branch sections (apart from the energetics) as well as the main industrial branches (apart from the electrical engineering and the motor vehicle manufacturing) this year in Q2 and set in across all the regions of the CR</w:t>
            </w:r>
            <w:r w:rsidRPr="00DD6E6B">
              <w:rPr>
                <w:spacing w:val="-4"/>
                <w:lang w:val="en-GB"/>
              </w:rPr>
              <w:t>. The wage development thus likely still represented the key factor in the lowering of the total purchasing power of the domestic households in Q2 2023</w:t>
            </w:r>
            <w:r w:rsidRPr="00DD6E6B">
              <w:rPr>
                <w:rStyle w:val="Znakapoznpodarou"/>
                <w:spacing w:val="-4"/>
                <w:lang w:val="en-GB"/>
              </w:rPr>
              <w:footnoteReference w:id="69"/>
            </w:r>
            <w:r w:rsidRPr="00DD6E6B">
              <w:rPr>
                <w:spacing w:val="-4"/>
                <w:lang w:val="en-GB"/>
              </w:rPr>
              <w:t>.</w:t>
            </w:r>
          </w:p>
        </w:tc>
      </w:tr>
      <w:tr w:rsidR="00D80129" w:rsidRPr="00DD6E6B" w14:paraId="13B4C2EC" w14:textId="77777777" w:rsidTr="00DA0121">
        <w:trPr>
          <w:trHeight w:val="132"/>
        </w:trPr>
        <w:tc>
          <w:tcPr>
            <w:tcW w:w="1754" w:type="dxa"/>
            <w:shd w:val="clear" w:color="auto" w:fill="auto"/>
            <w:tcMar>
              <w:left w:w="0" w:type="dxa"/>
            </w:tcMar>
          </w:tcPr>
          <w:p w14:paraId="223E02FD" w14:textId="2B8F6400"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Pressures on the wage growth in the business sphere remained relatively strong. </w:t>
            </w:r>
          </w:p>
        </w:tc>
        <w:tc>
          <w:tcPr>
            <w:tcW w:w="220" w:type="dxa"/>
            <w:shd w:val="clear" w:color="auto" w:fill="auto"/>
            <w:tcMar>
              <w:left w:w="0" w:type="dxa"/>
            </w:tcMar>
          </w:tcPr>
          <w:p w14:paraId="40055B48" w14:textId="77777777" w:rsidR="00D80129" w:rsidRPr="00DD6E6B" w:rsidRDefault="00D80129" w:rsidP="00D80129">
            <w:pPr>
              <w:pStyle w:val="Textpoznpodarou"/>
              <w:jc w:val="both"/>
              <w:rPr>
                <w:color w:val="0D0D0D" w:themeColor="text1" w:themeTint="F2"/>
                <w:spacing w:val="-4"/>
                <w:lang w:val="en-GB"/>
              </w:rPr>
            </w:pPr>
          </w:p>
        </w:tc>
        <w:tc>
          <w:tcPr>
            <w:tcW w:w="7700" w:type="dxa"/>
            <w:shd w:val="clear" w:color="auto" w:fill="auto"/>
            <w:tcMar>
              <w:left w:w="0" w:type="dxa"/>
            </w:tcMar>
          </w:tcPr>
          <w:p w14:paraId="288BBBEA" w14:textId="6D54CAAF" w:rsidR="00D80129" w:rsidRPr="00DD6E6B" w:rsidRDefault="00D80129" w:rsidP="00D80129">
            <w:pPr>
              <w:spacing w:after="200"/>
              <w:rPr>
                <w:lang w:val="en-GB"/>
              </w:rPr>
            </w:pPr>
            <w:r w:rsidRPr="00DD6E6B">
              <w:rPr>
                <w:lang w:val="en-GB"/>
              </w:rPr>
              <w:t>Relatively high demand of business for labour force as well as the heightened pressure of employees (often springing from tight familial budgets resulting from the sharp hike of prices of basic items of the consumer basket) still works in the direction of growth of the nominal wage. Room for further swift increase of wages exists in the market sphere also thanks to the high and in the last quarters still growing rate of profit of the non-financial businesses. The growing need for savings in the budgetary sphere</w:t>
            </w:r>
            <w:r w:rsidRPr="00DD6E6B">
              <w:rPr>
                <w:rStyle w:val="Znakapoznpodarou"/>
                <w:spacing w:val="-5"/>
                <w:lang w:val="en-GB"/>
              </w:rPr>
              <w:footnoteReference w:id="70"/>
            </w:r>
            <w:r w:rsidRPr="00DD6E6B">
              <w:rPr>
                <w:lang w:val="en-GB"/>
              </w:rPr>
              <w:t>, more austere increase of the minimal wages</w:t>
            </w:r>
            <w:r w:rsidRPr="00DD6E6B">
              <w:rPr>
                <w:rStyle w:val="Znakapoznpodarou"/>
                <w:spacing w:val="-5"/>
                <w:lang w:val="en-GB"/>
              </w:rPr>
              <w:footnoteReference w:id="71"/>
            </w:r>
            <w:r w:rsidRPr="00DD6E6B">
              <w:rPr>
                <w:lang w:val="en-GB"/>
              </w:rPr>
              <w:t xml:space="preserve"> as well as the rising number of foreign workers from </w:t>
            </w:r>
            <w:r>
              <w:rPr>
                <w:lang w:val="en-GB"/>
              </w:rPr>
              <w:t>“</w:t>
            </w:r>
            <w:r w:rsidRPr="00DD6E6B">
              <w:rPr>
                <w:lang w:val="en-GB"/>
              </w:rPr>
              <w:t>third countries</w:t>
            </w:r>
            <w:r>
              <w:rPr>
                <w:lang w:val="en-GB"/>
              </w:rPr>
              <w:t>”</w:t>
            </w:r>
            <w:r w:rsidRPr="00DD6E6B">
              <w:rPr>
                <w:rStyle w:val="Znakapoznpodarou"/>
                <w:lang w:val="en-GB"/>
              </w:rPr>
              <w:footnoteReference w:id="72"/>
            </w:r>
            <w:r w:rsidRPr="00DD6E6B">
              <w:rPr>
                <w:lang w:val="en-GB"/>
              </w:rPr>
              <w:t xml:space="preserve"> on the contrary dampened the wage growth in the whole economy.</w:t>
            </w:r>
          </w:p>
        </w:tc>
      </w:tr>
      <w:tr w:rsidR="00D80129" w:rsidRPr="00DD6E6B" w14:paraId="046BEF2D" w14:textId="77777777" w:rsidTr="00DA0121">
        <w:trPr>
          <w:trHeight w:val="132"/>
        </w:trPr>
        <w:tc>
          <w:tcPr>
            <w:tcW w:w="1754" w:type="dxa"/>
            <w:shd w:val="clear" w:color="auto" w:fill="auto"/>
            <w:tcMar>
              <w:left w:w="0" w:type="dxa"/>
            </w:tcMar>
          </w:tcPr>
          <w:p w14:paraId="18A69315" w14:textId="5BA74749"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Wages were rising by above average pace in the secondary sector of the economy. Different economic results of the sub-branches were evident within manufacturing.</w:t>
            </w:r>
          </w:p>
          <w:p w14:paraId="49653AB6" w14:textId="77777777" w:rsidR="00D80129" w:rsidRPr="00DD6E6B" w:rsidRDefault="00D80129" w:rsidP="00D80129">
            <w:pPr>
              <w:pStyle w:val="Marginlie"/>
              <w:rPr>
                <w:color w:val="0D0D0D" w:themeColor="text1" w:themeTint="F2"/>
                <w:spacing w:val="-4"/>
                <w:lang w:val="en-GB"/>
              </w:rPr>
            </w:pPr>
          </w:p>
        </w:tc>
        <w:tc>
          <w:tcPr>
            <w:tcW w:w="220" w:type="dxa"/>
            <w:shd w:val="clear" w:color="auto" w:fill="auto"/>
            <w:tcMar>
              <w:left w:w="0" w:type="dxa"/>
            </w:tcMar>
          </w:tcPr>
          <w:p w14:paraId="4B8A26CB"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0DFF08F3" w14:textId="1B73D433" w:rsidR="00D80129" w:rsidRPr="00DD6E6B" w:rsidRDefault="00D80129" w:rsidP="00D80129">
            <w:pPr>
              <w:spacing w:after="0"/>
              <w:rPr>
                <w:spacing w:val="-5"/>
                <w:lang w:val="en-GB"/>
              </w:rPr>
            </w:pPr>
            <w:r w:rsidRPr="00DD6E6B">
              <w:rPr>
                <w:spacing w:val="-5"/>
                <w:lang w:val="en-GB"/>
              </w:rPr>
              <w:t xml:space="preserve">The wage rose on average the most between the main branches in the small and ambitious on qualification requirements </w:t>
            </w:r>
            <w:r w:rsidRPr="00DD6E6B">
              <w:rPr>
                <w:rFonts w:cs="Arial"/>
                <w:color w:val="0D0D0D" w:themeColor="text1" w:themeTint="F2"/>
                <w:spacing w:val="-4"/>
                <w:szCs w:val="20"/>
                <w:lang w:val="en-GB"/>
              </w:rPr>
              <w:t>field of energetics</w:t>
            </w:r>
            <w:r w:rsidRPr="00DD6E6B">
              <w:rPr>
                <w:rStyle w:val="Znakapoznpodarou"/>
                <w:color w:val="0D0D0D" w:themeColor="text1" w:themeTint="F2"/>
                <w:spacing w:val="-4"/>
                <w:szCs w:val="20"/>
                <w:lang w:val="en-GB"/>
              </w:rPr>
              <w:footnoteReference w:id="73"/>
            </w:r>
            <w:r w:rsidRPr="00DD6E6B">
              <w:rPr>
                <w:rFonts w:cs="Arial"/>
                <w:color w:val="0D0D0D" w:themeColor="text1" w:themeTint="F2"/>
                <w:spacing w:val="-4"/>
                <w:szCs w:val="20"/>
                <w:lang w:val="en-GB"/>
              </w:rPr>
              <w:t xml:space="preserve"> (+18.7%) for H1 2023. The record wage pace especially reflected the extraordinary bonuses paid out at the beginning of the year. The average monthly size of earnings surpassed 71 CZK thousand here and approached the level of the best paid branches of the economy (financial activities and ICT areas). Favourable economic results of year 2022 are still being mirrored in the brisk wage pace in mining and quarrying (+11%). Earnings in manufacturing were raised by slightly above average pace this year, similarly to the majority of the last year. However the situation was rather differentiated in the sub-branches depending on the economic shape of businesses </w:t>
            </w:r>
            <w:r w:rsidRPr="00DD6E6B">
              <w:rPr>
                <w:rStyle w:val="normaltextrun"/>
                <w:rFonts w:eastAsia="MS Gothic" w:cs="Arial"/>
                <w:szCs w:val="20"/>
                <w:lang w:val="en-GB"/>
              </w:rPr>
              <w:t>here (t</w:t>
            </w:r>
            <w:r w:rsidRPr="00DD6E6B">
              <w:rPr>
                <w:rStyle w:val="normaltextrun"/>
                <w:rFonts w:eastAsia="MS Gothic"/>
                <w:lang w:val="en-GB"/>
              </w:rPr>
              <w:t>he wage rate of growth in the electrical engineering or manufacturing of motor vehicles was nearly double in comparison to the manufacturing of construction materials</w:t>
            </w:r>
            <w:r w:rsidRPr="00DD6E6B">
              <w:rPr>
                <w:rStyle w:val="normaltextrun"/>
                <w:rFonts w:eastAsia="MS Gothic" w:cs="Arial"/>
                <w:szCs w:val="20"/>
                <w:lang w:val="en-GB"/>
              </w:rPr>
              <w:t xml:space="preserve">). </w:t>
            </w:r>
          </w:p>
          <w:p w14:paraId="0C070588" w14:textId="77777777" w:rsidR="00D80129" w:rsidRPr="00DD6E6B" w:rsidRDefault="00D80129" w:rsidP="00D80129">
            <w:pPr>
              <w:spacing w:after="0"/>
              <w:rPr>
                <w:rFonts w:cs="Arial"/>
                <w:color w:val="0D0D0D" w:themeColor="text1" w:themeTint="F2"/>
                <w:spacing w:val="-4"/>
                <w:sz w:val="14"/>
                <w:szCs w:val="14"/>
                <w:lang w:val="en-GB"/>
              </w:rPr>
            </w:pPr>
          </w:p>
        </w:tc>
      </w:tr>
      <w:tr w:rsidR="00D80129" w:rsidRPr="00DD6E6B" w14:paraId="39113BF6" w14:textId="77777777" w:rsidTr="00DA0121">
        <w:trPr>
          <w:trHeight w:val="132"/>
        </w:trPr>
        <w:tc>
          <w:tcPr>
            <w:tcW w:w="1754" w:type="dxa"/>
            <w:shd w:val="clear" w:color="auto" w:fill="auto"/>
            <w:tcMar>
              <w:left w:w="0" w:type="dxa"/>
            </w:tcMar>
          </w:tcPr>
          <w:p w14:paraId="3BC350BD" w14:textId="7DEAA7DD" w:rsidR="00D80129" w:rsidRPr="00DD6E6B" w:rsidRDefault="00D80129" w:rsidP="00D80129">
            <w:pPr>
              <w:pStyle w:val="Marginlie"/>
              <w:rPr>
                <w:spacing w:val="-4"/>
                <w:lang w:val="en-GB"/>
              </w:rPr>
            </w:pPr>
            <w:r w:rsidRPr="00DD6E6B">
              <w:rPr>
                <w:spacing w:val="-4"/>
                <w:lang w:val="en-GB"/>
              </w:rPr>
              <w:t xml:space="preserve">Among the market branches of services the wages rose relatively the most in the real estate area and in accommodation, food services and restaurants activities.   </w:t>
            </w:r>
          </w:p>
        </w:tc>
        <w:tc>
          <w:tcPr>
            <w:tcW w:w="220" w:type="dxa"/>
            <w:shd w:val="clear" w:color="auto" w:fill="auto"/>
            <w:tcMar>
              <w:left w:w="0" w:type="dxa"/>
            </w:tcMar>
          </w:tcPr>
          <w:p w14:paraId="4EFD2FC3"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621E2228" w14:textId="20078330" w:rsidR="00D80129" w:rsidRPr="00DD6E6B" w:rsidRDefault="00D80129" w:rsidP="00D80129">
            <w:pPr>
              <w:spacing w:after="200"/>
              <w:rPr>
                <w:rFonts w:cs="Arial"/>
                <w:color w:val="0D0D0D" w:themeColor="text1" w:themeTint="F2"/>
                <w:spacing w:val="-4"/>
                <w:szCs w:val="20"/>
                <w:lang w:val="en-GB"/>
              </w:rPr>
            </w:pPr>
            <w:r w:rsidRPr="00DD6E6B">
              <w:rPr>
                <w:rFonts w:cs="Arial"/>
                <w:color w:val="0D0D0D" w:themeColor="text1" w:themeTint="F2"/>
                <w:spacing w:val="-4"/>
                <w:szCs w:val="20"/>
                <w:lang w:val="en-GB"/>
              </w:rPr>
              <w:t>Within the market branches of services, the half-yearly average wages increased the most in the weight small branch of real estate activities this year (+10.7% year-on-year</w:t>
            </w:r>
            <w:r w:rsidRPr="00DD6E6B">
              <w:rPr>
                <w:rStyle w:val="Znakapoznpodarou"/>
                <w:color w:val="0D0D0D" w:themeColor="text1" w:themeTint="F2"/>
                <w:spacing w:val="-4"/>
                <w:szCs w:val="20"/>
                <w:lang w:val="en-GB"/>
              </w:rPr>
              <w:footnoteReference w:id="74"/>
            </w:r>
            <w:r w:rsidRPr="00DD6E6B">
              <w:rPr>
                <w:rFonts w:cs="Arial"/>
                <w:color w:val="0D0D0D" w:themeColor="text1" w:themeTint="F2"/>
                <w:spacing w:val="-4"/>
                <w:szCs w:val="20"/>
                <w:lang w:val="en-GB"/>
              </w:rPr>
              <w:t>) and their size approached the 40 CZK thousand boundary. On the contrary, it did not reach even 25 CZK thousand in accommodation, food services and restaurants even despite faster wage rate of growth (+9.8%) also reflecting the continuing recovery of the arrival tourism. The wage dynamics in the significant branches of trades or transportation and warehousing copied the situation in the whole economy, at the same time it was one of the few areas of services</w:t>
            </w:r>
            <w:r w:rsidRPr="00DD6E6B">
              <w:rPr>
                <w:rFonts w:cs="Arial"/>
                <w:color w:val="0D0D0D" w:themeColor="text1" w:themeTint="F2"/>
                <w:spacing w:val="-6"/>
                <w:szCs w:val="20"/>
                <w:lang w:val="en-GB"/>
              </w:rPr>
              <w:t>, where the number of employees did not grow (the interconnectedness to the weakening manufacturing had an effect</w:t>
            </w:r>
            <w:r w:rsidRPr="00DD6E6B">
              <w:rPr>
                <w:rFonts w:cs="Arial"/>
                <w:color w:val="0D0D0D" w:themeColor="text1" w:themeTint="F2"/>
                <w:spacing w:val="-4"/>
                <w:szCs w:val="20"/>
                <w:lang w:val="en-GB"/>
              </w:rPr>
              <w:t xml:space="preserve">). On the contrary the branch of administrative and support service activities hired new employees (mostly the agency workers for the positions of lower </w:t>
            </w:r>
            <w:r w:rsidRPr="00DD6E6B">
              <w:rPr>
                <w:rFonts w:cs="Arial"/>
                <w:color w:val="0D0D0D" w:themeColor="text1" w:themeTint="F2"/>
                <w:spacing w:val="-4"/>
                <w:szCs w:val="20"/>
                <w:lang w:val="en-GB"/>
              </w:rPr>
              <w:lastRenderedPageBreak/>
              <w:t>qualification), which led to the weaker growth of the average earnings (7.1%), whose monthly size did not exceed 30 CZK thousand. The branch of other activities recorded the lowest wage pace</w:t>
            </w:r>
            <w:r w:rsidRPr="00DD6E6B">
              <w:rPr>
                <w:rStyle w:val="Znakapoznpodarou"/>
                <w:color w:val="0D0D0D" w:themeColor="text1" w:themeTint="F2"/>
                <w:spacing w:val="-4"/>
                <w:szCs w:val="20"/>
                <w:lang w:val="en-GB"/>
              </w:rPr>
              <w:footnoteReference w:id="75"/>
            </w:r>
            <w:r w:rsidRPr="00DD6E6B">
              <w:rPr>
                <w:rFonts w:cs="Arial"/>
                <w:color w:val="0D0D0D" w:themeColor="text1" w:themeTint="F2"/>
                <w:spacing w:val="-4"/>
                <w:szCs w:val="20"/>
                <w:lang w:val="en-GB"/>
              </w:rPr>
              <w:t xml:space="preserve"> (+3.8%), only 1 158 CZK in absolute terms (i.e. mere one tenth of the increase achieved in energetics). The low pace can be explained by the significant boost of employment (+5.4%), which occurred for the first time since the onset of the pandemics.   </w:t>
            </w:r>
          </w:p>
        </w:tc>
      </w:tr>
      <w:tr w:rsidR="00D80129" w:rsidRPr="00DD6E6B" w14:paraId="61F8CEFA" w14:textId="77777777" w:rsidTr="00DA0121">
        <w:trPr>
          <w:trHeight w:val="132"/>
        </w:trPr>
        <w:tc>
          <w:tcPr>
            <w:tcW w:w="1754" w:type="dxa"/>
            <w:shd w:val="clear" w:color="auto" w:fill="auto"/>
            <w:tcMar>
              <w:left w:w="0" w:type="dxa"/>
            </w:tcMar>
          </w:tcPr>
          <w:p w14:paraId="653627A1" w14:textId="77777777" w:rsidR="00D80129" w:rsidRPr="00DD6E6B" w:rsidRDefault="00D80129" w:rsidP="00D80129">
            <w:pPr>
              <w:pStyle w:val="Marginlie"/>
              <w:rPr>
                <w:spacing w:val="-4"/>
                <w:lang w:val="en-GB"/>
              </w:rPr>
            </w:pPr>
          </w:p>
        </w:tc>
        <w:tc>
          <w:tcPr>
            <w:tcW w:w="220" w:type="dxa"/>
            <w:shd w:val="clear" w:color="auto" w:fill="auto"/>
            <w:tcMar>
              <w:left w:w="0" w:type="dxa"/>
            </w:tcMar>
          </w:tcPr>
          <w:p w14:paraId="699B2E77"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566E567D" w14:textId="7026A777" w:rsidR="00D80129" w:rsidRPr="00DD6E6B" w:rsidRDefault="00D80129" w:rsidP="00D80129">
            <w:pPr>
              <w:spacing w:after="0"/>
              <w:rPr>
                <w:rFonts w:cs="Arial"/>
                <w:b/>
                <w:color w:val="0D0D0D" w:themeColor="text1" w:themeTint="F2"/>
                <w:spacing w:val="-4"/>
                <w:szCs w:val="20"/>
                <w:lang w:val="en-GB"/>
              </w:rPr>
            </w:pPr>
            <w:r w:rsidRPr="00DD6E6B">
              <w:rPr>
                <w:rFonts w:cs="Arial"/>
                <w:b/>
                <w:color w:val="0D0D0D" w:themeColor="text1" w:themeTint="F2"/>
                <w:spacing w:val="-4"/>
                <w:szCs w:val="20"/>
                <w:lang w:val="en-GB"/>
              </w:rPr>
              <w:t xml:space="preserve">Chart 15 </w:t>
            </w:r>
            <w:r w:rsidRPr="00DD6E6B">
              <w:rPr>
                <w:b/>
                <w:spacing w:val="-2"/>
                <w:lang w:val="en-GB"/>
              </w:rPr>
              <w:t>A</w:t>
            </w:r>
            <w:r w:rsidR="00DD01BD">
              <w:rPr>
                <w:b/>
                <w:spacing w:val="-2"/>
                <w:lang w:val="en-GB"/>
              </w:rPr>
              <w:t>verage nominal and real wage,</w:t>
            </w:r>
            <w:r w:rsidRPr="00DD6E6B">
              <w:rPr>
                <w:b/>
                <w:spacing w:val="-2"/>
                <w:lang w:val="en-GB"/>
              </w:rPr>
              <w:t xml:space="preserve"> wage median</w:t>
            </w:r>
            <w:r w:rsidR="00DD01BD">
              <w:rPr>
                <w:b/>
                <w:spacing w:val="-2"/>
                <w:lang w:val="en-GB"/>
              </w:rPr>
              <w:t>, labour productivity</w:t>
            </w:r>
            <w:r w:rsidRPr="00DD6E6B">
              <w:rPr>
                <w:b/>
                <w:spacing w:val="-2"/>
                <w:lang w:val="en-GB"/>
              </w:rPr>
              <w:t xml:space="preserve"> </w:t>
            </w:r>
            <w:r w:rsidRPr="00DD6E6B">
              <w:rPr>
                <w:spacing w:val="-2"/>
                <w:lang w:val="en-GB"/>
              </w:rPr>
              <w:t xml:space="preserve">(year-on-year, in %, individual half-years) </w:t>
            </w:r>
          </w:p>
        </w:tc>
      </w:tr>
      <w:tr w:rsidR="00D80129" w:rsidRPr="00DD6E6B" w14:paraId="404380F0" w14:textId="77777777" w:rsidTr="00C0259E">
        <w:tblPrEx>
          <w:tblCellMar>
            <w:left w:w="70" w:type="dxa"/>
            <w:right w:w="70" w:type="dxa"/>
          </w:tblCellMar>
        </w:tblPrEx>
        <w:trPr>
          <w:trHeight w:val="132"/>
        </w:trPr>
        <w:tc>
          <w:tcPr>
            <w:tcW w:w="1754" w:type="dxa"/>
            <w:shd w:val="clear" w:color="auto" w:fill="auto"/>
          </w:tcPr>
          <w:p w14:paraId="212942C2" w14:textId="77777777" w:rsidR="00D80129" w:rsidRPr="00DD6E6B" w:rsidRDefault="00D80129" w:rsidP="00D80129">
            <w:pPr>
              <w:pStyle w:val="Marginlie"/>
              <w:rPr>
                <w:spacing w:val="-4"/>
                <w:lang w:val="en-GB"/>
              </w:rPr>
            </w:pPr>
          </w:p>
        </w:tc>
        <w:tc>
          <w:tcPr>
            <w:tcW w:w="220" w:type="dxa"/>
            <w:shd w:val="clear" w:color="auto" w:fill="auto"/>
          </w:tcPr>
          <w:p w14:paraId="46F2E292" w14:textId="77777777" w:rsidR="00D80129" w:rsidRPr="00DD6E6B" w:rsidRDefault="00D80129" w:rsidP="00D80129">
            <w:pPr>
              <w:pStyle w:val="Textpoznpodarou"/>
              <w:jc w:val="both"/>
              <w:rPr>
                <w:spacing w:val="-4"/>
                <w:lang w:val="en-GB"/>
              </w:rPr>
            </w:pPr>
          </w:p>
        </w:tc>
        <w:tc>
          <w:tcPr>
            <w:tcW w:w="7700" w:type="dxa"/>
            <w:shd w:val="clear" w:color="auto" w:fill="auto"/>
          </w:tcPr>
          <w:p w14:paraId="6EEAC990" w14:textId="47E24438" w:rsidR="00D80129" w:rsidRPr="00DD6E6B" w:rsidRDefault="00D80129" w:rsidP="00D80129">
            <w:pPr>
              <w:spacing w:after="0" w:line="240" w:lineRule="auto"/>
              <w:rPr>
                <w:rFonts w:cs="Arial"/>
                <w:color w:val="0D0D0D" w:themeColor="text1" w:themeTint="F2"/>
                <w:spacing w:val="-4"/>
                <w:sz w:val="14"/>
                <w:szCs w:val="14"/>
                <w:lang w:val="en-GB"/>
              </w:rPr>
            </w:pPr>
            <w:r>
              <w:rPr>
                <w:noProof/>
              </w:rPr>
              <w:drawing>
                <wp:inline distT="0" distB="0" distL="0" distR="0" wp14:anchorId="4E5FFD7F" wp14:editId="4C83F246">
                  <wp:extent cx="4794389" cy="3688430"/>
                  <wp:effectExtent l="0" t="0" r="6350" b="762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D80129" w:rsidRPr="00DD6E6B" w14:paraId="7C8DF60B" w14:textId="77777777" w:rsidTr="00DA0121">
        <w:trPr>
          <w:trHeight w:val="132"/>
        </w:trPr>
        <w:tc>
          <w:tcPr>
            <w:tcW w:w="1754" w:type="dxa"/>
            <w:shd w:val="clear" w:color="auto" w:fill="auto"/>
            <w:tcMar>
              <w:left w:w="0" w:type="dxa"/>
            </w:tcMar>
          </w:tcPr>
          <w:p w14:paraId="78B6591E" w14:textId="77777777" w:rsidR="00D80129" w:rsidRPr="00DD6E6B" w:rsidRDefault="00D80129" w:rsidP="00D80129">
            <w:pPr>
              <w:pStyle w:val="Marginlie"/>
              <w:rPr>
                <w:spacing w:val="-4"/>
                <w:lang w:val="en-GB"/>
              </w:rPr>
            </w:pPr>
          </w:p>
        </w:tc>
        <w:tc>
          <w:tcPr>
            <w:tcW w:w="220" w:type="dxa"/>
            <w:shd w:val="clear" w:color="auto" w:fill="auto"/>
            <w:tcMar>
              <w:left w:w="0" w:type="dxa"/>
            </w:tcMar>
          </w:tcPr>
          <w:p w14:paraId="0685BD40"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53BA02B6" w14:textId="2135E97F" w:rsidR="00D80129" w:rsidRPr="00DD6E6B" w:rsidRDefault="00D80129" w:rsidP="00D80129">
            <w:pPr>
              <w:spacing w:after="0" w:line="240" w:lineRule="auto"/>
              <w:rPr>
                <w:rFonts w:cs="Arial"/>
                <w:color w:val="0D0D0D" w:themeColor="text1" w:themeTint="F2"/>
                <w:spacing w:val="-4"/>
                <w:sz w:val="14"/>
                <w:szCs w:val="14"/>
                <w:lang w:val="en-GB"/>
              </w:rPr>
            </w:pPr>
            <w:r w:rsidRPr="00DD6E6B">
              <w:rPr>
                <w:bCs/>
                <w:sz w:val="14"/>
                <w:szCs w:val="14"/>
                <w:lang w:val="en-GB"/>
              </w:rPr>
              <w:t>*</w:t>
            </w:r>
            <w:r w:rsidRPr="00DD6E6B">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p>
          <w:p w14:paraId="0E1CEBB6" w14:textId="77777777" w:rsidR="00D80129" w:rsidRDefault="00D80129" w:rsidP="00D80129">
            <w:pPr>
              <w:spacing w:after="0" w:line="240" w:lineRule="auto"/>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**Expresses real GDP related to 1 worker (in natural persons</w:t>
            </w:r>
            <w:r>
              <w:rPr>
                <w:rFonts w:cs="Arial"/>
                <w:color w:val="0D0D0D" w:themeColor="text1" w:themeTint="F2"/>
                <w:spacing w:val="-4"/>
                <w:sz w:val="14"/>
                <w:szCs w:val="14"/>
                <w:lang w:val="en-GB"/>
              </w:rPr>
              <w:t>)</w:t>
            </w:r>
          </w:p>
          <w:p w14:paraId="2206DE61" w14:textId="2C31E20F" w:rsidR="00D80129" w:rsidRPr="00DD6E6B" w:rsidRDefault="00D80129" w:rsidP="00D80129">
            <w:pPr>
              <w:spacing w:after="200" w:line="240" w:lineRule="auto"/>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Source: CZSO</w:t>
            </w:r>
          </w:p>
        </w:tc>
      </w:tr>
      <w:tr w:rsidR="00D80129" w:rsidRPr="00DD6E6B" w14:paraId="492BD43E" w14:textId="77777777" w:rsidTr="00DA0121">
        <w:trPr>
          <w:trHeight w:val="132"/>
        </w:trPr>
        <w:tc>
          <w:tcPr>
            <w:tcW w:w="1754" w:type="dxa"/>
            <w:shd w:val="clear" w:color="auto" w:fill="auto"/>
            <w:tcMar>
              <w:left w:w="0" w:type="dxa"/>
            </w:tcMar>
          </w:tcPr>
          <w:p w14:paraId="6D24F6C9" w14:textId="4F620DC8" w:rsidR="00D80129" w:rsidRPr="00DD6E6B" w:rsidRDefault="00D80129" w:rsidP="00D80129">
            <w:pPr>
              <w:pStyle w:val="Marginlie"/>
              <w:rPr>
                <w:lang w:val="en-GB"/>
              </w:rPr>
            </w:pPr>
            <w:r w:rsidRPr="00DD6E6B">
              <w:rPr>
                <w:lang w:val="en-GB"/>
              </w:rPr>
              <w:t xml:space="preserve">Total wage growth in branches with a significant role of the state still lagged behind the level of the whole economy. </w:t>
            </w:r>
          </w:p>
          <w:p w14:paraId="3E1C6159" w14:textId="77777777" w:rsidR="00D80129" w:rsidRPr="00DD6E6B" w:rsidRDefault="00D80129" w:rsidP="00D80129">
            <w:pPr>
              <w:pStyle w:val="Marginlie"/>
              <w:rPr>
                <w:color w:val="0D0D0D" w:themeColor="text1" w:themeTint="F2"/>
                <w:lang w:val="en-GB"/>
              </w:rPr>
            </w:pPr>
          </w:p>
        </w:tc>
        <w:tc>
          <w:tcPr>
            <w:tcW w:w="220" w:type="dxa"/>
            <w:shd w:val="clear" w:color="auto" w:fill="auto"/>
            <w:tcMar>
              <w:left w:w="0" w:type="dxa"/>
            </w:tcMar>
          </w:tcPr>
          <w:p w14:paraId="61CF7590" w14:textId="77777777" w:rsidR="00D80129" w:rsidRPr="00DD6E6B" w:rsidRDefault="00D80129" w:rsidP="00D80129">
            <w:pPr>
              <w:pStyle w:val="Textpoznpodarou"/>
              <w:jc w:val="both"/>
              <w:rPr>
                <w:rFonts w:eastAsia="Times New Roman"/>
                <w:i/>
                <w:color w:val="0D0D0D" w:themeColor="text1" w:themeTint="F2"/>
                <w:spacing w:val="-4"/>
                <w:sz w:val="16"/>
                <w:szCs w:val="16"/>
                <w:lang w:val="en-GB"/>
              </w:rPr>
            </w:pPr>
          </w:p>
        </w:tc>
        <w:tc>
          <w:tcPr>
            <w:tcW w:w="7700" w:type="dxa"/>
            <w:shd w:val="clear" w:color="auto" w:fill="auto"/>
            <w:tcMar>
              <w:left w:w="0" w:type="dxa"/>
            </w:tcMar>
          </w:tcPr>
          <w:p w14:paraId="6EDDF42B" w14:textId="386FB7A5" w:rsidR="00D80129" w:rsidRPr="00DD6E6B" w:rsidRDefault="00D80129" w:rsidP="00D80129">
            <w:pPr>
              <w:spacing w:after="0"/>
              <w:rPr>
                <w:rFonts w:cs="Arial"/>
                <w:color w:val="0D0D0D" w:themeColor="text1" w:themeTint="F2"/>
                <w:spacing w:val="-4"/>
                <w:szCs w:val="20"/>
                <w:lang w:val="en-GB"/>
              </w:rPr>
            </w:pPr>
            <w:r w:rsidRPr="00DD6E6B">
              <w:rPr>
                <w:rFonts w:cs="Arial"/>
                <w:color w:val="0D0D0D" w:themeColor="text1" w:themeTint="F2"/>
                <w:spacing w:val="-4"/>
                <w:szCs w:val="20"/>
                <w:lang w:val="en-GB"/>
              </w:rPr>
              <w:t>Wages in the branches with significant role of the state</w:t>
            </w:r>
            <w:r w:rsidRPr="00DD6E6B">
              <w:rPr>
                <w:rStyle w:val="Znakapoznpodarou"/>
                <w:color w:val="0D0D0D" w:themeColor="text1" w:themeTint="F2"/>
                <w:spacing w:val="-4"/>
                <w:szCs w:val="20"/>
                <w:lang w:val="en-GB"/>
              </w:rPr>
              <w:footnoteReference w:id="76"/>
            </w:r>
            <w:r w:rsidRPr="00DD6E6B">
              <w:rPr>
                <w:rFonts w:cs="Arial"/>
                <w:color w:val="0D0D0D" w:themeColor="text1" w:themeTint="F2"/>
                <w:spacing w:val="-4"/>
                <w:szCs w:val="20"/>
                <w:lang w:val="en-GB"/>
              </w:rPr>
              <w:t xml:space="preserve"> grew year-on-year in H1 as well as for the whole last year by a below average pace (+6.7%) and contributed thus negatively to the growth of wage in the whole economy (-0.5 p. p.). The highest level as well as the dynamics of earnings (+9.7%) was registered by the public administration (incl. defence and mandatory social security), where however the wage level was practically frozen in the previous two years. Education was in the opposite situation, when after strong wage growth in the previous period (2018 till 2021), a considerable deceleration of pace manifested (+4.3%</w:t>
            </w:r>
            <w:r w:rsidRPr="00DD6E6B">
              <w:rPr>
                <w:rStyle w:val="Znakapoznpodarou"/>
                <w:color w:val="0D0D0D" w:themeColor="text1" w:themeTint="F2"/>
                <w:spacing w:val="-4"/>
                <w:szCs w:val="20"/>
                <w:lang w:val="en-GB"/>
              </w:rPr>
              <w:footnoteReference w:id="77"/>
            </w:r>
            <w:r w:rsidRPr="00DD6E6B">
              <w:rPr>
                <w:rFonts w:cs="Arial"/>
                <w:color w:val="0D0D0D" w:themeColor="text1" w:themeTint="F2"/>
                <w:spacing w:val="-4"/>
                <w:szCs w:val="20"/>
                <w:lang w:val="en-GB"/>
              </w:rPr>
              <w:t xml:space="preserve">) this year and the half-yearly wage level has not reached even 40 CZK thousand per month. Earnings in the area of health and social care and also in the cultural, amusement and recreational activities declared higher, but still below average rates of growth this year. </w:t>
            </w:r>
          </w:p>
          <w:p w14:paraId="53ED142D" w14:textId="77777777" w:rsidR="00D80129" w:rsidRPr="00DD6E6B" w:rsidRDefault="00D80129" w:rsidP="00D80129">
            <w:pPr>
              <w:spacing w:after="0"/>
              <w:rPr>
                <w:rFonts w:cs="Arial"/>
                <w:color w:val="0D0D0D" w:themeColor="text1" w:themeTint="F2"/>
                <w:spacing w:val="-4"/>
                <w:szCs w:val="20"/>
                <w:lang w:val="en-GB"/>
              </w:rPr>
            </w:pPr>
          </w:p>
        </w:tc>
      </w:tr>
      <w:tr w:rsidR="00D80129" w:rsidRPr="00DD6E6B" w14:paraId="622134C5" w14:textId="77777777" w:rsidTr="00DA0121">
        <w:trPr>
          <w:trHeight w:val="132"/>
        </w:trPr>
        <w:tc>
          <w:tcPr>
            <w:tcW w:w="1754" w:type="dxa"/>
            <w:shd w:val="clear" w:color="auto" w:fill="auto"/>
            <w:tcMar>
              <w:left w:w="0" w:type="dxa"/>
            </w:tcMar>
          </w:tcPr>
          <w:p w14:paraId="317A3CD2" w14:textId="5F6E40DD" w:rsidR="00D80129" w:rsidRPr="00DD6E6B" w:rsidRDefault="00D80129" w:rsidP="00D80129">
            <w:pPr>
              <w:pStyle w:val="Marginlie"/>
              <w:rPr>
                <w:lang w:val="en-GB"/>
              </w:rPr>
            </w:pPr>
            <w:r w:rsidRPr="00DD6E6B">
              <w:rPr>
                <w:lang w:val="en-GB"/>
              </w:rPr>
              <w:t xml:space="preserve">Total wage differentiation slightly widened this year. </w:t>
            </w:r>
          </w:p>
        </w:tc>
        <w:tc>
          <w:tcPr>
            <w:tcW w:w="220" w:type="dxa"/>
            <w:shd w:val="clear" w:color="auto" w:fill="auto"/>
            <w:tcMar>
              <w:left w:w="0" w:type="dxa"/>
            </w:tcMar>
          </w:tcPr>
          <w:p w14:paraId="397C0627" w14:textId="77777777" w:rsidR="00D80129" w:rsidRPr="00DD6E6B" w:rsidRDefault="00D80129" w:rsidP="00D80129">
            <w:pPr>
              <w:pStyle w:val="Textpoznpodarou"/>
              <w:jc w:val="both"/>
              <w:rPr>
                <w:rFonts w:eastAsia="Times New Roman"/>
                <w:i/>
                <w:spacing w:val="-4"/>
                <w:sz w:val="16"/>
                <w:szCs w:val="16"/>
                <w:lang w:val="en-GB"/>
              </w:rPr>
            </w:pPr>
          </w:p>
        </w:tc>
        <w:tc>
          <w:tcPr>
            <w:tcW w:w="7700" w:type="dxa"/>
            <w:shd w:val="clear" w:color="auto" w:fill="auto"/>
            <w:tcMar>
              <w:left w:w="0" w:type="dxa"/>
            </w:tcMar>
          </w:tcPr>
          <w:p w14:paraId="6604D30B" w14:textId="2BFB1942" w:rsidR="00D80129" w:rsidRPr="00DD6E6B" w:rsidRDefault="00D80129" w:rsidP="00D80129">
            <w:pPr>
              <w:spacing w:after="0"/>
              <w:rPr>
                <w:rFonts w:cs="Arial"/>
                <w:color w:val="0D0D0D" w:themeColor="text1" w:themeTint="F2"/>
                <w:spacing w:val="-4"/>
                <w:szCs w:val="20"/>
                <w:lang w:val="en-GB"/>
              </w:rPr>
            </w:pPr>
            <w:r w:rsidRPr="00DD6E6B">
              <w:rPr>
                <w:rFonts w:cs="Arial"/>
                <w:color w:val="0D0D0D" w:themeColor="text1" w:themeTint="F2"/>
                <w:spacing w:val="-4"/>
                <w:szCs w:val="20"/>
                <w:lang w:val="en-GB"/>
              </w:rPr>
              <w:t>Wage median went up by 7.8% in the whole economy year-on-year in Q2 2023. Median of wages of males thus arrived at 39.8 CZK thousand per month, for females it reached 33.9 CZK thousand. If the earnings of males grew in percentage faster in Q1 2023 (similarly to the whole last year), the situation reversed in the subsequent quarter.</w:t>
            </w:r>
            <w:r w:rsidRPr="00DD6E6B">
              <w:rPr>
                <w:rFonts w:cs="Arial"/>
                <w:color w:val="0D0D0D" w:themeColor="text1" w:themeTint="F2"/>
                <w:spacing w:val="-2"/>
                <w:szCs w:val="20"/>
                <w:lang w:val="en-GB"/>
              </w:rPr>
              <w:t xml:space="preserve"> Gap of the median </w:t>
            </w:r>
            <w:r w:rsidRPr="00DD6E6B">
              <w:rPr>
                <w:rFonts w:cs="Arial"/>
                <w:color w:val="0D0D0D" w:themeColor="text1" w:themeTint="F2"/>
                <w:spacing w:val="-2"/>
                <w:szCs w:val="20"/>
                <w:lang w:val="en-GB"/>
              </w:rPr>
              <w:lastRenderedPageBreak/>
              <w:t xml:space="preserve">wages between both genders attained even 15% in Q2. Total wage differentiations slightly increased year-on-year. As the value of the highest wage decile grew faster than the bottom decile in both this year’s quarters. The wage median of highly qualified workers strengthened thanks to swift growth of earnings of chief and management workers (+8.3% year-on-year in H1), at the same time it was however subdued by weaker dynamics of the wages of specialists (+5.3%), which was to a larger extent affected by more moderate growth of earnings in the budgetary sphere.  </w:t>
            </w:r>
          </w:p>
        </w:tc>
      </w:tr>
    </w:tbl>
    <w:p w14:paraId="10A058C7" w14:textId="77777777" w:rsidR="001C5FF5" w:rsidRDefault="001C5FF5" w:rsidP="001C5FF5">
      <w:pPr>
        <w:pStyle w:val="Nadpis11"/>
        <w:spacing w:after="120"/>
        <w:rPr>
          <w:b w:val="0"/>
          <w:sz w:val="2"/>
          <w:szCs w:val="2"/>
          <w:lang w:val="en-GB"/>
        </w:rPr>
      </w:pPr>
    </w:p>
    <w:p w14:paraId="60997BD7" w14:textId="77777777" w:rsidR="001C5FF5" w:rsidRDefault="001C5FF5">
      <w:pPr>
        <w:spacing w:after="0" w:line="240" w:lineRule="auto"/>
        <w:jc w:val="left"/>
        <w:rPr>
          <w:rFonts w:eastAsia="MS Gothic"/>
          <w:bCs/>
          <w:color w:val="71818C"/>
          <w:sz w:val="2"/>
          <w:szCs w:val="2"/>
          <w:lang w:val="en-GB"/>
        </w:rPr>
      </w:pPr>
      <w:r>
        <w:rPr>
          <w:b/>
          <w:sz w:val="2"/>
          <w:szCs w:val="2"/>
          <w:lang w:val="en-GB"/>
        </w:rPr>
        <w:br w:type="page"/>
      </w:r>
    </w:p>
    <w:p w14:paraId="54884D28" w14:textId="727A8050" w:rsidR="00C6020C" w:rsidRPr="001C5FF5" w:rsidRDefault="00A14F4D" w:rsidP="00865ED4">
      <w:pPr>
        <w:pStyle w:val="Nadpis11"/>
        <w:rPr>
          <w:lang w:val="en-GB"/>
        </w:rPr>
      </w:pPr>
      <w:bookmarkStart w:id="36" w:name="_Toc148437390"/>
      <w:r w:rsidRPr="00DD6E6B">
        <w:rPr>
          <w:b w:val="0"/>
          <w:sz w:val="2"/>
          <w:szCs w:val="2"/>
          <w:lang w:val="en-GB"/>
        </w:rPr>
        <w:lastRenderedPageBreak/>
        <w:t>\</w:t>
      </w:r>
      <w:r w:rsidR="00C6020C" w:rsidRPr="00DD6E6B">
        <w:rPr>
          <w:lang w:val="en-GB"/>
        </w:rPr>
        <w:t>7. </w:t>
      </w:r>
      <w:bookmarkStart w:id="37" w:name="_GoBack"/>
      <w:bookmarkEnd w:id="37"/>
      <w:r w:rsidR="00C6020C" w:rsidRPr="00DD6E6B">
        <w:rPr>
          <w:lang w:val="en-GB"/>
        </w:rPr>
        <w:t>M</w:t>
      </w:r>
      <w:r w:rsidR="00FA6DD8" w:rsidRPr="00DD6E6B">
        <w:rPr>
          <w:lang w:val="en-GB"/>
        </w:rPr>
        <w:t>onetary Conditions</w:t>
      </w:r>
      <w:bookmarkEnd w:id="36"/>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C6020C" w:rsidRPr="00DD6E6B" w14:paraId="741B6399" w14:textId="77777777" w:rsidTr="006849F8">
        <w:trPr>
          <w:trHeight w:val="145"/>
        </w:trPr>
        <w:tc>
          <w:tcPr>
            <w:tcW w:w="1802" w:type="dxa"/>
          </w:tcPr>
          <w:p w14:paraId="0C04DAAA" w14:textId="0B5CA5F8" w:rsidR="00C6020C" w:rsidRPr="00DD6E6B" w:rsidRDefault="00C6020C" w:rsidP="006849F8">
            <w:pPr>
              <w:pStyle w:val="Marginlie"/>
              <w:rPr>
                <w:lang w:val="en-GB" w:eastAsia="en-US"/>
              </w:rPr>
            </w:pPr>
            <w:r w:rsidRPr="00DD6E6B">
              <w:rPr>
                <w:lang w:val="en-GB" w:eastAsia="en-US"/>
              </w:rPr>
              <w:t>K</w:t>
            </w:r>
            <w:r w:rsidR="009D5CAD" w:rsidRPr="00DD6E6B">
              <w:rPr>
                <w:lang w:val="en-GB" w:eastAsia="en-US"/>
              </w:rPr>
              <w:t>oruna foreign exchange per both dollar and euro was appreciating in Q</w:t>
            </w:r>
            <w:r w:rsidRPr="00DD6E6B">
              <w:rPr>
                <w:lang w:val="en-GB" w:eastAsia="en-US"/>
              </w:rPr>
              <w:t>2.</w:t>
            </w:r>
          </w:p>
        </w:tc>
        <w:tc>
          <w:tcPr>
            <w:tcW w:w="229" w:type="dxa"/>
          </w:tcPr>
          <w:p w14:paraId="31456B26" w14:textId="77777777" w:rsidR="00C6020C" w:rsidRPr="00DD6E6B" w:rsidRDefault="00C6020C" w:rsidP="006849F8">
            <w:pPr>
              <w:pStyle w:val="Textpoznpodarou"/>
              <w:jc w:val="both"/>
              <w:rPr>
                <w:spacing w:val="-4"/>
                <w:lang w:val="en-GB" w:eastAsia="en-US"/>
              </w:rPr>
            </w:pPr>
          </w:p>
        </w:tc>
        <w:tc>
          <w:tcPr>
            <w:tcW w:w="7610" w:type="dxa"/>
          </w:tcPr>
          <w:p w14:paraId="4F2C5DE8" w14:textId="4D620CA3" w:rsidR="00C6020C" w:rsidRPr="00DD6E6B" w:rsidRDefault="009D5CAD" w:rsidP="006849F8">
            <w:pPr>
              <w:rPr>
                <w:spacing w:val="-2"/>
                <w:lang w:val="en-GB" w:eastAsia="en-US"/>
              </w:rPr>
            </w:pPr>
            <w:r w:rsidRPr="00DD6E6B">
              <w:rPr>
                <w:spacing w:val="-2"/>
                <w:lang w:val="en-GB" w:eastAsia="en-US"/>
              </w:rPr>
              <w:t xml:space="preserve">The set up of the monetary policy-relevant rates remained at </w:t>
            </w:r>
            <w:r w:rsidR="001915BE" w:rsidRPr="00DD6E6B">
              <w:rPr>
                <w:spacing w:val="-2"/>
                <w:lang w:val="en-GB" w:eastAsia="en-US"/>
              </w:rPr>
              <w:t>constant level in Q</w:t>
            </w:r>
            <w:r w:rsidR="00C6020C" w:rsidRPr="00DD6E6B">
              <w:rPr>
                <w:spacing w:val="-2"/>
                <w:lang w:val="en-GB" w:eastAsia="en-US"/>
              </w:rPr>
              <w:t>2.</w:t>
            </w:r>
            <w:r w:rsidR="001915BE" w:rsidRPr="00DD6E6B">
              <w:rPr>
                <w:spacing w:val="-2"/>
                <w:lang w:val="en-GB" w:eastAsia="en-US"/>
              </w:rPr>
              <w:t xml:space="preserve"> Two-week repo rate thus </w:t>
            </w:r>
            <w:r w:rsidR="00401441" w:rsidRPr="00DD6E6B">
              <w:rPr>
                <w:spacing w:val="-2"/>
                <w:lang w:val="en-GB" w:eastAsia="en-US"/>
              </w:rPr>
              <w:t xml:space="preserve">reached </w:t>
            </w:r>
            <w:r w:rsidR="00C6020C" w:rsidRPr="00DD6E6B">
              <w:rPr>
                <w:spacing w:val="-2"/>
                <w:lang w:val="en-GB" w:eastAsia="en-US"/>
              </w:rPr>
              <w:t>7</w:t>
            </w:r>
            <w:r w:rsidR="00401441" w:rsidRPr="00DD6E6B">
              <w:rPr>
                <w:spacing w:val="-2"/>
                <w:lang w:val="en-GB" w:eastAsia="en-US"/>
              </w:rPr>
              <w:t>.</w:t>
            </w:r>
            <w:r w:rsidR="00062C40">
              <w:rPr>
                <w:spacing w:val="-2"/>
                <w:lang w:val="en-GB" w:eastAsia="en-US"/>
              </w:rPr>
              <w:t>00</w:t>
            </w:r>
            <w:r w:rsidR="00C6020C" w:rsidRPr="00DD6E6B">
              <w:rPr>
                <w:spacing w:val="-2"/>
                <w:lang w:val="en-GB" w:eastAsia="en-US"/>
              </w:rPr>
              <w:t>%</w:t>
            </w:r>
            <w:r w:rsidR="00C6020C" w:rsidRPr="00DD6E6B">
              <w:rPr>
                <w:rStyle w:val="Znakapoznpodarou"/>
                <w:spacing w:val="-2"/>
                <w:lang w:val="en-GB" w:eastAsia="en-US"/>
              </w:rPr>
              <w:footnoteReference w:id="78"/>
            </w:r>
            <w:r w:rsidR="00401441" w:rsidRPr="00DD6E6B">
              <w:rPr>
                <w:spacing w:val="-2"/>
                <w:lang w:val="en-GB" w:eastAsia="en-US"/>
              </w:rPr>
              <w:t xml:space="preserve"> already for one year</w:t>
            </w:r>
            <w:r w:rsidR="00C6020C" w:rsidRPr="00DD6E6B">
              <w:rPr>
                <w:spacing w:val="-2"/>
                <w:lang w:val="en-GB" w:eastAsia="en-US"/>
              </w:rPr>
              <w:t>,</w:t>
            </w:r>
            <w:r w:rsidR="00401441" w:rsidRPr="00DD6E6B">
              <w:rPr>
                <w:spacing w:val="-2"/>
                <w:lang w:val="en-GB" w:eastAsia="en-US"/>
              </w:rPr>
              <w:t xml:space="preserve"> the discount rate kept being set at </w:t>
            </w:r>
            <w:r w:rsidR="00C6020C" w:rsidRPr="00DD6E6B">
              <w:rPr>
                <w:spacing w:val="-2"/>
                <w:lang w:val="en-GB" w:eastAsia="en-US"/>
              </w:rPr>
              <w:t>6</w:t>
            </w:r>
            <w:r w:rsidR="00401441" w:rsidRPr="00DD6E6B">
              <w:rPr>
                <w:spacing w:val="-2"/>
                <w:lang w:val="en-GB" w:eastAsia="en-US"/>
              </w:rPr>
              <w:t>.</w:t>
            </w:r>
            <w:r w:rsidR="00C6020C" w:rsidRPr="00DD6E6B">
              <w:rPr>
                <w:spacing w:val="-2"/>
                <w:lang w:val="en-GB" w:eastAsia="en-US"/>
              </w:rPr>
              <w:t>00% a</w:t>
            </w:r>
            <w:r w:rsidR="00401441" w:rsidRPr="00DD6E6B">
              <w:rPr>
                <w:spacing w:val="-2"/>
                <w:lang w:val="en-GB" w:eastAsia="en-US"/>
              </w:rPr>
              <w:t xml:space="preserve">nd the Lombard rate at </w:t>
            </w:r>
            <w:r w:rsidR="00C6020C" w:rsidRPr="00DD6E6B">
              <w:rPr>
                <w:spacing w:val="-2"/>
                <w:lang w:val="en-GB" w:eastAsia="en-US"/>
              </w:rPr>
              <w:t>8</w:t>
            </w:r>
            <w:r w:rsidR="00401441" w:rsidRPr="00DD6E6B">
              <w:rPr>
                <w:spacing w:val="-2"/>
                <w:lang w:val="en-GB" w:eastAsia="en-US"/>
              </w:rPr>
              <w:t>.</w:t>
            </w:r>
            <w:r w:rsidR="00C6020C" w:rsidRPr="00DD6E6B">
              <w:rPr>
                <w:spacing w:val="-2"/>
                <w:lang w:val="en-GB" w:eastAsia="en-US"/>
              </w:rPr>
              <w:t>00%. K</w:t>
            </w:r>
            <w:r w:rsidR="00401441" w:rsidRPr="00DD6E6B">
              <w:rPr>
                <w:spacing w:val="-2"/>
                <w:lang w:val="en-GB" w:eastAsia="en-US"/>
              </w:rPr>
              <w:t>oruna foreign exchange per euro fluctuated during Q</w:t>
            </w:r>
            <w:r w:rsidR="00C6020C" w:rsidRPr="00DD6E6B">
              <w:rPr>
                <w:spacing w:val="-2"/>
                <w:lang w:val="en-GB" w:eastAsia="en-US"/>
              </w:rPr>
              <w:t>2. </w:t>
            </w:r>
            <w:r w:rsidR="006133DA" w:rsidRPr="00DD6E6B">
              <w:rPr>
                <w:spacing w:val="-2"/>
                <w:lang w:val="en-GB" w:eastAsia="en-US"/>
              </w:rPr>
              <w:t xml:space="preserve">Koruna started at the level of </w:t>
            </w:r>
            <w:r w:rsidR="00C6020C" w:rsidRPr="00DD6E6B">
              <w:rPr>
                <w:spacing w:val="-2"/>
                <w:lang w:val="en-GB" w:eastAsia="en-US"/>
              </w:rPr>
              <w:t>23</w:t>
            </w:r>
            <w:r w:rsidR="006133DA" w:rsidRPr="00DD6E6B">
              <w:rPr>
                <w:spacing w:val="-2"/>
                <w:lang w:val="en-GB" w:eastAsia="en-US"/>
              </w:rPr>
              <w:t>.</w:t>
            </w:r>
            <w:r w:rsidR="00C6020C" w:rsidRPr="00DD6E6B">
              <w:rPr>
                <w:spacing w:val="-2"/>
                <w:lang w:val="en-GB" w:eastAsia="en-US"/>
              </w:rPr>
              <w:t>43 CZK/EUR</w:t>
            </w:r>
            <w:r w:rsidR="006133DA" w:rsidRPr="00DD6E6B">
              <w:rPr>
                <w:spacing w:val="-2"/>
                <w:lang w:val="en-GB" w:eastAsia="en-US"/>
              </w:rPr>
              <w:t xml:space="preserve"> at the beginning of March</w:t>
            </w:r>
            <w:r w:rsidR="00C6020C" w:rsidRPr="00DD6E6B">
              <w:rPr>
                <w:spacing w:val="-2"/>
                <w:lang w:val="en-GB" w:eastAsia="en-US"/>
              </w:rPr>
              <w:t xml:space="preserve">, </w:t>
            </w:r>
            <w:r w:rsidR="006133DA" w:rsidRPr="00DD6E6B">
              <w:rPr>
                <w:spacing w:val="-2"/>
                <w:lang w:val="en-GB" w:eastAsia="en-US"/>
              </w:rPr>
              <w:t xml:space="preserve">but it depreciated as far as </w:t>
            </w:r>
            <w:r w:rsidR="00C6020C" w:rsidRPr="00DD6E6B">
              <w:rPr>
                <w:spacing w:val="-2"/>
                <w:lang w:val="en-GB" w:eastAsia="en-US"/>
              </w:rPr>
              <w:t>24</w:t>
            </w:r>
            <w:r w:rsidR="006133DA" w:rsidRPr="00DD6E6B">
              <w:rPr>
                <w:spacing w:val="-2"/>
                <w:lang w:val="en-GB" w:eastAsia="en-US"/>
              </w:rPr>
              <w:t>.</w:t>
            </w:r>
            <w:r w:rsidR="00C6020C" w:rsidRPr="00DD6E6B">
              <w:rPr>
                <w:spacing w:val="-2"/>
                <w:lang w:val="en-GB" w:eastAsia="en-US"/>
              </w:rPr>
              <w:t>02 CZK/EUR</w:t>
            </w:r>
            <w:r w:rsidR="006133DA" w:rsidRPr="00DD6E6B">
              <w:rPr>
                <w:spacing w:val="-2"/>
                <w:lang w:val="en-GB" w:eastAsia="en-US"/>
              </w:rPr>
              <w:t xml:space="preserve"> by the half of the month</w:t>
            </w:r>
            <w:r w:rsidR="00C6020C" w:rsidRPr="00DD6E6B">
              <w:rPr>
                <w:spacing w:val="-2"/>
                <w:lang w:val="en-GB" w:eastAsia="en-US"/>
              </w:rPr>
              <w:t xml:space="preserve">. </w:t>
            </w:r>
            <w:r w:rsidR="006133DA" w:rsidRPr="00DD6E6B">
              <w:rPr>
                <w:spacing w:val="-2"/>
                <w:lang w:val="en-GB" w:eastAsia="en-US"/>
              </w:rPr>
              <w:t xml:space="preserve">Koruna was then again appreciated until half of April </w:t>
            </w:r>
            <w:r w:rsidR="00C6020C" w:rsidRPr="00DD6E6B">
              <w:rPr>
                <w:spacing w:val="-2"/>
                <w:lang w:val="en-GB" w:eastAsia="en-US"/>
              </w:rPr>
              <w:t>(</w:t>
            </w:r>
            <w:r w:rsidR="006133DA" w:rsidRPr="00DD6E6B">
              <w:rPr>
                <w:spacing w:val="-2"/>
                <w:lang w:val="en-GB" w:eastAsia="en-US"/>
              </w:rPr>
              <w:t xml:space="preserve">as far as </w:t>
            </w:r>
            <w:r w:rsidR="00C6020C" w:rsidRPr="00DD6E6B">
              <w:rPr>
                <w:spacing w:val="-2"/>
                <w:lang w:val="en-GB" w:eastAsia="en-US"/>
              </w:rPr>
              <w:t>23</w:t>
            </w:r>
            <w:r w:rsidR="006133DA" w:rsidRPr="00DD6E6B">
              <w:rPr>
                <w:spacing w:val="-2"/>
                <w:lang w:val="en-GB" w:eastAsia="en-US"/>
              </w:rPr>
              <w:t>.</w:t>
            </w:r>
            <w:r w:rsidR="00C6020C" w:rsidRPr="00DD6E6B">
              <w:rPr>
                <w:spacing w:val="-2"/>
                <w:lang w:val="en-GB" w:eastAsia="en-US"/>
              </w:rPr>
              <w:t xml:space="preserve">28 CZK/EUR), </w:t>
            </w:r>
            <w:r w:rsidR="006133DA" w:rsidRPr="00DD6E6B">
              <w:rPr>
                <w:spacing w:val="-2"/>
                <w:lang w:val="en-GB" w:eastAsia="en-US"/>
              </w:rPr>
              <w:t xml:space="preserve">but then the rate had slightly depreciating trend until the end of June </w:t>
            </w:r>
            <w:r w:rsidR="00C6020C" w:rsidRPr="00DD6E6B">
              <w:rPr>
                <w:spacing w:val="-2"/>
                <w:lang w:val="en-GB" w:eastAsia="en-US"/>
              </w:rPr>
              <w:t>(</w:t>
            </w:r>
            <w:r w:rsidR="006133DA" w:rsidRPr="00DD6E6B">
              <w:rPr>
                <w:spacing w:val="-2"/>
                <w:lang w:val="en-GB" w:eastAsia="en-US"/>
              </w:rPr>
              <w:t xml:space="preserve">the rate was </w:t>
            </w:r>
            <w:r w:rsidR="00C6020C" w:rsidRPr="00DD6E6B">
              <w:rPr>
                <w:spacing w:val="-2"/>
                <w:lang w:val="en-GB" w:eastAsia="en-US"/>
              </w:rPr>
              <w:t>23</w:t>
            </w:r>
            <w:r w:rsidR="006133DA" w:rsidRPr="00DD6E6B">
              <w:rPr>
                <w:spacing w:val="-2"/>
                <w:lang w:val="en-GB" w:eastAsia="en-US"/>
              </w:rPr>
              <w:t>.</w:t>
            </w:r>
            <w:r w:rsidR="00C6020C" w:rsidRPr="00DD6E6B">
              <w:rPr>
                <w:spacing w:val="-2"/>
                <w:lang w:val="en-GB" w:eastAsia="en-US"/>
              </w:rPr>
              <w:t>73 CZK/EUR</w:t>
            </w:r>
            <w:r w:rsidR="006133DA" w:rsidRPr="00DD6E6B">
              <w:rPr>
                <w:spacing w:val="-2"/>
                <w:lang w:val="en-GB" w:eastAsia="en-US"/>
              </w:rPr>
              <w:t xml:space="preserve"> as of 30.6.</w:t>
            </w:r>
            <w:r w:rsidR="00C6020C" w:rsidRPr="00DD6E6B">
              <w:rPr>
                <w:spacing w:val="-2"/>
                <w:lang w:val="en-GB" w:eastAsia="en-US"/>
              </w:rPr>
              <w:t>).</w:t>
            </w:r>
            <w:r w:rsidR="006133DA" w:rsidRPr="00DD6E6B">
              <w:rPr>
                <w:spacing w:val="-2"/>
                <w:lang w:val="en-GB" w:eastAsia="en-US"/>
              </w:rPr>
              <w:t xml:space="preserve"> The total average </w:t>
            </w:r>
            <w:r w:rsidR="00211207" w:rsidRPr="00DD6E6B">
              <w:rPr>
                <w:spacing w:val="-2"/>
                <w:lang w:val="en-GB" w:eastAsia="en-US"/>
              </w:rPr>
              <w:t xml:space="preserve">per quarter attained the value of </w:t>
            </w:r>
            <w:r w:rsidR="00C6020C" w:rsidRPr="00DD6E6B">
              <w:rPr>
                <w:spacing w:val="-2"/>
                <w:lang w:val="en-GB" w:eastAsia="en-US"/>
              </w:rPr>
              <w:t>23</w:t>
            </w:r>
            <w:r w:rsidR="00211207" w:rsidRPr="00DD6E6B">
              <w:rPr>
                <w:spacing w:val="-2"/>
                <w:lang w:val="en-GB" w:eastAsia="en-US"/>
              </w:rPr>
              <w:t>.</w:t>
            </w:r>
            <w:r w:rsidR="00C6020C" w:rsidRPr="00DD6E6B">
              <w:rPr>
                <w:spacing w:val="-2"/>
                <w:lang w:val="en-GB" w:eastAsia="en-US"/>
              </w:rPr>
              <w:t xml:space="preserve">59 CZK/EUR, </w:t>
            </w:r>
            <w:r w:rsidR="00211207" w:rsidRPr="00DD6E6B">
              <w:rPr>
                <w:spacing w:val="-2"/>
                <w:lang w:val="en-GB" w:eastAsia="en-US"/>
              </w:rPr>
              <w:t xml:space="preserve">which </w:t>
            </w:r>
            <w:r w:rsidR="00364967" w:rsidRPr="00DD6E6B">
              <w:rPr>
                <w:spacing w:val="-2"/>
                <w:lang w:val="en-GB" w:eastAsia="en-US"/>
              </w:rPr>
              <w:t xml:space="preserve">represented relatively notable year-on-year appreciation </w:t>
            </w:r>
            <w:r w:rsidR="00C6020C" w:rsidRPr="00DD6E6B">
              <w:rPr>
                <w:spacing w:val="-2"/>
                <w:lang w:val="en-GB" w:eastAsia="en-US"/>
              </w:rPr>
              <w:t>(</w:t>
            </w:r>
            <w:r w:rsidR="00364967" w:rsidRPr="00DD6E6B">
              <w:rPr>
                <w:spacing w:val="-2"/>
                <w:lang w:val="en-GB" w:eastAsia="en-US"/>
              </w:rPr>
              <w:t>by more than 1 koruna</w:t>
            </w:r>
            <w:r w:rsidR="00C6020C" w:rsidRPr="00DD6E6B">
              <w:rPr>
                <w:spacing w:val="-2"/>
                <w:lang w:val="en-GB" w:eastAsia="en-US"/>
              </w:rPr>
              <w:t>, 4</w:t>
            </w:r>
            <w:r w:rsidR="00364967" w:rsidRPr="00DD6E6B">
              <w:rPr>
                <w:spacing w:val="-2"/>
                <w:lang w:val="en-GB" w:eastAsia="en-US"/>
              </w:rPr>
              <w:t>.</w:t>
            </w:r>
            <w:r w:rsidR="00C6020C" w:rsidRPr="00DD6E6B">
              <w:rPr>
                <w:spacing w:val="-2"/>
                <w:lang w:val="en-GB" w:eastAsia="en-US"/>
              </w:rPr>
              <w:t>3%) a</w:t>
            </w:r>
            <w:r w:rsidR="00364967" w:rsidRPr="00DD6E6B">
              <w:rPr>
                <w:spacing w:val="-2"/>
                <w:lang w:val="en-GB" w:eastAsia="en-US"/>
              </w:rPr>
              <w:t>nd the rate was by 0.8% stronger even quarter-on-quarter</w:t>
            </w:r>
            <w:r w:rsidR="00C6020C" w:rsidRPr="00DD6E6B">
              <w:rPr>
                <w:spacing w:val="-2"/>
                <w:lang w:val="en-GB" w:eastAsia="en-US"/>
              </w:rPr>
              <w:t>.</w:t>
            </w:r>
            <w:r w:rsidR="00364967" w:rsidRPr="00DD6E6B">
              <w:rPr>
                <w:spacing w:val="-2"/>
                <w:lang w:val="en-GB" w:eastAsia="en-US"/>
              </w:rPr>
              <w:t xml:space="preserve"> Koruna foreign exchange per dollar </w:t>
            </w:r>
            <w:r w:rsidR="00545A09" w:rsidRPr="00DD6E6B">
              <w:rPr>
                <w:spacing w:val="-2"/>
                <w:lang w:val="en-GB" w:eastAsia="en-US"/>
              </w:rPr>
              <w:t>oscillated in wider band from 22.</w:t>
            </w:r>
            <w:r w:rsidR="00C6020C" w:rsidRPr="00DD6E6B">
              <w:rPr>
                <w:spacing w:val="-2"/>
                <w:lang w:val="en-GB" w:eastAsia="en-US"/>
              </w:rPr>
              <w:t xml:space="preserve">66 CZK/USD </w:t>
            </w:r>
            <w:r w:rsidR="00545A09" w:rsidRPr="00DD6E6B">
              <w:rPr>
                <w:spacing w:val="-2"/>
                <w:lang w:val="en-GB" w:eastAsia="en-US"/>
              </w:rPr>
              <w:t>till the strongest levels close above 21 CZK during the quarter</w:t>
            </w:r>
            <w:r w:rsidR="00C6020C" w:rsidRPr="00DD6E6B">
              <w:rPr>
                <w:spacing w:val="-2"/>
                <w:lang w:val="en-GB" w:eastAsia="en-US"/>
              </w:rPr>
              <w:t>.</w:t>
            </w:r>
            <w:r w:rsidR="00545A09" w:rsidRPr="00DD6E6B">
              <w:rPr>
                <w:spacing w:val="-2"/>
                <w:lang w:val="en-GB" w:eastAsia="en-US"/>
              </w:rPr>
              <w:t xml:space="preserve"> The rate reached on average </w:t>
            </w:r>
            <w:r w:rsidR="00C6020C" w:rsidRPr="00DD6E6B">
              <w:rPr>
                <w:spacing w:val="-2"/>
                <w:lang w:val="en-GB" w:eastAsia="en-US"/>
              </w:rPr>
              <w:t>21</w:t>
            </w:r>
            <w:r w:rsidR="00545A09" w:rsidRPr="00DD6E6B">
              <w:rPr>
                <w:spacing w:val="-2"/>
                <w:lang w:val="en-GB" w:eastAsia="en-US"/>
              </w:rPr>
              <w:t>.</w:t>
            </w:r>
            <w:r w:rsidR="00C6020C" w:rsidRPr="00DD6E6B">
              <w:rPr>
                <w:spacing w:val="-2"/>
                <w:lang w:val="en-GB" w:eastAsia="en-US"/>
              </w:rPr>
              <w:t>67</w:t>
            </w:r>
            <w:r w:rsidR="00545A09" w:rsidRPr="00DD6E6B">
              <w:rPr>
                <w:spacing w:val="-2"/>
                <w:lang w:val="en-GB" w:eastAsia="en-US"/>
              </w:rPr>
              <w:t xml:space="preserve"> </w:t>
            </w:r>
            <w:r w:rsidR="00C6020C" w:rsidRPr="00DD6E6B">
              <w:rPr>
                <w:spacing w:val="-2"/>
                <w:lang w:val="en-GB" w:eastAsia="en-US"/>
              </w:rPr>
              <w:t xml:space="preserve">CZK/USD, </w:t>
            </w:r>
            <w:r w:rsidR="004F664A" w:rsidRPr="00DD6E6B">
              <w:rPr>
                <w:spacing w:val="-2"/>
                <w:lang w:val="en-GB" w:eastAsia="en-US"/>
              </w:rPr>
              <w:t xml:space="preserve">thus it appreciated by </w:t>
            </w:r>
            <w:r w:rsidR="00C6020C" w:rsidRPr="00DD6E6B">
              <w:rPr>
                <w:spacing w:val="-2"/>
                <w:lang w:val="en-GB" w:eastAsia="en-US"/>
              </w:rPr>
              <w:t>6</w:t>
            </w:r>
            <w:r w:rsidR="004F664A" w:rsidRPr="00DD6E6B">
              <w:rPr>
                <w:spacing w:val="-2"/>
                <w:lang w:val="en-GB" w:eastAsia="en-US"/>
              </w:rPr>
              <w:t>.</w:t>
            </w:r>
            <w:r w:rsidR="00C6020C" w:rsidRPr="00DD6E6B">
              <w:rPr>
                <w:spacing w:val="-2"/>
                <w:lang w:val="en-GB" w:eastAsia="en-US"/>
              </w:rPr>
              <w:t>4%</w:t>
            </w:r>
            <w:r w:rsidR="004F664A" w:rsidRPr="00DD6E6B">
              <w:rPr>
                <w:spacing w:val="-2"/>
                <w:lang w:val="en-GB" w:eastAsia="en-US"/>
              </w:rPr>
              <w:t xml:space="preserve"> year-on-year and by </w:t>
            </w:r>
            <w:r w:rsidR="00C6020C" w:rsidRPr="00DD6E6B">
              <w:rPr>
                <w:spacing w:val="-2"/>
                <w:lang w:val="en-GB" w:eastAsia="en-US"/>
              </w:rPr>
              <w:t>2</w:t>
            </w:r>
            <w:r w:rsidR="004F664A" w:rsidRPr="00DD6E6B">
              <w:rPr>
                <w:spacing w:val="-2"/>
                <w:lang w:val="en-GB" w:eastAsia="en-US"/>
              </w:rPr>
              <w:t>.</w:t>
            </w:r>
            <w:r w:rsidR="00C6020C" w:rsidRPr="00DD6E6B">
              <w:rPr>
                <w:spacing w:val="-2"/>
                <w:lang w:val="en-GB" w:eastAsia="en-US"/>
              </w:rPr>
              <w:t>2%</w:t>
            </w:r>
            <w:r w:rsidR="004F664A" w:rsidRPr="00DD6E6B">
              <w:rPr>
                <w:spacing w:val="-2"/>
                <w:lang w:val="en-GB" w:eastAsia="en-US"/>
              </w:rPr>
              <w:t xml:space="preserve"> quarter-on-quarter</w:t>
            </w:r>
            <w:r w:rsidR="00C6020C" w:rsidRPr="00DD6E6B">
              <w:rPr>
                <w:spacing w:val="-2"/>
                <w:lang w:val="en-GB" w:eastAsia="en-US"/>
              </w:rPr>
              <w:t xml:space="preserve">. </w:t>
            </w:r>
            <w:r w:rsidR="006133DA" w:rsidRPr="00DD6E6B">
              <w:rPr>
                <w:spacing w:val="-2"/>
                <w:lang w:val="en-GB" w:eastAsia="en-US"/>
              </w:rPr>
              <w:t xml:space="preserve">Development of the koruna foreign exchange per both euro and dollar had anti-inflationary effect in the prices of the foreign trade. </w:t>
            </w:r>
          </w:p>
        </w:tc>
      </w:tr>
      <w:tr w:rsidR="00C6020C" w:rsidRPr="00DD6E6B" w14:paraId="034FD78F" w14:textId="77777777" w:rsidTr="006849F8">
        <w:trPr>
          <w:trHeight w:val="145"/>
        </w:trPr>
        <w:tc>
          <w:tcPr>
            <w:tcW w:w="1802" w:type="dxa"/>
          </w:tcPr>
          <w:p w14:paraId="59C8C803" w14:textId="44F053F7" w:rsidR="00C6020C" w:rsidRPr="00DD6E6B" w:rsidRDefault="00AD3FE3" w:rsidP="006849F8">
            <w:pPr>
              <w:pStyle w:val="Marginlie"/>
              <w:rPr>
                <w:lang w:val="en-GB" w:eastAsia="en-US"/>
              </w:rPr>
            </w:pPr>
            <w:r w:rsidRPr="00DD6E6B">
              <w:rPr>
                <w:lang w:val="en-GB" w:eastAsia="en-US"/>
              </w:rPr>
              <w:t xml:space="preserve">Yields of government bonds with medium term and long term maturity were falling. </w:t>
            </w:r>
          </w:p>
        </w:tc>
        <w:tc>
          <w:tcPr>
            <w:tcW w:w="229" w:type="dxa"/>
          </w:tcPr>
          <w:p w14:paraId="06ADF66E" w14:textId="77777777" w:rsidR="00C6020C" w:rsidRPr="00DD6E6B" w:rsidRDefault="00C6020C" w:rsidP="006849F8">
            <w:pPr>
              <w:pStyle w:val="Textpoznpodarou"/>
              <w:jc w:val="both"/>
              <w:rPr>
                <w:spacing w:val="-4"/>
                <w:lang w:val="en-GB" w:eastAsia="en-US"/>
              </w:rPr>
            </w:pPr>
          </w:p>
        </w:tc>
        <w:tc>
          <w:tcPr>
            <w:tcW w:w="7610" w:type="dxa"/>
          </w:tcPr>
          <w:p w14:paraId="5AD39D8C" w14:textId="541B3252" w:rsidR="00C6020C" w:rsidRPr="00DD6E6B" w:rsidRDefault="005364EE" w:rsidP="006849F8">
            <w:pPr>
              <w:rPr>
                <w:spacing w:val="-1"/>
                <w:lang w:val="en-GB" w:eastAsia="en-US"/>
              </w:rPr>
            </w:pPr>
            <w:r w:rsidRPr="00DD6E6B">
              <w:rPr>
                <w:spacing w:val="-1"/>
                <w:lang w:val="en-GB" w:eastAsia="en-US"/>
              </w:rPr>
              <w:t xml:space="preserve">Invariable level of the monetary policy-relevant rates also provided the stability of the interest rates on the interbank market. </w:t>
            </w:r>
            <w:r w:rsidR="00E7024B" w:rsidRPr="00DD6E6B">
              <w:rPr>
                <w:spacing w:val="-1"/>
                <w:lang w:val="en-GB" w:eastAsia="en-US"/>
              </w:rPr>
              <w:t>Three-month</w:t>
            </w:r>
            <w:r w:rsidR="00FB6F54" w:rsidRPr="00DD6E6B">
              <w:rPr>
                <w:spacing w:val="-1"/>
                <w:lang w:val="en-GB" w:eastAsia="en-US"/>
              </w:rPr>
              <w:t xml:space="preserve"> </w:t>
            </w:r>
            <w:r w:rsidR="00C6020C" w:rsidRPr="00DD6E6B">
              <w:rPr>
                <w:spacing w:val="-1"/>
                <w:lang w:val="en-GB" w:eastAsia="en-US"/>
              </w:rPr>
              <w:t>PRIBOR</w:t>
            </w:r>
            <w:r w:rsidR="00FB6F54" w:rsidRPr="00DD6E6B">
              <w:rPr>
                <w:spacing w:val="-1"/>
                <w:lang w:val="en-GB" w:eastAsia="en-US"/>
              </w:rPr>
              <w:t xml:space="preserve"> rate</w:t>
            </w:r>
            <w:r w:rsidRPr="00DD6E6B">
              <w:rPr>
                <w:spacing w:val="-1"/>
                <w:lang w:val="en-GB" w:eastAsia="en-US"/>
              </w:rPr>
              <w:t xml:space="preserve"> similarly to other maturities only slightly decreased during Q</w:t>
            </w:r>
            <w:r w:rsidR="00C6020C" w:rsidRPr="00DD6E6B">
              <w:rPr>
                <w:spacing w:val="-1"/>
                <w:lang w:val="en-GB" w:eastAsia="en-US"/>
              </w:rPr>
              <w:t>2</w:t>
            </w:r>
            <w:r w:rsidR="00C6020C" w:rsidRPr="00DD6E6B">
              <w:rPr>
                <w:rStyle w:val="Znakapoznpodarou"/>
                <w:spacing w:val="-1"/>
                <w:lang w:val="en-GB" w:eastAsia="en-US"/>
              </w:rPr>
              <w:footnoteReference w:id="79"/>
            </w:r>
            <w:r w:rsidR="00C6020C" w:rsidRPr="00DD6E6B">
              <w:rPr>
                <w:spacing w:val="-1"/>
                <w:lang w:val="en-GB" w:eastAsia="en-US"/>
              </w:rPr>
              <w:t xml:space="preserve"> (</w:t>
            </w:r>
            <w:r w:rsidR="00FB6F54" w:rsidRPr="00DD6E6B">
              <w:rPr>
                <w:spacing w:val="-1"/>
                <w:lang w:val="en-GB" w:eastAsia="en-US"/>
              </w:rPr>
              <w:t xml:space="preserve">by </w:t>
            </w:r>
            <w:r w:rsidR="00C6020C" w:rsidRPr="00DD6E6B">
              <w:rPr>
                <w:spacing w:val="-1"/>
                <w:lang w:val="en-GB" w:eastAsia="en-US"/>
              </w:rPr>
              <w:t>0</w:t>
            </w:r>
            <w:r w:rsidR="00FB6F54" w:rsidRPr="00DD6E6B">
              <w:rPr>
                <w:spacing w:val="-1"/>
                <w:lang w:val="en-GB" w:eastAsia="en-US"/>
              </w:rPr>
              <w:t>.</w:t>
            </w:r>
            <w:r w:rsidR="00C6020C" w:rsidRPr="00DD6E6B">
              <w:rPr>
                <w:spacing w:val="-1"/>
                <w:lang w:val="en-GB" w:eastAsia="en-US"/>
              </w:rPr>
              <w:t xml:space="preserve">05 p. </w:t>
            </w:r>
            <w:r w:rsidR="00FB6F54" w:rsidRPr="00DD6E6B">
              <w:rPr>
                <w:spacing w:val="-1"/>
                <w:lang w:val="en-GB" w:eastAsia="en-US"/>
              </w:rPr>
              <w:t>p</w:t>
            </w:r>
            <w:r w:rsidR="00C6020C" w:rsidRPr="00DD6E6B">
              <w:rPr>
                <w:spacing w:val="-1"/>
                <w:lang w:val="en-GB" w:eastAsia="en-US"/>
              </w:rPr>
              <w:t xml:space="preserve">. </w:t>
            </w:r>
            <w:r w:rsidR="00FB6F54" w:rsidRPr="00DD6E6B">
              <w:rPr>
                <w:spacing w:val="-1"/>
                <w:lang w:val="en-GB" w:eastAsia="en-US"/>
              </w:rPr>
              <w:t xml:space="preserve">to </w:t>
            </w:r>
            <w:r w:rsidR="00C6020C" w:rsidRPr="00DD6E6B">
              <w:rPr>
                <w:spacing w:val="-1"/>
                <w:lang w:val="en-GB" w:eastAsia="en-US"/>
              </w:rPr>
              <w:t>7</w:t>
            </w:r>
            <w:r w:rsidR="00FB6F54" w:rsidRPr="00DD6E6B">
              <w:rPr>
                <w:spacing w:val="-1"/>
                <w:lang w:val="en-GB" w:eastAsia="en-US"/>
              </w:rPr>
              <w:t>.</w:t>
            </w:r>
            <w:r w:rsidR="00C6020C" w:rsidRPr="00DD6E6B">
              <w:rPr>
                <w:spacing w:val="-1"/>
                <w:lang w:val="en-GB" w:eastAsia="en-US"/>
              </w:rPr>
              <w:t xml:space="preserve">15% </w:t>
            </w:r>
            <w:r w:rsidR="00FB6F54" w:rsidRPr="00DD6E6B">
              <w:rPr>
                <w:spacing w:val="-1"/>
                <w:lang w:val="en-GB" w:eastAsia="en-US"/>
              </w:rPr>
              <w:t>towards the end of June</w:t>
            </w:r>
            <w:r w:rsidR="00C6020C" w:rsidRPr="00DD6E6B">
              <w:rPr>
                <w:spacing w:val="-1"/>
                <w:lang w:val="en-GB" w:eastAsia="en-US"/>
              </w:rPr>
              <w:t>).</w:t>
            </w:r>
            <w:r w:rsidR="00FB6F54" w:rsidRPr="00DD6E6B">
              <w:rPr>
                <w:spacing w:val="-1"/>
                <w:lang w:val="en-GB" w:eastAsia="en-US"/>
              </w:rPr>
              <w:t xml:space="preserve"> The average yields of the government bon</w:t>
            </w:r>
            <w:r w:rsidR="000E7F98" w:rsidRPr="00DD6E6B">
              <w:rPr>
                <w:spacing w:val="-1"/>
                <w:lang w:val="en-GB" w:eastAsia="en-US"/>
              </w:rPr>
              <w:t>d</w:t>
            </w:r>
            <w:r w:rsidR="00FB6F54" w:rsidRPr="00DD6E6B">
              <w:rPr>
                <w:spacing w:val="-1"/>
                <w:lang w:val="en-GB" w:eastAsia="en-US"/>
              </w:rPr>
              <w:t xml:space="preserve">s were also slightly falling in case of </w:t>
            </w:r>
            <w:r w:rsidR="00E7024B" w:rsidRPr="00DD6E6B">
              <w:rPr>
                <w:spacing w:val="-1"/>
                <w:lang w:val="en-GB" w:eastAsia="en-US"/>
              </w:rPr>
              <w:t>medium- and long-term</w:t>
            </w:r>
            <w:r w:rsidR="00FB6F54" w:rsidRPr="00DD6E6B">
              <w:rPr>
                <w:spacing w:val="-1"/>
                <w:lang w:val="en-GB" w:eastAsia="en-US"/>
              </w:rPr>
              <w:t xml:space="preserve"> maturities during Q</w:t>
            </w:r>
            <w:r w:rsidR="00C6020C" w:rsidRPr="00DD6E6B">
              <w:rPr>
                <w:spacing w:val="-1"/>
                <w:lang w:val="en-GB" w:eastAsia="en-US"/>
              </w:rPr>
              <w:t>2.</w:t>
            </w:r>
            <w:r w:rsidR="00FB6F54" w:rsidRPr="00DD6E6B">
              <w:rPr>
                <w:spacing w:val="-1"/>
                <w:lang w:val="en-GB" w:eastAsia="en-US"/>
              </w:rPr>
              <w:t xml:space="preserve"> The yield fell by </w:t>
            </w:r>
            <w:r w:rsidR="00C6020C" w:rsidRPr="00DD6E6B">
              <w:rPr>
                <w:spacing w:val="-1"/>
                <w:lang w:val="en-GB" w:eastAsia="en-US"/>
              </w:rPr>
              <w:t>0</w:t>
            </w:r>
            <w:r w:rsidR="00FB6F54" w:rsidRPr="00DD6E6B">
              <w:rPr>
                <w:spacing w:val="-1"/>
                <w:lang w:val="en-GB" w:eastAsia="en-US"/>
              </w:rPr>
              <w:t>.</w:t>
            </w:r>
            <w:r w:rsidR="00C6020C" w:rsidRPr="00DD6E6B">
              <w:rPr>
                <w:spacing w:val="-1"/>
                <w:lang w:val="en-GB" w:eastAsia="en-US"/>
              </w:rPr>
              <w:t xml:space="preserve">25 p. </w:t>
            </w:r>
            <w:r w:rsidR="00FB6F54" w:rsidRPr="00DD6E6B">
              <w:rPr>
                <w:spacing w:val="-1"/>
                <w:lang w:val="en-GB" w:eastAsia="en-US"/>
              </w:rPr>
              <w:t>p</w:t>
            </w:r>
            <w:r w:rsidR="00C6020C" w:rsidRPr="00DD6E6B">
              <w:rPr>
                <w:spacing w:val="-1"/>
                <w:lang w:val="en-GB" w:eastAsia="en-US"/>
              </w:rPr>
              <w:t xml:space="preserve">. </w:t>
            </w:r>
            <w:r w:rsidR="00FB6F54" w:rsidRPr="00DD6E6B">
              <w:rPr>
                <w:spacing w:val="-1"/>
                <w:lang w:val="en-GB" w:eastAsia="en-US"/>
              </w:rPr>
              <w:t xml:space="preserve">to </w:t>
            </w:r>
            <w:r w:rsidR="00C6020C" w:rsidRPr="00DD6E6B">
              <w:rPr>
                <w:spacing w:val="-1"/>
                <w:lang w:val="en-GB" w:eastAsia="en-US"/>
              </w:rPr>
              <w:t>4</w:t>
            </w:r>
            <w:r w:rsidR="00FB6F54" w:rsidRPr="00DD6E6B">
              <w:rPr>
                <w:spacing w:val="-1"/>
                <w:lang w:val="en-GB" w:eastAsia="en-US"/>
              </w:rPr>
              <w:t>.</w:t>
            </w:r>
            <w:r w:rsidR="00C6020C" w:rsidRPr="00DD6E6B">
              <w:rPr>
                <w:spacing w:val="-1"/>
                <w:lang w:val="en-GB" w:eastAsia="en-US"/>
              </w:rPr>
              <w:t>64%</w:t>
            </w:r>
            <w:r w:rsidR="00FB6F54" w:rsidRPr="00DD6E6B">
              <w:rPr>
                <w:spacing w:val="-1"/>
                <w:lang w:val="en-GB" w:eastAsia="en-US"/>
              </w:rPr>
              <w:t xml:space="preserve"> for medium term bonds and by </w:t>
            </w:r>
            <w:r w:rsidR="00C6020C" w:rsidRPr="00DD6E6B">
              <w:rPr>
                <w:spacing w:val="-1"/>
                <w:lang w:val="en-GB" w:eastAsia="en-US"/>
              </w:rPr>
              <w:t>0</w:t>
            </w:r>
            <w:r w:rsidR="00FB6F54" w:rsidRPr="00DD6E6B">
              <w:rPr>
                <w:spacing w:val="-1"/>
                <w:lang w:val="en-GB" w:eastAsia="en-US"/>
              </w:rPr>
              <w:t>.</w:t>
            </w:r>
            <w:r w:rsidR="00C6020C" w:rsidRPr="00DD6E6B">
              <w:rPr>
                <w:spacing w:val="-1"/>
                <w:lang w:val="en-GB" w:eastAsia="en-US"/>
              </w:rPr>
              <w:t xml:space="preserve">32 p. </w:t>
            </w:r>
            <w:r w:rsidR="00FB6F54" w:rsidRPr="00DD6E6B">
              <w:rPr>
                <w:spacing w:val="-1"/>
                <w:lang w:val="en-GB" w:eastAsia="en-US"/>
              </w:rPr>
              <w:t>p</w:t>
            </w:r>
            <w:r w:rsidR="00C6020C" w:rsidRPr="00DD6E6B">
              <w:rPr>
                <w:spacing w:val="-1"/>
                <w:lang w:val="en-GB" w:eastAsia="en-US"/>
              </w:rPr>
              <w:t xml:space="preserve">. </w:t>
            </w:r>
            <w:r w:rsidR="00FB6F54" w:rsidRPr="00DD6E6B">
              <w:rPr>
                <w:spacing w:val="-1"/>
                <w:lang w:val="en-GB" w:eastAsia="en-US"/>
              </w:rPr>
              <w:t xml:space="preserve">to </w:t>
            </w:r>
            <w:r w:rsidR="00C6020C" w:rsidRPr="00DD6E6B">
              <w:rPr>
                <w:spacing w:val="-1"/>
                <w:lang w:val="en-GB" w:eastAsia="en-US"/>
              </w:rPr>
              <w:t>4</w:t>
            </w:r>
            <w:r w:rsidR="00FB6F54" w:rsidRPr="00DD6E6B">
              <w:rPr>
                <w:spacing w:val="-1"/>
                <w:lang w:val="en-GB" w:eastAsia="en-US"/>
              </w:rPr>
              <w:t>.</w:t>
            </w:r>
            <w:r w:rsidR="00C6020C" w:rsidRPr="00DD6E6B">
              <w:rPr>
                <w:spacing w:val="-1"/>
                <w:lang w:val="en-GB" w:eastAsia="en-US"/>
              </w:rPr>
              <w:t>35%</w:t>
            </w:r>
            <w:r w:rsidR="00FB6F54" w:rsidRPr="00DD6E6B">
              <w:rPr>
                <w:spacing w:val="-1"/>
                <w:lang w:val="en-GB" w:eastAsia="en-US"/>
              </w:rPr>
              <w:t xml:space="preserve"> for long-term bonds</w:t>
            </w:r>
            <w:r w:rsidR="00C6020C" w:rsidRPr="00DD6E6B">
              <w:rPr>
                <w:spacing w:val="-1"/>
                <w:lang w:val="en-GB" w:eastAsia="en-US"/>
              </w:rPr>
              <w:t xml:space="preserve">. </w:t>
            </w:r>
            <w:r w:rsidR="004E1368" w:rsidRPr="00DD6E6B">
              <w:rPr>
                <w:spacing w:val="-1"/>
                <w:lang w:val="en-GB" w:eastAsia="en-US"/>
              </w:rPr>
              <w:t xml:space="preserve">The Czech government bonds with short-term maturity reached the average interest rate in the size of </w:t>
            </w:r>
            <w:r w:rsidR="00C6020C" w:rsidRPr="00DD6E6B">
              <w:rPr>
                <w:spacing w:val="-1"/>
                <w:lang w:val="en-GB" w:eastAsia="en-US"/>
              </w:rPr>
              <w:t>5</w:t>
            </w:r>
            <w:r w:rsidR="004E1368" w:rsidRPr="00DD6E6B">
              <w:rPr>
                <w:spacing w:val="-1"/>
                <w:lang w:val="en-GB" w:eastAsia="en-US"/>
              </w:rPr>
              <w:t>.</w:t>
            </w:r>
            <w:r w:rsidR="00062C40">
              <w:rPr>
                <w:spacing w:val="-1"/>
                <w:lang w:val="en-GB" w:eastAsia="en-US"/>
              </w:rPr>
              <w:t>37</w:t>
            </w:r>
            <w:r w:rsidR="00C6020C" w:rsidRPr="00DD6E6B">
              <w:rPr>
                <w:spacing w:val="-1"/>
                <w:lang w:val="en-GB" w:eastAsia="en-US"/>
              </w:rPr>
              <w:t>%</w:t>
            </w:r>
            <w:r w:rsidR="004E1368" w:rsidRPr="00DD6E6B">
              <w:rPr>
                <w:spacing w:val="-1"/>
                <w:lang w:val="en-GB" w:eastAsia="en-US"/>
              </w:rPr>
              <w:t xml:space="preserve"> at the end of June</w:t>
            </w:r>
            <w:r w:rsidR="00C6020C" w:rsidRPr="00DD6E6B">
              <w:rPr>
                <w:spacing w:val="-1"/>
                <w:lang w:val="en-GB" w:eastAsia="en-US"/>
              </w:rPr>
              <w:t>,</w:t>
            </w:r>
            <w:r w:rsidR="004E1368" w:rsidRPr="00DD6E6B">
              <w:rPr>
                <w:spacing w:val="-1"/>
                <w:lang w:val="en-GB" w:eastAsia="en-US"/>
              </w:rPr>
              <w:t xml:space="preserve"> which represented a small increase by </w:t>
            </w:r>
            <w:r w:rsidR="00C6020C" w:rsidRPr="00DD6E6B">
              <w:rPr>
                <w:spacing w:val="-1"/>
                <w:lang w:val="en-GB" w:eastAsia="en-US"/>
              </w:rPr>
              <w:t>0</w:t>
            </w:r>
            <w:r w:rsidR="004E1368" w:rsidRPr="00DD6E6B">
              <w:rPr>
                <w:spacing w:val="-1"/>
                <w:lang w:val="en-GB" w:eastAsia="en-US"/>
              </w:rPr>
              <w:t>.</w:t>
            </w:r>
            <w:r w:rsidR="00276F97">
              <w:rPr>
                <w:spacing w:val="-1"/>
                <w:lang w:val="en-GB" w:eastAsia="en-US"/>
              </w:rPr>
              <w:t>0</w:t>
            </w:r>
            <w:r w:rsidR="00C6020C" w:rsidRPr="00DD6E6B">
              <w:rPr>
                <w:spacing w:val="-1"/>
                <w:lang w:val="en-GB" w:eastAsia="en-US"/>
              </w:rPr>
              <w:t>8 p.</w:t>
            </w:r>
            <w:r w:rsidR="004E1368" w:rsidRPr="00DD6E6B">
              <w:rPr>
                <w:spacing w:val="-1"/>
                <w:lang w:val="en-GB" w:eastAsia="en-US"/>
              </w:rPr>
              <w:t xml:space="preserve"> p</w:t>
            </w:r>
            <w:r w:rsidR="00C6020C" w:rsidRPr="00DD6E6B">
              <w:rPr>
                <w:spacing w:val="-1"/>
                <w:lang w:val="en-GB" w:eastAsia="en-US"/>
              </w:rPr>
              <w:t xml:space="preserve">.      </w:t>
            </w:r>
          </w:p>
        </w:tc>
      </w:tr>
      <w:tr w:rsidR="00C6020C" w:rsidRPr="00DD6E6B" w14:paraId="3288CEF3" w14:textId="77777777" w:rsidTr="006849F8">
        <w:trPr>
          <w:trHeight w:val="145"/>
        </w:trPr>
        <w:tc>
          <w:tcPr>
            <w:tcW w:w="1802" w:type="dxa"/>
          </w:tcPr>
          <w:p w14:paraId="290D384E" w14:textId="748CB53C" w:rsidR="00C6020C" w:rsidRPr="00DD6E6B" w:rsidRDefault="00AD3FE3" w:rsidP="006849F8">
            <w:pPr>
              <w:pStyle w:val="Marginlie"/>
              <w:rPr>
                <w:lang w:val="en-GB" w:eastAsia="en-US"/>
              </w:rPr>
            </w:pPr>
            <w:r w:rsidRPr="00DD6E6B">
              <w:rPr>
                <w:lang w:val="en-GB" w:eastAsia="en-US"/>
              </w:rPr>
              <w:t xml:space="preserve">Interests on deposits did not grow much anymore. </w:t>
            </w:r>
          </w:p>
        </w:tc>
        <w:tc>
          <w:tcPr>
            <w:tcW w:w="229" w:type="dxa"/>
          </w:tcPr>
          <w:p w14:paraId="7B35DA62" w14:textId="77777777" w:rsidR="00C6020C" w:rsidRPr="00DD6E6B" w:rsidRDefault="00C6020C" w:rsidP="006849F8">
            <w:pPr>
              <w:pStyle w:val="Textpoznpodarou"/>
              <w:jc w:val="both"/>
              <w:rPr>
                <w:spacing w:val="-4"/>
                <w:lang w:val="en-GB" w:eastAsia="en-US"/>
              </w:rPr>
            </w:pPr>
          </w:p>
        </w:tc>
        <w:tc>
          <w:tcPr>
            <w:tcW w:w="7610" w:type="dxa"/>
          </w:tcPr>
          <w:p w14:paraId="5C07CE79" w14:textId="1BEAA833" w:rsidR="00C6020C" w:rsidRPr="00DD6E6B" w:rsidRDefault="00E44908" w:rsidP="006849F8">
            <w:pPr>
              <w:rPr>
                <w:spacing w:val="-3"/>
                <w:lang w:val="en-GB" w:eastAsia="en-US"/>
              </w:rPr>
            </w:pPr>
            <w:r w:rsidRPr="00DD6E6B">
              <w:rPr>
                <w:spacing w:val="-3"/>
                <w:lang w:val="en-GB" w:eastAsia="en-US"/>
              </w:rPr>
              <w:t xml:space="preserve">Client interest rates on deposits </w:t>
            </w:r>
            <w:r w:rsidR="00535EFB" w:rsidRPr="00DD6E6B">
              <w:rPr>
                <w:spacing w:val="-3"/>
                <w:lang w:val="en-GB" w:eastAsia="en-US"/>
              </w:rPr>
              <w:t xml:space="preserve">peaked after one year of gradual increase in Q1 </w:t>
            </w:r>
            <w:r w:rsidR="00C6020C" w:rsidRPr="00DD6E6B">
              <w:rPr>
                <w:spacing w:val="-3"/>
                <w:lang w:val="en-GB" w:eastAsia="en-US"/>
              </w:rPr>
              <w:t>a</w:t>
            </w:r>
            <w:r w:rsidR="00535EFB" w:rsidRPr="00DD6E6B">
              <w:rPr>
                <w:spacing w:val="-3"/>
                <w:lang w:val="en-GB" w:eastAsia="en-US"/>
              </w:rPr>
              <w:t>nd remained nearly unchanged in Q</w:t>
            </w:r>
            <w:r w:rsidR="00C6020C" w:rsidRPr="00DD6E6B">
              <w:rPr>
                <w:spacing w:val="-3"/>
                <w:lang w:val="en-GB" w:eastAsia="en-US"/>
              </w:rPr>
              <w:t>2.</w:t>
            </w:r>
            <w:r w:rsidR="00535EFB" w:rsidRPr="00DD6E6B">
              <w:rPr>
                <w:spacing w:val="-3"/>
                <w:lang w:val="en-GB" w:eastAsia="en-US"/>
              </w:rPr>
              <w:t xml:space="preserve"> T</w:t>
            </w:r>
            <w:r w:rsidRPr="00DD6E6B">
              <w:rPr>
                <w:spacing w:val="-3"/>
                <w:lang w:val="en-GB" w:eastAsia="en-US"/>
              </w:rPr>
              <w:t xml:space="preserve">he average interest rate of one-day deposits of households was </w:t>
            </w:r>
            <w:r w:rsidR="00C6020C" w:rsidRPr="00DD6E6B">
              <w:rPr>
                <w:spacing w:val="-3"/>
                <w:lang w:val="en-GB" w:eastAsia="en-US"/>
              </w:rPr>
              <w:t>1</w:t>
            </w:r>
            <w:r w:rsidRPr="00DD6E6B">
              <w:rPr>
                <w:spacing w:val="-3"/>
                <w:lang w:val="en-GB" w:eastAsia="en-US"/>
              </w:rPr>
              <w:t>.</w:t>
            </w:r>
            <w:r w:rsidR="00C6020C" w:rsidRPr="00DD6E6B">
              <w:rPr>
                <w:spacing w:val="-3"/>
                <w:lang w:val="en-GB" w:eastAsia="en-US"/>
              </w:rPr>
              <w:t>52% (−0</w:t>
            </w:r>
            <w:r w:rsidRPr="00DD6E6B">
              <w:rPr>
                <w:spacing w:val="-3"/>
                <w:lang w:val="en-GB" w:eastAsia="en-US"/>
              </w:rPr>
              <w:t>.</w:t>
            </w:r>
            <w:r w:rsidR="00C6020C" w:rsidRPr="00DD6E6B">
              <w:rPr>
                <w:spacing w:val="-3"/>
                <w:lang w:val="en-GB" w:eastAsia="en-US"/>
              </w:rPr>
              <w:t xml:space="preserve">02 p. </w:t>
            </w:r>
            <w:r w:rsidRPr="00DD6E6B">
              <w:rPr>
                <w:spacing w:val="-3"/>
                <w:lang w:val="en-GB" w:eastAsia="en-US"/>
              </w:rPr>
              <w:t>p</w:t>
            </w:r>
            <w:r w:rsidR="00C6020C" w:rsidRPr="00DD6E6B">
              <w:rPr>
                <w:spacing w:val="-3"/>
                <w:lang w:val="en-GB" w:eastAsia="en-US"/>
              </w:rPr>
              <w:t>.)</w:t>
            </w:r>
            <w:r w:rsidRPr="00DD6E6B">
              <w:rPr>
                <w:spacing w:val="-3"/>
                <w:lang w:val="en-GB" w:eastAsia="en-US"/>
              </w:rPr>
              <w:t xml:space="preserve"> at the end of June and it was </w:t>
            </w:r>
            <w:r w:rsidR="00C6020C" w:rsidRPr="00DD6E6B">
              <w:rPr>
                <w:spacing w:val="-3"/>
                <w:lang w:val="en-GB" w:eastAsia="en-US"/>
              </w:rPr>
              <w:t>0</w:t>
            </w:r>
            <w:r w:rsidRPr="00DD6E6B">
              <w:rPr>
                <w:spacing w:val="-3"/>
                <w:lang w:val="en-GB" w:eastAsia="en-US"/>
              </w:rPr>
              <w:t>.</w:t>
            </w:r>
            <w:r w:rsidR="00C6020C" w:rsidRPr="00DD6E6B">
              <w:rPr>
                <w:spacing w:val="-3"/>
                <w:lang w:val="en-GB" w:eastAsia="en-US"/>
              </w:rPr>
              <w:t>28%</w:t>
            </w:r>
            <w:r w:rsidRPr="00DD6E6B">
              <w:rPr>
                <w:spacing w:val="-3"/>
                <w:lang w:val="en-GB" w:eastAsia="en-US"/>
              </w:rPr>
              <w:t xml:space="preserve"> on current accounts</w:t>
            </w:r>
            <w:r w:rsidR="00C6020C" w:rsidRPr="00DD6E6B">
              <w:rPr>
                <w:spacing w:val="-3"/>
                <w:lang w:val="en-GB" w:eastAsia="en-US"/>
              </w:rPr>
              <w:t xml:space="preserve"> (+0</w:t>
            </w:r>
            <w:r w:rsidRPr="00DD6E6B">
              <w:rPr>
                <w:spacing w:val="-3"/>
                <w:lang w:val="en-GB" w:eastAsia="en-US"/>
              </w:rPr>
              <w:t>.</w:t>
            </w:r>
            <w:r w:rsidR="00C6020C" w:rsidRPr="00DD6E6B">
              <w:rPr>
                <w:spacing w:val="-3"/>
                <w:lang w:val="en-GB" w:eastAsia="en-US"/>
              </w:rPr>
              <w:t xml:space="preserve">04 p. </w:t>
            </w:r>
            <w:r w:rsidRPr="00DD6E6B">
              <w:rPr>
                <w:spacing w:val="-3"/>
                <w:lang w:val="en-GB" w:eastAsia="en-US"/>
              </w:rPr>
              <w:t>p</w:t>
            </w:r>
            <w:r w:rsidR="00C6020C" w:rsidRPr="00DD6E6B">
              <w:rPr>
                <w:spacing w:val="-3"/>
                <w:lang w:val="en-GB" w:eastAsia="en-US"/>
              </w:rPr>
              <w:t>.). T</w:t>
            </w:r>
            <w:r w:rsidR="00980B56" w:rsidRPr="00DD6E6B">
              <w:rPr>
                <w:spacing w:val="-3"/>
                <w:lang w:val="en-GB" w:eastAsia="en-US"/>
              </w:rPr>
              <w:t>he increase of the average interest on the deposits with agreed maturity was also a merely cosmetic in Q</w:t>
            </w:r>
            <w:r w:rsidR="00C6020C" w:rsidRPr="00DD6E6B">
              <w:rPr>
                <w:spacing w:val="-3"/>
                <w:lang w:val="en-GB" w:eastAsia="en-US"/>
              </w:rPr>
              <w:t>2</w:t>
            </w:r>
            <w:r w:rsidR="00980B56" w:rsidRPr="00DD6E6B">
              <w:rPr>
                <w:spacing w:val="-3"/>
                <w:lang w:val="en-GB" w:eastAsia="en-US"/>
              </w:rPr>
              <w:t xml:space="preserve"> </w:t>
            </w:r>
            <w:r w:rsidR="00C6020C" w:rsidRPr="00DD6E6B">
              <w:rPr>
                <w:spacing w:val="-3"/>
                <w:lang w:val="en-GB" w:eastAsia="en-US"/>
              </w:rPr>
              <w:t>(+0</w:t>
            </w:r>
            <w:r w:rsidR="00980B56" w:rsidRPr="00DD6E6B">
              <w:rPr>
                <w:spacing w:val="-3"/>
                <w:lang w:val="en-GB" w:eastAsia="en-US"/>
              </w:rPr>
              <w:t>.</w:t>
            </w:r>
            <w:r w:rsidR="00C6020C" w:rsidRPr="00DD6E6B">
              <w:rPr>
                <w:spacing w:val="-3"/>
                <w:lang w:val="en-GB" w:eastAsia="en-US"/>
              </w:rPr>
              <w:t xml:space="preserve">07 p. </w:t>
            </w:r>
            <w:r w:rsidR="00980B56" w:rsidRPr="00DD6E6B">
              <w:rPr>
                <w:spacing w:val="-3"/>
                <w:lang w:val="en-GB" w:eastAsia="en-US"/>
              </w:rPr>
              <w:t>p</w:t>
            </w:r>
            <w:r w:rsidR="00C6020C" w:rsidRPr="00DD6E6B">
              <w:rPr>
                <w:spacing w:val="-3"/>
                <w:lang w:val="en-GB" w:eastAsia="en-US"/>
              </w:rPr>
              <w:t xml:space="preserve">.) </w:t>
            </w:r>
            <w:r w:rsidR="00980B56" w:rsidRPr="00DD6E6B">
              <w:rPr>
                <w:spacing w:val="-3"/>
                <w:lang w:val="en-GB" w:eastAsia="en-US"/>
              </w:rPr>
              <w:t xml:space="preserve">to </w:t>
            </w:r>
            <w:r w:rsidR="00C6020C" w:rsidRPr="00DD6E6B">
              <w:rPr>
                <w:spacing w:val="-3"/>
                <w:lang w:val="en-GB" w:eastAsia="en-US"/>
              </w:rPr>
              <w:t>6</w:t>
            </w:r>
            <w:r w:rsidR="00980B56" w:rsidRPr="00DD6E6B">
              <w:rPr>
                <w:spacing w:val="-3"/>
                <w:lang w:val="en-GB" w:eastAsia="en-US"/>
              </w:rPr>
              <w:t>.</w:t>
            </w:r>
            <w:r w:rsidR="00C6020C" w:rsidRPr="00DD6E6B">
              <w:rPr>
                <w:spacing w:val="-3"/>
                <w:lang w:val="en-GB" w:eastAsia="en-US"/>
              </w:rPr>
              <w:t xml:space="preserve">11%. </w:t>
            </w:r>
            <w:r w:rsidR="00980B56" w:rsidRPr="00DD6E6B">
              <w:rPr>
                <w:spacing w:val="-3"/>
                <w:lang w:val="en-GB" w:eastAsia="en-US"/>
              </w:rPr>
              <w:t xml:space="preserve">The interest on current accounts of non-financial </w:t>
            </w:r>
            <w:r w:rsidR="006A231B" w:rsidRPr="00DD6E6B">
              <w:rPr>
                <w:spacing w:val="-3"/>
                <w:lang w:val="en-GB" w:eastAsia="en-US"/>
              </w:rPr>
              <w:t xml:space="preserve">businesses </w:t>
            </w:r>
            <w:r w:rsidR="00980B56" w:rsidRPr="00DD6E6B">
              <w:rPr>
                <w:spacing w:val="-3"/>
                <w:lang w:val="en-GB" w:eastAsia="en-US"/>
              </w:rPr>
              <w:t xml:space="preserve">also grew only moderately </w:t>
            </w:r>
            <w:r w:rsidR="00C6020C" w:rsidRPr="00DD6E6B">
              <w:rPr>
                <w:spacing w:val="-3"/>
                <w:lang w:val="en-GB" w:eastAsia="en-US"/>
              </w:rPr>
              <w:t>(+0</w:t>
            </w:r>
            <w:r w:rsidR="00980B56" w:rsidRPr="00DD6E6B">
              <w:rPr>
                <w:spacing w:val="-3"/>
                <w:lang w:val="en-GB" w:eastAsia="en-US"/>
              </w:rPr>
              <w:t>.</w:t>
            </w:r>
            <w:r w:rsidR="00C6020C" w:rsidRPr="00DD6E6B">
              <w:rPr>
                <w:spacing w:val="-3"/>
                <w:lang w:val="en-GB" w:eastAsia="en-US"/>
              </w:rPr>
              <w:t xml:space="preserve">09 p. </w:t>
            </w:r>
            <w:r w:rsidR="00980B56" w:rsidRPr="00DD6E6B">
              <w:rPr>
                <w:spacing w:val="-3"/>
                <w:lang w:val="en-GB" w:eastAsia="en-US"/>
              </w:rPr>
              <w:t>p</w:t>
            </w:r>
            <w:r w:rsidR="00C6020C" w:rsidRPr="00DD6E6B">
              <w:rPr>
                <w:spacing w:val="-3"/>
                <w:lang w:val="en-GB" w:eastAsia="en-US"/>
              </w:rPr>
              <w:t xml:space="preserve">. </w:t>
            </w:r>
            <w:r w:rsidR="00980B56" w:rsidRPr="00DD6E6B">
              <w:rPr>
                <w:spacing w:val="-3"/>
                <w:lang w:val="en-GB" w:eastAsia="en-US"/>
              </w:rPr>
              <w:t xml:space="preserve">to </w:t>
            </w:r>
            <w:r w:rsidR="00C6020C" w:rsidRPr="00DD6E6B">
              <w:rPr>
                <w:spacing w:val="-3"/>
                <w:lang w:val="en-GB" w:eastAsia="en-US"/>
              </w:rPr>
              <w:t>1</w:t>
            </w:r>
            <w:r w:rsidR="00980B56" w:rsidRPr="00DD6E6B">
              <w:rPr>
                <w:spacing w:val="-3"/>
                <w:lang w:val="en-GB" w:eastAsia="en-US"/>
              </w:rPr>
              <w:t>.</w:t>
            </w:r>
            <w:r w:rsidR="00C6020C" w:rsidRPr="00DD6E6B">
              <w:rPr>
                <w:spacing w:val="-3"/>
                <w:lang w:val="en-GB" w:eastAsia="en-US"/>
              </w:rPr>
              <w:t xml:space="preserve">10% </w:t>
            </w:r>
            <w:r w:rsidR="00980B56" w:rsidRPr="00DD6E6B">
              <w:rPr>
                <w:spacing w:val="-3"/>
                <w:lang w:val="en-GB" w:eastAsia="en-US"/>
              </w:rPr>
              <w:t>at the end of June</w:t>
            </w:r>
            <w:r w:rsidR="00C6020C" w:rsidRPr="00DD6E6B">
              <w:rPr>
                <w:spacing w:val="-3"/>
                <w:lang w:val="en-GB" w:eastAsia="en-US"/>
              </w:rPr>
              <w:t xml:space="preserve">). </w:t>
            </w:r>
            <w:r w:rsidRPr="00DD6E6B">
              <w:rPr>
                <w:spacing w:val="-3"/>
                <w:lang w:val="en-GB" w:eastAsia="en-US"/>
              </w:rPr>
              <w:t>Deposits with agreed maturity</w:t>
            </w:r>
            <w:r w:rsidR="00980B56" w:rsidRPr="00DD6E6B">
              <w:rPr>
                <w:spacing w:val="-3"/>
                <w:lang w:val="en-GB" w:eastAsia="en-US"/>
              </w:rPr>
              <w:t xml:space="preserve"> bore interest on average of </w:t>
            </w:r>
            <w:r w:rsidR="00C6020C" w:rsidRPr="00DD6E6B">
              <w:rPr>
                <w:spacing w:val="-3"/>
                <w:lang w:val="en-GB" w:eastAsia="en-US"/>
              </w:rPr>
              <w:t>6</w:t>
            </w:r>
            <w:r w:rsidR="00980B56" w:rsidRPr="00DD6E6B">
              <w:rPr>
                <w:spacing w:val="-3"/>
                <w:lang w:val="en-GB" w:eastAsia="en-US"/>
              </w:rPr>
              <w:t>.</w:t>
            </w:r>
            <w:r w:rsidR="00C6020C" w:rsidRPr="00DD6E6B">
              <w:rPr>
                <w:spacing w:val="-3"/>
                <w:lang w:val="en-GB" w:eastAsia="en-US"/>
              </w:rPr>
              <w:t>53%</w:t>
            </w:r>
            <w:r w:rsidR="00980B56" w:rsidRPr="00DD6E6B">
              <w:rPr>
                <w:spacing w:val="-3"/>
                <w:lang w:val="en-GB" w:eastAsia="en-US"/>
              </w:rPr>
              <w:t xml:space="preserve"> there</w:t>
            </w:r>
            <w:r w:rsidR="00C6020C" w:rsidRPr="00DD6E6B">
              <w:rPr>
                <w:spacing w:val="-3"/>
                <w:lang w:val="en-GB" w:eastAsia="en-US"/>
              </w:rPr>
              <w:t xml:space="preserve"> (+0</w:t>
            </w:r>
            <w:r w:rsidRPr="00DD6E6B">
              <w:rPr>
                <w:spacing w:val="-3"/>
                <w:lang w:val="en-GB" w:eastAsia="en-US"/>
              </w:rPr>
              <w:t>.</w:t>
            </w:r>
            <w:r w:rsidR="00C6020C" w:rsidRPr="00DD6E6B">
              <w:rPr>
                <w:spacing w:val="-3"/>
                <w:lang w:val="en-GB" w:eastAsia="en-US"/>
              </w:rPr>
              <w:t>04 p. </w:t>
            </w:r>
            <w:r w:rsidRPr="00DD6E6B">
              <w:rPr>
                <w:spacing w:val="-3"/>
                <w:lang w:val="en-GB" w:eastAsia="en-US"/>
              </w:rPr>
              <w:t>p</w:t>
            </w:r>
            <w:r w:rsidR="00C6020C" w:rsidRPr="00DD6E6B">
              <w:rPr>
                <w:spacing w:val="-3"/>
                <w:lang w:val="en-GB" w:eastAsia="en-US"/>
              </w:rPr>
              <w:t xml:space="preserve">.). </w:t>
            </w:r>
            <w:r w:rsidR="004E1368" w:rsidRPr="00DD6E6B">
              <w:rPr>
                <w:spacing w:val="-3"/>
                <w:lang w:val="en-GB" w:eastAsia="en-US"/>
              </w:rPr>
              <w:t>Total volume of client deposits was by 7.7% higher year-on-year towards the end of Q</w:t>
            </w:r>
            <w:r w:rsidR="00C6020C" w:rsidRPr="00DD6E6B">
              <w:rPr>
                <w:spacing w:val="-3"/>
                <w:lang w:val="en-GB" w:eastAsia="en-US"/>
              </w:rPr>
              <w:t>2</w:t>
            </w:r>
            <w:r w:rsidR="004E1368" w:rsidRPr="00DD6E6B">
              <w:rPr>
                <w:spacing w:val="-3"/>
                <w:lang w:val="en-GB" w:eastAsia="en-US"/>
              </w:rPr>
              <w:t xml:space="preserve"> </w:t>
            </w:r>
            <w:r w:rsidR="00C6020C" w:rsidRPr="00DD6E6B">
              <w:rPr>
                <w:spacing w:val="-3"/>
                <w:lang w:val="en-GB" w:eastAsia="en-US"/>
              </w:rPr>
              <w:t>a</w:t>
            </w:r>
            <w:r w:rsidR="004E1368" w:rsidRPr="00DD6E6B">
              <w:rPr>
                <w:spacing w:val="-3"/>
                <w:lang w:val="en-GB" w:eastAsia="en-US"/>
              </w:rPr>
              <w:t>nd the pace thus slightly strengthened</w:t>
            </w:r>
            <w:r w:rsidR="00C6020C" w:rsidRPr="00DD6E6B">
              <w:rPr>
                <w:spacing w:val="-3"/>
                <w:lang w:val="en-GB" w:eastAsia="en-US"/>
              </w:rPr>
              <w:t xml:space="preserve">. </w:t>
            </w:r>
            <w:r w:rsidR="00DD4EFD" w:rsidRPr="00DD6E6B">
              <w:rPr>
                <w:spacing w:val="-3"/>
                <w:lang w:val="en-GB" w:eastAsia="en-US"/>
              </w:rPr>
              <w:t xml:space="preserve">Growth of deposits of non-financial businesses markedly accelerated </w:t>
            </w:r>
            <w:r w:rsidR="00C6020C" w:rsidRPr="00DD6E6B">
              <w:rPr>
                <w:spacing w:val="-3"/>
                <w:lang w:val="en-GB" w:eastAsia="en-US"/>
              </w:rPr>
              <w:t>(13</w:t>
            </w:r>
            <w:r w:rsidR="00DD4EFD" w:rsidRPr="00DD6E6B">
              <w:rPr>
                <w:spacing w:val="-3"/>
                <w:lang w:val="en-GB" w:eastAsia="en-US"/>
              </w:rPr>
              <w:t>.</w:t>
            </w:r>
            <w:r w:rsidR="00C6020C" w:rsidRPr="00DD6E6B">
              <w:rPr>
                <w:spacing w:val="-3"/>
                <w:lang w:val="en-GB" w:eastAsia="en-US"/>
              </w:rPr>
              <w:t>7%)</w:t>
            </w:r>
            <w:r w:rsidR="00DD4EFD" w:rsidRPr="00DD6E6B">
              <w:rPr>
                <w:spacing w:val="-3"/>
                <w:lang w:val="en-GB" w:eastAsia="en-US"/>
              </w:rPr>
              <w:t xml:space="preserve"> as well as financial institutions </w:t>
            </w:r>
            <w:r w:rsidR="00C6020C" w:rsidRPr="00DD6E6B">
              <w:rPr>
                <w:spacing w:val="-3"/>
                <w:lang w:val="en-GB" w:eastAsia="en-US"/>
              </w:rPr>
              <w:t>(40</w:t>
            </w:r>
            <w:r w:rsidR="00DD4EFD" w:rsidRPr="00DD6E6B">
              <w:rPr>
                <w:spacing w:val="-3"/>
                <w:lang w:val="en-GB" w:eastAsia="en-US"/>
              </w:rPr>
              <w:t>.</w:t>
            </w:r>
            <w:r w:rsidR="00C6020C" w:rsidRPr="00DD6E6B">
              <w:rPr>
                <w:spacing w:val="-3"/>
                <w:lang w:val="en-GB" w:eastAsia="en-US"/>
              </w:rPr>
              <w:t xml:space="preserve">8%). </w:t>
            </w:r>
            <w:r w:rsidR="00DD4EFD" w:rsidRPr="00DD6E6B">
              <w:rPr>
                <w:spacing w:val="-3"/>
                <w:lang w:val="en-GB" w:eastAsia="en-US"/>
              </w:rPr>
              <w:t>The year-on-year growth of deposits also strengthened (5.7%) in case of households</w:t>
            </w:r>
            <w:r w:rsidR="00C6020C" w:rsidRPr="00DD6E6B">
              <w:rPr>
                <w:rStyle w:val="Znakapoznpodarou"/>
                <w:spacing w:val="-3"/>
                <w:lang w:val="en-GB" w:eastAsia="en-US"/>
              </w:rPr>
              <w:footnoteReference w:id="80"/>
            </w:r>
            <w:r w:rsidR="00DD4EFD" w:rsidRPr="00DD6E6B">
              <w:rPr>
                <w:spacing w:val="-3"/>
                <w:lang w:val="en-GB" w:eastAsia="en-US"/>
              </w:rPr>
              <w:t xml:space="preserve">. </w:t>
            </w:r>
            <w:r w:rsidR="00C6020C" w:rsidRPr="00DD6E6B">
              <w:rPr>
                <w:spacing w:val="-3"/>
                <w:lang w:val="en-GB" w:eastAsia="en-US"/>
              </w:rPr>
              <w:t xml:space="preserve"> </w:t>
            </w:r>
          </w:p>
        </w:tc>
      </w:tr>
      <w:tr w:rsidR="00C6020C" w:rsidRPr="00DD6E6B" w14:paraId="3210B239" w14:textId="77777777" w:rsidTr="006849F8">
        <w:trPr>
          <w:trHeight w:val="145"/>
        </w:trPr>
        <w:tc>
          <w:tcPr>
            <w:tcW w:w="1802" w:type="dxa"/>
          </w:tcPr>
          <w:p w14:paraId="457815B2" w14:textId="6E19EAA5" w:rsidR="00C6020C" w:rsidRPr="00DD6E6B" w:rsidRDefault="00667888" w:rsidP="006849F8">
            <w:pPr>
              <w:pStyle w:val="Marginlie"/>
              <w:rPr>
                <w:lang w:val="en-GB" w:eastAsia="en-US"/>
              </w:rPr>
            </w:pPr>
            <w:r w:rsidRPr="00DD6E6B">
              <w:rPr>
                <w:lang w:val="en-GB" w:eastAsia="en-US"/>
              </w:rPr>
              <w:t xml:space="preserve">Households still faced rising interest rates of mortgages. </w:t>
            </w:r>
          </w:p>
        </w:tc>
        <w:tc>
          <w:tcPr>
            <w:tcW w:w="229" w:type="dxa"/>
          </w:tcPr>
          <w:p w14:paraId="2AE52A34" w14:textId="77777777" w:rsidR="00C6020C" w:rsidRPr="00DD6E6B" w:rsidRDefault="00C6020C" w:rsidP="006849F8">
            <w:pPr>
              <w:pStyle w:val="Textpoznpodarou"/>
              <w:jc w:val="both"/>
              <w:rPr>
                <w:spacing w:val="-4"/>
                <w:lang w:val="en-GB" w:eastAsia="en-US"/>
              </w:rPr>
            </w:pPr>
          </w:p>
        </w:tc>
        <w:tc>
          <w:tcPr>
            <w:tcW w:w="7610" w:type="dxa"/>
          </w:tcPr>
          <w:p w14:paraId="3490CCE1" w14:textId="79FA516D" w:rsidR="00C6020C" w:rsidRPr="00DD6E6B" w:rsidRDefault="005C15CC" w:rsidP="006849F8">
            <w:pPr>
              <w:rPr>
                <w:lang w:val="en-GB" w:eastAsia="en-US"/>
              </w:rPr>
            </w:pPr>
            <w:r w:rsidRPr="00DD6E6B">
              <w:rPr>
                <w:lang w:val="en-GB" w:eastAsia="en-US"/>
              </w:rPr>
              <w:t xml:space="preserve">Consumer credit of household has on average interest of 9.51% at the end of June, which is nearly unchanged level compared to the end of March </w:t>
            </w:r>
            <w:r w:rsidR="00C6020C" w:rsidRPr="00DD6E6B">
              <w:rPr>
                <w:lang w:val="en-GB" w:eastAsia="en-US"/>
              </w:rPr>
              <w:t>(+0</w:t>
            </w:r>
            <w:r w:rsidRPr="00DD6E6B">
              <w:rPr>
                <w:lang w:val="en-GB" w:eastAsia="en-US"/>
              </w:rPr>
              <w:t>.</w:t>
            </w:r>
            <w:r w:rsidR="00C6020C" w:rsidRPr="00DD6E6B">
              <w:rPr>
                <w:lang w:val="en-GB" w:eastAsia="en-US"/>
              </w:rPr>
              <w:t xml:space="preserve">02 p. </w:t>
            </w:r>
            <w:r w:rsidRPr="00DD6E6B">
              <w:rPr>
                <w:lang w:val="en-GB" w:eastAsia="en-US"/>
              </w:rPr>
              <w:t>p</w:t>
            </w:r>
            <w:r w:rsidR="00C6020C" w:rsidRPr="00DD6E6B">
              <w:rPr>
                <w:lang w:val="en-GB" w:eastAsia="en-US"/>
              </w:rPr>
              <w:t>.).</w:t>
            </w:r>
            <w:r w:rsidRPr="00DD6E6B">
              <w:rPr>
                <w:lang w:val="en-GB" w:eastAsia="en-US"/>
              </w:rPr>
              <w:t xml:space="preserve"> The volume of consumer credit, which were provided to households in Q</w:t>
            </w:r>
            <w:r w:rsidR="00C6020C" w:rsidRPr="00DD6E6B">
              <w:rPr>
                <w:lang w:val="en-GB" w:eastAsia="en-US"/>
              </w:rPr>
              <w:t>2</w:t>
            </w:r>
            <w:r w:rsidRPr="00DD6E6B">
              <w:rPr>
                <w:lang w:val="en-GB" w:eastAsia="en-US"/>
              </w:rPr>
              <w:t xml:space="preserve"> jumped up by 1</w:t>
            </w:r>
            <w:r w:rsidR="00C6020C" w:rsidRPr="00DD6E6B">
              <w:rPr>
                <w:lang w:val="en-GB" w:eastAsia="en-US"/>
              </w:rPr>
              <w:t>0</w:t>
            </w:r>
            <w:r w:rsidRPr="00DD6E6B">
              <w:rPr>
                <w:lang w:val="en-GB" w:eastAsia="en-US"/>
              </w:rPr>
              <w:t>.</w:t>
            </w:r>
            <w:r w:rsidR="00C6020C" w:rsidRPr="00DD6E6B">
              <w:rPr>
                <w:lang w:val="en-GB" w:eastAsia="en-US"/>
              </w:rPr>
              <w:t>2%</w:t>
            </w:r>
            <w:r w:rsidRPr="00DD6E6B">
              <w:rPr>
                <w:lang w:val="en-GB" w:eastAsia="en-US"/>
              </w:rPr>
              <w:t xml:space="preserve"> year-on-year</w:t>
            </w:r>
            <w:r w:rsidR="00C6020C" w:rsidRPr="00DD6E6B">
              <w:rPr>
                <w:lang w:val="en-GB" w:eastAsia="en-US"/>
              </w:rPr>
              <w:t>,</w:t>
            </w:r>
            <w:r w:rsidRPr="00DD6E6B">
              <w:rPr>
                <w:lang w:val="en-GB" w:eastAsia="en-US"/>
              </w:rPr>
              <w:t xml:space="preserve"> which represents a significant accelerat</w:t>
            </w:r>
            <w:r w:rsidR="00276F97">
              <w:rPr>
                <w:lang w:val="en-GB" w:eastAsia="en-US"/>
              </w:rPr>
              <w:t>ion</w:t>
            </w:r>
            <w:r w:rsidRPr="00DD6E6B">
              <w:rPr>
                <w:lang w:val="en-GB" w:eastAsia="en-US"/>
              </w:rPr>
              <w:t xml:space="preserve"> of the pace. The average interest on </w:t>
            </w:r>
            <w:r w:rsidR="00775327" w:rsidRPr="00DD6E6B">
              <w:rPr>
                <w:lang w:val="en-GB" w:eastAsia="en-US"/>
              </w:rPr>
              <w:t xml:space="preserve">mortgages went up by </w:t>
            </w:r>
            <w:r w:rsidR="00C6020C" w:rsidRPr="00DD6E6B">
              <w:rPr>
                <w:lang w:val="en-GB" w:eastAsia="en-US"/>
              </w:rPr>
              <w:t>0</w:t>
            </w:r>
            <w:r w:rsidR="00775327" w:rsidRPr="00DD6E6B">
              <w:rPr>
                <w:lang w:val="en-GB" w:eastAsia="en-US"/>
              </w:rPr>
              <w:t>.</w:t>
            </w:r>
            <w:r w:rsidR="00C6020C" w:rsidRPr="00DD6E6B">
              <w:rPr>
                <w:lang w:val="en-GB" w:eastAsia="en-US"/>
              </w:rPr>
              <w:t xml:space="preserve">21 p. </w:t>
            </w:r>
            <w:r w:rsidR="00775327" w:rsidRPr="00DD6E6B">
              <w:rPr>
                <w:lang w:val="en-GB" w:eastAsia="en-US"/>
              </w:rPr>
              <w:t xml:space="preserve">p. to </w:t>
            </w:r>
            <w:r w:rsidR="00C6020C" w:rsidRPr="00DD6E6B">
              <w:rPr>
                <w:lang w:val="en-GB" w:eastAsia="en-US"/>
              </w:rPr>
              <w:t>5</w:t>
            </w:r>
            <w:r w:rsidR="00775327" w:rsidRPr="00DD6E6B">
              <w:rPr>
                <w:lang w:val="en-GB" w:eastAsia="en-US"/>
              </w:rPr>
              <w:t>.</w:t>
            </w:r>
            <w:r w:rsidR="00C6020C" w:rsidRPr="00DD6E6B">
              <w:rPr>
                <w:lang w:val="en-GB" w:eastAsia="en-US"/>
              </w:rPr>
              <w:t>4%</w:t>
            </w:r>
            <w:r w:rsidR="00775327" w:rsidRPr="00DD6E6B">
              <w:rPr>
                <w:lang w:val="en-GB" w:eastAsia="en-US"/>
              </w:rPr>
              <w:t xml:space="preserve"> in Q2</w:t>
            </w:r>
            <w:r w:rsidR="00C6020C" w:rsidRPr="00DD6E6B">
              <w:rPr>
                <w:lang w:val="en-GB" w:eastAsia="en-US"/>
              </w:rPr>
              <w:t>.</w:t>
            </w:r>
            <w:r w:rsidR="00775327" w:rsidRPr="00DD6E6B">
              <w:rPr>
                <w:lang w:val="en-GB" w:eastAsia="en-US"/>
              </w:rPr>
              <w:t xml:space="preserve"> The volume of provided mortgages was by 4.8% higher year-on-year at the end of June and the pace thus slightly accelerated compared to the record low level of the preceding quarter. </w:t>
            </w:r>
            <w:r w:rsidR="006712D8" w:rsidRPr="00DD6E6B">
              <w:rPr>
                <w:lang w:val="en-GB" w:eastAsia="en-US"/>
              </w:rPr>
              <w:t xml:space="preserve">Vast majority of provided credit for housing comprise mortgages </w:t>
            </w:r>
            <w:r w:rsidR="00C6020C" w:rsidRPr="00DD6E6B">
              <w:rPr>
                <w:lang w:val="en-GB" w:eastAsia="en-US"/>
              </w:rPr>
              <w:t>(</w:t>
            </w:r>
            <w:r w:rsidR="006712D8" w:rsidRPr="00DD6E6B">
              <w:rPr>
                <w:lang w:val="en-GB" w:eastAsia="en-US"/>
              </w:rPr>
              <w:t xml:space="preserve">they increased by </w:t>
            </w:r>
            <w:r w:rsidR="00C6020C" w:rsidRPr="00DD6E6B">
              <w:rPr>
                <w:lang w:val="en-GB" w:eastAsia="en-US"/>
              </w:rPr>
              <w:t>4</w:t>
            </w:r>
            <w:r w:rsidR="006712D8" w:rsidRPr="00DD6E6B">
              <w:rPr>
                <w:lang w:val="en-GB" w:eastAsia="en-US"/>
              </w:rPr>
              <w:t>.</w:t>
            </w:r>
            <w:r w:rsidR="00C6020C" w:rsidRPr="00DD6E6B">
              <w:rPr>
                <w:lang w:val="en-GB" w:eastAsia="en-US"/>
              </w:rPr>
              <w:t>8%),</w:t>
            </w:r>
            <w:r w:rsidR="006712D8" w:rsidRPr="00DD6E6B">
              <w:rPr>
                <w:lang w:val="en-GB" w:eastAsia="en-US"/>
              </w:rPr>
              <w:t xml:space="preserve"> but steep expansion of the volume of standard credit from </w:t>
            </w:r>
            <w:r w:rsidR="007A3C7D">
              <w:rPr>
                <w:lang w:val="en-GB" w:eastAsia="en-US"/>
              </w:rPr>
              <w:t>construction</w:t>
            </w:r>
            <w:r w:rsidR="006712D8" w:rsidRPr="00DD6E6B">
              <w:rPr>
                <w:lang w:val="en-GB" w:eastAsia="en-US"/>
              </w:rPr>
              <w:t xml:space="preserve"> savings </w:t>
            </w:r>
            <w:r w:rsidR="00AF31F3" w:rsidRPr="00DD6E6B">
              <w:rPr>
                <w:lang w:val="en-GB" w:eastAsia="en-US"/>
              </w:rPr>
              <w:t>i</w:t>
            </w:r>
            <w:r w:rsidR="006712D8" w:rsidRPr="00DD6E6B">
              <w:rPr>
                <w:lang w:val="en-GB" w:eastAsia="en-US"/>
              </w:rPr>
              <w:t>s evident in the last year</w:t>
            </w:r>
            <w:r w:rsidR="00C6020C" w:rsidRPr="00DD6E6B">
              <w:rPr>
                <w:lang w:val="en-GB" w:eastAsia="en-US"/>
              </w:rPr>
              <w:t>. T</w:t>
            </w:r>
            <w:r w:rsidR="006712D8" w:rsidRPr="00DD6E6B">
              <w:rPr>
                <w:lang w:val="en-GB" w:eastAsia="en-US"/>
              </w:rPr>
              <w:t xml:space="preserve">hese were by 24.3% higher year-on-year at the end of June. </w:t>
            </w:r>
            <w:r w:rsidR="006712D8" w:rsidRPr="00DD6E6B">
              <w:rPr>
                <w:lang w:val="en-GB" w:eastAsia="en-US"/>
              </w:rPr>
              <w:lastRenderedPageBreak/>
              <w:t>The volume of new mortgages</w:t>
            </w:r>
            <w:r w:rsidR="00C6020C" w:rsidRPr="00DD6E6B">
              <w:rPr>
                <w:rStyle w:val="Znakapoznpodarou"/>
                <w:lang w:val="en-GB" w:eastAsia="en-US"/>
              </w:rPr>
              <w:footnoteReference w:id="81"/>
            </w:r>
            <w:r w:rsidR="00C6020C" w:rsidRPr="00DD6E6B">
              <w:rPr>
                <w:lang w:val="en-GB" w:eastAsia="en-US"/>
              </w:rPr>
              <w:t xml:space="preserve"> </w:t>
            </w:r>
            <w:r w:rsidR="006712D8" w:rsidRPr="00DD6E6B">
              <w:rPr>
                <w:lang w:val="en-GB" w:eastAsia="en-US"/>
              </w:rPr>
              <w:t>for Q</w:t>
            </w:r>
            <w:r w:rsidR="00C6020C" w:rsidRPr="00DD6E6B">
              <w:rPr>
                <w:lang w:val="en-GB" w:eastAsia="en-US"/>
              </w:rPr>
              <w:t>2</w:t>
            </w:r>
            <w:r w:rsidR="006712D8" w:rsidRPr="00DD6E6B">
              <w:rPr>
                <w:lang w:val="en-GB" w:eastAsia="en-US"/>
              </w:rPr>
              <w:t xml:space="preserve"> </w:t>
            </w:r>
            <w:r w:rsidR="00C6020C" w:rsidRPr="00DD6E6B">
              <w:rPr>
                <w:lang w:val="en-GB" w:eastAsia="en-US"/>
              </w:rPr>
              <w:t>(21</w:t>
            </w:r>
            <w:r w:rsidR="006712D8" w:rsidRPr="00DD6E6B">
              <w:rPr>
                <w:lang w:val="en-GB" w:eastAsia="en-US"/>
              </w:rPr>
              <w:t>.</w:t>
            </w:r>
            <w:r w:rsidR="00C6020C" w:rsidRPr="00DD6E6B">
              <w:rPr>
                <w:lang w:val="en-GB" w:eastAsia="en-US"/>
              </w:rPr>
              <w:t>8</w:t>
            </w:r>
            <w:r w:rsidR="006712D8" w:rsidRPr="00DD6E6B">
              <w:rPr>
                <w:lang w:val="en-GB" w:eastAsia="en-US"/>
              </w:rPr>
              <w:t xml:space="preserve"> CZK bn</w:t>
            </w:r>
            <w:r w:rsidR="00C6020C" w:rsidRPr="00DD6E6B">
              <w:rPr>
                <w:lang w:val="en-GB" w:eastAsia="en-US"/>
              </w:rPr>
              <w:t>)</w:t>
            </w:r>
            <w:r w:rsidR="006712D8" w:rsidRPr="00DD6E6B">
              <w:rPr>
                <w:lang w:val="en-GB" w:eastAsia="en-US"/>
              </w:rPr>
              <w:t xml:space="preserve"> was similar as in Q</w:t>
            </w:r>
            <w:r w:rsidR="00C6020C" w:rsidRPr="00DD6E6B">
              <w:rPr>
                <w:lang w:val="en-GB" w:eastAsia="en-US"/>
              </w:rPr>
              <w:t>1.</w:t>
            </w:r>
            <w:r w:rsidR="006712D8" w:rsidRPr="00DD6E6B">
              <w:rPr>
                <w:lang w:val="en-GB" w:eastAsia="en-US"/>
              </w:rPr>
              <w:t xml:space="preserve"> In that the </w:t>
            </w:r>
            <w:r w:rsidR="007A3C7D">
              <w:rPr>
                <w:lang w:val="en-GB" w:eastAsia="en-US"/>
              </w:rPr>
              <w:t>p</w:t>
            </w:r>
            <w:r w:rsidR="007A3C7D" w:rsidRPr="007A3C7D">
              <w:rPr>
                <w:lang w:val="en-GB" w:eastAsia="en-US"/>
              </w:rPr>
              <w:t>ure new loans including extension</w:t>
            </w:r>
            <w:r w:rsidR="007A3C7D">
              <w:rPr>
                <w:lang w:val="en-GB" w:eastAsia="en-US"/>
              </w:rPr>
              <w:t xml:space="preserve"> </w:t>
            </w:r>
            <w:r w:rsidR="00CF6E87" w:rsidRPr="00DD6E6B">
              <w:rPr>
                <w:lang w:val="en-GB" w:eastAsia="en-US"/>
              </w:rPr>
              <w:t xml:space="preserve">constituted </w:t>
            </w:r>
            <w:r w:rsidR="00C6020C" w:rsidRPr="00DD6E6B">
              <w:rPr>
                <w:lang w:val="en-GB" w:eastAsia="en-US"/>
              </w:rPr>
              <w:t>10</w:t>
            </w:r>
            <w:r w:rsidR="00CF6E87" w:rsidRPr="00DD6E6B">
              <w:rPr>
                <w:lang w:val="en-GB" w:eastAsia="en-US"/>
              </w:rPr>
              <w:t>.</w:t>
            </w:r>
            <w:r w:rsidR="00C6020C" w:rsidRPr="00DD6E6B">
              <w:rPr>
                <w:lang w:val="en-GB" w:eastAsia="en-US"/>
              </w:rPr>
              <w:t>5</w:t>
            </w:r>
            <w:r w:rsidR="00CF6E87" w:rsidRPr="00DD6E6B">
              <w:rPr>
                <w:lang w:val="en-GB" w:eastAsia="en-US"/>
              </w:rPr>
              <w:t xml:space="preserve"> CZK bn and </w:t>
            </w:r>
            <w:r w:rsidR="007A3C7D">
              <w:rPr>
                <w:lang w:val="en-GB" w:eastAsia="en-US"/>
              </w:rPr>
              <w:t>o</w:t>
            </w:r>
            <w:r w:rsidR="007A3C7D" w:rsidRPr="007A3C7D">
              <w:rPr>
                <w:lang w:val="en-GB" w:eastAsia="en-US"/>
              </w:rPr>
              <w:t>ther renegotiated loans</w:t>
            </w:r>
            <w:r w:rsidR="00CF6E87" w:rsidRPr="00DD6E6B">
              <w:rPr>
                <w:lang w:val="en-GB" w:eastAsia="en-US"/>
              </w:rPr>
              <w:t xml:space="preserve"> 9.</w:t>
            </w:r>
            <w:r w:rsidR="00C6020C" w:rsidRPr="00DD6E6B">
              <w:rPr>
                <w:lang w:val="en-GB" w:eastAsia="en-US"/>
              </w:rPr>
              <w:t>7</w:t>
            </w:r>
            <w:r w:rsidR="00CF6E87" w:rsidRPr="00DD6E6B">
              <w:rPr>
                <w:lang w:val="en-GB" w:eastAsia="en-US"/>
              </w:rPr>
              <w:t xml:space="preserve"> bn</w:t>
            </w:r>
            <w:r w:rsidR="00C6020C" w:rsidRPr="00DD6E6B">
              <w:rPr>
                <w:lang w:val="en-GB" w:eastAsia="en-US"/>
              </w:rPr>
              <w:t xml:space="preserve">. </w:t>
            </w:r>
            <w:r w:rsidR="007C6002" w:rsidRPr="00DD6E6B">
              <w:rPr>
                <w:lang w:val="en-GB" w:eastAsia="en-US"/>
              </w:rPr>
              <w:t>The process of negotiation of expiring loan fixations created during the last years of the mortgage boom thus continues</w:t>
            </w:r>
            <w:r w:rsidR="00C6020C" w:rsidRPr="00DD6E6B">
              <w:rPr>
                <w:lang w:val="en-GB" w:eastAsia="en-US"/>
              </w:rPr>
              <w:t xml:space="preserve">. </w:t>
            </w:r>
            <w:r w:rsidR="00586D16" w:rsidRPr="00DD6E6B">
              <w:rPr>
                <w:lang w:val="en-GB" w:eastAsia="en-US"/>
              </w:rPr>
              <w:t>Refinanced credit formed o</w:t>
            </w:r>
            <w:r w:rsidR="006712D8" w:rsidRPr="00DD6E6B">
              <w:rPr>
                <w:lang w:val="en-GB" w:eastAsia="en-US"/>
              </w:rPr>
              <w:t>nly fraction of new contracts</w:t>
            </w:r>
            <w:r w:rsidR="00586D16" w:rsidRPr="00DD6E6B">
              <w:rPr>
                <w:lang w:val="en-GB" w:eastAsia="en-US"/>
              </w:rPr>
              <w:t xml:space="preserve"> </w:t>
            </w:r>
            <w:r w:rsidR="00C6020C" w:rsidRPr="00DD6E6B">
              <w:rPr>
                <w:lang w:val="en-GB" w:eastAsia="en-US"/>
              </w:rPr>
              <w:t>(1</w:t>
            </w:r>
            <w:r w:rsidR="00586D16" w:rsidRPr="00DD6E6B">
              <w:rPr>
                <w:lang w:val="en-GB" w:eastAsia="en-US"/>
              </w:rPr>
              <w:t>.</w:t>
            </w:r>
            <w:r w:rsidR="00C6020C" w:rsidRPr="00DD6E6B">
              <w:rPr>
                <w:lang w:val="en-GB" w:eastAsia="en-US"/>
              </w:rPr>
              <w:t xml:space="preserve">6 </w:t>
            </w:r>
            <w:r w:rsidR="00586D16" w:rsidRPr="00DD6E6B">
              <w:rPr>
                <w:lang w:val="en-GB" w:eastAsia="en-US"/>
              </w:rPr>
              <w:t>CZK bn</w:t>
            </w:r>
            <w:r w:rsidR="00C6020C" w:rsidRPr="00DD6E6B">
              <w:rPr>
                <w:lang w:val="en-GB" w:eastAsia="en-US"/>
              </w:rPr>
              <w:t>).</w:t>
            </w:r>
          </w:p>
        </w:tc>
      </w:tr>
      <w:tr w:rsidR="00C6020C" w:rsidRPr="00DD6E6B" w14:paraId="2D3CB968" w14:textId="77777777" w:rsidTr="006849F8">
        <w:trPr>
          <w:trHeight w:val="145"/>
        </w:trPr>
        <w:tc>
          <w:tcPr>
            <w:tcW w:w="1802" w:type="dxa"/>
          </w:tcPr>
          <w:p w14:paraId="4592106B" w14:textId="266CF86B" w:rsidR="00C6020C" w:rsidRPr="00DD6E6B" w:rsidRDefault="00D37DBD" w:rsidP="006849F8">
            <w:pPr>
              <w:pStyle w:val="Marginlie"/>
              <w:rPr>
                <w:lang w:val="en-GB" w:eastAsia="en-US"/>
              </w:rPr>
            </w:pPr>
            <w:r w:rsidRPr="00DD6E6B">
              <w:rPr>
                <w:lang w:val="en-GB" w:eastAsia="en-US"/>
              </w:rPr>
              <w:lastRenderedPageBreak/>
              <w:t>On the contrary the interest rates to non-financial business</w:t>
            </w:r>
            <w:r w:rsidR="00801D2D" w:rsidRPr="00DD6E6B">
              <w:rPr>
                <w:lang w:val="en-GB" w:eastAsia="en-US"/>
              </w:rPr>
              <w:t>es</w:t>
            </w:r>
            <w:r w:rsidRPr="00DD6E6B">
              <w:rPr>
                <w:lang w:val="en-GB" w:eastAsia="en-US"/>
              </w:rPr>
              <w:t xml:space="preserve"> slightly decreased. </w:t>
            </w:r>
          </w:p>
        </w:tc>
        <w:tc>
          <w:tcPr>
            <w:tcW w:w="229" w:type="dxa"/>
          </w:tcPr>
          <w:p w14:paraId="0F8CBF4D" w14:textId="77777777" w:rsidR="00C6020C" w:rsidRPr="00DD6E6B" w:rsidRDefault="00C6020C" w:rsidP="006849F8">
            <w:pPr>
              <w:pStyle w:val="Textpoznpodarou"/>
              <w:jc w:val="both"/>
              <w:rPr>
                <w:spacing w:val="-4"/>
                <w:lang w:val="en-GB" w:eastAsia="en-US"/>
              </w:rPr>
            </w:pPr>
          </w:p>
        </w:tc>
        <w:tc>
          <w:tcPr>
            <w:tcW w:w="7610" w:type="dxa"/>
          </w:tcPr>
          <w:p w14:paraId="2593AC10" w14:textId="64858D8A" w:rsidR="00C6020C" w:rsidRPr="00DD6E6B" w:rsidRDefault="000D6028" w:rsidP="006849F8">
            <w:pPr>
              <w:rPr>
                <w:lang w:val="en-GB" w:eastAsia="en-US"/>
              </w:rPr>
            </w:pPr>
            <w:r w:rsidRPr="00DD6E6B">
              <w:rPr>
                <w:lang w:val="en-GB" w:eastAsia="en-US"/>
              </w:rPr>
              <w:t>The price of credit financing slightly fell to non-financial business</w:t>
            </w:r>
            <w:r w:rsidR="00801D2D" w:rsidRPr="00DD6E6B">
              <w:rPr>
                <w:lang w:val="en-GB" w:eastAsia="en-US"/>
              </w:rPr>
              <w:t>es</w:t>
            </w:r>
            <w:r w:rsidRPr="00DD6E6B">
              <w:rPr>
                <w:lang w:val="en-GB" w:eastAsia="en-US"/>
              </w:rPr>
              <w:t xml:space="preserve"> in Q</w:t>
            </w:r>
            <w:r w:rsidR="00C6020C" w:rsidRPr="00DD6E6B">
              <w:rPr>
                <w:lang w:val="en-GB" w:eastAsia="en-US"/>
              </w:rPr>
              <w:t>2.</w:t>
            </w:r>
            <w:r w:rsidRPr="00DD6E6B">
              <w:rPr>
                <w:lang w:val="en-GB" w:eastAsia="en-US"/>
              </w:rPr>
              <w:t xml:space="preserve"> The average interest rate of credit </w:t>
            </w:r>
            <w:r w:rsidR="00C917A7" w:rsidRPr="00DD6E6B">
              <w:rPr>
                <w:lang w:val="en-GB" w:eastAsia="en-US"/>
              </w:rPr>
              <w:t xml:space="preserve">went slightly down. The average interest rate on credits in the volume up to </w:t>
            </w:r>
            <w:r w:rsidR="00C6020C" w:rsidRPr="00DD6E6B">
              <w:rPr>
                <w:lang w:val="en-GB" w:eastAsia="en-US"/>
              </w:rPr>
              <w:t>7</w:t>
            </w:r>
            <w:r w:rsidR="00C917A7" w:rsidRPr="00DD6E6B">
              <w:rPr>
                <w:lang w:val="en-GB" w:eastAsia="en-US"/>
              </w:rPr>
              <w:t>.</w:t>
            </w:r>
            <w:r w:rsidR="00C6020C" w:rsidRPr="00DD6E6B">
              <w:rPr>
                <w:lang w:val="en-GB" w:eastAsia="en-US"/>
              </w:rPr>
              <w:t>5</w:t>
            </w:r>
            <w:r w:rsidR="00C917A7" w:rsidRPr="00DD6E6B">
              <w:rPr>
                <w:lang w:val="en-GB" w:eastAsia="en-US"/>
              </w:rPr>
              <w:t xml:space="preserve"> CZK mil inclusive was lowered by </w:t>
            </w:r>
            <w:r w:rsidR="00C6020C" w:rsidRPr="00DD6E6B">
              <w:rPr>
                <w:lang w:val="en-GB" w:eastAsia="en-US"/>
              </w:rPr>
              <w:t>0</w:t>
            </w:r>
            <w:r w:rsidR="00C917A7" w:rsidRPr="00DD6E6B">
              <w:rPr>
                <w:lang w:val="en-GB" w:eastAsia="en-US"/>
              </w:rPr>
              <w:t>.</w:t>
            </w:r>
            <w:r w:rsidR="00C6020C" w:rsidRPr="00DD6E6B">
              <w:rPr>
                <w:lang w:val="en-GB" w:eastAsia="en-US"/>
              </w:rPr>
              <w:t xml:space="preserve">63 p. </w:t>
            </w:r>
            <w:r w:rsidR="00C917A7" w:rsidRPr="00DD6E6B">
              <w:rPr>
                <w:lang w:val="en-GB" w:eastAsia="en-US"/>
              </w:rPr>
              <w:t>p</w:t>
            </w:r>
            <w:r w:rsidR="00C6020C" w:rsidRPr="00DD6E6B">
              <w:rPr>
                <w:lang w:val="en-GB" w:eastAsia="en-US"/>
              </w:rPr>
              <w:t xml:space="preserve">. </w:t>
            </w:r>
            <w:r w:rsidR="00C917A7" w:rsidRPr="00DD6E6B">
              <w:rPr>
                <w:lang w:val="en-GB" w:eastAsia="en-US"/>
              </w:rPr>
              <w:t xml:space="preserve">to </w:t>
            </w:r>
            <w:r w:rsidR="00C6020C" w:rsidRPr="00DD6E6B">
              <w:rPr>
                <w:lang w:val="en-GB" w:eastAsia="en-US"/>
              </w:rPr>
              <w:t>8</w:t>
            </w:r>
            <w:r w:rsidR="00C917A7" w:rsidRPr="00DD6E6B">
              <w:rPr>
                <w:lang w:val="en-GB" w:eastAsia="en-US"/>
              </w:rPr>
              <w:t>.</w:t>
            </w:r>
            <w:r w:rsidR="00C6020C" w:rsidRPr="00DD6E6B">
              <w:rPr>
                <w:lang w:val="en-GB" w:eastAsia="en-US"/>
              </w:rPr>
              <w:t xml:space="preserve">03%, </w:t>
            </w:r>
            <w:r w:rsidR="00C917A7" w:rsidRPr="00DD6E6B">
              <w:rPr>
                <w:lang w:val="en-GB" w:eastAsia="en-US"/>
              </w:rPr>
              <w:t xml:space="preserve">for volumes between </w:t>
            </w:r>
            <w:r w:rsidR="00C6020C" w:rsidRPr="00DD6E6B">
              <w:rPr>
                <w:lang w:val="en-GB" w:eastAsia="en-US"/>
              </w:rPr>
              <w:t>7</w:t>
            </w:r>
            <w:r w:rsidR="00C917A7" w:rsidRPr="00DD6E6B">
              <w:rPr>
                <w:lang w:val="en-GB" w:eastAsia="en-US"/>
              </w:rPr>
              <w:t>.</w:t>
            </w:r>
            <w:r w:rsidR="00C6020C" w:rsidRPr="00DD6E6B">
              <w:rPr>
                <w:lang w:val="en-GB" w:eastAsia="en-US"/>
              </w:rPr>
              <w:t>5 a</w:t>
            </w:r>
            <w:r w:rsidR="00C917A7" w:rsidRPr="00DD6E6B">
              <w:rPr>
                <w:lang w:val="en-GB" w:eastAsia="en-US"/>
              </w:rPr>
              <w:t>nd</w:t>
            </w:r>
            <w:r w:rsidR="00C6020C" w:rsidRPr="00DD6E6B">
              <w:rPr>
                <w:lang w:val="en-GB" w:eastAsia="en-US"/>
              </w:rPr>
              <w:t xml:space="preserve"> 30 </w:t>
            </w:r>
            <w:r w:rsidR="00C917A7" w:rsidRPr="00DD6E6B">
              <w:rPr>
                <w:lang w:val="en-GB" w:eastAsia="en-US"/>
              </w:rPr>
              <w:t xml:space="preserve">mil it lowered by </w:t>
            </w:r>
            <w:r w:rsidR="00C6020C" w:rsidRPr="00DD6E6B">
              <w:rPr>
                <w:lang w:val="en-GB" w:eastAsia="en-US"/>
              </w:rPr>
              <w:t>0</w:t>
            </w:r>
            <w:r w:rsidR="00C917A7" w:rsidRPr="00DD6E6B">
              <w:rPr>
                <w:lang w:val="en-GB" w:eastAsia="en-US"/>
              </w:rPr>
              <w:t>.</w:t>
            </w:r>
            <w:r w:rsidR="00C6020C" w:rsidRPr="00DD6E6B">
              <w:rPr>
                <w:lang w:val="en-GB" w:eastAsia="en-US"/>
              </w:rPr>
              <w:t xml:space="preserve">20 p. </w:t>
            </w:r>
            <w:r w:rsidR="00C917A7" w:rsidRPr="00DD6E6B">
              <w:rPr>
                <w:lang w:val="en-GB" w:eastAsia="en-US"/>
              </w:rPr>
              <w:t>p</w:t>
            </w:r>
            <w:r w:rsidR="00C6020C" w:rsidRPr="00DD6E6B">
              <w:rPr>
                <w:lang w:val="en-GB" w:eastAsia="en-US"/>
              </w:rPr>
              <w:t xml:space="preserve">. </w:t>
            </w:r>
            <w:r w:rsidR="00C917A7" w:rsidRPr="00DD6E6B">
              <w:rPr>
                <w:lang w:val="en-GB" w:eastAsia="en-US"/>
              </w:rPr>
              <w:t xml:space="preserve">to </w:t>
            </w:r>
            <w:r w:rsidR="00C6020C" w:rsidRPr="00DD6E6B">
              <w:rPr>
                <w:lang w:val="en-GB" w:eastAsia="en-US"/>
              </w:rPr>
              <w:t>8</w:t>
            </w:r>
            <w:r w:rsidR="00C917A7" w:rsidRPr="00DD6E6B">
              <w:rPr>
                <w:lang w:val="en-GB" w:eastAsia="en-US"/>
              </w:rPr>
              <w:t>.</w:t>
            </w:r>
            <w:r w:rsidR="00C6020C" w:rsidRPr="00DD6E6B">
              <w:rPr>
                <w:lang w:val="en-GB" w:eastAsia="en-US"/>
              </w:rPr>
              <w:t>94% a</w:t>
            </w:r>
            <w:r w:rsidR="00C917A7" w:rsidRPr="00DD6E6B">
              <w:rPr>
                <w:lang w:val="en-GB" w:eastAsia="en-US"/>
              </w:rPr>
              <w:t xml:space="preserve">nd in the highest category of credit over </w:t>
            </w:r>
            <w:r w:rsidR="00C6020C" w:rsidRPr="00DD6E6B">
              <w:rPr>
                <w:lang w:val="en-GB" w:eastAsia="en-US"/>
              </w:rPr>
              <w:t>30</w:t>
            </w:r>
            <w:r w:rsidR="00C917A7" w:rsidRPr="00DD6E6B">
              <w:rPr>
                <w:lang w:val="en-GB" w:eastAsia="en-US"/>
              </w:rPr>
              <w:t xml:space="preserve"> mil the interest lowered only little by </w:t>
            </w:r>
            <w:r w:rsidR="00C6020C" w:rsidRPr="00DD6E6B">
              <w:rPr>
                <w:lang w:val="en-GB" w:eastAsia="en-US"/>
              </w:rPr>
              <w:t>0</w:t>
            </w:r>
            <w:r w:rsidR="00C917A7" w:rsidRPr="00DD6E6B">
              <w:rPr>
                <w:lang w:val="en-GB" w:eastAsia="en-US"/>
              </w:rPr>
              <w:t>.</w:t>
            </w:r>
            <w:r w:rsidR="00C6020C" w:rsidRPr="00DD6E6B">
              <w:rPr>
                <w:lang w:val="en-GB" w:eastAsia="en-US"/>
              </w:rPr>
              <w:t xml:space="preserve">09 p. </w:t>
            </w:r>
            <w:r w:rsidR="00C917A7" w:rsidRPr="00DD6E6B">
              <w:rPr>
                <w:lang w:val="en-GB" w:eastAsia="en-US"/>
              </w:rPr>
              <w:t>p</w:t>
            </w:r>
            <w:r w:rsidR="00C6020C" w:rsidRPr="00DD6E6B">
              <w:rPr>
                <w:lang w:val="en-GB" w:eastAsia="en-US"/>
              </w:rPr>
              <w:t xml:space="preserve">. </w:t>
            </w:r>
            <w:r w:rsidR="00C917A7" w:rsidRPr="00DD6E6B">
              <w:rPr>
                <w:lang w:val="en-GB" w:eastAsia="en-US"/>
              </w:rPr>
              <w:t xml:space="preserve">to </w:t>
            </w:r>
            <w:r w:rsidR="00C6020C" w:rsidRPr="00DD6E6B">
              <w:rPr>
                <w:lang w:val="en-GB" w:eastAsia="en-US"/>
              </w:rPr>
              <w:t>9</w:t>
            </w:r>
            <w:r w:rsidR="00C917A7" w:rsidRPr="00DD6E6B">
              <w:rPr>
                <w:lang w:val="en-GB" w:eastAsia="en-US"/>
              </w:rPr>
              <w:t>.</w:t>
            </w:r>
            <w:r w:rsidR="00C6020C" w:rsidRPr="00DD6E6B">
              <w:rPr>
                <w:lang w:val="en-GB" w:eastAsia="en-US"/>
              </w:rPr>
              <w:t xml:space="preserve">11%. </w:t>
            </w:r>
            <w:r w:rsidRPr="00DD6E6B">
              <w:rPr>
                <w:lang w:val="en-GB" w:eastAsia="en-US"/>
              </w:rPr>
              <w:t xml:space="preserve">Credits and liabilities of non-financial businesses in total increased by </w:t>
            </w:r>
            <w:r w:rsidR="00C6020C" w:rsidRPr="00DD6E6B">
              <w:rPr>
                <w:lang w:val="en-GB" w:eastAsia="en-US"/>
              </w:rPr>
              <w:t>5</w:t>
            </w:r>
            <w:r w:rsidRPr="00DD6E6B">
              <w:rPr>
                <w:lang w:val="en-GB" w:eastAsia="en-US"/>
              </w:rPr>
              <w:t>.</w:t>
            </w:r>
            <w:r w:rsidR="00C6020C" w:rsidRPr="00DD6E6B">
              <w:rPr>
                <w:lang w:val="en-GB" w:eastAsia="en-US"/>
              </w:rPr>
              <w:t>9%</w:t>
            </w:r>
            <w:r w:rsidRPr="00DD6E6B">
              <w:rPr>
                <w:lang w:val="en-GB" w:eastAsia="en-US"/>
              </w:rPr>
              <w:t xml:space="preserve"> year-on-year</w:t>
            </w:r>
            <w:r w:rsidR="00C6020C" w:rsidRPr="00DD6E6B">
              <w:rPr>
                <w:lang w:val="en-GB" w:eastAsia="en-US"/>
              </w:rPr>
              <w:t>. T</w:t>
            </w:r>
            <w:r w:rsidR="00301127" w:rsidRPr="00DD6E6B">
              <w:rPr>
                <w:lang w:val="en-GB" w:eastAsia="en-US"/>
              </w:rPr>
              <w:t xml:space="preserve">he rate of growth thus strengthened. </w:t>
            </w:r>
            <w:r w:rsidR="007E1443" w:rsidRPr="00DD6E6B">
              <w:rPr>
                <w:lang w:val="en-GB" w:eastAsia="en-US"/>
              </w:rPr>
              <w:t xml:space="preserve">The slump of the volume of credit denominated in CZK continued </w:t>
            </w:r>
            <w:r w:rsidR="00C6020C" w:rsidRPr="00DD6E6B">
              <w:rPr>
                <w:lang w:val="en-GB" w:eastAsia="en-US"/>
              </w:rPr>
              <w:t>(−7</w:t>
            </w:r>
            <w:r w:rsidR="007E1443" w:rsidRPr="00DD6E6B">
              <w:rPr>
                <w:lang w:val="en-GB" w:eastAsia="en-US"/>
              </w:rPr>
              <w:t>.</w:t>
            </w:r>
            <w:r w:rsidR="00C6020C" w:rsidRPr="00DD6E6B">
              <w:rPr>
                <w:lang w:val="en-GB" w:eastAsia="en-US"/>
              </w:rPr>
              <w:t xml:space="preserve">4%), </w:t>
            </w:r>
            <w:r w:rsidR="007E1443" w:rsidRPr="00DD6E6B">
              <w:rPr>
                <w:lang w:val="en-GB" w:eastAsia="en-US"/>
              </w:rPr>
              <w:t>which however reduced in comparison to the three preceding quarters. Credit in foreign currency were in contrast higher by 25.3% year-on-year</w:t>
            </w:r>
            <w:r w:rsidR="00C6020C" w:rsidRPr="00DD6E6B">
              <w:rPr>
                <w:rStyle w:val="Znakapoznpodarou"/>
                <w:lang w:val="en-GB" w:eastAsia="en-US"/>
              </w:rPr>
              <w:footnoteReference w:id="82"/>
            </w:r>
            <w:r w:rsidR="00C6020C" w:rsidRPr="00DD6E6B">
              <w:rPr>
                <w:lang w:val="en-GB" w:eastAsia="en-US"/>
              </w:rPr>
              <w:t>.</w:t>
            </w:r>
            <w:r w:rsidR="007E1443" w:rsidRPr="00DD6E6B">
              <w:rPr>
                <w:lang w:val="en-GB" w:eastAsia="en-US"/>
              </w:rPr>
              <w:t xml:space="preserve"> The increase reached double digit pace for the fifth quarter in a row and the proportion of credit in foreign currency in the total volume climbed up to </w:t>
            </w:r>
            <w:r w:rsidR="00C6020C" w:rsidRPr="00DD6E6B">
              <w:rPr>
                <w:lang w:val="en-GB" w:eastAsia="en-US"/>
              </w:rPr>
              <w:t>47</w:t>
            </w:r>
            <w:r w:rsidR="007E1443" w:rsidRPr="00DD6E6B">
              <w:rPr>
                <w:lang w:val="en-GB" w:eastAsia="en-US"/>
              </w:rPr>
              <w:t>.</w:t>
            </w:r>
            <w:r w:rsidR="00C6020C" w:rsidRPr="00DD6E6B">
              <w:rPr>
                <w:lang w:val="en-GB" w:eastAsia="en-US"/>
              </w:rPr>
              <w:t>9%</w:t>
            </w:r>
            <w:r w:rsidR="007E1443" w:rsidRPr="00DD6E6B">
              <w:rPr>
                <w:lang w:val="en-GB" w:eastAsia="en-US"/>
              </w:rPr>
              <w:t xml:space="preserve"> at the end of June</w:t>
            </w:r>
            <w:r w:rsidR="00C6020C" w:rsidRPr="00DD6E6B">
              <w:rPr>
                <w:lang w:val="en-GB" w:eastAsia="en-US"/>
              </w:rPr>
              <w:t xml:space="preserve">. </w:t>
            </w:r>
            <w:r w:rsidR="007C6002" w:rsidRPr="00DD6E6B">
              <w:rPr>
                <w:lang w:val="en-GB" w:eastAsia="en-US"/>
              </w:rPr>
              <w:t xml:space="preserve">Credit provided in financial and insurance services </w:t>
            </w:r>
            <w:r w:rsidR="00C6020C" w:rsidRPr="00DD6E6B">
              <w:rPr>
                <w:lang w:val="en-GB" w:eastAsia="en-US"/>
              </w:rPr>
              <w:t>(20</w:t>
            </w:r>
            <w:r w:rsidR="007C6002" w:rsidRPr="00DD6E6B">
              <w:rPr>
                <w:lang w:val="en-GB" w:eastAsia="en-US"/>
              </w:rPr>
              <w:t>.</w:t>
            </w:r>
            <w:r w:rsidR="00C6020C" w:rsidRPr="00DD6E6B">
              <w:rPr>
                <w:lang w:val="en-GB" w:eastAsia="en-US"/>
              </w:rPr>
              <w:t>7%),</w:t>
            </w:r>
            <w:r w:rsidR="007C6002" w:rsidRPr="00DD6E6B">
              <w:rPr>
                <w:lang w:val="en-GB" w:eastAsia="en-US"/>
              </w:rPr>
              <w:t xml:space="preserve"> generation and distribution of electricity, gas, heat, water and</w:t>
            </w:r>
            <w:r w:rsidRPr="00DD6E6B">
              <w:rPr>
                <w:lang w:val="en-GB" w:eastAsia="en-US"/>
              </w:rPr>
              <w:t xml:space="preserve"> sewerage </w:t>
            </w:r>
            <w:r w:rsidR="00C6020C" w:rsidRPr="00DD6E6B">
              <w:rPr>
                <w:lang w:val="en-GB" w:eastAsia="en-US"/>
              </w:rPr>
              <w:t>(13</w:t>
            </w:r>
            <w:r w:rsidRPr="00DD6E6B">
              <w:rPr>
                <w:lang w:val="en-GB" w:eastAsia="en-US"/>
              </w:rPr>
              <w:t>.</w:t>
            </w:r>
            <w:r w:rsidR="00C6020C" w:rsidRPr="00DD6E6B">
              <w:rPr>
                <w:lang w:val="en-GB" w:eastAsia="en-US"/>
              </w:rPr>
              <w:t>3%) a</w:t>
            </w:r>
            <w:r w:rsidRPr="00DD6E6B">
              <w:rPr>
                <w:lang w:val="en-GB" w:eastAsia="en-US"/>
              </w:rPr>
              <w:t xml:space="preserve">nd in construction </w:t>
            </w:r>
            <w:r w:rsidR="00C6020C" w:rsidRPr="00DD6E6B">
              <w:rPr>
                <w:lang w:val="en-GB" w:eastAsia="en-US"/>
              </w:rPr>
              <w:t>(12</w:t>
            </w:r>
            <w:r w:rsidRPr="00DD6E6B">
              <w:rPr>
                <w:lang w:val="en-GB" w:eastAsia="en-US"/>
              </w:rPr>
              <w:t>.</w:t>
            </w:r>
            <w:r w:rsidR="00C6020C" w:rsidRPr="00DD6E6B">
              <w:rPr>
                <w:lang w:val="en-GB" w:eastAsia="en-US"/>
              </w:rPr>
              <w:t>6%)</w:t>
            </w:r>
            <w:r w:rsidR="007C6002" w:rsidRPr="00DD6E6B">
              <w:rPr>
                <w:lang w:val="en-GB" w:eastAsia="en-US"/>
              </w:rPr>
              <w:t xml:space="preserve"> notably grew year-on-year</w:t>
            </w:r>
            <w:r w:rsidR="00C6020C" w:rsidRPr="00DD6E6B">
              <w:rPr>
                <w:lang w:val="en-GB" w:eastAsia="en-US"/>
              </w:rPr>
              <w:t xml:space="preserve">. </w:t>
            </w:r>
            <w:r w:rsidR="00B34CCE" w:rsidRPr="00DD6E6B">
              <w:rPr>
                <w:lang w:val="en-GB" w:eastAsia="en-US"/>
              </w:rPr>
              <w:t xml:space="preserve">On the contrary the credit in information and communication </w:t>
            </w:r>
            <w:r w:rsidR="00C6020C" w:rsidRPr="00DD6E6B">
              <w:rPr>
                <w:lang w:val="en-GB" w:eastAsia="en-US"/>
              </w:rPr>
              <w:t>(−20</w:t>
            </w:r>
            <w:r w:rsidR="00B34CCE" w:rsidRPr="00DD6E6B">
              <w:rPr>
                <w:lang w:val="en-GB" w:eastAsia="en-US"/>
              </w:rPr>
              <w:t>.</w:t>
            </w:r>
            <w:r w:rsidR="00C6020C" w:rsidRPr="00DD6E6B">
              <w:rPr>
                <w:lang w:val="en-GB" w:eastAsia="en-US"/>
              </w:rPr>
              <w:t>7%) a</w:t>
            </w:r>
            <w:r w:rsidR="00B34CCE" w:rsidRPr="00DD6E6B">
              <w:rPr>
                <w:lang w:val="en-GB" w:eastAsia="en-US"/>
              </w:rPr>
              <w:t xml:space="preserve">nd also in transport and storage </w:t>
            </w:r>
            <w:r w:rsidR="00C6020C" w:rsidRPr="00DD6E6B">
              <w:rPr>
                <w:lang w:val="en-GB" w:eastAsia="en-US"/>
              </w:rPr>
              <w:t>(−11</w:t>
            </w:r>
            <w:r w:rsidR="00B34CCE" w:rsidRPr="00DD6E6B">
              <w:rPr>
                <w:lang w:val="en-GB" w:eastAsia="en-US"/>
              </w:rPr>
              <w:t>.</w:t>
            </w:r>
            <w:r w:rsidR="00C6020C" w:rsidRPr="00DD6E6B">
              <w:rPr>
                <w:lang w:val="en-GB" w:eastAsia="en-US"/>
              </w:rPr>
              <w:t>4%)</w:t>
            </w:r>
            <w:r w:rsidR="00B34CCE" w:rsidRPr="00DD6E6B">
              <w:rPr>
                <w:lang w:val="en-GB" w:eastAsia="en-US"/>
              </w:rPr>
              <w:t xml:space="preserve"> plunged</w:t>
            </w:r>
            <w:r w:rsidR="00C6020C" w:rsidRPr="00DD6E6B">
              <w:rPr>
                <w:lang w:val="en-GB" w:eastAsia="en-US"/>
              </w:rPr>
              <w:t xml:space="preserve">. </w:t>
            </w:r>
          </w:p>
        </w:tc>
      </w:tr>
      <w:tr w:rsidR="00C6020C" w:rsidRPr="00DD6E6B" w14:paraId="27F075F8" w14:textId="77777777" w:rsidTr="006849F8">
        <w:trPr>
          <w:trHeight w:val="304"/>
        </w:trPr>
        <w:tc>
          <w:tcPr>
            <w:tcW w:w="1802" w:type="dxa"/>
            <w:vMerge w:val="restart"/>
          </w:tcPr>
          <w:p w14:paraId="0DA18B39" w14:textId="77777777" w:rsidR="00C6020C" w:rsidRPr="00DD6E6B" w:rsidRDefault="00C6020C" w:rsidP="006849F8">
            <w:pPr>
              <w:pStyle w:val="Marginlie"/>
              <w:rPr>
                <w:lang w:val="en-GB" w:eastAsia="en-US"/>
              </w:rPr>
            </w:pPr>
          </w:p>
        </w:tc>
        <w:tc>
          <w:tcPr>
            <w:tcW w:w="229" w:type="dxa"/>
            <w:vMerge w:val="restart"/>
          </w:tcPr>
          <w:p w14:paraId="0966C547" w14:textId="77777777" w:rsidR="00C6020C" w:rsidRPr="00DD6E6B" w:rsidRDefault="00C6020C" w:rsidP="006849F8">
            <w:pPr>
              <w:pStyle w:val="Textpoznpodarou"/>
              <w:jc w:val="both"/>
              <w:rPr>
                <w:spacing w:val="-4"/>
                <w:lang w:val="en-GB" w:eastAsia="en-US"/>
              </w:rPr>
            </w:pPr>
          </w:p>
        </w:tc>
        <w:tc>
          <w:tcPr>
            <w:tcW w:w="7610" w:type="dxa"/>
            <w:hideMark/>
          </w:tcPr>
          <w:p w14:paraId="46AAF7C7" w14:textId="224335A0" w:rsidR="00C6020C" w:rsidRPr="00DD6E6B" w:rsidRDefault="00BA0986" w:rsidP="006849F8">
            <w:pPr>
              <w:spacing w:after="0"/>
              <w:rPr>
                <w:szCs w:val="20"/>
                <w:lang w:val="en-GB" w:eastAsia="en-US"/>
              </w:rPr>
            </w:pPr>
            <w:r w:rsidRPr="00DD6E6B">
              <w:rPr>
                <w:rFonts w:cs="Arial"/>
                <w:b/>
                <w:bCs/>
                <w:color w:val="000000"/>
                <w:szCs w:val="20"/>
                <w:lang w:val="en-GB" w:eastAsia="en-US"/>
              </w:rPr>
              <w:t xml:space="preserve">Chart </w:t>
            </w:r>
            <w:r w:rsidR="00FA2C07" w:rsidRPr="00DD6E6B">
              <w:rPr>
                <w:rFonts w:cs="Arial"/>
                <w:b/>
                <w:bCs/>
                <w:color w:val="000000"/>
                <w:szCs w:val="20"/>
                <w:lang w:val="en-GB" w:eastAsia="en-US"/>
              </w:rPr>
              <w:t>16</w:t>
            </w:r>
            <w:r w:rsidR="00C6020C" w:rsidRPr="00DD6E6B">
              <w:rPr>
                <w:rFonts w:cs="Arial"/>
                <w:b/>
                <w:bCs/>
                <w:color w:val="000000"/>
                <w:szCs w:val="20"/>
                <w:lang w:val="en-GB" w:eastAsia="en-US"/>
              </w:rPr>
              <w:t xml:space="preserve"> </w:t>
            </w:r>
            <w:r w:rsidRPr="00DD6E6B">
              <w:rPr>
                <w:rFonts w:cs="Arial"/>
                <w:b/>
                <w:bCs/>
                <w:color w:val="000000"/>
                <w:szCs w:val="20"/>
                <w:lang w:val="en-GB" w:eastAsia="en-US"/>
              </w:rPr>
              <w:t xml:space="preserve">Market interest rates </w:t>
            </w:r>
            <w:r w:rsidR="00C6020C" w:rsidRPr="00DD6E6B">
              <w:rPr>
                <w:bCs/>
                <w:spacing w:val="-4"/>
                <w:szCs w:val="20"/>
                <w:lang w:val="en-GB" w:eastAsia="en-US"/>
              </w:rPr>
              <w:t>(</w:t>
            </w:r>
            <w:r w:rsidRPr="00DD6E6B">
              <w:rPr>
                <w:bCs/>
                <w:spacing w:val="-4"/>
                <w:szCs w:val="20"/>
                <w:lang w:val="en-GB" w:eastAsia="en-US"/>
              </w:rPr>
              <w:t>in</w:t>
            </w:r>
            <w:r w:rsidR="00C6020C" w:rsidRPr="00DD6E6B">
              <w:rPr>
                <w:bCs/>
                <w:spacing w:val="-4"/>
                <w:szCs w:val="20"/>
                <w:lang w:val="en-GB" w:eastAsia="en-US"/>
              </w:rPr>
              <w:t> %)</w:t>
            </w:r>
          </w:p>
        </w:tc>
      </w:tr>
      <w:tr w:rsidR="00C6020C" w:rsidRPr="00DD6E6B" w14:paraId="3ABDC284" w14:textId="77777777" w:rsidTr="00201CB1">
        <w:tblPrEx>
          <w:tblCellMar>
            <w:left w:w="70" w:type="dxa"/>
            <w:right w:w="70" w:type="dxa"/>
          </w:tblCellMar>
        </w:tblPrEx>
        <w:trPr>
          <w:trHeight w:val="170"/>
        </w:trPr>
        <w:tc>
          <w:tcPr>
            <w:tcW w:w="1802" w:type="dxa"/>
            <w:vMerge/>
            <w:vAlign w:val="center"/>
            <w:hideMark/>
          </w:tcPr>
          <w:p w14:paraId="4EEA7B6B" w14:textId="77777777" w:rsidR="00C6020C" w:rsidRPr="00DD6E6B" w:rsidRDefault="00C6020C" w:rsidP="006849F8">
            <w:pPr>
              <w:spacing w:after="0" w:line="240" w:lineRule="auto"/>
              <w:jc w:val="left"/>
              <w:rPr>
                <w:spacing w:val="-2"/>
                <w:sz w:val="16"/>
                <w:szCs w:val="16"/>
                <w:lang w:val="en-GB" w:eastAsia="en-US"/>
              </w:rPr>
            </w:pPr>
          </w:p>
        </w:tc>
        <w:tc>
          <w:tcPr>
            <w:tcW w:w="229" w:type="dxa"/>
            <w:vMerge/>
            <w:vAlign w:val="center"/>
            <w:hideMark/>
          </w:tcPr>
          <w:p w14:paraId="148D86EC" w14:textId="77777777" w:rsidR="00C6020C" w:rsidRPr="00DD6E6B" w:rsidRDefault="00C6020C" w:rsidP="006849F8">
            <w:pPr>
              <w:spacing w:after="0" w:line="240" w:lineRule="auto"/>
              <w:jc w:val="left"/>
              <w:rPr>
                <w:rFonts w:eastAsia="Calibri"/>
                <w:spacing w:val="-4"/>
                <w:szCs w:val="20"/>
                <w:lang w:val="en-GB" w:eastAsia="en-US"/>
              </w:rPr>
            </w:pPr>
          </w:p>
        </w:tc>
        <w:tc>
          <w:tcPr>
            <w:tcW w:w="7610" w:type="dxa"/>
            <w:hideMark/>
          </w:tcPr>
          <w:p w14:paraId="147DD76A" w14:textId="5A860806" w:rsidR="00C6020C" w:rsidRPr="00DD6E6B" w:rsidRDefault="00201CB1" w:rsidP="006849F8">
            <w:pPr>
              <w:spacing w:after="0"/>
              <w:rPr>
                <w:sz w:val="14"/>
                <w:szCs w:val="14"/>
                <w:lang w:val="en-GB" w:eastAsia="en-US"/>
              </w:rPr>
            </w:pPr>
            <w:r>
              <w:rPr>
                <w:noProof/>
              </w:rPr>
              <w:drawing>
                <wp:inline distT="0" distB="0" distL="0" distR="0" wp14:anchorId="62EEB235" wp14:editId="7A3787E6">
                  <wp:extent cx="4737600" cy="3384925"/>
                  <wp:effectExtent l="0" t="0" r="6350" b="6350"/>
                  <wp:docPr id="973047289" name="Graf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C6020C" w:rsidRPr="00DD6E6B" w14:paraId="33EC0CC7" w14:textId="77777777" w:rsidTr="006849F8">
        <w:trPr>
          <w:trHeight w:val="170"/>
        </w:trPr>
        <w:tc>
          <w:tcPr>
            <w:tcW w:w="0" w:type="auto"/>
            <w:vMerge/>
            <w:vAlign w:val="center"/>
            <w:hideMark/>
          </w:tcPr>
          <w:p w14:paraId="1CDC26F5" w14:textId="77777777" w:rsidR="00C6020C" w:rsidRPr="00DD6E6B" w:rsidRDefault="00C6020C" w:rsidP="006849F8">
            <w:pPr>
              <w:spacing w:after="0" w:line="240" w:lineRule="auto"/>
              <w:jc w:val="left"/>
              <w:rPr>
                <w:spacing w:val="-2"/>
                <w:sz w:val="16"/>
                <w:szCs w:val="16"/>
                <w:lang w:val="en-GB" w:eastAsia="en-US"/>
              </w:rPr>
            </w:pPr>
          </w:p>
        </w:tc>
        <w:tc>
          <w:tcPr>
            <w:tcW w:w="0" w:type="auto"/>
            <w:vMerge/>
            <w:vAlign w:val="center"/>
            <w:hideMark/>
          </w:tcPr>
          <w:p w14:paraId="44CF5926" w14:textId="77777777" w:rsidR="00C6020C" w:rsidRPr="00DD6E6B" w:rsidRDefault="00C6020C" w:rsidP="006849F8">
            <w:pPr>
              <w:spacing w:after="0" w:line="240" w:lineRule="auto"/>
              <w:jc w:val="left"/>
              <w:rPr>
                <w:rFonts w:eastAsia="Calibri"/>
                <w:spacing w:val="-4"/>
                <w:szCs w:val="20"/>
                <w:lang w:val="en-GB" w:eastAsia="en-US"/>
              </w:rPr>
            </w:pPr>
          </w:p>
        </w:tc>
        <w:tc>
          <w:tcPr>
            <w:tcW w:w="7610" w:type="dxa"/>
            <w:hideMark/>
          </w:tcPr>
          <w:p w14:paraId="619BDFF8" w14:textId="7E5BAE5C" w:rsidR="00C6020C" w:rsidRPr="00DD6E6B" w:rsidRDefault="00BA0986" w:rsidP="006849F8">
            <w:pPr>
              <w:spacing w:after="0"/>
              <w:rPr>
                <w:sz w:val="14"/>
                <w:szCs w:val="14"/>
                <w:lang w:val="en-GB" w:eastAsia="en-US"/>
              </w:rPr>
            </w:pPr>
            <w:r w:rsidRPr="00DD6E6B">
              <w:rPr>
                <w:sz w:val="14"/>
                <w:szCs w:val="14"/>
                <w:lang w:val="en-GB" w:eastAsia="en-US"/>
              </w:rPr>
              <w:t>Source</w:t>
            </w:r>
            <w:r w:rsidR="00C6020C" w:rsidRPr="00DD6E6B">
              <w:rPr>
                <w:sz w:val="14"/>
                <w:szCs w:val="14"/>
                <w:lang w:val="en-GB" w:eastAsia="en-US"/>
              </w:rPr>
              <w:t xml:space="preserve">: ARAD, </w:t>
            </w:r>
            <w:r w:rsidRPr="00DD6E6B">
              <w:rPr>
                <w:sz w:val="14"/>
                <w:szCs w:val="14"/>
                <w:lang w:val="en-GB" w:eastAsia="en-US"/>
              </w:rPr>
              <w:t>C</w:t>
            </w:r>
            <w:r w:rsidR="00C6020C" w:rsidRPr="00DD6E6B">
              <w:rPr>
                <w:sz w:val="14"/>
                <w:szCs w:val="14"/>
                <w:lang w:val="en-GB" w:eastAsia="en-US"/>
              </w:rPr>
              <w:t>NB</w:t>
            </w:r>
          </w:p>
        </w:tc>
      </w:tr>
    </w:tbl>
    <w:p w14:paraId="23DAB89B" w14:textId="77777777" w:rsidR="00201CB1" w:rsidRDefault="00201CB1" w:rsidP="00106BCC">
      <w:pPr>
        <w:pStyle w:val="Nadpis11"/>
        <w:rPr>
          <w:b w:val="0"/>
          <w:szCs w:val="32"/>
          <w:lang w:val="en-GB"/>
        </w:rPr>
      </w:pPr>
      <w:bookmarkStart w:id="38" w:name="_Toc137233031"/>
    </w:p>
    <w:p w14:paraId="371D88FE" w14:textId="77777777" w:rsidR="00201CB1" w:rsidRDefault="00201CB1">
      <w:pPr>
        <w:spacing w:after="0" w:line="240" w:lineRule="auto"/>
        <w:jc w:val="left"/>
        <w:rPr>
          <w:rFonts w:eastAsia="MS Gothic"/>
          <w:bCs/>
          <w:color w:val="71818C"/>
          <w:sz w:val="32"/>
          <w:szCs w:val="32"/>
          <w:lang w:val="en-GB"/>
        </w:rPr>
      </w:pPr>
      <w:r>
        <w:rPr>
          <w:b/>
          <w:szCs w:val="32"/>
          <w:lang w:val="en-GB"/>
        </w:rPr>
        <w:br w:type="page"/>
      </w:r>
    </w:p>
    <w:p w14:paraId="5856EC55" w14:textId="18E8D419" w:rsidR="00106BCC" w:rsidRPr="00DD6E6B" w:rsidRDefault="00106BCC" w:rsidP="00106BCC">
      <w:pPr>
        <w:pStyle w:val="Nadpis11"/>
        <w:rPr>
          <w:lang w:val="en-GB"/>
        </w:rPr>
      </w:pPr>
      <w:bookmarkStart w:id="39" w:name="_Toc148437391"/>
      <w:r w:rsidRPr="00DD6E6B">
        <w:rPr>
          <w:szCs w:val="32"/>
          <w:lang w:val="en-GB"/>
        </w:rPr>
        <w:lastRenderedPageBreak/>
        <w:t>8</w:t>
      </w:r>
      <w:r w:rsidRPr="00DD6E6B">
        <w:rPr>
          <w:lang w:val="en-GB"/>
        </w:rPr>
        <w:t>. St</w:t>
      </w:r>
      <w:r w:rsidR="00691DDB" w:rsidRPr="00DD6E6B">
        <w:rPr>
          <w:lang w:val="en-GB"/>
        </w:rPr>
        <w:t>ate Budget</w:t>
      </w:r>
      <w:bookmarkEnd w:id="38"/>
      <w:bookmarkEnd w:id="39"/>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06BCC" w:rsidRPr="00DD6E6B" w14:paraId="16CEED79" w14:textId="77777777" w:rsidTr="006849F8">
        <w:trPr>
          <w:trHeight w:val="60"/>
        </w:trPr>
        <w:tc>
          <w:tcPr>
            <w:tcW w:w="1792" w:type="dxa"/>
            <w:shd w:val="clear" w:color="auto" w:fill="auto"/>
            <w:tcMar>
              <w:left w:w="0" w:type="dxa"/>
            </w:tcMar>
          </w:tcPr>
          <w:p w14:paraId="19B55A37" w14:textId="4228AA38" w:rsidR="00106BCC" w:rsidRPr="00DD6E6B" w:rsidRDefault="00487BA1" w:rsidP="006849F8">
            <w:pPr>
              <w:pStyle w:val="Marginlie"/>
              <w:rPr>
                <w:lang w:val="en-GB"/>
              </w:rPr>
            </w:pPr>
            <w:r w:rsidRPr="00DD6E6B">
              <w:rPr>
                <w:lang w:val="en-GB"/>
              </w:rPr>
              <w:t>Deficit of the SB considerably deepened year-on-year, which even</w:t>
            </w:r>
            <w:r w:rsidR="00867EE9" w:rsidRPr="00DD6E6B">
              <w:rPr>
                <w:lang w:val="en-GB"/>
              </w:rPr>
              <w:t xml:space="preserve"> </w:t>
            </w:r>
            <w:r w:rsidRPr="00DD6E6B">
              <w:rPr>
                <w:lang w:val="en-GB"/>
              </w:rPr>
              <w:t xml:space="preserve">the swift growth of revenues from the EU budget did not prevent. </w:t>
            </w:r>
          </w:p>
        </w:tc>
        <w:tc>
          <w:tcPr>
            <w:tcW w:w="203" w:type="dxa"/>
            <w:shd w:val="clear" w:color="auto" w:fill="auto"/>
            <w:tcMar>
              <w:left w:w="0" w:type="dxa"/>
            </w:tcMar>
          </w:tcPr>
          <w:p w14:paraId="5D52A195"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460DB469" w14:textId="489D2C34" w:rsidR="00106BCC" w:rsidRPr="00DD6E6B" w:rsidRDefault="00D37DBD" w:rsidP="006849F8">
            <w:pPr>
              <w:spacing w:after="200"/>
              <w:rPr>
                <w:spacing w:val="-4"/>
                <w:lang w:val="en-GB"/>
              </w:rPr>
            </w:pPr>
            <w:r w:rsidRPr="00DD6E6B">
              <w:rPr>
                <w:spacing w:val="-4"/>
                <w:lang w:val="en-GB"/>
              </w:rPr>
              <w:t xml:space="preserve">State budget </w:t>
            </w:r>
            <w:r w:rsidR="00106BCC" w:rsidRPr="00DD6E6B">
              <w:rPr>
                <w:spacing w:val="-4"/>
                <w:lang w:val="en-GB"/>
              </w:rPr>
              <w:t>(S</w:t>
            </w:r>
            <w:r w:rsidRPr="00DD6E6B">
              <w:rPr>
                <w:spacing w:val="-4"/>
                <w:lang w:val="en-GB"/>
              </w:rPr>
              <w:t>B</w:t>
            </w:r>
            <w:r w:rsidR="00106BCC" w:rsidRPr="00DD6E6B">
              <w:rPr>
                <w:spacing w:val="-4"/>
                <w:lang w:val="en-GB"/>
              </w:rPr>
              <w:t>)</w:t>
            </w:r>
            <w:r w:rsidR="00106BCC" w:rsidRPr="00DD6E6B">
              <w:rPr>
                <w:rStyle w:val="Znakapoznpodarou"/>
                <w:spacing w:val="-4"/>
                <w:lang w:val="en-GB"/>
              </w:rPr>
              <w:footnoteReference w:id="83"/>
            </w:r>
            <w:r w:rsidR="00106BCC" w:rsidRPr="00DD6E6B">
              <w:rPr>
                <w:spacing w:val="-4"/>
                <w:lang w:val="en-GB"/>
              </w:rPr>
              <w:t xml:space="preserve"> </w:t>
            </w:r>
            <w:r w:rsidR="00412885" w:rsidRPr="00DD6E6B">
              <w:rPr>
                <w:spacing w:val="-4"/>
                <w:lang w:val="en-GB"/>
              </w:rPr>
              <w:t xml:space="preserve">showed a deficit of </w:t>
            </w:r>
            <w:r w:rsidR="00106BCC" w:rsidRPr="00DD6E6B">
              <w:rPr>
                <w:spacing w:val="-4"/>
                <w:lang w:val="en-GB"/>
              </w:rPr>
              <w:t>215</w:t>
            </w:r>
            <w:r w:rsidR="00412885" w:rsidRPr="00DD6E6B">
              <w:rPr>
                <w:spacing w:val="-4"/>
                <w:lang w:val="en-GB"/>
              </w:rPr>
              <w:t>.</w:t>
            </w:r>
            <w:r w:rsidR="00106BCC" w:rsidRPr="00DD6E6B">
              <w:rPr>
                <w:spacing w:val="-4"/>
                <w:lang w:val="en-GB"/>
              </w:rPr>
              <w:t>4</w:t>
            </w:r>
            <w:r w:rsidR="00412885" w:rsidRPr="00DD6E6B">
              <w:rPr>
                <w:spacing w:val="-4"/>
                <w:lang w:val="en-GB"/>
              </w:rPr>
              <w:t xml:space="preserve"> CZK bn in H1 2023, which already represented nearly three quarters of the yearly planned deficit</w:t>
            </w:r>
            <w:r w:rsidR="00106BCC" w:rsidRPr="00DD6E6B">
              <w:rPr>
                <w:rStyle w:val="Znakapoznpodarou"/>
                <w:spacing w:val="-4"/>
                <w:lang w:val="en-GB"/>
              </w:rPr>
              <w:footnoteReference w:id="84"/>
            </w:r>
            <w:r w:rsidR="00106BCC" w:rsidRPr="00DD6E6B">
              <w:rPr>
                <w:spacing w:val="-4"/>
                <w:lang w:val="en-GB"/>
              </w:rPr>
              <w:t>.</w:t>
            </w:r>
            <w:r w:rsidR="00412885" w:rsidRPr="00DD6E6B">
              <w:rPr>
                <w:spacing w:val="-4"/>
                <w:lang w:val="en-GB"/>
              </w:rPr>
              <w:t xml:space="preserve"> SB attains deep deficit already for the fourth year in a row, only H1 2021 (when the pandemics of covid-19 was culminating as well as its perceptible impacts on both the revenue and </w:t>
            </w:r>
            <w:r w:rsidR="0004131B" w:rsidRPr="00DD6E6B">
              <w:rPr>
                <w:spacing w:val="-4"/>
                <w:lang w:val="en-GB"/>
              </w:rPr>
              <w:t xml:space="preserve">outlay </w:t>
            </w:r>
            <w:r w:rsidR="00412885" w:rsidRPr="00DD6E6B">
              <w:rPr>
                <w:spacing w:val="-4"/>
                <w:lang w:val="en-GB"/>
              </w:rPr>
              <w:t>side of the SB) brought more pronounced deficit than deficit this year.</w:t>
            </w:r>
            <w:r w:rsidR="004934E3" w:rsidRPr="00DD6E6B">
              <w:rPr>
                <w:spacing w:val="-4"/>
                <w:lang w:val="en-GB"/>
              </w:rPr>
              <w:t xml:space="preserve"> This year’s deficit was in addition mitigated by the revenues from the National recovery plan</w:t>
            </w:r>
            <w:r w:rsidR="00106BCC" w:rsidRPr="00DD6E6B">
              <w:rPr>
                <w:spacing w:val="-4"/>
                <w:lang w:val="en-GB"/>
              </w:rPr>
              <w:t xml:space="preserve">. </w:t>
            </w:r>
            <w:r w:rsidR="00154325" w:rsidRPr="00DD6E6B">
              <w:rPr>
                <w:spacing w:val="-4"/>
                <w:lang w:val="en-GB"/>
              </w:rPr>
              <w:t xml:space="preserve">Half-yearly SB balance after adjustment for all revenues and outlays associated with the common CR and EU projects mildly exceeded </w:t>
            </w:r>
            <w:r w:rsidR="00106BCC" w:rsidRPr="00DD6E6B">
              <w:rPr>
                <w:spacing w:val="-4"/>
                <w:lang w:val="en-GB"/>
              </w:rPr>
              <w:t>250</w:t>
            </w:r>
            <w:r w:rsidR="00154325" w:rsidRPr="00DD6E6B">
              <w:rPr>
                <w:spacing w:val="-4"/>
                <w:lang w:val="en-GB"/>
              </w:rPr>
              <w:t xml:space="preserve"> CZK bn a</w:t>
            </w:r>
            <w:r w:rsidR="0004131B" w:rsidRPr="00DD6E6B">
              <w:rPr>
                <w:spacing w:val="-4"/>
                <w:lang w:val="en-GB"/>
              </w:rPr>
              <w:t xml:space="preserve">nd </w:t>
            </w:r>
            <w:r w:rsidR="00D74667" w:rsidRPr="00DD6E6B">
              <w:rPr>
                <w:spacing w:val="-4"/>
                <w:lang w:val="en-GB"/>
              </w:rPr>
              <w:t>deepened</w:t>
            </w:r>
            <w:r w:rsidR="0004131B" w:rsidRPr="00DD6E6B">
              <w:rPr>
                <w:spacing w:val="-4"/>
                <w:lang w:val="en-GB"/>
              </w:rPr>
              <w:t xml:space="preserve"> by </w:t>
            </w:r>
            <w:r w:rsidR="00106BCC" w:rsidRPr="00DD6E6B">
              <w:rPr>
                <w:spacing w:val="-4"/>
                <w:lang w:val="en-GB"/>
              </w:rPr>
              <w:t>68</w:t>
            </w:r>
            <w:r w:rsidR="0004131B" w:rsidRPr="00DD6E6B">
              <w:rPr>
                <w:spacing w:val="-4"/>
                <w:lang w:val="en-GB"/>
              </w:rPr>
              <w:t>.</w:t>
            </w:r>
            <w:r w:rsidR="00106BCC" w:rsidRPr="00DD6E6B">
              <w:rPr>
                <w:spacing w:val="-4"/>
                <w:lang w:val="en-GB"/>
              </w:rPr>
              <w:t xml:space="preserve">6 </w:t>
            </w:r>
            <w:r w:rsidR="0004131B" w:rsidRPr="00DD6E6B">
              <w:rPr>
                <w:spacing w:val="-4"/>
                <w:lang w:val="en-GB"/>
              </w:rPr>
              <w:t xml:space="preserve">CZK bn year-on-year </w:t>
            </w:r>
            <w:r w:rsidR="00106BCC" w:rsidRPr="00DD6E6B">
              <w:rPr>
                <w:spacing w:val="-4"/>
                <w:lang w:val="en-GB"/>
              </w:rPr>
              <w:t>(</w:t>
            </w:r>
            <w:r w:rsidR="0004131B" w:rsidRPr="00DD6E6B">
              <w:rPr>
                <w:spacing w:val="-4"/>
                <w:lang w:val="en-GB"/>
              </w:rPr>
              <w:t xml:space="preserve">balance without this adjustment then analogically by </w:t>
            </w:r>
            <w:r w:rsidR="00106BCC" w:rsidRPr="00DD6E6B">
              <w:rPr>
                <w:spacing w:val="-4"/>
                <w:lang w:val="en-GB"/>
              </w:rPr>
              <w:t>32</w:t>
            </w:r>
            <w:r w:rsidR="0004131B" w:rsidRPr="00DD6E6B">
              <w:rPr>
                <w:spacing w:val="-4"/>
                <w:lang w:val="en-GB"/>
              </w:rPr>
              <w:t>.</w:t>
            </w:r>
            <w:r w:rsidR="00106BCC" w:rsidRPr="00DD6E6B">
              <w:rPr>
                <w:spacing w:val="-4"/>
                <w:lang w:val="en-GB"/>
              </w:rPr>
              <w:t>4</w:t>
            </w:r>
            <w:r w:rsidR="0004131B" w:rsidRPr="00DD6E6B">
              <w:rPr>
                <w:spacing w:val="-4"/>
                <w:lang w:val="en-GB"/>
              </w:rPr>
              <w:t xml:space="preserve"> bn</w:t>
            </w:r>
            <w:r w:rsidR="00106BCC" w:rsidRPr="00DD6E6B">
              <w:rPr>
                <w:spacing w:val="-4"/>
                <w:lang w:val="en-GB"/>
              </w:rPr>
              <w:t xml:space="preserve">).    </w:t>
            </w:r>
          </w:p>
        </w:tc>
      </w:tr>
      <w:tr w:rsidR="00106BCC" w:rsidRPr="00DD6E6B" w14:paraId="10764AD0" w14:textId="77777777" w:rsidTr="006849F8">
        <w:trPr>
          <w:trHeight w:val="145"/>
        </w:trPr>
        <w:tc>
          <w:tcPr>
            <w:tcW w:w="1792" w:type="dxa"/>
            <w:shd w:val="clear" w:color="auto" w:fill="auto"/>
            <w:tcMar>
              <w:left w:w="0" w:type="dxa"/>
            </w:tcMar>
          </w:tcPr>
          <w:p w14:paraId="1B78FFD2" w14:textId="41503DE4" w:rsidR="00106BCC" w:rsidRPr="00DD6E6B" w:rsidRDefault="004B3094" w:rsidP="006849F8">
            <w:pPr>
              <w:pStyle w:val="Marginlie"/>
              <w:rPr>
                <w:lang w:val="en-GB"/>
              </w:rPr>
            </w:pPr>
            <w:r w:rsidRPr="00DD6E6B">
              <w:rPr>
                <w:lang w:val="en-GB"/>
              </w:rPr>
              <w:t xml:space="preserve">Growth of SB revenues was the most driven by total tax collection. Its dynamics nevertheless weakened. SB balance was supported by the stable growth of revenues from the social security insurance, rising revenues from the EU budget also had a favourable effect. </w:t>
            </w:r>
          </w:p>
        </w:tc>
        <w:tc>
          <w:tcPr>
            <w:tcW w:w="203" w:type="dxa"/>
            <w:shd w:val="clear" w:color="auto" w:fill="auto"/>
            <w:tcMar>
              <w:left w:w="0" w:type="dxa"/>
            </w:tcMar>
          </w:tcPr>
          <w:p w14:paraId="0BFACBFF"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2F70ABA9" w14:textId="7AE5A8F6" w:rsidR="00106BCC" w:rsidRPr="00DD6E6B" w:rsidRDefault="00154325" w:rsidP="006849F8">
            <w:pPr>
              <w:spacing w:after="200"/>
              <w:rPr>
                <w:spacing w:val="-5"/>
                <w:lang w:val="en-GB"/>
              </w:rPr>
            </w:pPr>
            <w:r w:rsidRPr="00DD6E6B">
              <w:rPr>
                <w:spacing w:val="-3"/>
                <w:lang w:val="en-GB"/>
              </w:rPr>
              <w:t xml:space="preserve">Total SB revenues </w:t>
            </w:r>
            <w:r w:rsidR="004934E3" w:rsidRPr="00DD6E6B">
              <w:rPr>
                <w:spacing w:val="-3"/>
                <w:lang w:val="en-GB"/>
              </w:rPr>
              <w:t xml:space="preserve">also as a result of high price growth in the economy swiftly grew </w:t>
            </w:r>
            <w:r w:rsidR="00106BCC" w:rsidRPr="00DD6E6B">
              <w:rPr>
                <w:spacing w:val="-3"/>
                <w:lang w:val="en-GB"/>
              </w:rPr>
              <w:t>(16</w:t>
            </w:r>
            <w:r w:rsidR="004934E3" w:rsidRPr="00DD6E6B">
              <w:rPr>
                <w:spacing w:val="-3"/>
                <w:lang w:val="en-GB"/>
              </w:rPr>
              <w:t>.</w:t>
            </w:r>
            <w:r w:rsidR="00106BCC" w:rsidRPr="00DD6E6B">
              <w:rPr>
                <w:spacing w:val="-3"/>
                <w:lang w:val="en-GB"/>
              </w:rPr>
              <w:t>5%)</w:t>
            </w:r>
            <w:r w:rsidR="004934E3" w:rsidRPr="00DD6E6B">
              <w:rPr>
                <w:spacing w:val="-3"/>
                <w:lang w:val="en-GB"/>
              </w:rPr>
              <w:t xml:space="preserve"> year-on-year in H1</w:t>
            </w:r>
            <w:r w:rsidR="00106BCC" w:rsidRPr="00DD6E6B">
              <w:rPr>
                <w:spacing w:val="-3"/>
                <w:lang w:val="en-GB"/>
              </w:rPr>
              <w:t xml:space="preserve">, </w:t>
            </w:r>
            <w:r w:rsidR="004934E3" w:rsidRPr="00DD6E6B">
              <w:rPr>
                <w:spacing w:val="-3"/>
                <w:lang w:val="en-GB"/>
              </w:rPr>
              <w:t>however did not completely fullfed the budget anticipations</w:t>
            </w:r>
            <w:r w:rsidR="00106BCC" w:rsidRPr="00DD6E6B">
              <w:rPr>
                <w:rStyle w:val="Znakapoznpodarou"/>
                <w:spacing w:val="-3"/>
                <w:lang w:val="en-GB"/>
              </w:rPr>
              <w:footnoteReference w:id="85"/>
            </w:r>
            <w:r w:rsidR="00106BCC" w:rsidRPr="00DD6E6B">
              <w:rPr>
                <w:spacing w:val="-3"/>
                <w:lang w:val="en-GB"/>
              </w:rPr>
              <w:t xml:space="preserve">. </w:t>
            </w:r>
            <w:r w:rsidR="00D661A0" w:rsidRPr="00DD6E6B">
              <w:rPr>
                <w:spacing w:val="-3"/>
                <w:lang w:val="en-GB"/>
              </w:rPr>
              <w:t xml:space="preserve">Especially the higher collection of taxes without insurance </w:t>
            </w:r>
            <w:r w:rsidR="00106BCC" w:rsidRPr="00DD6E6B">
              <w:rPr>
                <w:spacing w:val="-3"/>
                <w:lang w:val="en-GB"/>
              </w:rPr>
              <w:t>(+51</w:t>
            </w:r>
            <w:r w:rsidR="00D661A0" w:rsidRPr="00DD6E6B">
              <w:rPr>
                <w:spacing w:val="-3"/>
                <w:lang w:val="en-GB"/>
              </w:rPr>
              <w:t>.</w:t>
            </w:r>
            <w:r w:rsidR="00106BCC" w:rsidRPr="00DD6E6B">
              <w:rPr>
                <w:spacing w:val="-3"/>
                <w:lang w:val="en-GB"/>
              </w:rPr>
              <w:t>4</w:t>
            </w:r>
            <w:r w:rsidR="00D661A0" w:rsidRPr="00DD6E6B">
              <w:rPr>
                <w:spacing w:val="-3"/>
                <w:lang w:val="en-GB"/>
              </w:rPr>
              <w:t xml:space="preserve"> CZK bn</w:t>
            </w:r>
            <w:r w:rsidR="00106BCC" w:rsidRPr="00DD6E6B">
              <w:rPr>
                <w:spacing w:val="-3"/>
                <w:lang w:val="en-GB"/>
              </w:rPr>
              <w:t>)</w:t>
            </w:r>
            <w:r w:rsidR="00D661A0" w:rsidRPr="00DD6E6B">
              <w:rPr>
                <w:spacing w:val="-3"/>
                <w:lang w:val="en-GB"/>
              </w:rPr>
              <w:t xml:space="preserve"> </w:t>
            </w:r>
            <w:r w:rsidR="004B3094" w:rsidRPr="00DD6E6B">
              <w:rPr>
                <w:spacing w:val="-3"/>
                <w:lang w:val="en-GB"/>
              </w:rPr>
              <w:t>stood behind the revenue strengthening</w:t>
            </w:r>
            <w:r w:rsidR="00106BCC" w:rsidRPr="00DD6E6B">
              <w:rPr>
                <w:spacing w:val="-3"/>
                <w:lang w:val="en-GB"/>
              </w:rPr>
              <w:t>.</w:t>
            </w:r>
            <w:r w:rsidR="004B3094" w:rsidRPr="00DD6E6B">
              <w:rPr>
                <w:spacing w:val="-3"/>
                <w:lang w:val="en-GB"/>
              </w:rPr>
              <w:t xml:space="preserve"> Rate of growth of the state-wide tax collection however weakened during H1 this year </w:t>
            </w:r>
            <w:r w:rsidR="00106BCC" w:rsidRPr="00DD6E6B">
              <w:rPr>
                <w:spacing w:val="-3"/>
                <w:lang w:val="en-GB"/>
              </w:rPr>
              <w:t>(+15</w:t>
            </w:r>
            <w:r w:rsidR="004B3094" w:rsidRPr="00DD6E6B">
              <w:rPr>
                <w:spacing w:val="-3"/>
                <w:lang w:val="en-GB"/>
              </w:rPr>
              <w:t>.</w:t>
            </w:r>
            <w:r w:rsidR="00106BCC" w:rsidRPr="00DD6E6B">
              <w:rPr>
                <w:spacing w:val="-3"/>
                <w:lang w:val="en-GB"/>
              </w:rPr>
              <w:t>4%</w:t>
            </w:r>
            <w:r w:rsidR="004B3094" w:rsidRPr="00DD6E6B">
              <w:rPr>
                <w:spacing w:val="-3"/>
                <w:lang w:val="en-GB"/>
              </w:rPr>
              <w:t xml:space="preserve"> in Q1</w:t>
            </w:r>
            <w:r w:rsidR="00106BCC" w:rsidRPr="00DD6E6B">
              <w:rPr>
                <w:spacing w:val="-3"/>
                <w:lang w:val="en-GB"/>
              </w:rPr>
              <w:t>, +12</w:t>
            </w:r>
            <w:r w:rsidR="004B3094" w:rsidRPr="00DD6E6B">
              <w:rPr>
                <w:spacing w:val="-3"/>
                <w:lang w:val="en-GB"/>
              </w:rPr>
              <w:t>.</w:t>
            </w:r>
            <w:r w:rsidR="00106BCC" w:rsidRPr="00DD6E6B">
              <w:rPr>
                <w:spacing w:val="-3"/>
                <w:lang w:val="en-GB"/>
              </w:rPr>
              <w:t>5%</w:t>
            </w:r>
            <w:r w:rsidR="004B3094" w:rsidRPr="00DD6E6B">
              <w:rPr>
                <w:spacing w:val="-3"/>
                <w:lang w:val="en-GB"/>
              </w:rPr>
              <w:t xml:space="preserve"> in Q2</w:t>
            </w:r>
            <w:r w:rsidR="00106BCC" w:rsidRPr="00DD6E6B">
              <w:rPr>
                <w:spacing w:val="-3"/>
                <w:lang w:val="en-GB"/>
              </w:rPr>
              <w:t>) a</w:t>
            </w:r>
            <w:r w:rsidR="004B3094" w:rsidRPr="00DD6E6B">
              <w:rPr>
                <w:spacing w:val="-3"/>
                <w:lang w:val="en-GB"/>
              </w:rPr>
              <w:t>nd remained in the shadow of the record pace from H</w:t>
            </w:r>
            <w:r w:rsidR="00106BCC" w:rsidRPr="00DD6E6B">
              <w:rPr>
                <w:spacing w:val="-3"/>
                <w:lang w:val="en-GB"/>
              </w:rPr>
              <w:t>1</w:t>
            </w:r>
            <w:r w:rsidR="004B3094" w:rsidRPr="00DD6E6B">
              <w:rPr>
                <w:spacing w:val="-3"/>
                <w:lang w:val="en-GB"/>
              </w:rPr>
              <w:t xml:space="preserve"> </w:t>
            </w:r>
            <w:r w:rsidR="00106BCC" w:rsidRPr="00DD6E6B">
              <w:rPr>
                <w:spacing w:val="-3"/>
                <w:lang w:val="en-GB"/>
              </w:rPr>
              <w:t>2022 (+18</w:t>
            </w:r>
            <w:r w:rsidR="004B3094" w:rsidRPr="00DD6E6B">
              <w:rPr>
                <w:spacing w:val="-3"/>
                <w:lang w:val="en-GB"/>
              </w:rPr>
              <w:t>.</w:t>
            </w:r>
            <w:r w:rsidR="00106BCC" w:rsidRPr="00DD6E6B">
              <w:rPr>
                <w:spacing w:val="-3"/>
                <w:lang w:val="en-GB"/>
              </w:rPr>
              <w:t>7%). T</w:t>
            </w:r>
            <w:r w:rsidR="00D661A0" w:rsidRPr="00DD6E6B">
              <w:rPr>
                <w:spacing w:val="-3"/>
                <w:lang w:val="en-GB"/>
              </w:rPr>
              <w:t xml:space="preserve">his development was influenced by the ongoing decrease of the household consumption, which adversely impacted the collection of indirect taxes. On the contrary the revenues from the social security insurance (also including the contributions on the state employment policy) have not lagged behind the budget anticipations so far and increased by 29 CZK bn year-on-year. </w:t>
            </w:r>
            <w:r w:rsidR="00300E7D" w:rsidRPr="00DD6E6B">
              <w:rPr>
                <w:spacing w:val="-3"/>
                <w:lang w:val="en-GB"/>
              </w:rPr>
              <w:t xml:space="preserve">The non-tax revenues then strengthened by nearly </w:t>
            </w:r>
            <w:r w:rsidR="00106BCC" w:rsidRPr="00DD6E6B">
              <w:rPr>
                <w:spacing w:val="-3"/>
                <w:lang w:val="en-GB"/>
              </w:rPr>
              <w:t>50</w:t>
            </w:r>
            <w:r w:rsidR="00300E7D" w:rsidRPr="00DD6E6B">
              <w:rPr>
                <w:spacing w:val="-3"/>
                <w:lang w:val="en-GB"/>
              </w:rPr>
              <w:t xml:space="preserve"> bn </w:t>
            </w:r>
            <w:r w:rsidR="00106BCC" w:rsidRPr="00DD6E6B">
              <w:rPr>
                <w:spacing w:val="-5"/>
                <w:lang w:val="en-GB"/>
              </w:rPr>
              <w:t>(</w:t>
            </w:r>
            <w:r w:rsidR="00300E7D" w:rsidRPr="00DD6E6B">
              <w:rPr>
                <w:spacing w:val="-5"/>
                <w:lang w:val="en-GB"/>
              </w:rPr>
              <w:t>incl. capital income and received transfers</w:t>
            </w:r>
            <w:r w:rsidR="00106BCC" w:rsidRPr="00DD6E6B">
              <w:rPr>
                <w:spacing w:val="-5"/>
                <w:lang w:val="en-GB"/>
              </w:rPr>
              <w:t>).</w:t>
            </w:r>
            <w:r w:rsidR="00300E7D" w:rsidRPr="00DD6E6B">
              <w:rPr>
                <w:spacing w:val="-5"/>
                <w:lang w:val="en-GB"/>
              </w:rPr>
              <w:t xml:space="preserve"> It was primarily thanks to its weight dominant item, i.e. revenues from the EU </w:t>
            </w:r>
            <w:proofErr w:type="gramStart"/>
            <w:r w:rsidR="00300E7D" w:rsidRPr="00DD6E6B">
              <w:rPr>
                <w:spacing w:val="-5"/>
                <w:lang w:val="en-GB"/>
              </w:rPr>
              <w:t xml:space="preserve">and </w:t>
            </w:r>
            <w:r w:rsidR="00106BCC" w:rsidRPr="00DD6E6B">
              <w:rPr>
                <w:spacing w:val="-5"/>
                <w:lang w:val="en-GB"/>
              </w:rPr>
              <w:t xml:space="preserve"> </w:t>
            </w:r>
            <w:r w:rsidR="00300E7D" w:rsidRPr="00DD6E6B">
              <w:rPr>
                <w:spacing w:val="-5"/>
                <w:lang w:val="en-GB"/>
              </w:rPr>
              <w:t>Financial</w:t>
            </w:r>
            <w:proofErr w:type="gramEnd"/>
            <w:r w:rsidR="00300E7D" w:rsidRPr="00DD6E6B">
              <w:rPr>
                <w:spacing w:val="-5"/>
                <w:lang w:val="en-GB"/>
              </w:rPr>
              <w:t xml:space="preserve"> mechanisms</w:t>
            </w:r>
            <w:r w:rsidR="00106BCC" w:rsidRPr="00DD6E6B">
              <w:rPr>
                <w:rStyle w:val="Znakapoznpodarou"/>
                <w:spacing w:val="-5"/>
                <w:lang w:val="en-GB"/>
              </w:rPr>
              <w:footnoteReference w:id="86"/>
            </w:r>
            <w:r w:rsidR="00106BCC" w:rsidRPr="00DD6E6B">
              <w:rPr>
                <w:spacing w:val="-5"/>
                <w:lang w:val="en-GB"/>
              </w:rPr>
              <w:t xml:space="preserve"> (+44</w:t>
            </w:r>
            <w:r w:rsidR="00300E7D" w:rsidRPr="00DD6E6B">
              <w:rPr>
                <w:spacing w:val="-5"/>
                <w:lang w:val="en-GB"/>
              </w:rPr>
              <w:t>.</w:t>
            </w:r>
            <w:r w:rsidR="00106BCC" w:rsidRPr="00DD6E6B">
              <w:rPr>
                <w:spacing w:val="-5"/>
                <w:lang w:val="en-GB"/>
              </w:rPr>
              <w:t>6</w:t>
            </w:r>
            <w:r w:rsidR="00300E7D" w:rsidRPr="00DD6E6B">
              <w:rPr>
                <w:spacing w:val="-5"/>
                <w:lang w:val="en-GB"/>
              </w:rPr>
              <w:t xml:space="preserve"> CZK bn</w:t>
            </w:r>
            <w:r w:rsidR="00106BCC" w:rsidRPr="00DD6E6B">
              <w:rPr>
                <w:spacing w:val="-5"/>
                <w:lang w:val="en-GB"/>
              </w:rPr>
              <w:t xml:space="preserve">), </w:t>
            </w:r>
            <w:r w:rsidR="00300E7D" w:rsidRPr="00DD6E6B">
              <w:rPr>
                <w:spacing w:val="-5"/>
                <w:lang w:val="en-GB"/>
              </w:rPr>
              <w:t xml:space="preserve">where the essential June increase of revenues owing to the funds from the EU Recovery Instrument had an effect </w:t>
            </w:r>
            <w:r w:rsidR="00106BCC" w:rsidRPr="00DD6E6B">
              <w:rPr>
                <w:spacing w:val="-5"/>
                <w:lang w:val="en-GB"/>
              </w:rPr>
              <w:t>(</w:t>
            </w:r>
            <w:r w:rsidR="00300E7D" w:rsidRPr="00DD6E6B">
              <w:rPr>
                <w:spacing w:val="-5"/>
                <w:lang w:val="en-GB"/>
              </w:rPr>
              <w:t>implemented locally via the National recovery plan</w:t>
            </w:r>
            <w:r w:rsidR="00106BCC" w:rsidRPr="00DD6E6B">
              <w:rPr>
                <w:spacing w:val="-5"/>
                <w:lang w:val="en-GB"/>
              </w:rPr>
              <w:t>).</w:t>
            </w:r>
          </w:p>
        </w:tc>
      </w:tr>
      <w:tr w:rsidR="00106BCC" w:rsidRPr="00DD6E6B" w14:paraId="7124B3BE" w14:textId="77777777" w:rsidTr="006849F8">
        <w:trPr>
          <w:trHeight w:val="145"/>
        </w:trPr>
        <w:tc>
          <w:tcPr>
            <w:tcW w:w="1792" w:type="dxa"/>
            <w:shd w:val="clear" w:color="auto" w:fill="auto"/>
            <w:tcMar>
              <w:left w:w="0" w:type="dxa"/>
            </w:tcMar>
          </w:tcPr>
          <w:p w14:paraId="2520CDEE" w14:textId="348193B1" w:rsidR="00106BCC" w:rsidRPr="00DD6E6B" w:rsidRDefault="004934E3" w:rsidP="006849F8">
            <w:pPr>
              <w:pStyle w:val="Marginlie"/>
              <w:rPr>
                <w:lang w:val="en-GB"/>
              </w:rPr>
            </w:pPr>
            <w:r w:rsidRPr="00DD6E6B">
              <w:rPr>
                <w:color w:val="0D0D0D" w:themeColor="text1" w:themeTint="F2"/>
                <w:lang w:val="en-GB"/>
              </w:rPr>
              <w:t xml:space="preserve">Collection of </w:t>
            </w:r>
            <w:r w:rsidR="00C96EF5" w:rsidRPr="00DD6E6B">
              <w:rPr>
                <w:color w:val="0D0D0D" w:themeColor="text1" w:themeTint="F2"/>
                <w:lang w:val="en-GB"/>
              </w:rPr>
              <w:t>income tax</w:t>
            </w:r>
            <w:r w:rsidR="002C15ED" w:rsidRPr="00DD6E6B">
              <w:rPr>
                <w:color w:val="0D0D0D" w:themeColor="text1" w:themeTint="F2"/>
                <w:lang w:val="en-GB"/>
              </w:rPr>
              <w:t>es</w:t>
            </w:r>
            <w:r w:rsidR="00C96EF5" w:rsidRPr="00DD6E6B">
              <w:rPr>
                <w:color w:val="0D0D0D" w:themeColor="text1" w:themeTint="F2"/>
                <w:lang w:val="en-GB"/>
              </w:rPr>
              <w:t xml:space="preserve"> of legal persons continued </w:t>
            </w:r>
            <w:r w:rsidR="00274240" w:rsidRPr="00DD6E6B">
              <w:rPr>
                <w:color w:val="0D0D0D" w:themeColor="text1" w:themeTint="F2"/>
                <w:lang w:val="en-GB"/>
              </w:rPr>
              <w:t>at</w:t>
            </w:r>
            <w:r w:rsidR="00C96EF5" w:rsidRPr="00DD6E6B">
              <w:rPr>
                <w:color w:val="0D0D0D" w:themeColor="text1" w:themeTint="F2"/>
                <w:lang w:val="en-GB"/>
              </w:rPr>
              <w:t xml:space="preserve"> brisk pace and above the level of budget anticipations. </w:t>
            </w:r>
          </w:p>
        </w:tc>
        <w:tc>
          <w:tcPr>
            <w:tcW w:w="203" w:type="dxa"/>
            <w:shd w:val="clear" w:color="auto" w:fill="auto"/>
            <w:tcMar>
              <w:left w:w="0" w:type="dxa"/>
            </w:tcMar>
          </w:tcPr>
          <w:p w14:paraId="7688D80F"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7AD5A4EB" w14:textId="0EED5FD2" w:rsidR="00106BCC" w:rsidRPr="00DD6E6B" w:rsidRDefault="00C96EF5" w:rsidP="006849F8">
            <w:pPr>
              <w:spacing w:after="200"/>
              <w:rPr>
                <w:spacing w:val="-4"/>
                <w:lang w:val="en-GB"/>
              </w:rPr>
            </w:pPr>
            <w:r w:rsidRPr="00DD6E6B">
              <w:rPr>
                <w:spacing w:val="-4"/>
                <w:lang w:val="en-GB"/>
              </w:rPr>
              <w:t xml:space="preserve">Corporate tax whose collection strengthened by nearly one quarter year-on-year </w:t>
            </w:r>
            <w:r w:rsidR="00106BCC" w:rsidRPr="00DD6E6B">
              <w:rPr>
                <w:spacing w:val="-4"/>
                <w:lang w:val="en-GB"/>
              </w:rPr>
              <w:t>(+20</w:t>
            </w:r>
            <w:r w:rsidRPr="00DD6E6B">
              <w:rPr>
                <w:spacing w:val="-4"/>
                <w:lang w:val="en-GB"/>
              </w:rPr>
              <w:t>.</w:t>
            </w:r>
            <w:r w:rsidR="00106BCC" w:rsidRPr="00DD6E6B">
              <w:rPr>
                <w:spacing w:val="-4"/>
                <w:lang w:val="en-GB"/>
              </w:rPr>
              <w:t>9</w:t>
            </w:r>
            <w:r w:rsidRPr="00DD6E6B">
              <w:rPr>
                <w:spacing w:val="-4"/>
                <w:lang w:val="en-GB"/>
              </w:rPr>
              <w:t xml:space="preserve"> CZK bn</w:t>
            </w:r>
            <w:r w:rsidR="00106BCC" w:rsidRPr="00DD6E6B">
              <w:rPr>
                <w:spacing w:val="-4"/>
                <w:lang w:val="en-GB"/>
              </w:rPr>
              <w:t>)</w:t>
            </w:r>
            <w:r w:rsidRPr="00DD6E6B">
              <w:rPr>
                <w:spacing w:val="-4"/>
                <w:lang w:val="en-GB"/>
              </w:rPr>
              <w:t xml:space="preserve"> the most contributed to the growth of the total SB tax income in H1 2023. </w:t>
            </w:r>
            <w:r w:rsidR="007E5FFD" w:rsidRPr="00DD6E6B">
              <w:rPr>
                <w:spacing w:val="-4"/>
                <w:lang w:val="en-GB"/>
              </w:rPr>
              <w:t xml:space="preserve">The high profit rate of the non-financial businesses in the CR (it has been rising continuously since the beginning of the last year) is also reflected in the swiftly growing collection of this tax, which exceeds the budget anticipations. </w:t>
            </w:r>
            <w:r w:rsidR="00F32B8A" w:rsidRPr="00DD6E6B">
              <w:rPr>
                <w:spacing w:val="-4"/>
                <w:lang w:val="en-GB"/>
              </w:rPr>
              <w:t xml:space="preserve">Businesses in the area of the financial sector also participated on the high collection. </w:t>
            </w:r>
            <w:r w:rsidR="008B3454" w:rsidRPr="00DD6E6B">
              <w:rPr>
                <w:spacing w:val="-4"/>
                <w:lang w:val="en-GB"/>
              </w:rPr>
              <w:t>Beyond the standard corporate tax the SB also acquired the levy on excess income from the energy companies</w:t>
            </w:r>
            <w:r w:rsidR="00106BCC" w:rsidRPr="00DD6E6B">
              <w:rPr>
                <w:rStyle w:val="Znakapoznpodarou"/>
                <w:spacing w:val="-4"/>
                <w:lang w:val="en-GB"/>
              </w:rPr>
              <w:footnoteReference w:id="87"/>
            </w:r>
            <w:r w:rsidR="00106BCC" w:rsidRPr="00DD6E6B">
              <w:rPr>
                <w:spacing w:val="-4"/>
                <w:lang w:val="en-GB"/>
              </w:rPr>
              <w:t xml:space="preserve"> (12</w:t>
            </w:r>
            <w:r w:rsidR="00F32B8A" w:rsidRPr="00DD6E6B">
              <w:rPr>
                <w:spacing w:val="-4"/>
                <w:lang w:val="en-GB"/>
              </w:rPr>
              <w:t>.</w:t>
            </w:r>
            <w:r w:rsidR="00106BCC" w:rsidRPr="00DD6E6B">
              <w:rPr>
                <w:spacing w:val="-4"/>
                <w:lang w:val="en-GB"/>
              </w:rPr>
              <w:t>8</w:t>
            </w:r>
            <w:r w:rsidR="00F32B8A" w:rsidRPr="00DD6E6B">
              <w:rPr>
                <w:spacing w:val="-4"/>
                <w:lang w:val="en-GB"/>
              </w:rPr>
              <w:t xml:space="preserve"> CZK bn</w:t>
            </w:r>
            <w:r w:rsidR="00106BCC" w:rsidRPr="00DD6E6B">
              <w:rPr>
                <w:spacing w:val="-4"/>
                <w:lang w:val="en-GB"/>
              </w:rPr>
              <w:t>)</w:t>
            </w:r>
            <w:r w:rsidR="008B3454" w:rsidRPr="00DD6E6B">
              <w:rPr>
                <w:spacing w:val="-4"/>
                <w:lang w:val="en-GB"/>
              </w:rPr>
              <w:t xml:space="preserve"> in H1</w:t>
            </w:r>
            <w:r w:rsidR="00106BCC" w:rsidRPr="00DD6E6B">
              <w:rPr>
                <w:spacing w:val="-4"/>
                <w:lang w:val="en-GB"/>
              </w:rPr>
              <w:t>.</w:t>
            </w:r>
            <w:r w:rsidR="00F32B8A" w:rsidRPr="00DD6E6B">
              <w:rPr>
                <w:spacing w:val="-4"/>
                <w:lang w:val="en-GB"/>
              </w:rPr>
              <w:t xml:space="preserve"> On the contrary for another extraordinary income </w:t>
            </w:r>
            <w:r w:rsidR="00106BCC" w:rsidRPr="00DD6E6B">
              <w:rPr>
                <w:spacing w:val="-4"/>
                <w:lang w:val="en-GB"/>
              </w:rPr>
              <w:t xml:space="preserve">– </w:t>
            </w:r>
            <w:r w:rsidR="00F32B8A" w:rsidRPr="00DD6E6B">
              <w:rPr>
                <w:spacing w:val="-4"/>
                <w:lang w:val="en-GB"/>
              </w:rPr>
              <w:t>windfall tax</w:t>
            </w:r>
            <w:r w:rsidR="00106BCC" w:rsidRPr="00DD6E6B">
              <w:rPr>
                <w:rStyle w:val="Znakapoznpodarou"/>
                <w:spacing w:val="-4"/>
                <w:lang w:val="en-GB"/>
              </w:rPr>
              <w:footnoteReference w:id="88"/>
            </w:r>
            <w:r w:rsidR="00106BCC" w:rsidRPr="00DD6E6B">
              <w:rPr>
                <w:spacing w:val="-4"/>
                <w:lang w:val="en-GB"/>
              </w:rPr>
              <w:t xml:space="preserve"> – </w:t>
            </w:r>
            <w:r w:rsidR="00F32B8A" w:rsidRPr="00DD6E6B">
              <w:rPr>
                <w:spacing w:val="-4"/>
                <w:lang w:val="en-GB"/>
              </w:rPr>
              <w:t>the first payments of businesses are presumed only this year in September</w:t>
            </w:r>
            <w:r w:rsidR="00106BCC" w:rsidRPr="00DD6E6B">
              <w:rPr>
                <w:rStyle w:val="Znakapoznpodarou"/>
                <w:spacing w:val="-4"/>
                <w:lang w:val="en-GB"/>
              </w:rPr>
              <w:footnoteReference w:id="89"/>
            </w:r>
            <w:r w:rsidR="00106BCC" w:rsidRPr="00DD6E6B">
              <w:rPr>
                <w:spacing w:val="-4"/>
                <w:lang w:val="en-GB"/>
              </w:rPr>
              <w:t xml:space="preserve">. </w:t>
            </w:r>
          </w:p>
        </w:tc>
      </w:tr>
      <w:tr w:rsidR="00106BCC" w:rsidRPr="00DD6E6B" w14:paraId="06EDD977" w14:textId="77777777" w:rsidTr="006849F8">
        <w:trPr>
          <w:trHeight w:val="145"/>
        </w:trPr>
        <w:tc>
          <w:tcPr>
            <w:tcW w:w="1792" w:type="dxa"/>
            <w:shd w:val="clear" w:color="auto" w:fill="auto"/>
            <w:tcMar>
              <w:left w:w="0" w:type="dxa"/>
            </w:tcMar>
          </w:tcPr>
          <w:p w14:paraId="28108147" w14:textId="5E935C64" w:rsidR="00106BCC" w:rsidRPr="00DD6E6B" w:rsidRDefault="008B3454" w:rsidP="006849F8">
            <w:pPr>
              <w:pStyle w:val="Marginlie"/>
              <w:rPr>
                <w:spacing w:val="-5"/>
                <w:lang w:val="en-GB"/>
              </w:rPr>
            </w:pPr>
            <w:r w:rsidRPr="00DD6E6B">
              <w:rPr>
                <w:lang w:val="en-GB"/>
              </w:rPr>
              <w:t>Brisk growth of the collection of income tax</w:t>
            </w:r>
            <w:r w:rsidR="002C15ED" w:rsidRPr="00DD6E6B">
              <w:rPr>
                <w:lang w:val="en-GB"/>
              </w:rPr>
              <w:t>es</w:t>
            </w:r>
            <w:r w:rsidRPr="00DD6E6B">
              <w:rPr>
                <w:lang w:val="en-GB"/>
              </w:rPr>
              <w:t xml:space="preserve"> of natural persons sprang from the favourable </w:t>
            </w:r>
            <w:r w:rsidR="006E6182" w:rsidRPr="00DD6E6B">
              <w:rPr>
                <w:lang w:val="en-GB"/>
              </w:rPr>
              <w:t xml:space="preserve">position of employees on the labour market as well </w:t>
            </w:r>
            <w:r w:rsidR="006E6182" w:rsidRPr="00DD6E6B">
              <w:rPr>
                <w:lang w:val="en-GB"/>
              </w:rPr>
              <w:lastRenderedPageBreak/>
              <w:t xml:space="preserve">as the growth of the interest rates on deposits. </w:t>
            </w:r>
          </w:p>
        </w:tc>
        <w:tc>
          <w:tcPr>
            <w:tcW w:w="203" w:type="dxa"/>
            <w:shd w:val="clear" w:color="auto" w:fill="auto"/>
            <w:tcMar>
              <w:left w:w="0" w:type="dxa"/>
            </w:tcMar>
          </w:tcPr>
          <w:p w14:paraId="1C3C410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4E96B6C1" w14:textId="28E1D360" w:rsidR="00106BCC" w:rsidRPr="00DD6E6B" w:rsidRDefault="009E34C4" w:rsidP="00EE6137">
            <w:pPr>
              <w:spacing w:after="0"/>
              <w:rPr>
                <w:spacing w:val="-4"/>
                <w:lang w:val="en-GB"/>
              </w:rPr>
            </w:pPr>
            <w:r w:rsidRPr="00DD6E6B">
              <w:rPr>
                <w:color w:val="0D0D0D" w:themeColor="text1" w:themeTint="F2"/>
                <w:spacing w:val="-4"/>
                <w:lang w:val="en-GB"/>
              </w:rPr>
              <w:t>SB revenues from the income tax</w:t>
            </w:r>
            <w:r w:rsidR="002C15ED" w:rsidRPr="00DD6E6B">
              <w:rPr>
                <w:color w:val="0D0D0D" w:themeColor="text1" w:themeTint="F2"/>
                <w:spacing w:val="-4"/>
                <w:lang w:val="en-GB"/>
              </w:rPr>
              <w:t>es</w:t>
            </w:r>
            <w:r w:rsidRPr="00DD6E6B">
              <w:rPr>
                <w:color w:val="0D0D0D" w:themeColor="text1" w:themeTint="F2"/>
                <w:spacing w:val="-4"/>
                <w:lang w:val="en-GB"/>
              </w:rPr>
              <w:t xml:space="preserve"> of natural persons </w:t>
            </w:r>
            <w:r w:rsidR="00106BCC" w:rsidRPr="00DD6E6B">
              <w:rPr>
                <w:color w:val="0D0D0D" w:themeColor="text1" w:themeTint="F2"/>
                <w:spacing w:val="-4"/>
                <w:lang w:val="en-GB"/>
              </w:rPr>
              <w:t>(</w:t>
            </w:r>
            <w:r w:rsidRPr="00DD6E6B">
              <w:rPr>
                <w:color w:val="0D0D0D" w:themeColor="text1" w:themeTint="F2"/>
                <w:spacing w:val="-4"/>
                <w:lang w:val="en-GB"/>
              </w:rPr>
              <w:t>ITNP</w:t>
            </w:r>
            <w:r w:rsidR="00106BCC" w:rsidRPr="00DD6E6B">
              <w:rPr>
                <w:color w:val="0D0D0D" w:themeColor="text1" w:themeTint="F2"/>
                <w:spacing w:val="-4"/>
                <w:lang w:val="en-GB"/>
              </w:rPr>
              <w:t>)</w:t>
            </w:r>
            <w:r w:rsidRPr="00DD6E6B">
              <w:rPr>
                <w:color w:val="0D0D0D" w:themeColor="text1" w:themeTint="F2"/>
                <w:spacing w:val="-4"/>
                <w:lang w:val="en-GB"/>
              </w:rPr>
              <w:t xml:space="preserve"> also grew </w:t>
            </w:r>
            <w:r w:rsidR="0052659F" w:rsidRPr="00DD6E6B">
              <w:rPr>
                <w:color w:val="0D0D0D" w:themeColor="text1" w:themeTint="F2"/>
                <w:spacing w:val="-4"/>
                <w:lang w:val="en-GB"/>
              </w:rPr>
              <w:t>briskly when</w:t>
            </w:r>
            <w:r w:rsidRPr="00DD6E6B">
              <w:rPr>
                <w:color w:val="0D0D0D" w:themeColor="text1" w:themeTint="F2"/>
                <w:spacing w:val="-4"/>
                <w:lang w:val="en-GB"/>
              </w:rPr>
              <w:t xml:space="preserve"> it was by </w:t>
            </w:r>
            <w:r w:rsidR="00106BCC" w:rsidRPr="00DD6E6B">
              <w:rPr>
                <w:color w:val="0D0D0D" w:themeColor="text1" w:themeTint="F2"/>
                <w:spacing w:val="-4"/>
                <w:lang w:val="en-GB"/>
              </w:rPr>
              <w:t>25</w:t>
            </w:r>
            <w:r w:rsidR="005403FA" w:rsidRPr="00DD6E6B">
              <w:rPr>
                <w:color w:val="0D0D0D" w:themeColor="text1" w:themeTint="F2"/>
                <w:spacing w:val="-4"/>
                <w:lang w:val="en-GB"/>
              </w:rPr>
              <w:t>.</w:t>
            </w:r>
            <w:r w:rsidR="00106BCC" w:rsidRPr="00DD6E6B">
              <w:rPr>
                <w:color w:val="0D0D0D" w:themeColor="text1" w:themeTint="F2"/>
                <w:spacing w:val="-4"/>
                <w:lang w:val="en-GB"/>
              </w:rPr>
              <w:t>2%</w:t>
            </w:r>
            <w:r w:rsidR="00EE6137">
              <w:rPr>
                <w:color w:val="0D0D0D" w:themeColor="text1" w:themeTint="F2"/>
                <w:spacing w:val="-4"/>
                <w:lang w:val="en-GB"/>
              </w:rPr>
              <w:t>, i.e. by</w:t>
            </w:r>
            <w:r w:rsidR="00F90968" w:rsidRPr="00DD6E6B">
              <w:rPr>
                <w:color w:val="0D0D0D" w:themeColor="text1" w:themeTint="F2"/>
                <w:spacing w:val="-4"/>
                <w:lang w:val="en-GB"/>
              </w:rPr>
              <w:t xml:space="preserve"> 13.3 CZK bn</w:t>
            </w:r>
            <w:r w:rsidR="00EE6137">
              <w:rPr>
                <w:color w:val="0D0D0D" w:themeColor="text1" w:themeTint="F2"/>
                <w:spacing w:val="-4"/>
                <w:lang w:val="en-GB"/>
              </w:rPr>
              <w:t>,</w:t>
            </w:r>
            <w:r w:rsidR="00F90968" w:rsidRPr="00DD6E6B">
              <w:rPr>
                <w:color w:val="0D0D0D" w:themeColor="text1" w:themeTint="F2"/>
                <w:spacing w:val="-4"/>
                <w:lang w:val="en-GB"/>
              </w:rPr>
              <w:t xml:space="preserve"> h</w:t>
            </w:r>
            <w:r w:rsidRPr="00DD6E6B">
              <w:rPr>
                <w:color w:val="0D0D0D" w:themeColor="text1" w:themeTint="F2"/>
                <w:spacing w:val="-4"/>
                <w:lang w:val="en-GB"/>
              </w:rPr>
              <w:t xml:space="preserve">igher year-on-year. </w:t>
            </w:r>
            <w:r w:rsidR="004C0CA8" w:rsidRPr="00DD6E6B">
              <w:rPr>
                <w:color w:val="0D0D0D" w:themeColor="text1" w:themeTint="F2"/>
                <w:spacing w:val="-4"/>
                <w:lang w:val="en-GB"/>
              </w:rPr>
              <w:t>It was mainly thanks to the key income tax</w:t>
            </w:r>
            <w:r w:rsidR="006369D5" w:rsidRPr="00DD6E6B">
              <w:rPr>
                <w:color w:val="0D0D0D" w:themeColor="text1" w:themeTint="F2"/>
                <w:spacing w:val="-4"/>
                <w:lang w:val="en-GB"/>
              </w:rPr>
              <w:t>es</w:t>
            </w:r>
            <w:r w:rsidR="004C0CA8" w:rsidRPr="00DD6E6B">
              <w:rPr>
                <w:color w:val="0D0D0D" w:themeColor="text1" w:themeTint="F2"/>
                <w:spacing w:val="-4"/>
                <w:lang w:val="en-GB"/>
              </w:rPr>
              <w:t xml:space="preserve"> paid by payers </w:t>
            </w:r>
            <w:r w:rsidR="00106BCC" w:rsidRPr="00DD6E6B">
              <w:rPr>
                <w:color w:val="0D0D0D" w:themeColor="text1" w:themeTint="F2"/>
                <w:spacing w:val="-4"/>
                <w:lang w:val="en-GB"/>
              </w:rPr>
              <w:t>(</w:t>
            </w:r>
            <w:r w:rsidR="004C0CA8" w:rsidRPr="00DD6E6B">
              <w:rPr>
                <w:color w:val="0D0D0D" w:themeColor="text1" w:themeTint="F2"/>
                <w:spacing w:val="-4"/>
                <w:lang w:val="en-GB"/>
              </w:rPr>
              <w:t>from dependent activity</w:t>
            </w:r>
            <w:r w:rsidR="00106BCC" w:rsidRPr="00DD6E6B">
              <w:rPr>
                <w:color w:val="0D0D0D" w:themeColor="text1" w:themeTint="F2"/>
                <w:spacing w:val="-4"/>
                <w:lang w:val="en-GB"/>
              </w:rPr>
              <w:t>)</w:t>
            </w:r>
            <w:r w:rsidR="00106BCC" w:rsidRPr="00DD6E6B">
              <w:rPr>
                <w:rStyle w:val="Znakapoznpodarou"/>
                <w:color w:val="0D0D0D" w:themeColor="text1" w:themeTint="F2"/>
                <w:spacing w:val="-4"/>
                <w:lang w:val="en-GB"/>
              </w:rPr>
              <w:footnoteReference w:id="90"/>
            </w:r>
            <w:r w:rsidR="00106BCC" w:rsidRPr="00DD6E6B">
              <w:rPr>
                <w:color w:val="0D0D0D" w:themeColor="text1" w:themeTint="F2"/>
                <w:spacing w:val="-4"/>
                <w:lang w:val="en-GB"/>
              </w:rPr>
              <w:t xml:space="preserve">, </w:t>
            </w:r>
            <w:r w:rsidR="004C0CA8" w:rsidRPr="00DD6E6B">
              <w:rPr>
                <w:color w:val="0D0D0D" w:themeColor="text1" w:themeTint="F2"/>
                <w:spacing w:val="-4"/>
                <w:lang w:val="en-GB"/>
              </w:rPr>
              <w:t xml:space="preserve">which reflected the persisting growth of employment as well as the slightly accelerating growth of the average wage. </w:t>
            </w:r>
            <w:r w:rsidR="003C5015" w:rsidRPr="00DD6E6B">
              <w:rPr>
                <w:color w:val="0D0D0D" w:themeColor="text1" w:themeTint="F2"/>
                <w:spacing w:val="-4"/>
                <w:lang w:val="en-GB"/>
              </w:rPr>
              <w:t xml:space="preserve">The effect of tax changes also had an effect to a lesser extent here </w:t>
            </w:r>
            <w:r w:rsidR="00106BCC" w:rsidRPr="00DD6E6B">
              <w:rPr>
                <w:color w:val="0D0D0D" w:themeColor="text1" w:themeTint="F2"/>
                <w:spacing w:val="-4"/>
                <w:lang w:val="en-GB"/>
              </w:rPr>
              <w:t>(</w:t>
            </w:r>
            <w:r w:rsidR="00E24411" w:rsidRPr="00DD6E6B">
              <w:rPr>
                <w:color w:val="0D0D0D" w:themeColor="text1" w:themeTint="F2"/>
                <w:spacing w:val="-4"/>
                <w:lang w:val="en-GB"/>
              </w:rPr>
              <w:t xml:space="preserve">continuing </w:t>
            </w:r>
            <w:r w:rsidR="001F6360" w:rsidRPr="00DD6E6B">
              <w:rPr>
                <w:color w:val="0D0D0D" w:themeColor="text1" w:themeTint="F2"/>
                <w:spacing w:val="-4"/>
                <w:lang w:val="en-GB"/>
              </w:rPr>
              <w:t xml:space="preserve">increase of the tax </w:t>
            </w:r>
            <w:r w:rsidR="001F6360" w:rsidRPr="00DD6E6B">
              <w:rPr>
                <w:color w:val="0D0D0D" w:themeColor="text1" w:themeTint="F2"/>
                <w:spacing w:val="-4"/>
                <w:lang w:val="en-GB"/>
              </w:rPr>
              <w:lastRenderedPageBreak/>
              <w:t xml:space="preserve">discount </w:t>
            </w:r>
            <w:r w:rsidR="00774430" w:rsidRPr="00DD6E6B">
              <w:rPr>
                <w:color w:val="0D0D0D" w:themeColor="text1" w:themeTint="F2"/>
                <w:spacing w:val="-4"/>
                <w:lang w:val="en-GB"/>
              </w:rPr>
              <w:t xml:space="preserve">per the taxpayer, </w:t>
            </w:r>
            <w:r w:rsidR="001D5D52" w:rsidRPr="00DD6E6B">
              <w:rPr>
                <w:color w:val="0D0D0D" w:themeColor="text1" w:themeTint="F2"/>
                <w:spacing w:val="-4"/>
                <w:lang w:val="en-GB"/>
              </w:rPr>
              <w:t>abolition</w:t>
            </w:r>
            <w:r w:rsidR="00A67605" w:rsidRPr="00DD6E6B">
              <w:rPr>
                <w:color w:val="0D0D0D" w:themeColor="text1" w:themeTint="F2"/>
                <w:spacing w:val="-4"/>
                <w:lang w:val="en-GB"/>
              </w:rPr>
              <w:t xml:space="preserve"> of the </w:t>
            </w:r>
            <w:r w:rsidR="001D5D52" w:rsidRPr="00DD6E6B">
              <w:rPr>
                <w:color w:val="0D0D0D" w:themeColor="text1" w:themeTint="F2"/>
                <w:spacing w:val="-4"/>
                <w:lang w:val="en-GB"/>
              </w:rPr>
              <w:t xml:space="preserve">compensation </w:t>
            </w:r>
            <w:r w:rsidR="00A67605" w:rsidRPr="00DD6E6B">
              <w:rPr>
                <w:color w:val="0D0D0D" w:themeColor="text1" w:themeTint="F2"/>
                <w:spacing w:val="-4"/>
                <w:lang w:val="en-GB"/>
              </w:rPr>
              <w:t xml:space="preserve">bonus </w:t>
            </w:r>
            <w:r w:rsidR="006442DB" w:rsidRPr="00DD6E6B">
              <w:rPr>
                <w:color w:val="0D0D0D" w:themeColor="text1" w:themeTint="F2"/>
                <w:spacing w:val="-4"/>
                <w:lang w:val="en-GB"/>
              </w:rPr>
              <w:t xml:space="preserve">to aid small businesses </w:t>
            </w:r>
            <w:r w:rsidR="00917DDF" w:rsidRPr="00DD6E6B">
              <w:rPr>
                <w:color w:val="0D0D0D" w:themeColor="text1" w:themeTint="F2"/>
                <w:spacing w:val="-4"/>
                <w:lang w:val="en-GB"/>
              </w:rPr>
              <w:t>during the pandemics</w:t>
            </w:r>
            <w:r w:rsidR="00106BCC" w:rsidRPr="00DD6E6B">
              <w:rPr>
                <w:color w:val="0D0D0D" w:themeColor="text1" w:themeTint="F2"/>
                <w:spacing w:val="-4"/>
                <w:lang w:val="en-GB"/>
              </w:rPr>
              <w:t xml:space="preserve">). </w:t>
            </w:r>
            <w:r w:rsidR="002D0599" w:rsidRPr="00DD6E6B">
              <w:rPr>
                <w:color w:val="0D0D0D" w:themeColor="text1" w:themeTint="F2"/>
                <w:spacing w:val="-4"/>
                <w:lang w:val="en-GB"/>
              </w:rPr>
              <w:t xml:space="preserve">Collection of the ITNP </w:t>
            </w:r>
            <w:r w:rsidR="00440AC0" w:rsidRPr="00DD6E6B">
              <w:rPr>
                <w:color w:val="0D0D0D" w:themeColor="text1" w:themeTint="F2"/>
                <w:spacing w:val="-4"/>
                <w:lang w:val="en-GB"/>
              </w:rPr>
              <w:t>collected by deduction</w:t>
            </w:r>
            <w:r w:rsidR="00106BCC" w:rsidRPr="00DD6E6B">
              <w:rPr>
                <w:spacing w:val="-4"/>
                <w:lang w:val="en-GB"/>
              </w:rPr>
              <w:t xml:space="preserve">, </w:t>
            </w:r>
            <w:r w:rsidR="00DE4882" w:rsidRPr="00DD6E6B">
              <w:rPr>
                <w:spacing w:val="-4"/>
                <w:lang w:val="en-GB"/>
              </w:rPr>
              <w:t xml:space="preserve">where the state collected by </w:t>
            </w:r>
            <w:r w:rsidR="00106BCC" w:rsidRPr="00DD6E6B">
              <w:rPr>
                <w:spacing w:val="-4"/>
                <w:lang w:val="en-GB"/>
              </w:rPr>
              <w:t>45%</w:t>
            </w:r>
            <w:r w:rsidR="00A06CA7" w:rsidRPr="00DD6E6B">
              <w:rPr>
                <w:spacing w:val="-4"/>
                <w:lang w:val="en-GB"/>
              </w:rPr>
              <w:t xml:space="preserve"> more year-on-year </w:t>
            </w:r>
            <w:r w:rsidR="00106BCC" w:rsidRPr="00DD6E6B">
              <w:rPr>
                <w:spacing w:val="-4"/>
                <w:lang w:val="en-GB"/>
              </w:rPr>
              <w:t>(</w:t>
            </w:r>
            <w:r w:rsidR="00A06CA7" w:rsidRPr="00DD6E6B">
              <w:rPr>
                <w:spacing w:val="-4"/>
                <w:lang w:val="en-GB"/>
              </w:rPr>
              <w:t>thanks to the growth of the interest rates or larger number of persons with job agreement contracts as well</w:t>
            </w:r>
            <w:r w:rsidR="00106BCC" w:rsidRPr="00DD6E6B">
              <w:rPr>
                <w:spacing w:val="-4"/>
                <w:lang w:val="en-GB"/>
              </w:rPr>
              <w:t>)</w:t>
            </w:r>
            <w:r w:rsidR="00440AC0" w:rsidRPr="00DD6E6B">
              <w:rPr>
                <w:spacing w:val="-4"/>
                <w:lang w:val="en-GB"/>
              </w:rPr>
              <w:t xml:space="preserve"> also </w:t>
            </w:r>
            <w:r w:rsidR="009A74DC" w:rsidRPr="00DD6E6B">
              <w:rPr>
                <w:spacing w:val="-4"/>
                <w:lang w:val="en-GB"/>
              </w:rPr>
              <w:t>flourished</w:t>
            </w:r>
            <w:r w:rsidR="00106BCC" w:rsidRPr="00DD6E6B">
              <w:rPr>
                <w:spacing w:val="-4"/>
                <w:lang w:val="en-GB"/>
              </w:rPr>
              <w:t xml:space="preserve">. </w:t>
            </w:r>
            <w:r w:rsidR="00E35C5E" w:rsidRPr="00DD6E6B">
              <w:rPr>
                <w:spacing w:val="-4"/>
                <w:lang w:val="en-GB"/>
              </w:rPr>
              <w:t xml:space="preserve">On the contrary </w:t>
            </w:r>
            <w:r w:rsidR="00FA5D42" w:rsidRPr="00DD6E6B">
              <w:rPr>
                <w:spacing w:val="-4"/>
                <w:lang w:val="en-GB"/>
              </w:rPr>
              <w:t xml:space="preserve">collection of the weight less significant tax ITNP paid by payers, </w:t>
            </w:r>
            <w:r w:rsidR="00877216" w:rsidRPr="00DD6E6B">
              <w:rPr>
                <w:spacing w:val="-4"/>
                <w:lang w:val="en-GB"/>
              </w:rPr>
              <w:t>which mainly aims at small entrepreneurs</w:t>
            </w:r>
            <w:r w:rsidR="00545529" w:rsidRPr="00DD6E6B">
              <w:rPr>
                <w:spacing w:val="-4"/>
                <w:lang w:val="en-GB"/>
              </w:rPr>
              <w:t>, lowered by nearly one fifth year-on-year</w:t>
            </w:r>
            <w:r w:rsidR="00106BCC" w:rsidRPr="00DD6E6B">
              <w:rPr>
                <w:rStyle w:val="Znakapoznpodarou"/>
                <w:spacing w:val="-4"/>
                <w:lang w:val="en-GB"/>
              </w:rPr>
              <w:footnoteReference w:id="91"/>
            </w:r>
            <w:r w:rsidR="00106BCC" w:rsidRPr="00DD6E6B">
              <w:rPr>
                <w:spacing w:val="-4"/>
                <w:lang w:val="en-GB"/>
              </w:rPr>
              <w:t xml:space="preserve">. </w:t>
            </w:r>
          </w:p>
        </w:tc>
      </w:tr>
      <w:tr w:rsidR="00106BCC" w:rsidRPr="00DD6E6B" w14:paraId="37CFAD30" w14:textId="77777777" w:rsidTr="006849F8">
        <w:trPr>
          <w:trHeight w:val="145"/>
        </w:trPr>
        <w:tc>
          <w:tcPr>
            <w:tcW w:w="1792" w:type="dxa"/>
            <w:shd w:val="clear" w:color="auto" w:fill="auto"/>
            <w:tcMar>
              <w:left w:w="0" w:type="dxa"/>
            </w:tcMar>
          </w:tcPr>
          <w:p w14:paraId="6DBC6B6A" w14:textId="6ED3A69A" w:rsidR="00106BCC" w:rsidRPr="00DD6E6B" w:rsidRDefault="00BE00D1" w:rsidP="006849F8">
            <w:pPr>
              <w:pStyle w:val="Marginlie"/>
              <w:rPr>
                <w:spacing w:val="-5"/>
                <w:lang w:val="en-GB"/>
              </w:rPr>
            </w:pPr>
            <w:r w:rsidRPr="00DD6E6B">
              <w:rPr>
                <w:spacing w:val="-5"/>
                <w:lang w:val="en-GB"/>
              </w:rPr>
              <w:lastRenderedPageBreak/>
              <w:t>Rate of growth of the VAT still weakened during H</w:t>
            </w:r>
            <w:r w:rsidR="00106BCC" w:rsidRPr="00DD6E6B">
              <w:rPr>
                <w:spacing w:val="-5"/>
                <w:lang w:val="en-GB"/>
              </w:rPr>
              <w:t>1.</w:t>
            </w:r>
          </w:p>
        </w:tc>
        <w:tc>
          <w:tcPr>
            <w:tcW w:w="203" w:type="dxa"/>
            <w:shd w:val="clear" w:color="auto" w:fill="auto"/>
            <w:tcMar>
              <w:left w:w="0" w:type="dxa"/>
            </w:tcMar>
          </w:tcPr>
          <w:p w14:paraId="7071C2C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5749730D" w14:textId="79EEB23F" w:rsidR="00106BCC" w:rsidRPr="00DD6E6B" w:rsidRDefault="0001083F" w:rsidP="006849F8">
            <w:pPr>
              <w:spacing w:after="220"/>
              <w:rPr>
                <w:spacing w:val="-4"/>
                <w:lang w:val="en-GB"/>
              </w:rPr>
            </w:pPr>
            <w:r w:rsidRPr="00DD6E6B">
              <w:rPr>
                <w:spacing w:val="-4"/>
                <w:lang w:val="en-GB"/>
              </w:rPr>
              <w:t xml:space="preserve">The VAT </w:t>
            </w:r>
            <w:r w:rsidR="00614D60" w:rsidRPr="00DD6E6B">
              <w:rPr>
                <w:spacing w:val="-4"/>
                <w:lang w:val="en-GB"/>
              </w:rPr>
              <w:t>remains the most significant tax income for the SB</w:t>
            </w:r>
            <w:r w:rsidR="00106BCC" w:rsidRPr="00DD6E6B">
              <w:rPr>
                <w:color w:val="0D0D0D" w:themeColor="text1" w:themeTint="F2"/>
                <w:spacing w:val="-4"/>
                <w:lang w:val="en-GB"/>
              </w:rPr>
              <w:t xml:space="preserve">. </w:t>
            </w:r>
            <w:r w:rsidR="00614D60" w:rsidRPr="00DD6E6B">
              <w:rPr>
                <w:color w:val="0D0D0D" w:themeColor="text1" w:themeTint="F2"/>
                <w:spacing w:val="-4"/>
                <w:lang w:val="en-GB"/>
              </w:rPr>
              <w:t>It</w:t>
            </w:r>
            <w:r w:rsidR="009E274E" w:rsidRPr="00DD6E6B">
              <w:rPr>
                <w:color w:val="0D0D0D" w:themeColor="text1" w:themeTint="F2"/>
                <w:spacing w:val="-4"/>
                <w:lang w:val="en-GB"/>
              </w:rPr>
              <w:t>s</w:t>
            </w:r>
            <w:r w:rsidR="00E32DD9" w:rsidRPr="00DD6E6B">
              <w:rPr>
                <w:color w:val="0D0D0D" w:themeColor="text1" w:themeTint="F2"/>
                <w:spacing w:val="-4"/>
                <w:lang w:val="en-GB"/>
              </w:rPr>
              <w:t xml:space="preserve"> collection </w:t>
            </w:r>
            <w:r w:rsidR="006423CE" w:rsidRPr="00DD6E6B">
              <w:rPr>
                <w:color w:val="0D0D0D" w:themeColor="text1" w:themeTint="F2"/>
                <w:spacing w:val="-4"/>
                <w:lang w:val="en-GB"/>
              </w:rPr>
              <w:t>strengthened</w:t>
            </w:r>
            <w:r w:rsidR="00E32DD9" w:rsidRPr="00DD6E6B">
              <w:rPr>
                <w:color w:val="0D0D0D" w:themeColor="text1" w:themeTint="F2"/>
                <w:spacing w:val="-4"/>
                <w:lang w:val="en-GB"/>
              </w:rPr>
              <w:t xml:space="preserve"> </w:t>
            </w:r>
            <w:proofErr w:type="gramStart"/>
            <w:r w:rsidR="00E32DD9" w:rsidRPr="00DD6E6B">
              <w:rPr>
                <w:color w:val="0D0D0D" w:themeColor="text1" w:themeTint="F2"/>
                <w:spacing w:val="-4"/>
                <w:lang w:val="en-GB"/>
              </w:rPr>
              <w:t xml:space="preserve">by </w:t>
            </w:r>
            <w:r w:rsidR="009E274E" w:rsidRPr="00DD6E6B">
              <w:rPr>
                <w:color w:val="0D0D0D" w:themeColor="text1" w:themeTint="F2"/>
                <w:spacing w:val="-4"/>
                <w:lang w:val="en-GB"/>
              </w:rPr>
              <w:t xml:space="preserve"> </w:t>
            </w:r>
            <w:r w:rsidR="00106BCC" w:rsidRPr="00DD6E6B">
              <w:rPr>
                <w:spacing w:val="-4"/>
                <w:lang w:val="en-GB"/>
              </w:rPr>
              <w:t>6</w:t>
            </w:r>
            <w:r w:rsidR="00E32DD9" w:rsidRPr="00DD6E6B">
              <w:rPr>
                <w:spacing w:val="-4"/>
                <w:lang w:val="en-GB"/>
              </w:rPr>
              <w:t>.</w:t>
            </w:r>
            <w:r w:rsidR="00106BCC" w:rsidRPr="00DD6E6B">
              <w:rPr>
                <w:spacing w:val="-4"/>
                <w:lang w:val="en-GB"/>
              </w:rPr>
              <w:t>1</w:t>
            </w:r>
            <w:proofErr w:type="gramEnd"/>
            <w:r w:rsidR="00106BCC" w:rsidRPr="00DD6E6B">
              <w:rPr>
                <w:spacing w:val="-4"/>
                <w:lang w:val="en-GB"/>
              </w:rPr>
              <w:t>%</w:t>
            </w:r>
            <w:r w:rsidR="00E32DD9" w:rsidRPr="00DD6E6B">
              <w:rPr>
                <w:spacing w:val="-4"/>
                <w:lang w:val="en-GB"/>
              </w:rPr>
              <w:t xml:space="preserve"> year-on-year in H1 2023</w:t>
            </w:r>
            <w:r w:rsidR="00106BCC" w:rsidRPr="00DD6E6B">
              <w:rPr>
                <w:spacing w:val="-4"/>
                <w:lang w:val="en-GB"/>
              </w:rPr>
              <w:t xml:space="preserve"> (</w:t>
            </w:r>
            <w:r w:rsidR="006147AA" w:rsidRPr="00DD6E6B">
              <w:rPr>
                <w:spacing w:val="-4"/>
                <w:lang w:val="en-GB"/>
              </w:rPr>
              <w:t xml:space="preserve">the pace of collection further weakened </w:t>
            </w:r>
            <w:r w:rsidR="001E099C" w:rsidRPr="00DD6E6B">
              <w:rPr>
                <w:spacing w:val="-4"/>
                <w:lang w:val="en-GB"/>
              </w:rPr>
              <w:t>during the half-year,</w:t>
            </w:r>
            <w:r w:rsidR="002726A8" w:rsidRPr="00DD6E6B">
              <w:rPr>
                <w:spacing w:val="-4"/>
                <w:lang w:val="en-GB"/>
              </w:rPr>
              <w:t xml:space="preserve"> i</w:t>
            </w:r>
            <w:r w:rsidR="001E099C" w:rsidRPr="00DD6E6B">
              <w:rPr>
                <w:spacing w:val="-4"/>
                <w:lang w:val="en-GB"/>
              </w:rPr>
              <w:t xml:space="preserve">t </w:t>
            </w:r>
            <w:r w:rsidR="00A04D56" w:rsidRPr="00DD6E6B">
              <w:rPr>
                <w:spacing w:val="-4"/>
                <w:lang w:val="en-GB"/>
              </w:rPr>
              <w:t xml:space="preserve">totalled only </w:t>
            </w:r>
            <w:r w:rsidR="00106BCC" w:rsidRPr="00DD6E6B">
              <w:rPr>
                <w:spacing w:val="-4"/>
                <w:lang w:val="en-GB"/>
              </w:rPr>
              <w:t>3</w:t>
            </w:r>
            <w:r w:rsidR="006350FD" w:rsidRPr="00DD6E6B">
              <w:rPr>
                <w:spacing w:val="-4"/>
                <w:lang w:val="en-GB"/>
              </w:rPr>
              <w:t>.</w:t>
            </w:r>
            <w:r w:rsidR="00106BCC" w:rsidRPr="00DD6E6B">
              <w:rPr>
                <w:spacing w:val="-4"/>
                <w:lang w:val="en-GB"/>
              </w:rPr>
              <w:t>2%</w:t>
            </w:r>
            <w:r w:rsidR="006350FD" w:rsidRPr="00DD6E6B">
              <w:rPr>
                <w:spacing w:val="-4"/>
                <w:lang w:val="en-GB"/>
              </w:rPr>
              <w:t xml:space="preserve"> in Q2 itself</w:t>
            </w:r>
            <w:r w:rsidR="00106BCC" w:rsidRPr="00DD6E6B">
              <w:rPr>
                <w:spacing w:val="-4"/>
                <w:lang w:val="en-GB"/>
              </w:rPr>
              <w:t xml:space="preserve">). </w:t>
            </w:r>
            <w:r w:rsidR="000C0FFC" w:rsidRPr="00DD6E6B">
              <w:rPr>
                <w:spacing w:val="-4"/>
                <w:lang w:val="en-GB"/>
              </w:rPr>
              <w:t xml:space="preserve">From the view of the </w:t>
            </w:r>
            <w:r w:rsidR="00621533" w:rsidRPr="00DD6E6B">
              <w:rPr>
                <w:spacing w:val="-4"/>
                <w:lang w:val="en-GB"/>
              </w:rPr>
              <w:t xml:space="preserve">collection of tax the positive effect of the high growth of consumer prices </w:t>
            </w:r>
            <w:r w:rsidR="00BF3201" w:rsidRPr="00DD6E6B">
              <w:rPr>
                <w:spacing w:val="-4"/>
                <w:lang w:val="en-GB"/>
              </w:rPr>
              <w:t xml:space="preserve">was corrected </w:t>
            </w:r>
            <w:r w:rsidR="006C1984" w:rsidRPr="00DD6E6B">
              <w:rPr>
                <w:spacing w:val="-4"/>
                <w:lang w:val="en-GB"/>
              </w:rPr>
              <w:t xml:space="preserve">by the adverse effect of the decrease of the household consumption </w:t>
            </w:r>
            <w:r w:rsidR="00E159C6" w:rsidRPr="00DD6E6B">
              <w:rPr>
                <w:spacing w:val="-4"/>
                <w:lang w:val="en-GB"/>
              </w:rPr>
              <w:t>(</w:t>
            </w:r>
            <w:r w:rsidR="00ED2B13" w:rsidRPr="00DD6E6B">
              <w:rPr>
                <w:spacing w:val="-4"/>
                <w:lang w:val="en-GB"/>
              </w:rPr>
              <w:t>it lasted in the year-on-year perception six quarters in a row</w:t>
            </w:r>
            <w:r w:rsidR="00106BCC" w:rsidRPr="00DD6E6B">
              <w:rPr>
                <w:rStyle w:val="Znakapoznpodarou"/>
                <w:spacing w:val="-4"/>
                <w:lang w:val="en-GB"/>
              </w:rPr>
              <w:footnoteReference w:id="92"/>
            </w:r>
            <w:r w:rsidR="00106BCC" w:rsidRPr="00DD6E6B">
              <w:rPr>
                <w:spacing w:val="-4"/>
                <w:lang w:val="en-GB"/>
              </w:rPr>
              <w:t xml:space="preserve">). </w:t>
            </w:r>
            <w:r w:rsidR="00690EAD" w:rsidRPr="00DD6E6B">
              <w:rPr>
                <w:spacing w:val="-4"/>
                <w:lang w:val="en-GB"/>
              </w:rPr>
              <w:t xml:space="preserve">Growth of collection was </w:t>
            </w:r>
            <w:r w:rsidR="0084327A" w:rsidRPr="00DD6E6B">
              <w:rPr>
                <w:spacing w:val="-4"/>
                <w:lang w:val="en-GB"/>
              </w:rPr>
              <w:t xml:space="preserve">in a lesser order subdued </w:t>
            </w:r>
            <w:r w:rsidR="001909EA" w:rsidRPr="00DD6E6B">
              <w:rPr>
                <w:spacing w:val="-4"/>
                <w:lang w:val="en-GB"/>
              </w:rPr>
              <w:t>also by the increase of limit of sales for the VAT registration</w:t>
            </w:r>
            <w:r w:rsidR="00106BCC" w:rsidRPr="00DD6E6B">
              <w:rPr>
                <w:rStyle w:val="Znakapoznpodarou"/>
                <w:spacing w:val="-4"/>
                <w:lang w:val="en-GB"/>
              </w:rPr>
              <w:footnoteReference w:id="93"/>
            </w:r>
            <w:r w:rsidR="00106BCC" w:rsidRPr="00DD6E6B">
              <w:rPr>
                <w:spacing w:val="-4"/>
                <w:lang w:val="en-GB"/>
              </w:rPr>
              <w:t xml:space="preserve">. </w:t>
            </w:r>
          </w:p>
        </w:tc>
      </w:tr>
      <w:tr w:rsidR="00106BCC" w:rsidRPr="00DD6E6B" w14:paraId="754310D7" w14:textId="77777777" w:rsidTr="006849F8">
        <w:trPr>
          <w:trHeight w:val="170"/>
        </w:trPr>
        <w:tc>
          <w:tcPr>
            <w:tcW w:w="1792" w:type="dxa"/>
            <w:vMerge w:val="restart"/>
            <w:shd w:val="clear" w:color="auto" w:fill="auto"/>
            <w:tcMar>
              <w:left w:w="0" w:type="dxa"/>
            </w:tcMar>
          </w:tcPr>
          <w:p w14:paraId="0D62B353" w14:textId="77777777" w:rsidR="00106BCC" w:rsidRPr="00DD6E6B" w:rsidRDefault="00106BCC" w:rsidP="006849F8">
            <w:pPr>
              <w:pStyle w:val="Marginlie"/>
              <w:rPr>
                <w:lang w:val="en-GB"/>
              </w:rPr>
            </w:pPr>
          </w:p>
        </w:tc>
        <w:tc>
          <w:tcPr>
            <w:tcW w:w="203" w:type="dxa"/>
            <w:vMerge w:val="restart"/>
            <w:shd w:val="clear" w:color="auto" w:fill="auto"/>
            <w:tcMar>
              <w:left w:w="0" w:type="dxa"/>
            </w:tcMar>
          </w:tcPr>
          <w:p w14:paraId="1E862622"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1B71BBEC" w14:textId="1916160C" w:rsidR="00106BCC" w:rsidRPr="00D80129" w:rsidRDefault="00691DDB" w:rsidP="006849F8">
            <w:pPr>
              <w:spacing w:after="20"/>
              <w:rPr>
                <w:rFonts w:cs="Arial"/>
                <w:b/>
                <w:bCs/>
                <w:color w:val="000000"/>
                <w:spacing w:val="-4"/>
                <w:szCs w:val="20"/>
                <w:lang w:val="en-GB"/>
              </w:rPr>
            </w:pPr>
            <w:r w:rsidRPr="00D80129">
              <w:rPr>
                <w:rFonts w:cs="Arial"/>
                <w:b/>
                <w:bCs/>
                <w:color w:val="000000"/>
                <w:spacing w:val="-4"/>
                <w:szCs w:val="20"/>
                <w:lang w:val="en-GB"/>
              </w:rPr>
              <w:t xml:space="preserve">Chart </w:t>
            </w:r>
            <w:r w:rsidR="00FA2C07" w:rsidRPr="00D80129">
              <w:rPr>
                <w:rFonts w:cs="Arial"/>
                <w:b/>
                <w:bCs/>
                <w:color w:val="000000"/>
                <w:spacing w:val="-4"/>
                <w:szCs w:val="20"/>
                <w:lang w:val="en-GB"/>
              </w:rPr>
              <w:t>17</w:t>
            </w:r>
            <w:r w:rsidR="00106BCC" w:rsidRPr="00D80129">
              <w:rPr>
                <w:rFonts w:cs="Arial"/>
                <w:b/>
                <w:bCs/>
                <w:color w:val="000000"/>
                <w:spacing w:val="-4"/>
                <w:szCs w:val="20"/>
                <w:lang w:val="en-GB"/>
              </w:rPr>
              <w:t xml:space="preserve"> </w:t>
            </w:r>
            <w:r w:rsidR="008624BC" w:rsidRPr="00D80129">
              <w:rPr>
                <w:rFonts w:cs="Arial"/>
                <w:b/>
                <w:bCs/>
                <w:color w:val="000000"/>
                <w:spacing w:val="-4"/>
                <w:szCs w:val="20"/>
                <w:lang w:val="en-GB"/>
              </w:rPr>
              <w:t>Contribution of constituent revenues to the growth of the s</w:t>
            </w:r>
            <w:r w:rsidR="008624BC" w:rsidRPr="00D80129">
              <w:rPr>
                <w:rFonts w:cs="Arial"/>
                <w:b/>
                <w:bCs/>
                <w:spacing w:val="-4"/>
                <w:lang w:val="en-GB"/>
              </w:rPr>
              <w:t xml:space="preserve">tate wide tax collection </w:t>
            </w:r>
            <w:r w:rsidR="008624BC" w:rsidRPr="00D80129">
              <w:rPr>
                <w:rFonts w:cs="Arial"/>
                <w:bCs/>
                <w:spacing w:val="-4"/>
                <w:lang w:val="en-GB"/>
              </w:rPr>
              <w:t>(in p. p.</w:t>
            </w:r>
            <w:r w:rsidR="00C408AE" w:rsidRPr="00D80129">
              <w:rPr>
                <w:bCs/>
                <w:spacing w:val="-4"/>
                <w:lang w:val="en-GB"/>
              </w:rPr>
              <w:t>),</w:t>
            </w:r>
            <w:r w:rsidR="008624BC" w:rsidRPr="00D80129">
              <w:rPr>
                <w:rFonts w:cs="Arial"/>
                <w:b/>
                <w:bCs/>
                <w:spacing w:val="-4"/>
                <w:lang w:val="en-GB"/>
              </w:rPr>
              <w:t xml:space="preserve"> state budget balance </w:t>
            </w:r>
            <w:r w:rsidR="008624BC" w:rsidRPr="00D80129">
              <w:rPr>
                <w:rFonts w:cs="Arial"/>
                <w:bCs/>
                <w:spacing w:val="-4"/>
                <w:lang w:val="en-GB"/>
              </w:rPr>
              <w:t xml:space="preserve">(in CZK </w:t>
            </w:r>
            <w:proofErr w:type="spellStart"/>
            <w:r w:rsidR="008624BC" w:rsidRPr="00D80129">
              <w:rPr>
                <w:rFonts w:cs="Arial"/>
                <w:bCs/>
                <w:spacing w:val="-4"/>
                <w:lang w:val="en-GB"/>
              </w:rPr>
              <w:t>bn</w:t>
            </w:r>
            <w:proofErr w:type="spellEnd"/>
            <w:r w:rsidR="008624BC" w:rsidRPr="00D80129">
              <w:rPr>
                <w:rFonts w:cs="Arial"/>
                <w:bCs/>
                <w:spacing w:val="-4"/>
                <w:lang w:val="en-GB"/>
              </w:rPr>
              <w:t xml:space="preserve">) </w:t>
            </w:r>
            <w:r w:rsidR="00C408AE" w:rsidRPr="00D80129">
              <w:rPr>
                <w:rFonts w:cs="Arial"/>
                <w:b/>
                <w:bCs/>
                <w:spacing w:val="-4"/>
                <w:lang w:val="en-GB"/>
              </w:rPr>
              <w:t xml:space="preserve">in </w:t>
            </w:r>
            <w:proofErr w:type="spellStart"/>
            <w:r w:rsidR="00C408AE" w:rsidRPr="00D80129">
              <w:rPr>
                <w:rFonts w:cs="Arial"/>
                <w:b/>
                <w:bCs/>
                <w:spacing w:val="-4"/>
                <w:lang w:val="en-GB"/>
              </w:rPr>
              <w:t>cumulation</w:t>
            </w:r>
            <w:proofErr w:type="spellEnd"/>
            <w:r w:rsidR="00C408AE" w:rsidRPr="00D80129">
              <w:rPr>
                <w:rFonts w:cs="Arial"/>
                <w:b/>
                <w:bCs/>
                <w:spacing w:val="-4"/>
                <w:lang w:val="en-GB"/>
              </w:rPr>
              <w:t xml:space="preserve"> for</w:t>
            </w:r>
            <w:r w:rsidR="008624BC" w:rsidRPr="00D80129">
              <w:rPr>
                <w:rFonts w:cs="Arial"/>
                <w:b/>
                <w:bCs/>
                <w:spacing w:val="-4"/>
                <w:lang w:val="en-GB"/>
              </w:rPr>
              <w:t xml:space="preserve"> H1</w:t>
            </w:r>
            <w:r w:rsidR="00D60D0C" w:rsidRPr="00D80129">
              <w:rPr>
                <w:rFonts w:cs="Arial"/>
                <w:b/>
                <w:bCs/>
                <w:spacing w:val="-4"/>
                <w:lang w:val="en-GB"/>
              </w:rPr>
              <w:t xml:space="preserve"> </w:t>
            </w:r>
            <w:r w:rsidR="00C408AE" w:rsidRPr="00D80129">
              <w:rPr>
                <w:rFonts w:cs="Arial"/>
                <w:bCs/>
                <w:spacing w:val="-4"/>
                <w:lang w:val="en-GB"/>
              </w:rPr>
              <w:t>(1</w:t>
            </w:r>
            <w:r w:rsidR="00C408AE" w:rsidRPr="00D80129">
              <w:rPr>
                <w:rFonts w:cs="Arial"/>
                <w:bCs/>
                <w:spacing w:val="-4"/>
                <w:vertAlign w:val="superscript"/>
                <w:lang w:val="en-GB"/>
              </w:rPr>
              <w:t>st</w:t>
            </w:r>
            <w:r w:rsidR="00D60D0C" w:rsidRPr="00D80129">
              <w:rPr>
                <w:rFonts w:cs="Arial"/>
                <w:bCs/>
                <w:spacing w:val="-4"/>
                <w:lang w:val="en-GB"/>
              </w:rPr>
              <w:t xml:space="preserve"> </w:t>
            </w:r>
            <w:r w:rsidR="00D60D0C" w:rsidRPr="00D80129">
              <w:rPr>
                <w:spacing w:val="-4"/>
                <w:lang w:val="en-GB"/>
              </w:rPr>
              <w:t>half-year)</w:t>
            </w:r>
          </w:p>
        </w:tc>
      </w:tr>
      <w:tr w:rsidR="00106BCC" w:rsidRPr="00DD6E6B" w14:paraId="4257F8B3" w14:textId="77777777" w:rsidTr="00D60D0C">
        <w:tblPrEx>
          <w:tblCellMar>
            <w:left w:w="70" w:type="dxa"/>
            <w:right w:w="70" w:type="dxa"/>
          </w:tblCellMar>
        </w:tblPrEx>
        <w:trPr>
          <w:trHeight w:val="170"/>
        </w:trPr>
        <w:tc>
          <w:tcPr>
            <w:tcW w:w="1792" w:type="dxa"/>
            <w:vMerge/>
            <w:shd w:val="clear" w:color="auto" w:fill="auto"/>
          </w:tcPr>
          <w:p w14:paraId="28EA0C95" w14:textId="77777777" w:rsidR="00106BCC" w:rsidRPr="00DD6E6B" w:rsidRDefault="00106BCC" w:rsidP="006849F8">
            <w:pPr>
              <w:pStyle w:val="Marginlie"/>
              <w:rPr>
                <w:lang w:val="en-GB"/>
              </w:rPr>
            </w:pPr>
          </w:p>
        </w:tc>
        <w:tc>
          <w:tcPr>
            <w:tcW w:w="203" w:type="dxa"/>
            <w:vMerge/>
            <w:shd w:val="clear" w:color="auto" w:fill="auto"/>
          </w:tcPr>
          <w:p w14:paraId="35F16900" w14:textId="77777777" w:rsidR="00106BCC" w:rsidRPr="00DD6E6B" w:rsidRDefault="00106BCC" w:rsidP="006849F8">
            <w:pPr>
              <w:pStyle w:val="Textpoznpodarou"/>
              <w:jc w:val="both"/>
              <w:rPr>
                <w:spacing w:val="-4"/>
                <w:lang w:val="en-GB"/>
              </w:rPr>
            </w:pPr>
          </w:p>
        </w:tc>
        <w:tc>
          <w:tcPr>
            <w:tcW w:w="7674" w:type="dxa"/>
            <w:shd w:val="clear" w:color="auto" w:fill="auto"/>
          </w:tcPr>
          <w:p w14:paraId="0955F9AC" w14:textId="0AF60C1F" w:rsidR="00106BCC" w:rsidRPr="00DD6E6B" w:rsidRDefault="00D60D0C" w:rsidP="006849F8">
            <w:pPr>
              <w:spacing w:after="0"/>
              <w:rPr>
                <w:spacing w:val="-6"/>
                <w:lang w:val="en-GB"/>
              </w:rPr>
            </w:pPr>
            <w:r>
              <w:rPr>
                <w:noProof/>
              </w:rPr>
              <w:drawing>
                <wp:inline distT="0" distB="0" distL="0" distR="0" wp14:anchorId="1C3BB5CA" wp14:editId="1B3D5A78">
                  <wp:extent cx="4742061" cy="3586369"/>
                  <wp:effectExtent l="0" t="0" r="1905"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106BCC" w:rsidRPr="00DD6E6B" w14:paraId="01689068" w14:textId="77777777" w:rsidTr="006849F8">
        <w:trPr>
          <w:trHeight w:val="170"/>
        </w:trPr>
        <w:tc>
          <w:tcPr>
            <w:tcW w:w="1792" w:type="dxa"/>
            <w:vMerge/>
            <w:shd w:val="clear" w:color="auto" w:fill="auto"/>
            <w:tcMar>
              <w:left w:w="0" w:type="dxa"/>
            </w:tcMar>
          </w:tcPr>
          <w:p w14:paraId="43ECD43A" w14:textId="77777777" w:rsidR="00106BCC" w:rsidRPr="00DD6E6B" w:rsidRDefault="00106BCC" w:rsidP="006849F8">
            <w:pPr>
              <w:pStyle w:val="Marginlie"/>
              <w:rPr>
                <w:lang w:val="en-GB"/>
              </w:rPr>
            </w:pPr>
          </w:p>
        </w:tc>
        <w:tc>
          <w:tcPr>
            <w:tcW w:w="203" w:type="dxa"/>
            <w:vMerge/>
            <w:shd w:val="clear" w:color="auto" w:fill="auto"/>
            <w:tcMar>
              <w:left w:w="0" w:type="dxa"/>
            </w:tcMar>
          </w:tcPr>
          <w:p w14:paraId="6F968FCE" w14:textId="77777777" w:rsidR="00106BCC" w:rsidRPr="00DD6E6B" w:rsidRDefault="00106BCC" w:rsidP="006849F8">
            <w:pPr>
              <w:pStyle w:val="Textpoznpodarou"/>
              <w:jc w:val="both"/>
              <w:rPr>
                <w:spacing w:val="-4"/>
                <w:lang w:val="en-GB"/>
              </w:rPr>
            </w:pPr>
          </w:p>
        </w:tc>
        <w:tc>
          <w:tcPr>
            <w:tcW w:w="7674" w:type="dxa"/>
            <w:shd w:val="clear" w:color="auto" w:fill="auto"/>
            <w:tcMar>
              <w:left w:w="0" w:type="dxa"/>
            </w:tcMar>
          </w:tcPr>
          <w:p w14:paraId="7CBC81BB" w14:textId="3A8A52FB" w:rsidR="00D60D0C" w:rsidRDefault="00106BCC" w:rsidP="00D60D0C">
            <w:pPr>
              <w:tabs>
                <w:tab w:val="right" w:pos="7683"/>
              </w:tabs>
              <w:spacing w:after="0" w:line="240" w:lineRule="auto"/>
              <w:rPr>
                <w:sz w:val="14"/>
                <w:szCs w:val="14"/>
                <w:lang w:val="en-GB"/>
              </w:rPr>
            </w:pPr>
            <w:r w:rsidRPr="00DD6E6B">
              <w:rPr>
                <w:sz w:val="14"/>
                <w:szCs w:val="14"/>
                <w:lang w:val="en-GB"/>
              </w:rPr>
              <w:t>*</w:t>
            </w:r>
            <w:r w:rsidR="00E159C6" w:rsidRPr="00DD6E6B">
              <w:rPr>
                <w:sz w:val="14"/>
                <w:szCs w:val="14"/>
                <w:lang w:val="en-GB"/>
              </w:rPr>
              <w:t>O</w:t>
            </w:r>
            <w:r w:rsidR="003E6DE2" w:rsidRPr="00DD6E6B">
              <w:rPr>
                <w:sz w:val="14"/>
                <w:szCs w:val="14"/>
                <w:lang w:val="en-GB"/>
              </w:rPr>
              <w:t xml:space="preserve">ther taxes and fees include mainly tax from real estate, </w:t>
            </w:r>
            <w:r w:rsidR="00B82420" w:rsidRPr="00DD6E6B">
              <w:rPr>
                <w:sz w:val="14"/>
                <w:szCs w:val="14"/>
                <w:lang w:val="en-GB"/>
              </w:rPr>
              <w:t xml:space="preserve">tax </w:t>
            </w:r>
            <w:r w:rsidR="00E8745E" w:rsidRPr="00DD6E6B">
              <w:rPr>
                <w:sz w:val="14"/>
                <w:szCs w:val="14"/>
                <w:lang w:val="en-GB"/>
              </w:rPr>
              <w:t xml:space="preserve">on gambling winnings, </w:t>
            </w:r>
            <w:r w:rsidR="00283770" w:rsidRPr="00DD6E6B">
              <w:rPr>
                <w:sz w:val="14"/>
                <w:szCs w:val="14"/>
                <w:lang w:val="en-GB"/>
              </w:rPr>
              <w:t>toll and in year 2023 also newly the levy from excess income</w:t>
            </w:r>
            <w:r w:rsidR="00D60D0C">
              <w:rPr>
                <w:sz w:val="14"/>
                <w:szCs w:val="14"/>
                <w:lang w:val="en-GB"/>
              </w:rPr>
              <w:t>.</w:t>
            </w:r>
          </w:p>
          <w:p w14:paraId="679E4405" w14:textId="5A50B3A8" w:rsidR="00D60D0C" w:rsidRPr="00D60D0C" w:rsidRDefault="00D60D0C" w:rsidP="00D60D0C">
            <w:pPr>
              <w:tabs>
                <w:tab w:val="right" w:pos="7683"/>
              </w:tabs>
              <w:spacing w:after="0" w:line="240" w:lineRule="auto"/>
              <w:rPr>
                <w:sz w:val="16"/>
                <w:szCs w:val="16"/>
                <w:lang w:val="en-GB"/>
              </w:rPr>
            </w:pPr>
            <w:r>
              <w:rPr>
                <w:spacing w:val="-2"/>
                <w:sz w:val="14"/>
                <w:szCs w:val="14"/>
                <w:lang w:val="en-GB"/>
              </w:rPr>
              <w:t>**</w:t>
            </w:r>
            <w:r w:rsidRPr="00DD6E6B">
              <w:rPr>
                <w:spacing w:val="-2"/>
                <w:sz w:val="14"/>
                <w:szCs w:val="14"/>
                <w:lang w:val="en-GB"/>
              </w:rPr>
              <w:t>Data adjusted for the effect of funds from the EU and Financial mechanisms are available since year 2013.</w:t>
            </w:r>
          </w:p>
          <w:p w14:paraId="72B0BDA6" w14:textId="3615BE4E" w:rsidR="000A4E47" w:rsidRPr="00D60D0C" w:rsidRDefault="00B34CCE" w:rsidP="00D60D0C">
            <w:pPr>
              <w:tabs>
                <w:tab w:val="right" w:pos="7683"/>
              </w:tabs>
              <w:spacing w:after="200" w:line="240" w:lineRule="auto"/>
              <w:rPr>
                <w:sz w:val="14"/>
                <w:szCs w:val="14"/>
                <w:lang w:val="en-GB"/>
              </w:rPr>
            </w:pPr>
            <w:r w:rsidRPr="00DD6E6B">
              <w:rPr>
                <w:sz w:val="14"/>
                <w:szCs w:val="14"/>
                <w:lang w:val="en-GB"/>
              </w:rPr>
              <w:t>Source</w:t>
            </w:r>
            <w:r w:rsidR="00106BCC" w:rsidRPr="00DD6E6B">
              <w:rPr>
                <w:sz w:val="14"/>
                <w:szCs w:val="14"/>
                <w:lang w:val="en-GB"/>
              </w:rPr>
              <w:t xml:space="preserve">: MF </w:t>
            </w:r>
            <w:r w:rsidRPr="00DD6E6B">
              <w:rPr>
                <w:sz w:val="14"/>
                <w:szCs w:val="14"/>
                <w:lang w:val="en-GB"/>
              </w:rPr>
              <w:t>C</w:t>
            </w:r>
            <w:r w:rsidR="00D60D0C">
              <w:rPr>
                <w:sz w:val="14"/>
                <w:szCs w:val="14"/>
                <w:lang w:val="en-GB"/>
              </w:rPr>
              <w:t>R</w:t>
            </w:r>
          </w:p>
        </w:tc>
      </w:tr>
      <w:tr w:rsidR="00D80129" w:rsidRPr="00DD6E6B" w14:paraId="344B18AA" w14:textId="77777777" w:rsidTr="006849F8">
        <w:trPr>
          <w:trHeight w:val="170"/>
        </w:trPr>
        <w:tc>
          <w:tcPr>
            <w:tcW w:w="1792" w:type="dxa"/>
            <w:shd w:val="clear" w:color="auto" w:fill="auto"/>
            <w:tcMar>
              <w:left w:w="0" w:type="dxa"/>
            </w:tcMar>
          </w:tcPr>
          <w:p w14:paraId="176E753F" w14:textId="15FC0CF1" w:rsidR="00D80129" w:rsidRPr="00DD6E6B" w:rsidRDefault="00D80129" w:rsidP="00D80129">
            <w:pPr>
              <w:pStyle w:val="Marginlie"/>
              <w:rPr>
                <w:lang w:val="en-GB"/>
              </w:rPr>
            </w:pPr>
            <w:r w:rsidRPr="00DD6E6B">
              <w:rPr>
                <w:spacing w:val="-5"/>
                <w:lang w:val="en-GB"/>
              </w:rPr>
              <w:t>Year-on-year decrease of the collection of the consumer tax occurred for all significant commodities. Total collection considerably lagged behind the pre-crisis year 2019.</w:t>
            </w:r>
          </w:p>
        </w:tc>
        <w:tc>
          <w:tcPr>
            <w:tcW w:w="203" w:type="dxa"/>
            <w:shd w:val="clear" w:color="auto" w:fill="auto"/>
            <w:tcMar>
              <w:left w:w="0" w:type="dxa"/>
            </w:tcMar>
          </w:tcPr>
          <w:p w14:paraId="0394AE6F"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9F482CE" w14:textId="0189460F" w:rsidR="00D80129" w:rsidRPr="00DD6E6B" w:rsidRDefault="00D80129" w:rsidP="00D80129">
            <w:pPr>
              <w:spacing w:after="220"/>
              <w:rPr>
                <w:color w:val="0D0D0D" w:themeColor="text1" w:themeTint="F2"/>
                <w:spacing w:val="-5"/>
                <w:lang w:val="en-GB"/>
              </w:rPr>
            </w:pPr>
            <w:r w:rsidRPr="00DD6E6B">
              <w:rPr>
                <w:color w:val="0D0D0D" w:themeColor="text1" w:themeTint="F2"/>
                <w:spacing w:val="-4"/>
                <w:lang w:val="en-GB"/>
              </w:rPr>
              <w:t>By 7.6% (</w:t>
            </w:r>
            <w:r>
              <w:rPr>
                <w:color w:val="0D0D0D" w:themeColor="text1" w:themeTint="F2"/>
                <w:spacing w:val="-4"/>
                <w:lang w:val="en-GB"/>
              </w:rPr>
              <w:t>i.e.</w:t>
            </w:r>
            <w:r w:rsidRPr="00DD6E6B">
              <w:rPr>
                <w:color w:val="0D0D0D" w:themeColor="text1" w:themeTint="F2"/>
                <w:spacing w:val="-4"/>
                <w:lang w:val="en-GB"/>
              </w:rPr>
              <w:t xml:space="preserve"> 5.6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 xml:space="preserve">) </w:t>
            </w:r>
            <w:r>
              <w:rPr>
                <w:color w:val="0D0D0D" w:themeColor="text1" w:themeTint="F2"/>
                <w:spacing w:val="-4"/>
                <w:lang w:val="en-GB"/>
              </w:rPr>
              <w:t xml:space="preserve">less </w:t>
            </w:r>
            <w:r w:rsidRPr="00DD6E6B">
              <w:rPr>
                <w:color w:val="0D0D0D" w:themeColor="text1" w:themeTint="F2"/>
                <w:spacing w:val="-4"/>
                <w:lang w:val="en-GB"/>
              </w:rPr>
              <w:t>flowed from the consumer tax (including the ecological tax and internet tax) to the SB year-on-year in H</w:t>
            </w:r>
            <w:r w:rsidRPr="00DD6E6B">
              <w:rPr>
                <w:spacing w:val="-4"/>
                <w:lang w:val="en-GB"/>
              </w:rPr>
              <w:t xml:space="preserve">1. </w:t>
            </w:r>
            <w:r w:rsidRPr="00DD6E6B">
              <w:rPr>
                <w:color w:val="0D0D0D" w:themeColor="text1" w:themeTint="F2"/>
                <w:spacing w:val="-4"/>
                <w:lang w:val="en-GB"/>
              </w:rPr>
              <w:t xml:space="preserve">The size of collection thus clearly has not fulfilled the budget anticipations for now </w:t>
            </w:r>
            <w:r w:rsidRPr="00DD6E6B">
              <w:rPr>
                <w:spacing w:val="-4"/>
                <w:lang w:val="en-GB"/>
              </w:rPr>
              <w:t xml:space="preserve">(similarly as the VAT). Collection of the tax has already been falling from the half of the last year and its size was one tenth below the level from H1 2019 this year so far. The collection of all weight more significant items of the consumer tax shrank year-on-year this year. Decrease of the collection of tax on mineral oils </w:t>
            </w:r>
            <w:r>
              <w:rPr>
                <w:spacing w:val="-4"/>
                <w:lang w:val="en-GB"/>
              </w:rPr>
              <w:t>(</w:t>
            </w:r>
            <w:r>
              <w:rPr>
                <w:color w:val="000000"/>
                <w:shd w:val="clear" w:color="auto" w:fill="FFFFFF"/>
              </w:rPr>
              <w:t>–</w:t>
            </w:r>
            <w:r w:rsidRPr="00DD6E6B">
              <w:rPr>
                <w:spacing w:val="-4"/>
                <w:lang w:val="en-GB"/>
              </w:rPr>
              <w:t>7.2%), notably influenced by the temporary decrease of the tax rate of the diesel fuel</w:t>
            </w:r>
            <w:r w:rsidRPr="00DD6E6B">
              <w:rPr>
                <w:rStyle w:val="Znakapoznpodarou"/>
                <w:spacing w:val="-4"/>
                <w:lang w:val="en-GB"/>
              </w:rPr>
              <w:footnoteReference w:id="94"/>
            </w:r>
            <w:r w:rsidRPr="00DD6E6B">
              <w:rPr>
                <w:spacing w:val="-4"/>
                <w:lang w:val="en-GB"/>
              </w:rPr>
              <w:t xml:space="preserve"> </w:t>
            </w:r>
            <w:r w:rsidRPr="00DD6E6B">
              <w:rPr>
                <w:spacing w:val="-4"/>
                <w:lang w:val="en-GB"/>
              </w:rPr>
              <w:lastRenderedPageBreak/>
              <w:t xml:space="preserve">played a key role. Impact of the decrease of volume of the freight transport due to the lower turnover of the goods foreign trade likely also had an effect. The collection of the tax on tobacco products also fell </w:t>
            </w:r>
            <w:r>
              <w:rPr>
                <w:spacing w:val="-4"/>
                <w:lang w:val="en-GB"/>
              </w:rPr>
              <w:t>(</w:t>
            </w:r>
            <w:r>
              <w:rPr>
                <w:color w:val="000000"/>
                <w:shd w:val="clear" w:color="auto" w:fill="FFFFFF"/>
              </w:rPr>
              <w:t>–</w:t>
            </w:r>
            <w:r w:rsidRPr="00DD6E6B">
              <w:rPr>
                <w:spacing w:val="-4"/>
                <w:lang w:val="en-GB"/>
              </w:rPr>
              <w:t>8.3%), despite the ongoing increase of the tax rate. Since the change of the purchasing preferences of households impacted the collection more (the transfer of consumption to alternative products, less taxed locally, strengthening of the cross border purchases). SB received less year-on-year also on the tax on specific commodities (alcohol, wine, beer), presumably as a result of curbing the not-essential expenditures by the domestic households. Saving behaviour of both households and businesses led into vigorous decrease of the ecological tax collection.</w:t>
            </w:r>
          </w:p>
        </w:tc>
      </w:tr>
      <w:tr w:rsidR="00D80129" w:rsidRPr="00DD6E6B" w14:paraId="5E12D22A" w14:textId="77777777" w:rsidTr="006849F8">
        <w:trPr>
          <w:trHeight w:val="170"/>
        </w:trPr>
        <w:tc>
          <w:tcPr>
            <w:tcW w:w="1792" w:type="dxa"/>
            <w:shd w:val="clear" w:color="auto" w:fill="auto"/>
            <w:tcMar>
              <w:left w:w="0" w:type="dxa"/>
            </w:tcMar>
          </w:tcPr>
          <w:p w14:paraId="23788614" w14:textId="668FA1AB" w:rsidR="00D80129" w:rsidRPr="00DD6E6B" w:rsidRDefault="00D80129" w:rsidP="00D80129">
            <w:pPr>
              <w:pStyle w:val="Marginlie"/>
              <w:rPr>
                <w:lang w:val="en-GB"/>
              </w:rPr>
            </w:pPr>
            <w:r w:rsidRPr="00DD6E6B">
              <w:rPr>
                <w:lang w:val="en-GB"/>
              </w:rPr>
              <w:lastRenderedPageBreak/>
              <w:t xml:space="preserve">Need for extraordinary transfers reflected in the swift growth of total SB outlays, whose rate of growth outpaced the budget anticipations. </w:t>
            </w:r>
          </w:p>
        </w:tc>
        <w:tc>
          <w:tcPr>
            <w:tcW w:w="203" w:type="dxa"/>
            <w:shd w:val="clear" w:color="auto" w:fill="auto"/>
            <w:tcMar>
              <w:left w:w="0" w:type="dxa"/>
            </w:tcMar>
          </w:tcPr>
          <w:p w14:paraId="61BC6BC1"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147EC330" w14:textId="514051E5" w:rsidR="00D80129" w:rsidRPr="00DD6E6B" w:rsidRDefault="00D80129" w:rsidP="00D80129">
            <w:pPr>
              <w:spacing w:after="220"/>
              <w:rPr>
                <w:color w:val="0D0D0D" w:themeColor="text1" w:themeTint="F2"/>
                <w:spacing w:val="-4"/>
                <w:lang w:val="en-GB"/>
              </w:rPr>
            </w:pPr>
            <w:r w:rsidRPr="00DD6E6B">
              <w:rPr>
                <w:color w:val="0D0D0D" w:themeColor="text1" w:themeTint="F2"/>
                <w:spacing w:val="-5"/>
                <w:lang w:val="en-GB"/>
              </w:rPr>
              <w:t>Total SB outlays expanded by 16.8% (+162.6 CZK bn) year-on-year in H1 2023, their pace has surpassed the annual budget anticipations so far (by 4 p. p.).</w:t>
            </w:r>
            <w:r w:rsidRPr="00DD6E6B">
              <w:rPr>
                <w:color w:val="0D0D0D" w:themeColor="text1" w:themeTint="F2"/>
                <w:spacing w:val="-4"/>
                <w:lang w:val="en-GB"/>
              </w:rPr>
              <w:t xml:space="preserve"> Both the state assistance connected to high prices of energies </w:t>
            </w:r>
            <w:r w:rsidRPr="00DD6E6B">
              <w:rPr>
                <w:spacing w:val="-2"/>
                <w:lang w:val="en-GB"/>
              </w:rPr>
              <w:t xml:space="preserve">(not yet adequately offset by the extraordinary revenues from the taxation of the selected sector of the economy) and the impacts of the prevailing runway inflation (pension adjustment, higher volume of paid out social benefits, growing repayments of the state debt) were reflected in the strong growth of SB outlays. Unlike H1 2022, not only investment but also current outlays contributed to the year-on-year growth of the SB outlays this year.  </w:t>
            </w:r>
          </w:p>
        </w:tc>
      </w:tr>
      <w:tr w:rsidR="00D80129" w:rsidRPr="00DD6E6B" w14:paraId="7C7A2886" w14:textId="77777777" w:rsidTr="006849F8">
        <w:trPr>
          <w:trHeight w:val="170"/>
        </w:trPr>
        <w:tc>
          <w:tcPr>
            <w:tcW w:w="1792" w:type="dxa"/>
            <w:shd w:val="clear" w:color="auto" w:fill="auto"/>
            <w:tcMar>
              <w:left w:w="0" w:type="dxa"/>
            </w:tcMar>
          </w:tcPr>
          <w:p w14:paraId="13158B46" w14:textId="504B2498" w:rsidR="00D80129" w:rsidRPr="00DD6E6B" w:rsidRDefault="00D80129" w:rsidP="00D80129">
            <w:pPr>
              <w:pStyle w:val="Marginlie"/>
              <w:rPr>
                <w:lang w:val="en-GB"/>
              </w:rPr>
            </w:pPr>
            <w:r w:rsidRPr="00DD6E6B">
              <w:rPr>
                <w:lang w:val="en-GB"/>
              </w:rPr>
              <w:t xml:space="preserve">Fiscal expansion was linked primarily to the legal pension adjustment in H1. </w:t>
            </w:r>
          </w:p>
          <w:p w14:paraId="3C8CB321" w14:textId="77777777" w:rsidR="00D80129" w:rsidRPr="00DD6E6B" w:rsidRDefault="00D80129" w:rsidP="00D80129">
            <w:pPr>
              <w:pStyle w:val="Marginlie"/>
              <w:rPr>
                <w:lang w:val="en-GB"/>
              </w:rPr>
            </w:pPr>
          </w:p>
          <w:p w14:paraId="7CC0C364" w14:textId="77777777" w:rsidR="00D80129" w:rsidRPr="00DD6E6B" w:rsidRDefault="00D80129" w:rsidP="00D80129">
            <w:pPr>
              <w:pStyle w:val="Marginlie"/>
              <w:rPr>
                <w:lang w:val="en-GB"/>
              </w:rPr>
            </w:pPr>
          </w:p>
          <w:p w14:paraId="0A14BB55" w14:textId="77777777" w:rsidR="00D80129" w:rsidRPr="00DD6E6B" w:rsidRDefault="00D80129" w:rsidP="00D80129">
            <w:pPr>
              <w:pStyle w:val="Marginlie"/>
              <w:rPr>
                <w:lang w:val="en-GB"/>
              </w:rPr>
            </w:pPr>
          </w:p>
          <w:p w14:paraId="586363D9" w14:textId="77777777" w:rsidR="00D80129" w:rsidRPr="00DD6E6B" w:rsidRDefault="00D80129" w:rsidP="00D80129">
            <w:pPr>
              <w:pStyle w:val="Marginlie"/>
              <w:rPr>
                <w:lang w:val="en-GB"/>
              </w:rPr>
            </w:pPr>
          </w:p>
          <w:p w14:paraId="5DA66BC3" w14:textId="7234168D" w:rsidR="00D80129" w:rsidRPr="00DD6E6B" w:rsidRDefault="00D80129" w:rsidP="00D80129">
            <w:pPr>
              <w:pStyle w:val="Marginlie"/>
              <w:rPr>
                <w:lang w:val="en-GB"/>
              </w:rPr>
            </w:pPr>
            <w:r w:rsidRPr="00DD6E6B">
              <w:rPr>
                <w:lang w:val="en-GB"/>
              </w:rPr>
              <w:t xml:space="preserve">Decrease of the number of pension recipients continued in spite of higher interest in early retirement pensions. </w:t>
            </w:r>
          </w:p>
        </w:tc>
        <w:tc>
          <w:tcPr>
            <w:tcW w:w="203" w:type="dxa"/>
            <w:shd w:val="clear" w:color="auto" w:fill="auto"/>
            <w:tcMar>
              <w:left w:w="0" w:type="dxa"/>
            </w:tcMar>
          </w:tcPr>
          <w:p w14:paraId="5480FC9E"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3681F00" w14:textId="306B1A53" w:rsidR="00D80129" w:rsidRPr="00DD6E6B" w:rsidRDefault="00D80129" w:rsidP="00D80129">
            <w:pPr>
              <w:spacing w:after="200"/>
              <w:rPr>
                <w:color w:val="0D0D0D" w:themeColor="text1" w:themeTint="F2"/>
                <w:spacing w:val="-4"/>
                <w:lang w:val="en-GB"/>
              </w:rPr>
            </w:pPr>
            <w:r w:rsidRPr="00DD6E6B">
              <w:rPr>
                <w:color w:val="0D0D0D" w:themeColor="text1" w:themeTint="F2"/>
                <w:spacing w:val="-5"/>
                <w:lang w:val="en-GB"/>
              </w:rPr>
              <w:t>Current outlays of the SB strengthened by 16.8% (+151.7 CZK bn) year-on-year in H1, which represented the highest pace in the current millennium</w:t>
            </w:r>
            <w:r w:rsidRPr="00DD6E6B">
              <w:rPr>
                <w:rStyle w:val="Znakapoznpodarou"/>
                <w:color w:val="0D0D0D" w:themeColor="text1" w:themeTint="F2"/>
                <w:spacing w:val="-5"/>
                <w:lang w:val="en-GB"/>
              </w:rPr>
              <w:footnoteReference w:id="95"/>
            </w:r>
            <w:r w:rsidRPr="00DD6E6B">
              <w:rPr>
                <w:color w:val="0D0D0D" w:themeColor="text1" w:themeTint="F2"/>
                <w:spacing w:val="-5"/>
                <w:lang w:val="en-GB"/>
              </w:rPr>
              <w:t>. Outlays on social benefits, whose volume rose by one sixth (</w:t>
            </w:r>
            <w:r>
              <w:rPr>
                <w:color w:val="0D0D0D" w:themeColor="text1" w:themeTint="F2"/>
                <w:spacing w:val="-5"/>
                <w:lang w:val="en-GB"/>
              </w:rPr>
              <w:t xml:space="preserve">i.e. </w:t>
            </w:r>
            <w:r w:rsidRPr="00DD6E6B">
              <w:rPr>
                <w:color w:val="0D0D0D" w:themeColor="text1" w:themeTint="F2"/>
                <w:spacing w:val="-5"/>
                <w:lang w:val="en-GB"/>
              </w:rPr>
              <w:t xml:space="preserve">62.5 CZK bn) presented the main source of the fiscal expansion. Expenditures on pensions, which hiked up to </w:t>
            </w:r>
            <w:r w:rsidRPr="00DD6E6B">
              <w:rPr>
                <w:color w:val="0D0D0D" w:themeColor="text1" w:themeTint="F2"/>
                <w:spacing w:val="-4"/>
                <w:lang w:val="en-GB"/>
              </w:rPr>
              <w:t>342.2 CZK bn and overtook the level from H1 by record 19.8%</w:t>
            </w:r>
            <w:r w:rsidRPr="00DD6E6B">
              <w:rPr>
                <w:rStyle w:val="Znakapoznpodarou"/>
                <w:spacing w:val="-4"/>
                <w:szCs w:val="20"/>
                <w:lang w:val="en-GB"/>
              </w:rPr>
              <w:footnoteReference w:id="96"/>
            </w:r>
            <w:r w:rsidRPr="00DD6E6B">
              <w:rPr>
                <w:color w:val="0D0D0D" w:themeColor="text1" w:themeTint="F2"/>
                <w:spacing w:val="-4"/>
                <w:lang w:val="en-GB"/>
              </w:rPr>
              <w:t xml:space="preserve"> traditionally played a key role there. Apart from the last year’s increase also the due legal adjustment from January 2023 (+4.7%) and extraordinary increase from June (by 3.9%, under already amended conditions) is reflected in their dynamics and further also the newly introduced regular allowance per every raised child (500 CZK). Number of retirement pension recipients went down, even though by a slow</w:t>
            </w:r>
            <w:r>
              <w:rPr>
                <w:color w:val="0D0D0D" w:themeColor="text1" w:themeTint="F2"/>
                <w:spacing w:val="-4"/>
                <w:lang w:val="en-GB"/>
              </w:rPr>
              <w:t>er pace (</w:t>
            </w:r>
            <w:r>
              <w:rPr>
                <w:color w:val="000000"/>
                <w:shd w:val="clear" w:color="auto" w:fill="FFFFFF"/>
              </w:rPr>
              <w:t>–</w:t>
            </w:r>
            <w:r>
              <w:rPr>
                <w:color w:val="0D0D0D" w:themeColor="text1" w:themeTint="F2"/>
                <w:spacing w:val="-4"/>
                <w:lang w:val="en-GB"/>
              </w:rPr>
              <w:t>0.3</w:t>
            </w:r>
            <w:r w:rsidRPr="00DD6E6B">
              <w:rPr>
                <w:color w:val="0D0D0D" w:themeColor="text1" w:themeTint="F2"/>
                <w:spacing w:val="-4"/>
                <w:lang w:val="en-GB"/>
              </w:rPr>
              <w:t>% year-on-year) than in the previous two years despite higher interest in early retirement pensions</w:t>
            </w:r>
            <w:r w:rsidRPr="00DD6E6B">
              <w:rPr>
                <w:rStyle w:val="Znakapoznpodarou"/>
                <w:color w:val="0D0D0D" w:themeColor="text1" w:themeTint="F2"/>
                <w:spacing w:val="-4"/>
                <w:lang w:val="en-GB"/>
              </w:rPr>
              <w:footnoteReference w:id="97"/>
            </w:r>
            <w:r w:rsidRPr="00DD6E6B">
              <w:rPr>
                <w:color w:val="0D0D0D" w:themeColor="text1" w:themeTint="F2"/>
                <w:spacing w:val="-4"/>
                <w:lang w:val="en-GB"/>
              </w:rPr>
              <w:t>. E</w:t>
            </w:r>
            <w:r w:rsidRPr="00DD6E6B">
              <w:rPr>
                <w:spacing w:val="-6"/>
                <w:lang w:val="en-GB"/>
              </w:rPr>
              <w:t>ven though the good old condition of the domestic labour market supported the continuing solid growth of the pension insurance revenues</w:t>
            </w:r>
            <w:r w:rsidRPr="00DD6E6B">
              <w:rPr>
                <w:rFonts w:cs="Arial"/>
                <w:color w:val="0D0D0D" w:themeColor="text1" w:themeTint="F2"/>
                <w:spacing w:val="-4"/>
                <w:lang w:val="en-GB"/>
              </w:rPr>
              <w:t>, its year-on-year pace was not even one half of the expenditures on pensions this year (+8.9%)</w:t>
            </w:r>
            <w:r w:rsidRPr="00DD6E6B">
              <w:rPr>
                <w:rStyle w:val="Znakapoznpodarou"/>
                <w:color w:val="0D0D0D" w:themeColor="text1" w:themeTint="F2"/>
                <w:spacing w:val="-4"/>
                <w:lang w:val="en-GB"/>
              </w:rPr>
              <w:footnoteReference w:id="98"/>
            </w:r>
            <w:r w:rsidRPr="00DD6E6B">
              <w:rPr>
                <w:rFonts w:cs="Arial"/>
                <w:color w:val="0D0D0D" w:themeColor="text1" w:themeTint="F2"/>
                <w:spacing w:val="-4"/>
                <w:lang w:val="en-GB"/>
              </w:rPr>
              <w:t>. Balance of the pension insurance system</w:t>
            </w:r>
            <w:r w:rsidRPr="00DD6E6B">
              <w:rPr>
                <w:rStyle w:val="Znakapoznpodarou"/>
                <w:color w:val="0D0D0D" w:themeColor="text1" w:themeTint="F2"/>
                <w:spacing w:val="-2"/>
                <w:lang w:val="en-GB"/>
              </w:rPr>
              <w:footnoteReference w:id="99"/>
            </w:r>
            <w:r w:rsidRPr="00DD6E6B">
              <w:rPr>
                <w:rFonts w:cs="Arial"/>
                <w:color w:val="0D0D0D" w:themeColor="text1" w:themeTint="F2"/>
                <w:spacing w:val="-2"/>
                <w:lang w:val="en-GB"/>
              </w:rPr>
              <w:t xml:space="preserve"> thus dived into record deficit in H1 (−40.3 CZK bn), four-times higher year-on-year.</w:t>
            </w:r>
            <w:r w:rsidRPr="00DD6E6B">
              <w:rPr>
                <w:color w:val="0D0D0D" w:themeColor="text1" w:themeTint="F2"/>
                <w:spacing w:val="-4"/>
                <w:lang w:val="en-GB"/>
              </w:rPr>
              <w:t xml:space="preserve"> </w:t>
            </w:r>
          </w:p>
        </w:tc>
      </w:tr>
      <w:tr w:rsidR="00D80129" w:rsidRPr="00DD6E6B" w14:paraId="2DF26F03" w14:textId="77777777" w:rsidTr="006849F8">
        <w:trPr>
          <w:trHeight w:val="170"/>
        </w:trPr>
        <w:tc>
          <w:tcPr>
            <w:tcW w:w="1792" w:type="dxa"/>
            <w:shd w:val="clear" w:color="auto" w:fill="auto"/>
            <w:tcMar>
              <w:left w:w="0" w:type="dxa"/>
            </w:tcMar>
          </w:tcPr>
          <w:p w14:paraId="7571A1AD" w14:textId="647A05A6" w:rsidR="00D80129" w:rsidRPr="00DD6E6B" w:rsidRDefault="00D80129" w:rsidP="00D80129">
            <w:pPr>
              <w:pStyle w:val="Marginlie"/>
              <w:rPr>
                <w:lang w:val="en-GB"/>
              </w:rPr>
            </w:pPr>
            <w:r w:rsidRPr="00DD6E6B">
              <w:rPr>
                <w:lang w:val="en-GB"/>
              </w:rPr>
              <w:t xml:space="preserve">Higher drawing on housing allowance contributed the most to the year-on-year acceleration of the growth </w:t>
            </w:r>
            <w:r w:rsidRPr="00DD6E6B">
              <w:rPr>
                <w:lang w:val="en-GB"/>
              </w:rPr>
              <w:lastRenderedPageBreak/>
              <w:t>of outlays on non-pension social benefits.</w:t>
            </w:r>
          </w:p>
          <w:p w14:paraId="23545393" w14:textId="77777777" w:rsidR="00D80129" w:rsidRPr="00DD6E6B" w:rsidRDefault="00D80129" w:rsidP="00D80129">
            <w:pPr>
              <w:pStyle w:val="Marginlie"/>
              <w:rPr>
                <w:lang w:val="en-GB"/>
              </w:rPr>
            </w:pPr>
          </w:p>
          <w:p w14:paraId="7516ED44" w14:textId="77777777" w:rsidR="00D80129" w:rsidRPr="00DD6E6B" w:rsidRDefault="00D80129" w:rsidP="00D80129">
            <w:pPr>
              <w:pStyle w:val="Marginlie"/>
              <w:rPr>
                <w:lang w:val="en-GB"/>
              </w:rPr>
            </w:pPr>
          </w:p>
          <w:p w14:paraId="0B9932C2" w14:textId="77777777" w:rsidR="00D80129" w:rsidRPr="00DD6E6B" w:rsidRDefault="00D80129" w:rsidP="00D80129">
            <w:pPr>
              <w:pStyle w:val="Marginlie"/>
              <w:rPr>
                <w:lang w:val="en-GB"/>
              </w:rPr>
            </w:pPr>
          </w:p>
          <w:p w14:paraId="0F3CE311" w14:textId="77777777" w:rsidR="00D80129" w:rsidRPr="00DD6E6B" w:rsidRDefault="00D80129" w:rsidP="00D80129">
            <w:pPr>
              <w:pStyle w:val="Marginlie"/>
              <w:rPr>
                <w:lang w:val="en-GB"/>
              </w:rPr>
            </w:pPr>
          </w:p>
          <w:p w14:paraId="2DDFCB8F" w14:textId="77777777" w:rsidR="00D80129" w:rsidRPr="00DD6E6B" w:rsidRDefault="00D80129" w:rsidP="00D80129">
            <w:pPr>
              <w:pStyle w:val="Marginlie"/>
              <w:rPr>
                <w:lang w:val="en-GB"/>
              </w:rPr>
            </w:pPr>
          </w:p>
          <w:p w14:paraId="7D90F241" w14:textId="77777777" w:rsidR="00D80129" w:rsidRPr="00DD6E6B" w:rsidRDefault="00D80129" w:rsidP="00D80129">
            <w:pPr>
              <w:pStyle w:val="Marginlie"/>
              <w:rPr>
                <w:lang w:val="en-GB"/>
              </w:rPr>
            </w:pPr>
          </w:p>
          <w:p w14:paraId="3CAAA87E" w14:textId="77777777" w:rsidR="00D80129" w:rsidRPr="00DD6E6B" w:rsidRDefault="00D80129" w:rsidP="00D80129">
            <w:pPr>
              <w:pStyle w:val="Marginlie"/>
              <w:rPr>
                <w:lang w:val="en-GB"/>
              </w:rPr>
            </w:pPr>
          </w:p>
          <w:p w14:paraId="7A0EAD6E" w14:textId="77777777" w:rsidR="00D80129" w:rsidRPr="00DD6E6B" w:rsidRDefault="00D80129" w:rsidP="00D80129">
            <w:pPr>
              <w:pStyle w:val="Marginlie"/>
              <w:rPr>
                <w:lang w:val="en-GB"/>
              </w:rPr>
            </w:pPr>
          </w:p>
          <w:p w14:paraId="202055FD" w14:textId="77777777" w:rsidR="00D80129" w:rsidRPr="00DD6E6B" w:rsidRDefault="00D80129" w:rsidP="00D80129">
            <w:pPr>
              <w:pStyle w:val="Marginlie"/>
              <w:rPr>
                <w:lang w:val="en-GB"/>
              </w:rPr>
            </w:pPr>
          </w:p>
          <w:p w14:paraId="138F9CA9" w14:textId="77777777" w:rsidR="00D80129" w:rsidRPr="00DD6E6B" w:rsidRDefault="00D80129" w:rsidP="00D80129">
            <w:pPr>
              <w:pStyle w:val="Marginlie"/>
              <w:rPr>
                <w:lang w:val="en-GB"/>
              </w:rPr>
            </w:pPr>
          </w:p>
          <w:p w14:paraId="0779B965" w14:textId="77777777" w:rsidR="00D80129" w:rsidRPr="00DD6E6B" w:rsidRDefault="00D80129" w:rsidP="00D80129">
            <w:pPr>
              <w:pStyle w:val="Marginlie"/>
              <w:rPr>
                <w:lang w:val="en-GB"/>
              </w:rPr>
            </w:pPr>
          </w:p>
          <w:p w14:paraId="63C9FB6E" w14:textId="77777777" w:rsidR="00D80129" w:rsidRPr="00DD6E6B" w:rsidRDefault="00D80129" w:rsidP="00D80129">
            <w:pPr>
              <w:pStyle w:val="Marginlie"/>
              <w:rPr>
                <w:lang w:val="en-GB"/>
              </w:rPr>
            </w:pPr>
          </w:p>
          <w:p w14:paraId="56BF9D73" w14:textId="77777777" w:rsidR="00D80129" w:rsidRPr="00DD6E6B" w:rsidRDefault="00D80129" w:rsidP="00D80129">
            <w:pPr>
              <w:pStyle w:val="Marginlie"/>
              <w:rPr>
                <w:lang w:val="en-GB"/>
              </w:rPr>
            </w:pPr>
          </w:p>
          <w:p w14:paraId="10083399" w14:textId="33B34B44" w:rsidR="00D80129" w:rsidRPr="00DD6E6B" w:rsidRDefault="00D80129" w:rsidP="00D80129">
            <w:pPr>
              <w:pStyle w:val="Marginlie"/>
              <w:rPr>
                <w:lang w:val="en-GB"/>
              </w:rPr>
            </w:pPr>
            <w:r w:rsidRPr="00DD6E6B">
              <w:rPr>
                <w:lang w:val="en-GB"/>
              </w:rPr>
              <w:t xml:space="preserve">Outlays on parental allowance, similarly to the sickness benefits fell for the third year in a row. </w:t>
            </w:r>
          </w:p>
          <w:p w14:paraId="25B040DC" w14:textId="77777777" w:rsidR="00D80129" w:rsidRPr="00DD6E6B" w:rsidRDefault="00D80129" w:rsidP="00D80129">
            <w:pPr>
              <w:pStyle w:val="Marginlie"/>
              <w:rPr>
                <w:lang w:val="en-GB"/>
              </w:rPr>
            </w:pPr>
          </w:p>
        </w:tc>
        <w:tc>
          <w:tcPr>
            <w:tcW w:w="203" w:type="dxa"/>
            <w:shd w:val="clear" w:color="auto" w:fill="auto"/>
            <w:tcMar>
              <w:left w:w="0" w:type="dxa"/>
            </w:tcMar>
          </w:tcPr>
          <w:p w14:paraId="75B50E50"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3DF2FD76" w14:textId="55706AF0" w:rsidR="00D80129" w:rsidRPr="00DD6E6B" w:rsidRDefault="00D80129" w:rsidP="00D80129">
            <w:pPr>
              <w:spacing w:after="0"/>
              <w:rPr>
                <w:color w:val="0D0D0D" w:themeColor="text1" w:themeTint="F2"/>
                <w:spacing w:val="-4"/>
                <w:lang w:val="en-GB"/>
              </w:rPr>
            </w:pPr>
            <w:r w:rsidRPr="00DD6E6B">
              <w:rPr>
                <w:color w:val="0D0D0D" w:themeColor="text1" w:themeTint="F2"/>
                <w:spacing w:val="-4"/>
                <w:lang w:val="en-GB"/>
              </w:rPr>
              <w:t>93.3 CZK bn aimed at the non-pension social benefits from the SB in H1 and the year-on-year growth of outlays accelerated to 6.9% (nearly doubled pace compared to the year before). Outlays on state social support (SSP, +5.3 CZK bn), which experienced a marked increase of the volume of paid out housing allowances</w:t>
            </w:r>
            <w:r w:rsidRPr="00DD6E6B">
              <w:rPr>
                <w:rStyle w:val="Znakapoznpodarou"/>
                <w:color w:val="0D0D0D" w:themeColor="text1" w:themeTint="F2"/>
                <w:spacing w:val="-4"/>
                <w:lang w:val="en-GB"/>
              </w:rPr>
              <w:footnoteReference w:id="100"/>
            </w:r>
            <w:r w:rsidRPr="00DD6E6B">
              <w:rPr>
                <w:color w:val="0D0D0D" w:themeColor="text1" w:themeTint="F2"/>
                <w:spacing w:val="-4"/>
                <w:lang w:val="en-GB"/>
              </w:rPr>
              <w:t xml:space="preserve"> (+113%, mainly as a result of high prices of energies and rise of costs eligible for the payment, further the spread of awareness </w:t>
            </w:r>
            <w:r w:rsidRPr="00DD6E6B">
              <w:rPr>
                <w:color w:val="0D0D0D" w:themeColor="text1" w:themeTint="F2"/>
                <w:spacing w:val="-4"/>
                <w:lang w:val="en-GB"/>
              </w:rPr>
              <w:lastRenderedPageBreak/>
              <w:t>regarding the possibility to draw on this assistance in population, as well as the simplification of the procedure to lodge an application for the benefit</w:t>
            </w:r>
            <w:r w:rsidRPr="00DD6E6B">
              <w:rPr>
                <w:spacing w:val="-4"/>
                <w:lang w:val="en-GB"/>
              </w:rPr>
              <w:t xml:space="preserve">) </w:t>
            </w:r>
            <w:r w:rsidRPr="00DD6E6B">
              <w:rPr>
                <w:color w:val="0D0D0D" w:themeColor="text1" w:themeTint="F2"/>
                <w:spacing w:val="-4"/>
                <w:lang w:val="en-GB"/>
              </w:rPr>
              <w:t>essentially contributed to this year’s growth</w:t>
            </w:r>
            <w:r w:rsidRPr="00DD6E6B">
              <w:rPr>
                <w:spacing w:val="-4"/>
                <w:lang w:val="en-GB"/>
              </w:rPr>
              <w:t>. The volume of paid out child allowances also grew (+62%, mainly as a result of their across the board increase as well as the rise of the subsistence wage). The drop of drawing of the still weight dominant item of SSP – parental allowances (</w:t>
            </w:r>
            <w:r w:rsidRPr="00DD6E6B">
              <w:rPr>
                <w:color w:val="0D0D0D" w:themeColor="text1" w:themeTint="F2"/>
                <w:spacing w:val="-4"/>
                <w:lang w:val="en-GB"/>
              </w:rPr>
              <w:t>−5.7%</w:t>
            </w:r>
            <w:r w:rsidRPr="00DD6E6B">
              <w:rPr>
                <w:spacing w:val="-4"/>
                <w:lang w:val="en-GB"/>
              </w:rPr>
              <w:t xml:space="preserve">) had an opposing effect. It manifested (after jump increase in year 2020) for the third year in a row. Among other benefits the social care benefits increased (+1 CZK bn). While mostly the newly introduced humanitarian benefit for the refugees from Ukraine stood behind their steep growth last year, it was living supplements this year </w:t>
            </w:r>
            <w:r w:rsidRPr="00DD6E6B">
              <w:rPr>
                <w:rFonts w:cs="Arial"/>
                <w:color w:val="0D0D0D" w:themeColor="text1" w:themeTint="F2"/>
                <w:spacing w:val="-4"/>
                <w:lang w:val="en-GB"/>
              </w:rPr>
              <w:t>(+30%), which help to individuals or families in situations of inadequate income (drawing of humanitarian benefits slightly declined at the same time – by 6%). The less significant by volume disability benefits also grew swiftly, mainly due to the higher mobility allowance. The volume of paid out unemployment benefits mildly grew this year in H1 after the last year’s decrease (+6.7%), while the quantities of registered job applicants stagnated</w:t>
            </w:r>
            <w:r w:rsidRPr="00DD6E6B">
              <w:rPr>
                <w:rStyle w:val="Znakapoznpodarou"/>
                <w:color w:val="0D0D0D" w:themeColor="text1" w:themeTint="F2"/>
                <w:spacing w:val="-4"/>
                <w:lang w:val="en-GB"/>
              </w:rPr>
              <w:footnoteReference w:id="101"/>
            </w:r>
            <w:r w:rsidRPr="00DD6E6B">
              <w:rPr>
                <w:rFonts w:cs="Arial"/>
                <w:color w:val="0D0D0D" w:themeColor="text1" w:themeTint="F2"/>
                <w:spacing w:val="-4"/>
                <w:lang w:val="en-GB"/>
              </w:rPr>
              <w:t>. Outlays on the sickness insurance benefits lowered owing to the improvement of the epidemic situation year-on-year</w:t>
            </w:r>
            <w:r w:rsidRPr="00DD6E6B">
              <w:rPr>
                <w:spacing w:val="-4"/>
                <w:lang w:val="en-GB"/>
              </w:rPr>
              <w:t xml:space="preserve"> (−4.9%), specifically for the third year in a row. Nevertheless they still exceeded the level from H1 2019 by more than one fifth and thus represented not negligible outlay for the SB (24.2 CZK bn). Despite swift growth of insurance these benefits exceeded the revenues from insurance also this year, this deficit however reduced to one half year-on-year (by 3 CZK bn).</w:t>
            </w:r>
          </w:p>
        </w:tc>
      </w:tr>
      <w:tr w:rsidR="00D80129" w:rsidRPr="00DD6E6B" w14:paraId="4984AD2F" w14:textId="77777777" w:rsidTr="006849F8">
        <w:trPr>
          <w:trHeight w:val="170"/>
        </w:trPr>
        <w:tc>
          <w:tcPr>
            <w:tcW w:w="1792" w:type="dxa"/>
            <w:shd w:val="clear" w:color="auto" w:fill="auto"/>
            <w:tcMar>
              <w:left w:w="0" w:type="dxa"/>
            </w:tcMar>
          </w:tcPr>
          <w:p w14:paraId="48998315" w14:textId="060E5438" w:rsidR="00D80129" w:rsidRPr="00DD6E6B" w:rsidRDefault="00D80129" w:rsidP="00D80129">
            <w:pPr>
              <w:pStyle w:val="Marginlie"/>
              <w:rPr>
                <w:lang w:val="en-GB"/>
              </w:rPr>
            </w:pPr>
            <w:r w:rsidRPr="00DD6E6B">
              <w:rPr>
                <w:lang w:val="en-GB"/>
              </w:rPr>
              <w:lastRenderedPageBreak/>
              <w:t xml:space="preserve">Sharp growth of the non-investment subsidies to businesses was connected to the cap on prices of energies for customers. The need for these extraordinary outlays was however weakening in Q2. </w:t>
            </w:r>
          </w:p>
        </w:tc>
        <w:tc>
          <w:tcPr>
            <w:tcW w:w="203" w:type="dxa"/>
            <w:shd w:val="clear" w:color="auto" w:fill="auto"/>
            <w:tcMar>
              <w:left w:w="0" w:type="dxa"/>
            </w:tcMar>
          </w:tcPr>
          <w:p w14:paraId="444690E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623294D5" w14:textId="5F1E11E0"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Next to the social transfers the non-investment outlays to businesses, whose year-on-year growth accelerated up to 128% in H1 (+43.7 CZK bn) and already reached more than 90% of the annual budgeted amount, also significantly participated on the strong growth of total current outlays of the SB.</w:t>
            </w:r>
            <w:r w:rsidRPr="00DD6E6B">
              <w:rPr>
                <w:color w:val="0D0D0D" w:themeColor="text1" w:themeTint="F2"/>
                <w:spacing w:val="-4"/>
                <w:lang w:val="en-GB"/>
              </w:rPr>
              <w:t xml:space="preserve"> Mainly the extraordinary outlays are included here – mostly compensations for the supplies of electricity and gas to customers and the losses due to the cap on their prices (32.6 CZK bn, in that +23.9 CZK bn were allotted to Q1 2023)</w:t>
            </w:r>
            <w:r w:rsidRPr="00DD6E6B">
              <w:rPr>
                <w:rStyle w:val="Znakapoznpodarou"/>
                <w:color w:val="0D0D0D" w:themeColor="text1" w:themeTint="F2"/>
                <w:spacing w:val="-4"/>
                <w:lang w:val="en-GB"/>
              </w:rPr>
              <w:footnoteReference w:id="102"/>
            </w:r>
            <w:r w:rsidRPr="00DD6E6B">
              <w:rPr>
                <w:color w:val="0D0D0D" w:themeColor="text1" w:themeTint="F2"/>
                <w:spacing w:val="-4"/>
                <w:lang w:val="en-GB"/>
              </w:rPr>
              <w:t>, further subsidies to the operators of the transmission system (7.2 bn) or assistance to firms in the energy intensive branches (4.6 bn). Higher advance subsidies on renewable sources of energy or the decrease of SB outlays on the solution of impacts related to the pandemics had a smaller effect on the development of transfers to businesses.</w:t>
            </w:r>
          </w:p>
        </w:tc>
      </w:tr>
      <w:tr w:rsidR="00D80129" w:rsidRPr="00DD6E6B" w14:paraId="324B2A3A" w14:textId="77777777" w:rsidTr="006849F8">
        <w:trPr>
          <w:trHeight w:val="170"/>
        </w:trPr>
        <w:tc>
          <w:tcPr>
            <w:tcW w:w="1792" w:type="dxa"/>
            <w:shd w:val="clear" w:color="auto" w:fill="auto"/>
            <w:tcMar>
              <w:left w:w="0" w:type="dxa"/>
            </w:tcMar>
          </w:tcPr>
          <w:p w14:paraId="01F4BCF1" w14:textId="188C972E" w:rsidR="00D80129" w:rsidRPr="00DD6E6B" w:rsidRDefault="00D80129" w:rsidP="00D80129">
            <w:pPr>
              <w:pStyle w:val="Marginlie"/>
              <w:rPr>
                <w:lang w:val="en-GB"/>
              </w:rPr>
            </w:pPr>
            <w:r w:rsidRPr="00DD6E6B">
              <w:rPr>
                <w:lang w:val="en-GB"/>
              </w:rPr>
              <w:t xml:space="preserve">Wide spectrum of factors had their share on the swift growth of the current transfers to regional budgets. </w:t>
            </w:r>
          </w:p>
          <w:p w14:paraId="25012D5D" w14:textId="77777777" w:rsidR="00D80129" w:rsidRPr="00DD6E6B" w:rsidRDefault="00D80129" w:rsidP="00D80129">
            <w:pPr>
              <w:pStyle w:val="Marginlie"/>
              <w:rPr>
                <w:lang w:val="en-GB"/>
              </w:rPr>
            </w:pPr>
          </w:p>
          <w:p w14:paraId="39360B06" w14:textId="77777777" w:rsidR="00D80129" w:rsidRPr="00DD6E6B" w:rsidRDefault="00D80129" w:rsidP="00D80129">
            <w:pPr>
              <w:pStyle w:val="Marginlie"/>
              <w:rPr>
                <w:lang w:val="en-GB"/>
              </w:rPr>
            </w:pPr>
          </w:p>
          <w:p w14:paraId="6951C589" w14:textId="77777777" w:rsidR="00D80129" w:rsidRPr="00DD6E6B" w:rsidRDefault="00D80129" w:rsidP="00D80129">
            <w:pPr>
              <w:pStyle w:val="Marginlie"/>
              <w:rPr>
                <w:lang w:val="en-GB"/>
              </w:rPr>
            </w:pPr>
          </w:p>
          <w:p w14:paraId="0114093E" w14:textId="77777777" w:rsidR="00D80129" w:rsidRPr="00DD6E6B" w:rsidRDefault="00D80129" w:rsidP="00D80129">
            <w:pPr>
              <w:pStyle w:val="Marginlie"/>
              <w:rPr>
                <w:lang w:val="en-GB"/>
              </w:rPr>
            </w:pPr>
          </w:p>
          <w:p w14:paraId="78B33549" w14:textId="77777777" w:rsidR="00D80129" w:rsidRPr="00DD6E6B" w:rsidRDefault="00D80129" w:rsidP="00D80129">
            <w:pPr>
              <w:pStyle w:val="Marginlie"/>
              <w:rPr>
                <w:lang w:val="en-GB"/>
              </w:rPr>
            </w:pPr>
          </w:p>
          <w:p w14:paraId="0E102058" w14:textId="1A64E88C" w:rsidR="00D80129" w:rsidRPr="00DD6E6B" w:rsidRDefault="00D80129" w:rsidP="00D80129">
            <w:pPr>
              <w:pStyle w:val="Marginlie"/>
              <w:rPr>
                <w:lang w:val="en-GB"/>
              </w:rPr>
            </w:pPr>
            <w:r w:rsidRPr="00DD6E6B">
              <w:rPr>
                <w:lang w:val="en-GB"/>
              </w:rPr>
              <w:t xml:space="preserve">In contrast the growth of outlays on servicing the state debt to the record level was clearly based in the pay-out of the anti-inflationary bonds.  </w:t>
            </w:r>
          </w:p>
        </w:tc>
        <w:tc>
          <w:tcPr>
            <w:tcW w:w="203" w:type="dxa"/>
            <w:shd w:val="clear" w:color="auto" w:fill="auto"/>
            <w:tcMar>
              <w:left w:w="0" w:type="dxa"/>
            </w:tcMar>
          </w:tcPr>
          <w:p w14:paraId="1BB58180"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1D35C173" w14:textId="2A75334E"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Weight significant current transfers to regional budgets, which were higher by one sixth compared to H1 2022 </w:t>
            </w:r>
            <w:r w:rsidRPr="00DD6E6B">
              <w:rPr>
                <w:color w:val="0D0D0D" w:themeColor="text1" w:themeTint="F2"/>
                <w:spacing w:val="-4"/>
                <w:lang w:val="en-GB"/>
              </w:rPr>
              <w:t>(+26.0 CZK bn) also notably strengthened. It was connected to the strengthening of outlays into the area of regional education (+9.2 CZK bn, primarily on the raise of the wage tariffs of both teachers and other staff), social services or compensation allowance on the housing of refugees from Ukraine. The outlays on the co-financing of programmes in the area of education, supported from the EU budget also grew. Anticipated sharply growing outlays on the servicing of the state debt also notably burdened the SB (+14.5 CZK bn)</w:t>
            </w:r>
            <w:r w:rsidRPr="00DD6E6B">
              <w:rPr>
                <w:rStyle w:val="Znakapoznpodarou"/>
                <w:spacing w:val="-4"/>
                <w:lang w:val="en-GB"/>
              </w:rPr>
              <w:footnoteReference w:id="103"/>
            </w:r>
            <w:r w:rsidRPr="00DD6E6B">
              <w:rPr>
                <w:color w:val="0D0D0D" w:themeColor="text1" w:themeTint="F2"/>
                <w:spacing w:val="-4"/>
                <w:lang w:val="en-GB"/>
              </w:rPr>
              <w:t xml:space="preserve">. The half-yearly size of these outlays attained 37.5 CZK bn (and by nearly one quarter exceeded the record debt outlays from year 2013). Payments of the anti-inflationary state debts to citizens had an essential influence here, rising interest rates of other instruments of the debt financing partial role then. Last item, which more notably supported the fiscal expansion this year, were the outlays on the wages in the central government institutions. These increased by one tenth year-on-year in H1 this year (+6.2 CZK bn) following previous two years of stagnation, which was connected mainly to the January raise of the pay tariffs of the public security forces and armed forces and last year’s September increase for employees in the civil service. In addition after the freeze during the </w:t>
            </w:r>
            <w:r w:rsidRPr="00DD6E6B">
              <w:rPr>
                <w:color w:val="0D0D0D" w:themeColor="text1" w:themeTint="F2"/>
                <w:spacing w:val="-4"/>
                <w:lang w:val="en-GB"/>
              </w:rPr>
              <w:lastRenderedPageBreak/>
              <w:t xml:space="preserve">pandemics, the outlays on the wages of constitutional authorities also considerably increased. </w:t>
            </w:r>
          </w:p>
        </w:tc>
      </w:tr>
      <w:tr w:rsidR="00D80129" w:rsidRPr="00DD6E6B" w14:paraId="7D77FA5C" w14:textId="77777777" w:rsidTr="006849F8">
        <w:trPr>
          <w:trHeight w:val="170"/>
        </w:trPr>
        <w:tc>
          <w:tcPr>
            <w:tcW w:w="1792" w:type="dxa"/>
            <w:shd w:val="clear" w:color="auto" w:fill="auto"/>
            <w:tcMar>
              <w:left w:w="0" w:type="dxa"/>
            </w:tcMar>
          </w:tcPr>
          <w:p w14:paraId="089FB78F" w14:textId="59D20B49" w:rsidR="00D80129" w:rsidRPr="00DD6E6B" w:rsidRDefault="00D80129" w:rsidP="00D80129">
            <w:pPr>
              <w:pStyle w:val="Marginlie"/>
              <w:rPr>
                <w:lang w:val="en-GB"/>
              </w:rPr>
            </w:pPr>
            <w:r w:rsidRPr="00DD6E6B">
              <w:rPr>
                <w:lang w:val="en-GB"/>
              </w:rPr>
              <w:lastRenderedPageBreak/>
              <w:t xml:space="preserve">Outlays on the non-investment purchases of the state reduced due to the lower need of extraordinary outlays in healthcare or the material reserves. </w:t>
            </w:r>
          </w:p>
        </w:tc>
        <w:tc>
          <w:tcPr>
            <w:tcW w:w="203" w:type="dxa"/>
            <w:shd w:val="clear" w:color="auto" w:fill="auto"/>
            <w:tcMar>
              <w:left w:w="0" w:type="dxa"/>
            </w:tcMar>
          </w:tcPr>
          <w:p w14:paraId="72519D2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400791FA" w14:textId="066A920D" w:rsidR="00D80129" w:rsidRPr="00DD6E6B" w:rsidRDefault="00D80129" w:rsidP="00D80129">
            <w:pPr>
              <w:spacing w:after="200"/>
              <w:rPr>
                <w:color w:val="0D0D0D" w:themeColor="text1" w:themeTint="F2"/>
                <w:spacing w:val="-5"/>
                <w:lang w:val="en-GB"/>
              </w:rPr>
            </w:pPr>
            <w:r w:rsidRPr="00DD6E6B">
              <w:rPr>
                <w:color w:val="0D0D0D" w:themeColor="text1" w:themeTint="F2"/>
                <w:spacing w:val="-5"/>
                <w:lang w:val="en-GB"/>
              </w:rPr>
              <w:t xml:space="preserve">Even despite the above mentioned areas, areas which subdued the sharp growth of the SB current outlays still existed. They contained mainly non-investment purchases, whose volume cut year-on-year mainly the outlays on the acquisition of vaccines </w:t>
            </w:r>
            <w:r w:rsidRPr="00DD6E6B">
              <w:rPr>
                <w:color w:val="0D0D0D" w:themeColor="text1" w:themeTint="F2"/>
                <w:spacing w:val="-4"/>
                <w:lang w:val="en-GB"/>
              </w:rPr>
              <w:t xml:space="preserve">(-5.0 CZK bn) or area of state material reserves (-5.6 CZK bn). On the other hand the high price growth still made some common operating outlays more expensive </w:t>
            </w:r>
            <w:r w:rsidRPr="00DD6E6B">
              <w:rPr>
                <w:color w:val="0D0D0D" w:themeColor="text1" w:themeTint="F2"/>
                <w:lang w:val="en-GB"/>
              </w:rPr>
              <w:t>here (for instance for purchases of water, fuels, energies or services</w:t>
            </w:r>
            <w:r w:rsidRPr="00DD6E6B">
              <w:rPr>
                <w:spacing w:val="-4"/>
                <w:lang w:val="en-GB"/>
              </w:rPr>
              <w:t xml:space="preserve">). Current transfers to state funds also mildly decreased, mainly into the area of agriculture. </w:t>
            </w:r>
          </w:p>
        </w:tc>
      </w:tr>
      <w:tr w:rsidR="00D80129" w:rsidRPr="00DD6E6B" w14:paraId="6E7D9726" w14:textId="77777777" w:rsidTr="006849F8">
        <w:trPr>
          <w:trHeight w:val="170"/>
        </w:trPr>
        <w:tc>
          <w:tcPr>
            <w:tcW w:w="1792" w:type="dxa"/>
            <w:shd w:val="clear" w:color="auto" w:fill="auto"/>
            <w:tcMar>
              <w:left w:w="0" w:type="dxa"/>
            </w:tcMar>
          </w:tcPr>
          <w:p w14:paraId="7ECC93C1" w14:textId="7EC47E21" w:rsidR="00D80129" w:rsidRPr="00DD6E6B" w:rsidRDefault="00D80129" w:rsidP="00D80129">
            <w:pPr>
              <w:pStyle w:val="Marginlie"/>
              <w:rPr>
                <w:lang w:val="en-GB"/>
              </w:rPr>
            </w:pPr>
            <w:r w:rsidRPr="00DD6E6B">
              <w:rPr>
                <w:lang w:val="en-GB"/>
              </w:rPr>
              <w:t xml:space="preserve">Capital outlays markedly increased, mainly thanks to the implementation of the National recovery plan. </w:t>
            </w:r>
          </w:p>
          <w:p w14:paraId="094D4888" w14:textId="77777777" w:rsidR="00D80129" w:rsidRPr="00DD6E6B" w:rsidRDefault="00D80129" w:rsidP="00D80129">
            <w:pPr>
              <w:pStyle w:val="Marginlie"/>
              <w:rPr>
                <w:lang w:val="en-GB"/>
              </w:rPr>
            </w:pPr>
          </w:p>
          <w:p w14:paraId="74E42ECB" w14:textId="77777777" w:rsidR="00D80129" w:rsidRPr="00DD6E6B" w:rsidRDefault="00D80129" w:rsidP="00D80129">
            <w:pPr>
              <w:pStyle w:val="Marginlie"/>
              <w:rPr>
                <w:lang w:val="en-GB"/>
              </w:rPr>
            </w:pPr>
          </w:p>
          <w:p w14:paraId="70E41416" w14:textId="77777777" w:rsidR="00D80129" w:rsidRPr="00DD6E6B" w:rsidRDefault="00D80129" w:rsidP="00D80129">
            <w:pPr>
              <w:pStyle w:val="Marginlie"/>
              <w:rPr>
                <w:lang w:val="en-GB"/>
              </w:rPr>
            </w:pPr>
          </w:p>
          <w:p w14:paraId="78E37105" w14:textId="77777777" w:rsidR="00D80129" w:rsidRPr="00DD6E6B" w:rsidRDefault="00D80129" w:rsidP="00D80129">
            <w:pPr>
              <w:pStyle w:val="Marginlie"/>
              <w:rPr>
                <w:lang w:val="en-GB"/>
              </w:rPr>
            </w:pPr>
          </w:p>
          <w:p w14:paraId="4873D5B6" w14:textId="77777777" w:rsidR="00D80129" w:rsidRPr="00DD6E6B" w:rsidRDefault="00D80129" w:rsidP="00D80129">
            <w:pPr>
              <w:pStyle w:val="Marginlie"/>
              <w:rPr>
                <w:lang w:val="en-GB"/>
              </w:rPr>
            </w:pPr>
          </w:p>
          <w:p w14:paraId="1EDA7B90" w14:textId="77777777" w:rsidR="00D80129" w:rsidRPr="00DD6E6B" w:rsidRDefault="00D80129" w:rsidP="00D80129">
            <w:pPr>
              <w:pStyle w:val="Marginlie"/>
              <w:rPr>
                <w:lang w:val="en-GB"/>
              </w:rPr>
            </w:pPr>
          </w:p>
          <w:p w14:paraId="3EC311FD" w14:textId="42392385" w:rsidR="00D80129" w:rsidRPr="00DD6E6B" w:rsidRDefault="00D80129" w:rsidP="00D80129">
            <w:pPr>
              <w:pStyle w:val="Marginlie"/>
              <w:rPr>
                <w:lang w:val="en-GB"/>
              </w:rPr>
            </w:pPr>
            <w:r w:rsidRPr="00DD6E6B">
              <w:rPr>
                <w:lang w:val="en-GB"/>
              </w:rPr>
              <w:t xml:space="preserve">The proportion of investment on total SB outlays reached an average 7%. </w:t>
            </w:r>
          </w:p>
        </w:tc>
        <w:tc>
          <w:tcPr>
            <w:tcW w:w="203" w:type="dxa"/>
            <w:shd w:val="clear" w:color="auto" w:fill="auto"/>
            <w:tcMar>
              <w:left w:w="0" w:type="dxa"/>
            </w:tcMar>
          </w:tcPr>
          <w:p w14:paraId="5C95E61C"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DA999C8" w14:textId="2CE79B89" w:rsidR="00D80129" w:rsidRPr="00DD6E6B" w:rsidRDefault="00D80129" w:rsidP="00D80129">
            <w:pPr>
              <w:spacing w:after="200"/>
              <w:rPr>
                <w:color w:val="0D0D0D" w:themeColor="text1" w:themeTint="F2"/>
                <w:spacing w:val="-4"/>
                <w:lang w:val="en-GB"/>
              </w:rPr>
            </w:pPr>
            <w:r w:rsidRPr="00DD6E6B">
              <w:rPr>
                <w:color w:val="0D0D0D" w:themeColor="text1" w:themeTint="F2"/>
                <w:spacing w:val="-4"/>
                <w:lang w:val="en-GB"/>
              </w:rPr>
              <w:t>Capital outlays of the SR increased by considerable 16.1% (to 79 CZK bn) year-on-year in H1. The brisk pace partially reflects the effect of the weaker last year’s basis (the SB functioned in the interim regime in Q1 2022</w:t>
            </w:r>
            <w:r w:rsidRPr="00DD6E6B">
              <w:rPr>
                <w:color w:val="0D0D0D" w:themeColor="text1" w:themeTint="F2"/>
                <w:vertAlign w:val="superscript"/>
                <w:lang w:val="en-GB"/>
              </w:rPr>
              <w:footnoteReference w:id="104"/>
            </w:r>
            <w:r w:rsidRPr="00DD6E6B">
              <w:rPr>
                <w:color w:val="0D0D0D" w:themeColor="text1" w:themeTint="F2"/>
                <w:spacing w:val="-4"/>
                <w:lang w:val="en-GB"/>
              </w:rPr>
              <w:t>). 38.1% of the yearly budget size of the capital outlays has been invested so far this year (33.5% last year at the end of half-year, however 46.3% in year 2022). The largest volume of investment was aimed traditionally at the area of transport infrastructure (25.5 CZK bn), the New Green Savings Programme within the National recovery programme (where 8.9 bn was allocated, nearly double year-on-year) however mainly contributed to their growth and also the implementation of the projects within the Operational Programme Enterprise and Innovation for Competitiveness 2014+ or Integrated Regional Operational Programme 2014+. Total investment has shared even 7</w:t>
            </w:r>
            <w:proofErr w:type="gramStart"/>
            <w:r w:rsidRPr="00DD6E6B">
              <w:rPr>
                <w:color w:val="0D0D0D" w:themeColor="text1" w:themeTint="F2"/>
                <w:spacing w:val="-4"/>
                <w:lang w:val="en-GB"/>
              </w:rPr>
              <w:t>%  on</w:t>
            </w:r>
            <w:proofErr w:type="gramEnd"/>
            <w:r w:rsidRPr="00DD6E6B">
              <w:rPr>
                <w:color w:val="0D0D0D" w:themeColor="text1" w:themeTint="F2"/>
                <w:spacing w:val="-4"/>
                <w:lang w:val="en-GB"/>
              </w:rPr>
              <w:t xml:space="preserve"> all SB outlays so far this year (similarly to H1 2022), it presents an average value from the long-term perspective. Slightly above average volume of so far released investment from the SB was associated with the common CR and EU projects this year.</w:t>
            </w:r>
          </w:p>
        </w:tc>
      </w:tr>
      <w:tr w:rsidR="00D80129" w:rsidRPr="00DD6E6B" w14:paraId="635257CA" w14:textId="77777777" w:rsidTr="006849F8">
        <w:trPr>
          <w:trHeight w:val="170"/>
        </w:trPr>
        <w:tc>
          <w:tcPr>
            <w:tcW w:w="1792" w:type="dxa"/>
            <w:vMerge w:val="restart"/>
            <w:shd w:val="clear" w:color="auto" w:fill="auto"/>
            <w:tcMar>
              <w:left w:w="0" w:type="dxa"/>
            </w:tcMar>
          </w:tcPr>
          <w:p w14:paraId="3EC369A6" w14:textId="77777777" w:rsidR="00D80129" w:rsidRPr="00DD6E6B" w:rsidRDefault="00D80129" w:rsidP="00D80129">
            <w:pPr>
              <w:pStyle w:val="Marginlie"/>
              <w:rPr>
                <w:lang w:val="en-GB"/>
              </w:rPr>
            </w:pPr>
          </w:p>
        </w:tc>
        <w:tc>
          <w:tcPr>
            <w:tcW w:w="203" w:type="dxa"/>
            <w:vMerge w:val="restart"/>
            <w:shd w:val="clear" w:color="auto" w:fill="auto"/>
            <w:tcMar>
              <w:left w:w="0" w:type="dxa"/>
            </w:tcMar>
          </w:tcPr>
          <w:p w14:paraId="69B8D028"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721679FA" w14:textId="1CC2E67F" w:rsidR="00D80129" w:rsidRPr="00DD6E6B" w:rsidRDefault="00D80129" w:rsidP="00D80129">
            <w:pPr>
              <w:spacing w:after="20" w:line="240" w:lineRule="auto"/>
              <w:jc w:val="left"/>
              <w:rPr>
                <w:rFonts w:cs="Arial"/>
                <w:bCs/>
                <w:spacing w:val="-3"/>
                <w:lang w:val="en-GB"/>
              </w:rPr>
            </w:pPr>
            <w:r w:rsidRPr="00DD6E6B">
              <w:rPr>
                <w:b/>
                <w:spacing w:val="-3"/>
                <w:lang w:val="en-GB"/>
              </w:rPr>
              <w:t xml:space="preserve">Chart 18 </w:t>
            </w:r>
            <w:r w:rsidRPr="00DD6E6B">
              <w:rPr>
                <w:rFonts w:cs="Arial"/>
                <w:b/>
                <w:bCs/>
                <w:spacing w:val="-6"/>
                <w:lang w:val="en-GB"/>
              </w:rPr>
              <w:t xml:space="preserve">Selected expenditures of the state budget </w:t>
            </w:r>
            <w:r w:rsidRPr="00DD6E6B">
              <w:rPr>
                <w:rFonts w:cs="Arial"/>
                <w:bCs/>
                <w:spacing w:val="-3"/>
                <w:lang w:val="en-GB"/>
              </w:rPr>
              <w:t>(cumulation for H1, in CZK bn)</w:t>
            </w:r>
          </w:p>
        </w:tc>
      </w:tr>
      <w:tr w:rsidR="00D80129" w:rsidRPr="00DD6E6B" w14:paraId="797E142B" w14:textId="77777777" w:rsidTr="00D02CFF">
        <w:tblPrEx>
          <w:tblCellMar>
            <w:left w:w="70" w:type="dxa"/>
            <w:right w:w="70" w:type="dxa"/>
          </w:tblCellMar>
        </w:tblPrEx>
        <w:trPr>
          <w:trHeight w:val="170"/>
        </w:trPr>
        <w:tc>
          <w:tcPr>
            <w:tcW w:w="1792" w:type="dxa"/>
            <w:vMerge/>
            <w:shd w:val="clear" w:color="auto" w:fill="auto"/>
          </w:tcPr>
          <w:p w14:paraId="68FED6D8" w14:textId="77777777" w:rsidR="00D80129" w:rsidRPr="00DD6E6B" w:rsidRDefault="00D80129" w:rsidP="00D80129">
            <w:pPr>
              <w:pStyle w:val="Marginlie"/>
              <w:rPr>
                <w:lang w:val="en-GB"/>
              </w:rPr>
            </w:pPr>
          </w:p>
        </w:tc>
        <w:tc>
          <w:tcPr>
            <w:tcW w:w="203" w:type="dxa"/>
            <w:vMerge/>
            <w:shd w:val="clear" w:color="auto" w:fill="auto"/>
          </w:tcPr>
          <w:p w14:paraId="1384FCFB" w14:textId="77777777" w:rsidR="00D80129" w:rsidRPr="00DD6E6B" w:rsidRDefault="00D80129" w:rsidP="00D80129">
            <w:pPr>
              <w:pStyle w:val="Textpoznpodarou"/>
              <w:jc w:val="both"/>
              <w:rPr>
                <w:spacing w:val="-4"/>
                <w:lang w:val="en-GB"/>
              </w:rPr>
            </w:pPr>
          </w:p>
        </w:tc>
        <w:tc>
          <w:tcPr>
            <w:tcW w:w="7674" w:type="dxa"/>
            <w:shd w:val="clear" w:color="auto" w:fill="auto"/>
          </w:tcPr>
          <w:p w14:paraId="6FE9DADC" w14:textId="7B8F77C8" w:rsidR="00D80129" w:rsidRPr="00DD6E6B" w:rsidRDefault="00D80129" w:rsidP="00D80129">
            <w:pPr>
              <w:spacing w:after="0"/>
              <w:rPr>
                <w:spacing w:val="-6"/>
                <w:lang w:val="en-GB"/>
              </w:rPr>
            </w:pPr>
            <w:r>
              <w:rPr>
                <w:noProof/>
              </w:rPr>
              <w:drawing>
                <wp:inline distT="0" distB="0" distL="0" distR="0" wp14:anchorId="49F320C0" wp14:editId="634E0901">
                  <wp:extent cx="4720355" cy="3387587"/>
                  <wp:effectExtent l="0" t="0" r="4445" b="381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80129" w:rsidRPr="00DD6E6B" w14:paraId="46559CB1" w14:textId="77777777" w:rsidTr="006849F8">
        <w:trPr>
          <w:trHeight w:val="170"/>
        </w:trPr>
        <w:tc>
          <w:tcPr>
            <w:tcW w:w="1792" w:type="dxa"/>
            <w:vMerge/>
            <w:shd w:val="clear" w:color="auto" w:fill="auto"/>
            <w:tcMar>
              <w:left w:w="0" w:type="dxa"/>
            </w:tcMar>
          </w:tcPr>
          <w:p w14:paraId="74D8A556" w14:textId="77777777" w:rsidR="00D80129" w:rsidRPr="00DD6E6B" w:rsidRDefault="00D80129" w:rsidP="00D80129">
            <w:pPr>
              <w:pStyle w:val="Marginlie"/>
              <w:rPr>
                <w:lang w:val="en-GB"/>
              </w:rPr>
            </w:pPr>
          </w:p>
        </w:tc>
        <w:tc>
          <w:tcPr>
            <w:tcW w:w="203" w:type="dxa"/>
            <w:vMerge/>
            <w:shd w:val="clear" w:color="auto" w:fill="auto"/>
            <w:tcMar>
              <w:left w:w="0" w:type="dxa"/>
            </w:tcMar>
          </w:tcPr>
          <w:p w14:paraId="364BCDDA" w14:textId="77777777" w:rsidR="00D80129" w:rsidRPr="00DD6E6B" w:rsidRDefault="00D80129" w:rsidP="00D80129">
            <w:pPr>
              <w:pStyle w:val="Textpoznpodarou"/>
              <w:jc w:val="both"/>
              <w:rPr>
                <w:spacing w:val="-4"/>
                <w:lang w:val="en-GB"/>
              </w:rPr>
            </w:pPr>
          </w:p>
        </w:tc>
        <w:tc>
          <w:tcPr>
            <w:tcW w:w="7674" w:type="dxa"/>
            <w:shd w:val="clear" w:color="auto" w:fill="auto"/>
            <w:tcMar>
              <w:left w:w="0" w:type="dxa"/>
            </w:tcMar>
          </w:tcPr>
          <w:p w14:paraId="67DCA134" w14:textId="14E05D84" w:rsidR="00D80129" w:rsidRPr="00DD6E6B" w:rsidRDefault="00D80129" w:rsidP="00D80129">
            <w:pPr>
              <w:pStyle w:val="Textpoznpodarou"/>
              <w:rPr>
                <w:spacing w:val="-4"/>
                <w:sz w:val="14"/>
                <w:szCs w:val="14"/>
                <w:lang w:val="en-GB"/>
              </w:rPr>
            </w:pPr>
            <w:r w:rsidRPr="00DD6E6B">
              <w:rPr>
                <w:spacing w:val="-4"/>
                <w:sz w:val="14"/>
                <w:szCs w:val="14"/>
                <w:lang w:val="en-GB"/>
              </w:rPr>
              <w:t>*</w:t>
            </w:r>
            <w:r w:rsidRPr="00DD6E6B">
              <w:rPr>
                <w:spacing w:val="-6"/>
                <w:sz w:val="14"/>
                <w:szCs w:val="14"/>
                <w:lang w:val="en-GB"/>
              </w:rPr>
              <w:t xml:space="preserve"> Covers expenditures on salaries in central government institutions. Does not include e.g. wage costs of regional education.</w:t>
            </w:r>
          </w:p>
          <w:p w14:paraId="238EAA35" w14:textId="77777777" w:rsidR="00D80129" w:rsidRDefault="00D80129" w:rsidP="00D80129">
            <w:pPr>
              <w:pStyle w:val="Textpoznpodarou"/>
              <w:rPr>
                <w:spacing w:val="-4"/>
                <w:sz w:val="14"/>
                <w:szCs w:val="14"/>
                <w:lang w:val="en-GB"/>
              </w:rPr>
            </w:pPr>
            <w:r w:rsidRPr="00DD6E6B">
              <w:rPr>
                <w:spacing w:val="-4"/>
                <w:sz w:val="14"/>
                <w:szCs w:val="14"/>
                <w:lang w:val="en-GB"/>
              </w:rPr>
              <w:t>**</w:t>
            </w:r>
            <w:r w:rsidRPr="00DD6E6B">
              <w:rPr>
                <w:spacing w:val="-6"/>
                <w:sz w:val="14"/>
                <w:szCs w:val="14"/>
                <w:lang w:val="en-GB"/>
              </w:rPr>
              <w:t xml:space="preserve"> Also includes the foster care benefits</w:t>
            </w:r>
          </w:p>
          <w:p w14:paraId="38533043" w14:textId="6F90DD82" w:rsidR="00D80129" w:rsidRPr="00DD6E6B" w:rsidRDefault="00D80129" w:rsidP="00D80129">
            <w:pPr>
              <w:pStyle w:val="Textpoznpodarou"/>
              <w:rPr>
                <w:spacing w:val="-6"/>
                <w:sz w:val="14"/>
                <w:szCs w:val="14"/>
                <w:lang w:val="en-GB"/>
              </w:rPr>
            </w:pPr>
            <w:r w:rsidRPr="00DD6E6B">
              <w:rPr>
                <w:spacing w:val="-4"/>
                <w:sz w:val="14"/>
                <w:szCs w:val="14"/>
                <w:lang w:val="en-GB"/>
              </w:rPr>
              <w:t>***</w:t>
            </w:r>
            <w:r w:rsidRPr="00DD6E6B">
              <w:rPr>
                <w:spacing w:val="-6"/>
                <w:sz w:val="14"/>
                <w:szCs w:val="14"/>
                <w:lang w:val="en-GB"/>
              </w:rPr>
              <w:t xml:space="preserve"> Includes Material deprivation assistance benefits, Benefits for people with disabilities, Care benefits based on Act on State Social Support. Humanitarian aid provided for citizens of Ukraine are also included here.</w:t>
            </w:r>
          </w:p>
          <w:p w14:paraId="65D9E103" w14:textId="77777777" w:rsidR="00D80129" w:rsidRDefault="00D80129" w:rsidP="00D80129">
            <w:pPr>
              <w:pStyle w:val="Textpoznpodarou"/>
              <w:rPr>
                <w:spacing w:val="-6"/>
                <w:sz w:val="14"/>
                <w:szCs w:val="14"/>
                <w:lang w:val="en-GB"/>
              </w:rPr>
            </w:pPr>
            <w:r w:rsidRPr="00DD6E6B">
              <w:rPr>
                <w:spacing w:val="-4"/>
                <w:sz w:val="14"/>
                <w:szCs w:val="14"/>
                <w:lang w:val="en-GB"/>
              </w:rPr>
              <w:t>****</w:t>
            </w:r>
            <w:r w:rsidRPr="00DD6E6B">
              <w:rPr>
                <w:spacing w:val="-6"/>
                <w:sz w:val="14"/>
                <w:szCs w:val="14"/>
                <w:lang w:val="en-GB"/>
              </w:rPr>
              <w:t xml:space="preserve"> Contains mainly expenditures on purchase of services, materials, energies or other services (e.g. expenditures on repairs </w:t>
            </w:r>
            <w:r>
              <w:rPr>
                <w:spacing w:val="-6"/>
                <w:sz w:val="14"/>
                <w:szCs w:val="14"/>
                <w:lang w:val="en-GB"/>
              </w:rPr>
              <w:t>and maintenance).</w:t>
            </w:r>
          </w:p>
          <w:p w14:paraId="29F8E580" w14:textId="15CFF43F" w:rsidR="00D80129" w:rsidRPr="00DD6E6B" w:rsidRDefault="00D80129" w:rsidP="00D80129">
            <w:pPr>
              <w:pStyle w:val="Textpoznpodarou"/>
              <w:rPr>
                <w:spacing w:val="-4"/>
                <w:sz w:val="14"/>
                <w:szCs w:val="14"/>
                <w:lang w:val="en-GB"/>
              </w:rPr>
            </w:pPr>
            <w:r w:rsidRPr="00DD6E6B">
              <w:rPr>
                <w:spacing w:val="-4"/>
                <w:sz w:val="14"/>
                <w:szCs w:val="14"/>
                <w:lang w:val="en-GB"/>
              </w:rPr>
              <w:t xml:space="preserve">***** </w:t>
            </w:r>
            <w:r w:rsidRPr="00DD6E6B">
              <w:rPr>
                <w:spacing w:val="-6"/>
                <w:sz w:val="14"/>
                <w:szCs w:val="14"/>
                <w:lang w:val="en-GB"/>
              </w:rPr>
              <w:t>Corresponds to the balance of the budget chapter State debt</w:t>
            </w:r>
            <w:r>
              <w:rPr>
                <w:spacing w:val="-4"/>
                <w:sz w:val="14"/>
                <w:szCs w:val="14"/>
                <w:lang w:val="en-GB"/>
              </w:rPr>
              <w:t>.</w:t>
            </w:r>
          </w:p>
          <w:p w14:paraId="4C893225" w14:textId="27A6D77D" w:rsidR="00D80129" w:rsidRPr="00D02CFF" w:rsidRDefault="00D80129" w:rsidP="00D80129">
            <w:pPr>
              <w:pStyle w:val="Textpoznpodarou"/>
              <w:rPr>
                <w:spacing w:val="-4"/>
                <w:sz w:val="14"/>
                <w:szCs w:val="14"/>
                <w:lang w:val="en-GB"/>
              </w:rPr>
            </w:pPr>
            <w:r w:rsidRPr="00DD6E6B">
              <w:rPr>
                <w:spacing w:val="-4"/>
                <w:sz w:val="14"/>
                <w:szCs w:val="14"/>
                <w:lang w:val="en-GB"/>
              </w:rPr>
              <w:t>Source: MF CR, MLSA</w:t>
            </w:r>
          </w:p>
        </w:tc>
      </w:tr>
    </w:tbl>
    <w:p w14:paraId="5D6917AD" w14:textId="44FA1E2E" w:rsidR="00106BCC" w:rsidRPr="00D02CFF" w:rsidRDefault="00106BCC" w:rsidP="00106BCC">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D80129" w:rsidRPr="00DD6E6B" w14:paraId="144D1462" w14:textId="77777777" w:rsidTr="20D21749">
        <w:trPr>
          <w:trHeight w:val="145"/>
        </w:trPr>
        <w:tc>
          <w:tcPr>
            <w:tcW w:w="1780" w:type="dxa"/>
            <w:shd w:val="clear" w:color="auto" w:fill="auto"/>
            <w:tcMar>
              <w:left w:w="0" w:type="dxa"/>
            </w:tcMar>
          </w:tcPr>
          <w:p w14:paraId="2DC96299" w14:textId="731B91AF" w:rsidR="00D80129" w:rsidRPr="00DD6E6B" w:rsidRDefault="00D80129" w:rsidP="00D80129">
            <w:pPr>
              <w:pStyle w:val="Marginlie"/>
              <w:rPr>
                <w:lang w:val="en-GB"/>
              </w:rPr>
            </w:pPr>
            <w:r w:rsidRPr="00DD6E6B">
              <w:rPr>
                <w:lang w:val="en-GB"/>
              </w:rPr>
              <w:t xml:space="preserve">Net positive position of the CR in relation to the EU budget strengthened year-on-year.  </w:t>
            </w:r>
          </w:p>
        </w:tc>
        <w:tc>
          <w:tcPr>
            <w:tcW w:w="219" w:type="dxa"/>
            <w:shd w:val="clear" w:color="auto" w:fill="auto"/>
            <w:tcMar>
              <w:left w:w="0" w:type="dxa"/>
            </w:tcMar>
          </w:tcPr>
          <w:p w14:paraId="21D840D5"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003BE1AB" w14:textId="03B0DC4A" w:rsidR="00D80129" w:rsidRPr="00DD6E6B" w:rsidRDefault="00D80129" w:rsidP="00D80129">
            <w:pPr>
              <w:spacing w:after="200"/>
              <w:rPr>
                <w:color w:val="0D0D0D" w:themeColor="text1" w:themeTint="F2"/>
                <w:spacing w:val="-2"/>
                <w:lang w:val="en-GB"/>
              </w:rPr>
            </w:pPr>
            <w:r w:rsidRPr="00DD6E6B">
              <w:rPr>
                <w:color w:val="0D0D0D" w:themeColor="text1" w:themeTint="F2"/>
                <w:spacing w:val="-4"/>
                <w:lang w:val="en-GB"/>
              </w:rPr>
              <w:t xml:space="preserve">The CR further remains in the position of the net recipient in relation to the EU budget. The CR received from the EU budget 54.6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 xml:space="preserve"> (+13.0% year-on-year) in H1 2023, 33.9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 xml:space="preserve"> (+4.2%) travelled in the opposite direction. The CR has thus so far received by 20.8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 xml:space="preserve"> more, than it transferred to the EU budget. When including the sharply growing income from the EU instrument Recovery plan for Europe (+225%), the total positive balance arrives at 45.6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 xml:space="preserve"> (the second largest half-yearly value in the last seven years). Larger funds in the area of Structural funds, Cohesion fund as well as the direct payments in agriculture contributed by similar shares to the year-on-year growth of revenues. Funds on the rural development on the contrary slightly decreased (-0.9 CZK </w:t>
            </w:r>
            <w:proofErr w:type="spellStart"/>
            <w:r w:rsidRPr="00DD6E6B">
              <w:rPr>
                <w:color w:val="0D0D0D" w:themeColor="text1" w:themeTint="F2"/>
                <w:spacing w:val="-4"/>
                <w:lang w:val="en-GB"/>
              </w:rPr>
              <w:t>bn</w:t>
            </w:r>
            <w:proofErr w:type="spellEnd"/>
            <w:r w:rsidRPr="00DD6E6B">
              <w:rPr>
                <w:color w:val="0D0D0D" w:themeColor="text1" w:themeTint="F2"/>
                <w:spacing w:val="-4"/>
                <w:lang w:val="en-GB"/>
              </w:rPr>
              <w:t>).</w:t>
            </w:r>
          </w:p>
        </w:tc>
      </w:tr>
      <w:tr w:rsidR="00D80129" w:rsidRPr="00DD6E6B" w14:paraId="444D1690" w14:textId="77777777" w:rsidTr="20D21749">
        <w:trPr>
          <w:trHeight w:val="145"/>
        </w:trPr>
        <w:tc>
          <w:tcPr>
            <w:tcW w:w="1780" w:type="dxa"/>
            <w:shd w:val="clear" w:color="auto" w:fill="auto"/>
            <w:tcMar>
              <w:left w:w="0" w:type="dxa"/>
            </w:tcMar>
          </w:tcPr>
          <w:p w14:paraId="23BE3ED6" w14:textId="1828C1C3" w:rsidR="00D80129" w:rsidRPr="00DD6E6B" w:rsidRDefault="00D80129" w:rsidP="00D80129">
            <w:pPr>
              <w:pStyle w:val="Marginlie"/>
              <w:rPr>
                <w:lang w:val="en-GB"/>
              </w:rPr>
            </w:pPr>
            <w:r w:rsidRPr="00DD6E6B">
              <w:rPr>
                <w:lang w:val="en-GB"/>
              </w:rPr>
              <w:t xml:space="preserve">State debt conquered the limit of 3 CZK trillion for the first time in history at the end of H1. </w:t>
            </w:r>
          </w:p>
          <w:p w14:paraId="547D5C4D" w14:textId="77777777" w:rsidR="00D80129" w:rsidRPr="00DD6E6B" w:rsidRDefault="00D80129" w:rsidP="00D80129">
            <w:pPr>
              <w:pStyle w:val="Marginlie"/>
              <w:rPr>
                <w:lang w:val="en-GB"/>
              </w:rPr>
            </w:pPr>
          </w:p>
          <w:p w14:paraId="684AD787" w14:textId="77777777" w:rsidR="00D80129" w:rsidRPr="00DD6E6B" w:rsidRDefault="00D80129" w:rsidP="00D80129">
            <w:pPr>
              <w:pStyle w:val="Marginlie"/>
              <w:rPr>
                <w:lang w:val="en-GB"/>
              </w:rPr>
            </w:pPr>
          </w:p>
          <w:p w14:paraId="6E82E1EC" w14:textId="05212AF9" w:rsidR="00D80129" w:rsidRPr="00DD6E6B" w:rsidRDefault="00D80129" w:rsidP="00D80129">
            <w:pPr>
              <w:pStyle w:val="Marginlie"/>
              <w:rPr>
                <w:lang w:val="en-GB"/>
              </w:rPr>
            </w:pPr>
          </w:p>
          <w:p w14:paraId="2E220F8D" w14:textId="77777777" w:rsidR="00D80129" w:rsidRPr="00DD6E6B" w:rsidRDefault="00D80129" w:rsidP="00D80129">
            <w:pPr>
              <w:pStyle w:val="Marginlie"/>
              <w:rPr>
                <w:lang w:val="en-GB"/>
              </w:rPr>
            </w:pPr>
          </w:p>
          <w:p w14:paraId="6BBB4E97" w14:textId="52EDF965" w:rsidR="00D80129" w:rsidRPr="00DD6E6B" w:rsidRDefault="00D80129" w:rsidP="00D80129">
            <w:pPr>
              <w:pStyle w:val="Marginlie"/>
              <w:rPr>
                <w:lang w:val="en-GB"/>
              </w:rPr>
            </w:pPr>
            <w:r w:rsidRPr="00DD6E6B">
              <w:rPr>
                <w:lang w:val="en-GB"/>
              </w:rPr>
              <w:t xml:space="preserve">Exclusively the internal indebtedness was growing, the koruna value of the external debt was shrinking. </w:t>
            </w:r>
          </w:p>
          <w:p w14:paraId="0BC2E3CE" w14:textId="77777777" w:rsidR="00D80129" w:rsidRPr="00DD6E6B" w:rsidRDefault="00D80129" w:rsidP="00D80129">
            <w:pPr>
              <w:pStyle w:val="Marginlie"/>
              <w:rPr>
                <w:lang w:val="en-GB"/>
              </w:rPr>
            </w:pPr>
          </w:p>
        </w:tc>
        <w:tc>
          <w:tcPr>
            <w:tcW w:w="219" w:type="dxa"/>
            <w:shd w:val="clear" w:color="auto" w:fill="auto"/>
            <w:tcMar>
              <w:left w:w="0" w:type="dxa"/>
            </w:tcMar>
          </w:tcPr>
          <w:p w14:paraId="4EAA0D82"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6CD50C7D" w14:textId="03B83BBD" w:rsidR="00D80129" w:rsidRPr="00DD6E6B" w:rsidRDefault="00D80129" w:rsidP="00D80129">
            <w:pPr>
              <w:spacing w:after="200"/>
              <w:rPr>
                <w:color w:val="0D0D0D" w:themeColor="text1" w:themeTint="F2"/>
                <w:spacing w:val="-2"/>
                <w:lang w:val="en-GB"/>
              </w:rPr>
            </w:pPr>
            <w:r w:rsidRPr="00DD6E6B">
              <w:rPr>
                <w:color w:val="0D0D0D" w:themeColor="text1" w:themeTint="F2"/>
                <w:spacing w:val="-2"/>
                <w:lang w:val="en-GB"/>
              </w:rPr>
              <w:t xml:space="preserve">Persisting deep budget deficits together with planned debt repayments were reflected in the high need of the state for credit. The state debt thus hiked up to record </w:t>
            </w:r>
            <w:r w:rsidRPr="00DD6E6B">
              <w:rPr>
                <w:spacing w:val="-2"/>
                <w:lang w:val="en-GB"/>
              </w:rPr>
              <w:t>3 044 CZK bn at the end of this year’s June and increased by 337 bn (12.4%). Year-on-year percentage rate of growth was similar as last year at the end of June, however the debt growth for the first this year’s half-year itself (+150 CZK bn) eased pace compared to H1 (+242 bn). Mainly the issue of medium and long-term state bonds stood behind the debt increase at the beginning of the year</w:t>
            </w:r>
            <w:r w:rsidRPr="00DD6E6B">
              <w:rPr>
                <w:rStyle w:val="Znakapoznpodarou"/>
                <w:spacing w:val="-2"/>
                <w:lang w:val="en-GB"/>
              </w:rPr>
              <w:footnoteReference w:id="105"/>
            </w:r>
            <w:r w:rsidRPr="00DD6E6B">
              <w:rPr>
                <w:spacing w:val="-2"/>
                <w:lang w:val="en-GB"/>
              </w:rPr>
              <w:t>, however increased volume of short-term loans was also added in the same period of the last year. Mostly due to the above stated, a severe increase of the internal state debt occurred (by 352 CZK bn year-on-year, in that by 257 bn since the beginning of this year). On the contrary the koruna value of the external debt slightly shrank year-on-year and mainly owing to the repayment of short-term loans dropped by more than one third during Q1 2023</w:t>
            </w:r>
            <w:r w:rsidRPr="00DD6E6B">
              <w:rPr>
                <w:rStyle w:val="Znakapoznpodarou"/>
                <w:spacing w:val="-2"/>
                <w:lang w:val="en-GB"/>
              </w:rPr>
              <w:footnoteReference w:id="106"/>
            </w:r>
            <w:r w:rsidRPr="00DD6E6B">
              <w:rPr>
                <w:spacing w:val="-2"/>
                <w:lang w:val="en-GB"/>
              </w:rPr>
              <w:t>.</w:t>
            </w:r>
          </w:p>
        </w:tc>
      </w:tr>
      <w:tr w:rsidR="00D80129" w:rsidRPr="00DD6E6B" w14:paraId="5DBD756F" w14:textId="77777777" w:rsidTr="20D21749">
        <w:trPr>
          <w:trHeight w:val="145"/>
        </w:trPr>
        <w:tc>
          <w:tcPr>
            <w:tcW w:w="1780" w:type="dxa"/>
            <w:shd w:val="clear" w:color="auto" w:fill="auto"/>
            <w:tcMar>
              <w:left w:w="0" w:type="dxa"/>
            </w:tcMar>
          </w:tcPr>
          <w:p w14:paraId="5C677597" w14:textId="5DB74833" w:rsidR="00D80129" w:rsidRPr="00DD6E6B" w:rsidRDefault="00D80129" w:rsidP="00D80129">
            <w:pPr>
              <w:pStyle w:val="Marginlie"/>
              <w:rPr>
                <w:lang w:val="en-GB"/>
              </w:rPr>
            </w:pPr>
            <w:r w:rsidRPr="00DD6E6B">
              <w:rPr>
                <w:lang w:val="en-GB"/>
              </w:rPr>
              <w:t xml:space="preserve">Budget deficit of the government institution sector increased by 32 CZK bn year-on-year in Q1.  </w:t>
            </w:r>
          </w:p>
          <w:p w14:paraId="0817158C" w14:textId="77777777" w:rsidR="00D80129" w:rsidRPr="00DD6E6B" w:rsidRDefault="00D80129" w:rsidP="00D80129">
            <w:pPr>
              <w:pStyle w:val="Marginlie"/>
              <w:rPr>
                <w:lang w:val="en-GB"/>
              </w:rPr>
            </w:pPr>
          </w:p>
          <w:p w14:paraId="78A260B7" w14:textId="77777777" w:rsidR="00D80129" w:rsidRPr="00DD6E6B" w:rsidRDefault="00D80129" w:rsidP="00D80129">
            <w:pPr>
              <w:pStyle w:val="Marginlie"/>
              <w:rPr>
                <w:lang w:val="en-GB"/>
              </w:rPr>
            </w:pPr>
          </w:p>
          <w:p w14:paraId="086549EA" w14:textId="77777777" w:rsidR="00D80129" w:rsidRPr="00DD6E6B" w:rsidRDefault="00D80129" w:rsidP="00D80129">
            <w:pPr>
              <w:pStyle w:val="Marginlie"/>
              <w:rPr>
                <w:lang w:val="en-GB"/>
              </w:rPr>
            </w:pPr>
          </w:p>
          <w:p w14:paraId="30D14C2F" w14:textId="77777777" w:rsidR="00D80129" w:rsidRPr="00DD6E6B" w:rsidRDefault="00D80129" w:rsidP="00D80129">
            <w:pPr>
              <w:pStyle w:val="Marginlie"/>
              <w:rPr>
                <w:lang w:val="en-GB"/>
              </w:rPr>
            </w:pPr>
          </w:p>
          <w:p w14:paraId="68646710" w14:textId="78924204" w:rsidR="00D80129" w:rsidRPr="00DD6E6B" w:rsidRDefault="00D80129" w:rsidP="00D80129">
            <w:pPr>
              <w:pStyle w:val="Marginlie"/>
              <w:rPr>
                <w:lang w:val="en-GB"/>
              </w:rPr>
            </w:pPr>
            <w:r w:rsidRPr="00DD6E6B">
              <w:rPr>
                <w:lang w:val="en-GB"/>
              </w:rPr>
              <w:t xml:space="preserve">Seasonally adjusted deficit was 4.2% of GDP, it has not deepened compared to H2 2022 so far. </w:t>
            </w:r>
          </w:p>
          <w:p w14:paraId="6ED2AF4B" w14:textId="77777777" w:rsidR="00D80129" w:rsidRPr="00DD6E6B" w:rsidRDefault="00D80129" w:rsidP="00D80129">
            <w:pPr>
              <w:pStyle w:val="Marginlie"/>
              <w:rPr>
                <w:lang w:val="en-GB"/>
              </w:rPr>
            </w:pPr>
          </w:p>
        </w:tc>
        <w:tc>
          <w:tcPr>
            <w:tcW w:w="219" w:type="dxa"/>
            <w:shd w:val="clear" w:color="auto" w:fill="auto"/>
            <w:tcMar>
              <w:left w:w="0" w:type="dxa"/>
            </w:tcMar>
          </w:tcPr>
          <w:p w14:paraId="239BD253"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2BE07A38" w14:textId="613264AD" w:rsidR="00D80129" w:rsidRPr="00DD6E6B" w:rsidRDefault="00D80129" w:rsidP="00D80129">
            <w:pPr>
              <w:spacing w:after="200"/>
              <w:rPr>
                <w:spacing w:val="-4"/>
                <w:szCs w:val="20"/>
                <w:lang w:val="en-GB"/>
              </w:rPr>
            </w:pPr>
            <w:r w:rsidRPr="00DD6E6B">
              <w:rPr>
                <w:color w:val="0D0D0D" w:themeColor="text1" w:themeTint="F2"/>
                <w:spacing w:val="-4"/>
                <w:lang w:val="en-GB"/>
              </w:rPr>
              <w:t xml:space="preserve">The whole sector of the government institutions (VI) had a budget with deficit in the amount of </w:t>
            </w:r>
            <w:r w:rsidRPr="00DD6E6B">
              <w:rPr>
                <w:spacing w:val="-4"/>
                <w:lang w:val="en-GB"/>
              </w:rPr>
              <w:t>100.9 CZK bn</w:t>
            </w:r>
            <w:r w:rsidRPr="00DD6E6B">
              <w:rPr>
                <w:rStyle w:val="Znakapoznpodarou"/>
                <w:color w:val="0D0D0D" w:themeColor="text1" w:themeTint="F2"/>
                <w:spacing w:val="-4"/>
                <w:lang w:val="en-GB"/>
              </w:rPr>
              <w:footnoteReference w:id="107"/>
            </w:r>
            <w:r w:rsidRPr="00DD6E6B">
              <w:rPr>
                <w:spacing w:val="-4"/>
                <w:lang w:val="en-GB"/>
              </w:rPr>
              <w:t xml:space="preserve"> in Q1 2023</w:t>
            </w:r>
            <w:r w:rsidRPr="00DD6E6B">
              <w:rPr>
                <w:rStyle w:val="Znakapoznpodarou"/>
                <w:color w:val="0D0D0D" w:themeColor="text1" w:themeTint="F2"/>
                <w:spacing w:val="-4"/>
                <w:lang w:val="en-GB"/>
              </w:rPr>
              <w:footnoteReference w:id="108"/>
            </w:r>
            <w:r w:rsidRPr="00DD6E6B">
              <w:rPr>
                <w:spacing w:val="-4"/>
                <w:szCs w:val="20"/>
                <w:lang w:val="en-GB"/>
              </w:rPr>
              <w:t xml:space="preserve">. The deficit deepened nearly by one half year-on-year and represented the second highest deficit within first quarters in the contemporary history of the CR </w:t>
            </w:r>
            <w:r w:rsidRPr="00DD6E6B">
              <w:rPr>
                <w:spacing w:val="-4"/>
                <w:lang w:val="en-GB"/>
              </w:rPr>
              <w:t>(after year 2021, when the pandemics culminated). Considerable year-on-year increase of deficit was connected to the growth of outlays (to 16%), which reflected solving of the energy crisis as well as other, mainly mandatory obligations. Deepening of the deficit was nearly solely attributed to the central government institutions (which reached deficit 137 CZK bn), in contrast the regional government institutions registered surplus of 35 bn (higher by 30 bn year-on-year) and the health insurance companies also maintained a mildly positive budget balance. Based on the seasonally adjusted data, the deficit of the whole sector VI 4.2% of GDP deepened by 1.3</w:t>
            </w:r>
            <w:r w:rsidRPr="00DD6E6B">
              <w:rPr>
                <w:spacing w:val="-4"/>
                <w:szCs w:val="20"/>
                <w:lang w:val="en-GB"/>
              </w:rPr>
              <w:t> </w:t>
            </w:r>
            <w:r w:rsidRPr="00DD6E6B">
              <w:rPr>
                <w:spacing w:val="-4"/>
                <w:lang w:val="en-GB"/>
              </w:rPr>
              <w:t xml:space="preserve">p. p. year-on-year, however signs of stabilisation can be observed compared to the last year’s second half-year. </w:t>
            </w:r>
          </w:p>
        </w:tc>
      </w:tr>
      <w:tr w:rsidR="00D80129" w:rsidRPr="00DD6E6B" w14:paraId="342D9757" w14:textId="77777777" w:rsidTr="20D21749">
        <w:trPr>
          <w:trHeight w:val="145"/>
        </w:trPr>
        <w:tc>
          <w:tcPr>
            <w:tcW w:w="1780" w:type="dxa"/>
            <w:shd w:val="clear" w:color="auto" w:fill="auto"/>
            <w:tcMar>
              <w:left w:w="0" w:type="dxa"/>
            </w:tcMar>
          </w:tcPr>
          <w:p w14:paraId="484EFAEA" w14:textId="400DB1EE" w:rsidR="00D80129" w:rsidRPr="00DD6E6B" w:rsidRDefault="00D80129" w:rsidP="00D80129">
            <w:pPr>
              <w:pStyle w:val="Marginlie"/>
              <w:rPr>
                <w:lang w:val="en-GB"/>
              </w:rPr>
            </w:pPr>
            <w:r w:rsidRPr="00DD6E6B">
              <w:rPr>
                <w:lang w:val="en-GB"/>
              </w:rPr>
              <w:t xml:space="preserve">Growth of revenues of sector VI was driven mainly by the common taxes on income. Nominal growth of the collection of taxes tied to consumption lagged behind inflation. </w:t>
            </w:r>
          </w:p>
        </w:tc>
        <w:tc>
          <w:tcPr>
            <w:tcW w:w="219" w:type="dxa"/>
            <w:shd w:val="clear" w:color="auto" w:fill="auto"/>
            <w:tcMar>
              <w:left w:w="0" w:type="dxa"/>
            </w:tcMar>
          </w:tcPr>
          <w:p w14:paraId="18FCC9D0"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34D6EC22" w14:textId="0EAF3A88" w:rsidR="00D80129" w:rsidRPr="00DD6E6B" w:rsidRDefault="00D80129" w:rsidP="00D80129">
            <w:pPr>
              <w:spacing w:after="200"/>
              <w:rPr>
                <w:spacing w:val="-4"/>
                <w:lang w:val="en-GB"/>
              </w:rPr>
            </w:pPr>
            <w:r w:rsidRPr="00DD6E6B">
              <w:rPr>
                <w:spacing w:val="-4"/>
                <w:lang w:val="en-GB"/>
              </w:rPr>
              <w:t xml:space="preserve">Taxes on income and capital (+29.0 bn), received net social contributions (+22.4 bn) and taxes from production and import (+14.2 bn), which were strengthened by extraordinary item (tax on excess income) the most contributed to the growth of revenues of sector VI </w:t>
            </w:r>
            <w:r w:rsidRPr="00DD6E6B">
              <w:rPr>
                <w:spacing w:val="-4"/>
                <w:szCs w:val="20"/>
                <w:lang w:val="en-GB"/>
              </w:rPr>
              <w:t xml:space="preserve">(+78.0 CZK bn) in Q1. Contribution of taxes tied to consumption was weaker since their yield lagged behind the inflation. Social benefits and natural social transfers </w:t>
            </w:r>
            <w:r w:rsidRPr="00DD6E6B">
              <w:rPr>
                <w:spacing w:val="-4"/>
                <w:lang w:val="en-GB"/>
              </w:rPr>
              <w:t xml:space="preserve">(+38.0 CZK bn) and also paid subsidies (+30.2 CZK bn), which mostly included compensations for the supplies of electricity and gas, mainly participated on the growth of the total outlays of the sector VI (+109.9 CZK bn). The year-on-year growth of intermediate consumption (+14.5 CZK bn) and compensations to employees (+13.9 bn) also strengthened. High level of interest rates </w:t>
            </w:r>
            <w:r w:rsidRPr="00DD6E6B">
              <w:rPr>
                <w:spacing w:val="-4"/>
                <w:lang w:val="en-GB"/>
              </w:rPr>
              <w:lastRenderedPageBreak/>
              <w:t>further affected the increase of the paid income from capital (+8.9 CZK bn). Paid capital transfers were markedly lower year-on-year (−7.4 CZK bn).</w:t>
            </w:r>
          </w:p>
        </w:tc>
      </w:tr>
      <w:tr w:rsidR="00D80129" w:rsidRPr="00DD6E6B" w14:paraId="47B2814F" w14:textId="77777777" w:rsidTr="20D21749">
        <w:trPr>
          <w:trHeight w:val="145"/>
        </w:trPr>
        <w:tc>
          <w:tcPr>
            <w:tcW w:w="1780" w:type="dxa"/>
            <w:shd w:val="clear" w:color="auto" w:fill="auto"/>
            <w:tcMar>
              <w:left w:w="0" w:type="dxa"/>
            </w:tcMar>
          </w:tcPr>
          <w:p w14:paraId="4C0A7E0E" w14:textId="77777777" w:rsidR="00D80129" w:rsidRPr="00DD6E6B" w:rsidRDefault="00D80129" w:rsidP="00D80129">
            <w:pPr>
              <w:pStyle w:val="Marginlie"/>
              <w:rPr>
                <w:lang w:val="en-GB"/>
              </w:rPr>
            </w:pPr>
          </w:p>
        </w:tc>
        <w:tc>
          <w:tcPr>
            <w:tcW w:w="219" w:type="dxa"/>
            <w:shd w:val="clear" w:color="auto" w:fill="auto"/>
            <w:tcMar>
              <w:left w:w="0" w:type="dxa"/>
            </w:tcMar>
          </w:tcPr>
          <w:p w14:paraId="4992ABAA"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1AD064AA" w14:textId="272F484F" w:rsidR="00D80129" w:rsidRPr="00DD6E6B" w:rsidRDefault="00D80129" w:rsidP="00D80129">
            <w:pPr>
              <w:spacing w:after="40"/>
              <w:rPr>
                <w:color w:val="0D0D0D" w:themeColor="text1" w:themeTint="F2"/>
                <w:spacing w:val="-4"/>
                <w:lang w:val="en-GB"/>
              </w:rPr>
            </w:pPr>
            <w:r w:rsidRPr="00DD6E6B">
              <w:rPr>
                <w:b/>
                <w:spacing w:val="-2"/>
                <w:lang w:val="en-GB"/>
              </w:rPr>
              <w:t xml:space="preserve">Chart 19 Budget balance of government institution sector in the CR, EU and its selected member states </w:t>
            </w:r>
            <w:r w:rsidRPr="00DD6E6B">
              <w:rPr>
                <w:rFonts w:cs="Arial"/>
                <w:bCs/>
                <w:spacing w:val="-2"/>
                <w:lang w:val="en-GB"/>
              </w:rPr>
              <w:t>(individual quarters</w:t>
            </w:r>
            <w:r>
              <w:rPr>
                <w:rFonts w:cs="Arial"/>
                <w:bCs/>
                <w:spacing w:val="-2"/>
                <w:lang w:val="en-GB"/>
              </w:rPr>
              <w:t>,</w:t>
            </w:r>
            <w:r w:rsidRPr="00DD6E6B">
              <w:rPr>
                <w:rFonts w:cs="Arial"/>
                <w:bCs/>
                <w:spacing w:val="-2"/>
                <w:lang w:val="en-GB"/>
              </w:rPr>
              <w:t xml:space="preserve"> in % of GDP</w:t>
            </w:r>
            <w:r>
              <w:rPr>
                <w:rFonts w:cs="Arial"/>
                <w:bCs/>
                <w:spacing w:val="-2"/>
                <w:lang w:val="en-GB"/>
              </w:rPr>
              <w:t xml:space="preserve">, </w:t>
            </w:r>
            <w:r w:rsidRPr="00DD6E6B">
              <w:rPr>
                <w:rFonts w:cs="Arial"/>
                <w:bCs/>
                <w:spacing w:val="-2"/>
                <w:lang w:val="en-GB"/>
              </w:rPr>
              <w:t>seasonally adjusted)</w:t>
            </w:r>
          </w:p>
        </w:tc>
      </w:tr>
      <w:tr w:rsidR="00D80129" w:rsidRPr="00DD6E6B" w14:paraId="672FCC20" w14:textId="77777777" w:rsidTr="00D02CFF">
        <w:tblPrEx>
          <w:tblCellMar>
            <w:left w:w="70" w:type="dxa"/>
            <w:right w:w="70" w:type="dxa"/>
          </w:tblCellMar>
        </w:tblPrEx>
        <w:trPr>
          <w:trHeight w:val="145"/>
        </w:trPr>
        <w:tc>
          <w:tcPr>
            <w:tcW w:w="1780" w:type="dxa"/>
            <w:shd w:val="clear" w:color="auto" w:fill="auto"/>
          </w:tcPr>
          <w:p w14:paraId="26178C57" w14:textId="77777777" w:rsidR="00D80129" w:rsidRPr="00DD6E6B" w:rsidRDefault="00D80129" w:rsidP="00D80129">
            <w:pPr>
              <w:pStyle w:val="Marginlie"/>
              <w:rPr>
                <w:lang w:val="en-GB"/>
              </w:rPr>
            </w:pPr>
          </w:p>
        </w:tc>
        <w:tc>
          <w:tcPr>
            <w:tcW w:w="219" w:type="dxa"/>
            <w:shd w:val="clear" w:color="auto" w:fill="auto"/>
          </w:tcPr>
          <w:p w14:paraId="706FBADF" w14:textId="77777777" w:rsidR="00D80129" w:rsidRPr="00DD6E6B" w:rsidRDefault="00D80129" w:rsidP="00D80129">
            <w:pPr>
              <w:pStyle w:val="Textpoznpodarou"/>
              <w:jc w:val="both"/>
              <w:rPr>
                <w:spacing w:val="-4"/>
                <w:lang w:val="en-GB"/>
              </w:rPr>
            </w:pPr>
          </w:p>
        </w:tc>
        <w:tc>
          <w:tcPr>
            <w:tcW w:w="7670" w:type="dxa"/>
            <w:shd w:val="clear" w:color="auto" w:fill="auto"/>
          </w:tcPr>
          <w:p w14:paraId="0960F1FA" w14:textId="6112AA68" w:rsidR="00D80129" w:rsidRPr="00DD6E6B" w:rsidRDefault="00D80129" w:rsidP="00D80129">
            <w:pPr>
              <w:spacing w:after="0"/>
              <w:rPr>
                <w:b/>
                <w:spacing w:val="-2"/>
                <w:lang w:val="en-GB"/>
              </w:rPr>
            </w:pPr>
            <w:r>
              <w:rPr>
                <w:noProof/>
              </w:rPr>
              <w:drawing>
                <wp:inline distT="0" distB="0" distL="0" distR="0" wp14:anchorId="242050DE" wp14:editId="00C732DC">
                  <wp:extent cx="4720355" cy="3401149"/>
                  <wp:effectExtent l="0" t="0" r="4445" b="889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D80129" w:rsidRPr="00DD6E6B" w14:paraId="50F3D703" w14:textId="77777777" w:rsidTr="20D21749">
        <w:trPr>
          <w:trHeight w:val="145"/>
        </w:trPr>
        <w:tc>
          <w:tcPr>
            <w:tcW w:w="1780" w:type="dxa"/>
            <w:shd w:val="clear" w:color="auto" w:fill="auto"/>
            <w:tcMar>
              <w:left w:w="0" w:type="dxa"/>
            </w:tcMar>
          </w:tcPr>
          <w:p w14:paraId="76795970" w14:textId="77777777" w:rsidR="00D80129" w:rsidRPr="00DD6E6B" w:rsidRDefault="00D80129" w:rsidP="00D80129">
            <w:pPr>
              <w:pStyle w:val="Marginlie"/>
              <w:rPr>
                <w:lang w:val="en-GB"/>
              </w:rPr>
            </w:pPr>
          </w:p>
        </w:tc>
        <w:tc>
          <w:tcPr>
            <w:tcW w:w="219" w:type="dxa"/>
            <w:shd w:val="clear" w:color="auto" w:fill="auto"/>
            <w:tcMar>
              <w:left w:w="0" w:type="dxa"/>
            </w:tcMar>
          </w:tcPr>
          <w:p w14:paraId="28691F17"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63DA8381" w14:textId="619C40FA" w:rsidR="00D80129" w:rsidRPr="00D02CFF" w:rsidRDefault="00D80129" w:rsidP="00D80129">
            <w:pPr>
              <w:spacing w:after="200"/>
              <w:rPr>
                <w:spacing w:val="-4"/>
                <w:sz w:val="14"/>
                <w:szCs w:val="14"/>
                <w:lang w:val="fr-FR"/>
              </w:rPr>
            </w:pPr>
            <w:r w:rsidRPr="00FA1474">
              <w:rPr>
                <w:spacing w:val="-4"/>
                <w:sz w:val="14"/>
                <w:szCs w:val="14"/>
                <w:lang w:val="fr-FR"/>
              </w:rPr>
              <w:t>Source</w:t>
            </w:r>
            <w:r>
              <w:rPr>
                <w:spacing w:val="-4"/>
                <w:sz w:val="14"/>
                <w:szCs w:val="14"/>
                <w:lang w:val="fr-FR"/>
              </w:rPr>
              <w:t>: Eurostat</w:t>
            </w:r>
          </w:p>
        </w:tc>
      </w:tr>
      <w:tr w:rsidR="00D80129" w:rsidRPr="00DD6E6B" w14:paraId="209BEC03" w14:textId="77777777" w:rsidTr="20D21749">
        <w:trPr>
          <w:trHeight w:val="145"/>
        </w:trPr>
        <w:tc>
          <w:tcPr>
            <w:tcW w:w="1780" w:type="dxa"/>
            <w:shd w:val="clear" w:color="auto" w:fill="auto"/>
            <w:tcMar>
              <w:left w:w="0" w:type="dxa"/>
            </w:tcMar>
          </w:tcPr>
          <w:p w14:paraId="6E378F95" w14:textId="0D58FD86" w:rsidR="00D80129" w:rsidRPr="00DD6E6B" w:rsidRDefault="00D80129" w:rsidP="00D80129">
            <w:pPr>
              <w:pStyle w:val="Marginlie"/>
              <w:rPr>
                <w:lang w:val="en-GB"/>
              </w:rPr>
            </w:pPr>
            <w:r w:rsidRPr="00DD6E6B">
              <w:rPr>
                <w:lang w:val="en-GB"/>
              </w:rPr>
              <w:t xml:space="preserve">Rate of indebtedness of sector VI further grew. </w:t>
            </w:r>
          </w:p>
        </w:tc>
        <w:tc>
          <w:tcPr>
            <w:tcW w:w="219" w:type="dxa"/>
            <w:shd w:val="clear" w:color="auto" w:fill="auto"/>
            <w:tcMar>
              <w:left w:w="0" w:type="dxa"/>
            </w:tcMar>
          </w:tcPr>
          <w:p w14:paraId="648C417C" w14:textId="77777777" w:rsidR="00D80129" w:rsidRPr="00DD6E6B" w:rsidRDefault="00D80129" w:rsidP="00D80129">
            <w:pPr>
              <w:pStyle w:val="Textpoznpodarou"/>
              <w:jc w:val="both"/>
              <w:rPr>
                <w:spacing w:val="-4"/>
                <w:lang w:val="en-GB"/>
              </w:rPr>
            </w:pPr>
          </w:p>
        </w:tc>
        <w:tc>
          <w:tcPr>
            <w:tcW w:w="7670" w:type="dxa"/>
            <w:shd w:val="clear" w:color="auto" w:fill="auto"/>
            <w:tcMar>
              <w:left w:w="0" w:type="dxa"/>
            </w:tcMar>
          </w:tcPr>
          <w:p w14:paraId="73B923B6" w14:textId="2B9F57BC" w:rsidR="00D80129" w:rsidRPr="00DD6E6B" w:rsidRDefault="00D80129" w:rsidP="00D80129">
            <w:pPr>
              <w:spacing w:after="0"/>
              <w:rPr>
                <w:noProof/>
                <w:spacing w:val="-4"/>
                <w:szCs w:val="20"/>
                <w:lang w:val="en-GB"/>
              </w:rPr>
            </w:pPr>
            <w:r w:rsidRPr="00DD6E6B">
              <w:rPr>
                <w:noProof/>
                <w:spacing w:val="-4"/>
                <w:szCs w:val="20"/>
                <w:lang w:val="en-GB"/>
              </w:rPr>
              <w:t>Debt of the sector of government institutions attained 3 099.4 CZK bn in Q1 2023 and expanded by 415.3 bn year-on-year. The indebtedness rate of the government institutions was by 1.7 p. p. higher year-on-year to 44.5% of GDP. Increase of the nominal debt contributed 6.0 p. p. to the growth of the relative indebtedness and on the contrary the GDP growth added 4.3 p. p. to the decrease.</w:t>
            </w:r>
          </w:p>
        </w:tc>
      </w:tr>
    </w:tbl>
    <w:p w14:paraId="6FD91E5A" w14:textId="00B10FDB" w:rsidR="00106BCC" w:rsidRPr="00DD6E6B" w:rsidRDefault="00106BCC" w:rsidP="00607E1D">
      <w:pPr>
        <w:pStyle w:val="Nadpis11"/>
        <w:rPr>
          <w:sz w:val="2"/>
          <w:szCs w:val="2"/>
          <w:lang w:val="en-GB"/>
        </w:rPr>
      </w:pPr>
    </w:p>
    <w:sectPr w:rsidR="00106BCC" w:rsidRPr="00DD6E6B"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9269" w14:textId="77777777" w:rsidR="00D90924" w:rsidRDefault="00D90924" w:rsidP="00E71A58">
      <w:r>
        <w:separator/>
      </w:r>
    </w:p>
  </w:endnote>
  <w:endnote w:type="continuationSeparator" w:id="0">
    <w:p w14:paraId="2677045C" w14:textId="77777777" w:rsidR="00D90924" w:rsidRDefault="00D9092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8C5AA7" w14:paraId="6989D3A2" w14:textId="77777777" w:rsidTr="7059F910">
      <w:trPr>
        <w:trHeight w:val="300"/>
      </w:trPr>
      <w:tc>
        <w:tcPr>
          <w:tcW w:w="3210" w:type="dxa"/>
        </w:tcPr>
        <w:p w14:paraId="6590D2C6" w14:textId="074A4A49" w:rsidR="008C5AA7" w:rsidRDefault="008C5AA7" w:rsidP="7059F910">
          <w:pPr>
            <w:pStyle w:val="Zhlav"/>
            <w:ind w:left="-115"/>
          </w:pPr>
        </w:p>
      </w:tc>
      <w:tc>
        <w:tcPr>
          <w:tcW w:w="3210" w:type="dxa"/>
        </w:tcPr>
        <w:p w14:paraId="5B278884" w14:textId="26249C98" w:rsidR="008C5AA7" w:rsidRDefault="008C5AA7" w:rsidP="7059F910">
          <w:pPr>
            <w:pStyle w:val="Zhlav"/>
            <w:jc w:val="center"/>
          </w:pPr>
        </w:p>
      </w:tc>
      <w:tc>
        <w:tcPr>
          <w:tcW w:w="3210" w:type="dxa"/>
        </w:tcPr>
        <w:p w14:paraId="350DA2AE" w14:textId="68DB72F9" w:rsidR="008C5AA7" w:rsidRDefault="008C5AA7" w:rsidP="7059F910">
          <w:pPr>
            <w:pStyle w:val="Zhlav"/>
            <w:ind w:right="-115"/>
            <w:jc w:val="right"/>
          </w:pPr>
        </w:p>
      </w:tc>
    </w:tr>
  </w:tbl>
  <w:p w14:paraId="2D671E04" w14:textId="65A29983" w:rsidR="008C5AA7" w:rsidRDefault="008C5AA7"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8C5AA7" w14:paraId="5BC8A3D5" w14:textId="77777777" w:rsidTr="7059F910">
      <w:trPr>
        <w:trHeight w:val="300"/>
      </w:trPr>
      <w:tc>
        <w:tcPr>
          <w:tcW w:w="3210" w:type="dxa"/>
        </w:tcPr>
        <w:p w14:paraId="4C3FABBA" w14:textId="5B17EC4C" w:rsidR="008C5AA7" w:rsidRDefault="008C5AA7" w:rsidP="7059F910">
          <w:pPr>
            <w:pStyle w:val="Zhlav"/>
            <w:ind w:left="-115"/>
          </w:pPr>
        </w:p>
      </w:tc>
      <w:tc>
        <w:tcPr>
          <w:tcW w:w="3210" w:type="dxa"/>
        </w:tcPr>
        <w:p w14:paraId="2F6BA66C" w14:textId="3E0E9ADE" w:rsidR="008C5AA7" w:rsidRDefault="008C5AA7" w:rsidP="7059F910">
          <w:pPr>
            <w:pStyle w:val="Zhlav"/>
            <w:jc w:val="center"/>
          </w:pPr>
        </w:p>
      </w:tc>
      <w:tc>
        <w:tcPr>
          <w:tcW w:w="3210" w:type="dxa"/>
        </w:tcPr>
        <w:p w14:paraId="376513CE" w14:textId="29DADE64" w:rsidR="008C5AA7" w:rsidRDefault="008C5AA7" w:rsidP="7059F910">
          <w:pPr>
            <w:pStyle w:val="Zhlav"/>
            <w:ind w:right="-115"/>
            <w:jc w:val="right"/>
          </w:pPr>
        </w:p>
      </w:tc>
    </w:tr>
  </w:tbl>
  <w:p w14:paraId="02DCEB25" w14:textId="79ED3BB1" w:rsidR="008C5AA7" w:rsidRDefault="008C5AA7"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6017182A"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65ED4">
      <w:rPr>
        <w:szCs w:val="16"/>
      </w:rPr>
      <w:t>40</w:t>
    </w:r>
    <w:r w:rsidRPr="00932443">
      <w:rPr>
        <w:szCs w:val="16"/>
      </w:rPr>
      <w:fldChar w:fldCharType="end"/>
    </w:r>
    <w:r w:rsidRPr="00932443">
      <w:rPr>
        <w:szCs w:val="16"/>
      </w:rPr>
      <w:tab/>
    </w:r>
    <w:r w:rsidRPr="002903D4">
      <w:rPr>
        <w:szCs w:val="16"/>
        <w:lang w:val="en-GB"/>
      </w:rPr>
      <w:t>First half of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208F98C"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65ED4">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57C2" w14:textId="77777777" w:rsidR="00D90924" w:rsidRDefault="00D90924" w:rsidP="00A21B4D">
      <w:pPr>
        <w:spacing w:after="0"/>
      </w:pPr>
      <w:r>
        <w:separator/>
      </w:r>
    </w:p>
  </w:footnote>
  <w:footnote w:type="continuationSeparator" w:id="0">
    <w:p w14:paraId="4861268C" w14:textId="77777777" w:rsidR="00D90924" w:rsidRDefault="00D90924" w:rsidP="00E71A58">
      <w:r>
        <w:continuationSeparator/>
      </w:r>
    </w:p>
  </w:footnote>
  <w:footnote w:id="1">
    <w:p w14:paraId="0740DBF0" w14:textId="1B030AF8" w:rsidR="008C5AA7" w:rsidRPr="0076692D" w:rsidRDefault="008C5AA7" w:rsidP="0076692D">
      <w:pPr>
        <w:pStyle w:val="Textpoznpodarou"/>
        <w:jc w:val="both"/>
        <w:rPr>
          <w:spacing w:val="-2"/>
          <w:sz w:val="16"/>
          <w:szCs w:val="16"/>
          <w:lang w:val="en-GB"/>
        </w:rPr>
      </w:pPr>
      <w:r>
        <w:rPr>
          <w:rStyle w:val="Znakapoznpodarou"/>
          <w:spacing w:val="-2"/>
          <w:sz w:val="16"/>
          <w:szCs w:val="16"/>
        </w:rPr>
        <w:footnoteRef/>
      </w:r>
      <w:r>
        <w:rPr>
          <w:spacing w:val="-2"/>
          <w:sz w:val="16"/>
          <w:szCs w:val="16"/>
        </w:rPr>
        <w:t xml:space="preserve"> </w:t>
      </w:r>
      <w:r w:rsidRPr="00D060D1">
        <w:rPr>
          <w:spacing w:val="-2"/>
          <w:sz w:val="16"/>
          <w:szCs w:val="16"/>
          <w:lang w:val="en-GB"/>
        </w:rPr>
        <w:t>Data regarding the GDP, gross value added and their components are expressed in constant prices and adjusted for seasonal and calendar effects.</w:t>
      </w:r>
    </w:p>
  </w:footnote>
  <w:footnote w:id="2">
    <w:p w14:paraId="5E424833" w14:textId="4EED7DD9" w:rsidR="008C5AA7" w:rsidRPr="0076692D" w:rsidRDefault="008C5AA7" w:rsidP="00014B9D">
      <w:pPr>
        <w:pStyle w:val="Textpoznpodarou"/>
        <w:jc w:val="both"/>
        <w:rPr>
          <w:sz w:val="16"/>
          <w:szCs w:val="16"/>
          <w:lang w:val="en-GB"/>
        </w:rPr>
      </w:pPr>
      <w:r w:rsidRPr="0076692D">
        <w:rPr>
          <w:rStyle w:val="Znakapoznpodarou"/>
          <w:sz w:val="16"/>
          <w:szCs w:val="16"/>
          <w:lang w:val="en-GB"/>
        </w:rPr>
        <w:footnoteRef/>
      </w:r>
      <w:r w:rsidRPr="0076692D">
        <w:rPr>
          <w:sz w:val="16"/>
          <w:szCs w:val="16"/>
          <w:lang w:val="en-GB"/>
        </w:rPr>
        <w:t xml:space="preserve"> </w:t>
      </w:r>
      <w:r w:rsidRPr="009011BB">
        <w:rPr>
          <w:sz w:val="16"/>
          <w:szCs w:val="16"/>
          <w:lang w:val="en-GB"/>
        </w:rPr>
        <w:t>According to the methodology of quarterly national accounts (export and import in FOB/FOB prices).</w:t>
      </w:r>
    </w:p>
  </w:footnote>
  <w:footnote w:id="3">
    <w:p w14:paraId="2FD8A757" w14:textId="762C762C" w:rsidR="008C5AA7" w:rsidRDefault="008C5AA7" w:rsidP="003D59D5">
      <w:pPr>
        <w:pStyle w:val="Textpoznpodarou"/>
        <w:jc w:val="both"/>
        <w:rPr>
          <w:sz w:val="16"/>
          <w:szCs w:val="16"/>
        </w:rPr>
      </w:pPr>
      <w:r w:rsidRPr="0076692D">
        <w:rPr>
          <w:rStyle w:val="Znakapoznpodarou"/>
          <w:spacing w:val="-2"/>
          <w:sz w:val="16"/>
          <w:szCs w:val="16"/>
          <w:lang w:val="en-GB"/>
        </w:rPr>
        <w:footnoteRef/>
      </w:r>
      <w:r w:rsidRPr="0076692D">
        <w:rPr>
          <w:spacing w:val="-2"/>
          <w:sz w:val="16"/>
          <w:szCs w:val="16"/>
          <w:lang w:val="en-GB"/>
        </w:rPr>
        <w:t xml:space="preserve"> </w:t>
      </w:r>
      <w:r>
        <w:rPr>
          <w:sz w:val="16"/>
          <w:szCs w:val="16"/>
          <w:lang w:val="en-GB"/>
        </w:rPr>
        <w:t xml:space="preserve">Employment data are in the national accounts conception and adjusted for seasonal effects. </w:t>
      </w:r>
    </w:p>
  </w:footnote>
  <w:footnote w:id="4">
    <w:p w14:paraId="29F53326" w14:textId="49CA86B2" w:rsidR="008C5AA7" w:rsidRPr="00047ED0" w:rsidRDefault="008C5AA7" w:rsidP="004D483B">
      <w:pPr>
        <w:pStyle w:val="Textpoznpodarou"/>
        <w:jc w:val="both"/>
        <w:rPr>
          <w:sz w:val="16"/>
          <w:szCs w:val="16"/>
          <w:lang w:val="en-GB"/>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29th</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3</w:t>
      </w:r>
      <w:r w:rsidRPr="00CE719A">
        <w:rPr>
          <w:sz w:val="16"/>
          <w:szCs w:val="16"/>
          <w:lang w:val="en-GB"/>
        </w:rPr>
        <w:t>.</w:t>
      </w:r>
    </w:p>
  </w:footnote>
  <w:footnote w:id="5">
    <w:p w14:paraId="3EB80FA6" w14:textId="1F6D0D00" w:rsidR="008C5AA7" w:rsidRPr="00F51B00" w:rsidRDefault="008C5AA7" w:rsidP="00047ED0">
      <w:pPr>
        <w:pStyle w:val="Textpoznpodarou"/>
        <w:jc w:val="both"/>
        <w:rPr>
          <w:sz w:val="16"/>
          <w:szCs w:val="16"/>
        </w:rPr>
      </w:pPr>
      <w:r w:rsidRPr="00047ED0">
        <w:rPr>
          <w:rStyle w:val="Znakapoznpodarou"/>
          <w:sz w:val="16"/>
          <w:szCs w:val="16"/>
          <w:lang w:val="en-GB"/>
        </w:rPr>
        <w:footnoteRef/>
      </w:r>
      <w:r w:rsidRPr="00047ED0">
        <w:rPr>
          <w:sz w:val="16"/>
          <w:szCs w:val="16"/>
          <w:lang w:val="en-GB"/>
        </w:rPr>
        <w:t xml:space="preserve"> Data </w:t>
      </w:r>
      <w:r>
        <w:rPr>
          <w:sz w:val="16"/>
          <w:szCs w:val="16"/>
          <w:lang w:val="en-GB"/>
        </w:rPr>
        <w:t xml:space="preserve">for Luxembourg were not available. </w:t>
      </w:r>
    </w:p>
  </w:footnote>
  <w:footnote w:id="6">
    <w:p w14:paraId="363D1ACA" w14:textId="329AAF26" w:rsidR="008C5AA7" w:rsidRPr="00DF18D0" w:rsidRDefault="008C5AA7" w:rsidP="00DF18D0">
      <w:pPr>
        <w:pStyle w:val="Textpoznpodarou"/>
        <w:jc w:val="both"/>
        <w:rPr>
          <w:lang w:val="en-GB"/>
        </w:rPr>
      </w:pPr>
      <w:r w:rsidRPr="009C6EA8">
        <w:rPr>
          <w:rStyle w:val="Znakapoznpodarou"/>
          <w:sz w:val="16"/>
          <w:szCs w:val="16"/>
        </w:rPr>
        <w:footnoteRef/>
      </w:r>
      <w:r w:rsidRPr="009C6EA8">
        <w:rPr>
          <w:sz w:val="16"/>
          <w:szCs w:val="16"/>
        </w:rPr>
        <w:t xml:space="preserve"> </w:t>
      </w:r>
      <w:r w:rsidRPr="00DF18D0">
        <w:rPr>
          <w:sz w:val="16"/>
          <w:szCs w:val="16"/>
          <w:lang w:val="en-GB"/>
        </w:rPr>
        <w:t xml:space="preserve">Employment data are in the national accounts conception (persons), figure seasonally adjusted.  </w:t>
      </w:r>
    </w:p>
  </w:footnote>
  <w:footnote w:id="7">
    <w:p w14:paraId="613975CC" w14:textId="3737B973" w:rsidR="008C5AA7" w:rsidRPr="0029268D" w:rsidRDefault="008C5AA7" w:rsidP="00DF18D0">
      <w:pPr>
        <w:pStyle w:val="Textpoznpodarou"/>
        <w:jc w:val="both"/>
        <w:rPr>
          <w:sz w:val="16"/>
          <w:szCs w:val="16"/>
          <w:lang w:val="en-GB"/>
        </w:rPr>
      </w:pPr>
      <w:r w:rsidRPr="00DF18D0">
        <w:rPr>
          <w:rStyle w:val="Znakapoznpodarou"/>
          <w:sz w:val="16"/>
          <w:szCs w:val="16"/>
          <w:lang w:val="en-GB"/>
        </w:rPr>
        <w:footnoteRef/>
      </w:r>
      <w:r w:rsidRPr="00DF18D0">
        <w:rPr>
          <w:sz w:val="16"/>
          <w:szCs w:val="16"/>
          <w:lang w:val="en-GB"/>
        </w:rPr>
        <w:t xml:space="preserve"> </w:t>
      </w:r>
      <w:r w:rsidRPr="0029268D">
        <w:rPr>
          <w:sz w:val="16"/>
          <w:szCs w:val="16"/>
          <w:lang w:val="en-GB"/>
        </w:rPr>
        <w:t>Converted into the real expression using the deflator of household consumption.</w:t>
      </w:r>
    </w:p>
  </w:footnote>
  <w:footnote w:id="8">
    <w:p w14:paraId="7468F8B6" w14:textId="38EEAE59" w:rsidR="008C5AA7" w:rsidRPr="0029268D" w:rsidRDefault="008C5AA7" w:rsidP="00DF18D0">
      <w:pPr>
        <w:pStyle w:val="Textpoznpodarou"/>
        <w:jc w:val="both"/>
        <w:rPr>
          <w:sz w:val="16"/>
          <w:szCs w:val="16"/>
          <w:lang w:val="en-GB"/>
        </w:rPr>
      </w:pPr>
      <w:r w:rsidRPr="0029268D">
        <w:rPr>
          <w:rStyle w:val="Znakapoznpodarou"/>
          <w:sz w:val="16"/>
          <w:szCs w:val="16"/>
          <w:lang w:val="en-GB"/>
        </w:rPr>
        <w:footnoteRef/>
      </w:r>
      <w:r w:rsidRPr="0029268D">
        <w:rPr>
          <w:sz w:val="16"/>
          <w:szCs w:val="16"/>
          <w:lang w:val="en-GB"/>
        </w:rPr>
        <w:t xml:space="preserve"> This section contains </w:t>
      </w:r>
      <w:r>
        <w:rPr>
          <w:sz w:val="16"/>
          <w:szCs w:val="16"/>
          <w:lang w:val="en-GB"/>
        </w:rPr>
        <w:t xml:space="preserve">activities of common </w:t>
      </w:r>
      <w:proofErr w:type="gramStart"/>
      <w:r>
        <w:rPr>
          <w:sz w:val="16"/>
          <w:szCs w:val="16"/>
          <w:lang w:val="en-GB"/>
        </w:rPr>
        <w:t>interests</w:t>
      </w:r>
      <w:proofErr w:type="gramEnd"/>
      <w:r>
        <w:rPr>
          <w:sz w:val="16"/>
          <w:szCs w:val="16"/>
          <w:lang w:val="en-GB"/>
        </w:rPr>
        <w:t xml:space="preserve"> organisations</w:t>
      </w:r>
      <w:r w:rsidRPr="0029268D">
        <w:rPr>
          <w:sz w:val="16"/>
          <w:szCs w:val="16"/>
          <w:lang w:val="en-GB"/>
        </w:rPr>
        <w:t xml:space="preserve">, </w:t>
      </w:r>
      <w:r>
        <w:rPr>
          <w:sz w:val="16"/>
          <w:szCs w:val="16"/>
          <w:lang w:val="en-GB"/>
        </w:rPr>
        <w:t xml:space="preserve">repairs of computers and personal and household goods </w:t>
      </w:r>
      <w:r w:rsidRPr="0029268D">
        <w:rPr>
          <w:sz w:val="16"/>
          <w:szCs w:val="16"/>
          <w:lang w:val="en-GB"/>
        </w:rPr>
        <w:t>a</w:t>
      </w:r>
      <w:r>
        <w:rPr>
          <w:sz w:val="16"/>
          <w:szCs w:val="16"/>
          <w:lang w:val="en-GB"/>
        </w:rPr>
        <w:t xml:space="preserve">nd a number of other personal services </w:t>
      </w:r>
      <w:r w:rsidRPr="0029268D">
        <w:rPr>
          <w:sz w:val="16"/>
          <w:szCs w:val="16"/>
          <w:lang w:val="en-GB"/>
        </w:rPr>
        <w:t>(</w:t>
      </w:r>
      <w:r>
        <w:rPr>
          <w:sz w:val="16"/>
          <w:szCs w:val="16"/>
          <w:lang w:val="en-GB"/>
        </w:rPr>
        <w:t>beauty</w:t>
      </w:r>
      <w:r w:rsidRPr="0029268D">
        <w:rPr>
          <w:sz w:val="16"/>
          <w:szCs w:val="16"/>
          <w:lang w:val="en-GB"/>
        </w:rPr>
        <w:t xml:space="preserve">, </w:t>
      </w:r>
      <w:r>
        <w:rPr>
          <w:sz w:val="16"/>
          <w:szCs w:val="16"/>
          <w:lang w:val="en-GB"/>
        </w:rPr>
        <w:t>hairdressing treatment etc.</w:t>
      </w:r>
      <w:r w:rsidRPr="0029268D">
        <w:rPr>
          <w:sz w:val="16"/>
          <w:szCs w:val="16"/>
          <w:lang w:val="en-GB"/>
        </w:rPr>
        <w:t>).</w:t>
      </w:r>
    </w:p>
  </w:footnote>
  <w:footnote w:id="9">
    <w:p w14:paraId="7A1A43A4" w14:textId="4EE8A61B" w:rsidR="008C5AA7" w:rsidRPr="00DF18D0" w:rsidRDefault="008C5AA7" w:rsidP="00DF18D0">
      <w:pPr>
        <w:pStyle w:val="Textpoznpodarou"/>
        <w:jc w:val="both"/>
        <w:rPr>
          <w:sz w:val="16"/>
          <w:szCs w:val="16"/>
          <w:lang w:val="en-GB"/>
        </w:rPr>
      </w:pPr>
      <w:r w:rsidRPr="0029268D">
        <w:rPr>
          <w:rStyle w:val="Znakapoznpodarou"/>
          <w:sz w:val="16"/>
          <w:szCs w:val="16"/>
          <w:lang w:val="en-GB"/>
        </w:rPr>
        <w:footnoteRef/>
      </w:r>
      <w:r w:rsidRPr="0029268D">
        <w:rPr>
          <w:sz w:val="16"/>
          <w:szCs w:val="16"/>
          <w:lang w:val="en-GB"/>
        </w:rPr>
        <w:t xml:space="preserve"> Additions to the GDP change after exclusion of imports for final use.</w:t>
      </w:r>
    </w:p>
  </w:footnote>
  <w:footnote w:id="10">
    <w:p w14:paraId="5CA1EF93" w14:textId="32423C82" w:rsidR="008C5AA7" w:rsidRPr="00DF18D0" w:rsidRDefault="008C5AA7" w:rsidP="00DF18D0">
      <w:pPr>
        <w:pStyle w:val="Textpoznpodarou"/>
        <w:jc w:val="both"/>
        <w:rPr>
          <w:sz w:val="16"/>
          <w:szCs w:val="16"/>
          <w:lang w:val="en-GB"/>
        </w:rPr>
      </w:pPr>
      <w:r w:rsidRPr="00DF18D0">
        <w:rPr>
          <w:rStyle w:val="Znakapoznpodarou"/>
          <w:sz w:val="16"/>
          <w:szCs w:val="16"/>
          <w:lang w:val="en-GB"/>
        </w:rPr>
        <w:footnoteRef/>
      </w:r>
      <w:r w:rsidRPr="00DF18D0">
        <w:rPr>
          <w:sz w:val="16"/>
          <w:szCs w:val="16"/>
          <w:lang w:val="en-GB"/>
        </w:rPr>
        <w:t xml:space="preserve"> </w:t>
      </w:r>
      <w:r w:rsidRPr="001C0409">
        <w:rPr>
          <w:sz w:val="16"/>
          <w:szCs w:val="16"/>
          <w:lang w:val="en-GB"/>
        </w:rPr>
        <w:t xml:space="preserve">Data regarding consumption based on durability are in domestic conception. </w:t>
      </w:r>
    </w:p>
  </w:footnote>
  <w:footnote w:id="11">
    <w:p w14:paraId="586F1694" w14:textId="77777777" w:rsidR="008C5AA7" w:rsidRPr="00E559DE" w:rsidRDefault="008C5AA7" w:rsidP="00E559DE">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E559DE">
        <w:rPr>
          <w:sz w:val="16"/>
          <w:szCs w:val="16"/>
          <w:lang w:val="en-GB"/>
        </w:rPr>
        <w:t>Change of the inventory stock (</w:t>
      </w:r>
      <w:r>
        <w:rPr>
          <w:sz w:val="16"/>
          <w:szCs w:val="16"/>
          <w:lang w:val="en-GB"/>
        </w:rPr>
        <w:t>in current prices and not seasonally adjusted</w:t>
      </w:r>
      <w:r w:rsidRPr="00E559DE">
        <w:rPr>
          <w:sz w:val="16"/>
          <w:szCs w:val="16"/>
          <w:lang w:val="en-GB"/>
        </w:rPr>
        <w:t xml:space="preserve">) </w:t>
      </w:r>
      <w:r>
        <w:rPr>
          <w:sz w:val="16"/>
          <w:szCs w:val="16"/>
          <w:lang w:val="en-GB"/>
        </w:rPr>
        <w:t xml:space="preserve">reached </w:t>
      </w:r>
      <w:r w:rsidRPr="00E559DE">
        <w:rPr>
          <w:sz w:val="16"/>
          <w:szCs w:val="16"/>
          <w:lang w:val="en-GB"/>
        </w:rPr>
        <w:t>108</w:t>
      </w:r>
      <w:r>
        <w:rPr>
          <w:sz w:val="16"/>
          <w:szCs w:val="16"/>
          <w:lang w:val="en-GB"/>
        </w:rPr>
        <w:t>.</w:t>
      </w:r>
      <w:r w:rsidRPr="00E559DE">
        <w:rPr>
          <w:sz w:val="16"/>
          <w:szCs w:val="16"/>
          <w:lang w:val="en-GB"/>
        </w:rPr>
        <w:t>5</w:t>
      </w:r>
      <w:r>
        <w:rPr>
          <w:sz w:val="16"/>
          <w:szCs w:val="16"/>
          <w:lang w:val="en-GB"/>
        </w:rPr>
        <w:t xml:space="preserve"> CZK bn last year in Q2</w:t>
      </w:r>
      <w:r w:rsidRPr="00E559DE">
        <w:rPr>
          <w:sz w:val="16"/>
          <w:szCs w:val="16"/>
          <w:lang w:val="en-GB"/>
        </w:rPr>
        <w:t xml:space="preserve">. </w:t>
      </w:r>
      <w:r>
        <w:rPr>
          <w:sz w:val="16"/>
          <w:szCs w:val="16"/>
          <w:lang w:val="en-GB"/>
        </w:rPr>
        <w:t>Inventory stock were expanding under the influence of rising stock of unfinished production and components for the industrial production, gas distribution as well as inventory stock in retail</w:t>
      </w:r>
      <w:r w:rsidRPr="00E559DE">
        <w:rPr>
          <w:sz w:val="16"/>
          <w:szCs w:val="16"/>
          <w:lang w:val="en-GB"/>
        </w:rPr>
        <w:t xml:space="preserve">. </w:t>
      </w:r>
      <w:r>
        <w:rPr>
          <w:sz w:val="16"/>
          <w:szCs w:val="16"/>
          <w:lang w:val="en-GB"/>
        </w:rPr>
        <w:t xml:space="preserve">The change of inventory stock totalled </w:t>
      </w:r>
      <w:r w:rsidRPr="00E559DE">
        <w:rPr>
          <w:sz w:val="16"/>
          <w:szCs w:val="16"/>
          <w:lang w:val="en-GB"/>
        </w:rPr>
        <w:t>57</w:t>
      </w:r>
      <w:r>
        <w:rPr>
          <w:sz w:val="16"/>
          <w:szCs w:val="16"/>
          <w:lang w:val="en-GB"/>
        </w:rPr>
        <w:t>.</w:t>
      </w:r>
      <w:r w:rsidRPr="00E559DE">
        <w:rPr>
          <w:sz w:val="16"/>
          <w:szCs w:val="16"/>
          <w:lang w:val="en-GB"/>
        </w:rPr>
        <w:t>1</w:t>
      </w:r>
      <w:r>
        <w:rPr>
          <w:sz w:val="16"/>
          <w:szCs w:val="16"/>
          <w:lang w:val="en-GB"/>
        </w:rPr>
        <w:t xml:space="preserve"> CZK bn this year in Q2</w:t>
      </w:r>
      <w:r w:rsidRPr="00E559DE">
        <w:rPr>
          <w:sz w:val="16"/>
          <w:szCs w:val="16"/>
          <w:lang w:val="en-GB"/>
        </w:rPr>
        <w:t>.</w:t>
      </w:r>
    </w:p>
  </w:footnote>
  <w:footnote w:id="12">
    <w:p w14:paraId="4020E4C7" w14:textId="1D5E97BB" w:rsidR="008C5AA7" w:rsidRPr="00167B30" w:rsidRDefault="008C5AA7" w:rsidP="00B6167A">
      <w:pPr>
        <w:pStyle w:val="Textpoznpodarou"/>
        <w:jc w:val="both"/>
        <w:rPr>
          <w:sz w:val="16"/>
          <w:szCs w:val="16"/>
        </w:rPr>
      </w:pPr>
      <w:r w:rsidRPr="00167B30">
        <w:rPr>
          <w:rStyle w:val="Znakapoznpodarou"/>
          <w:sz w:val="16"/>
          <w:szCs w:val="16"/>
        </w:rPr>
        <w:footnoteRef/>
      </w:r>
      <w:r w:rsidRPr="00167B30">
        <w:rPr>
          <w:sz w:val="16"/>
          <w:szCs w:val="16"/>
        </w:rPr>
        <w:t xml:space="preserve"> </w:t>
      </w:r>
      <w:r w:rsidRPr="009011BB">
        <w:rPr>
          <w:sz w:val="16"/>
          <w:szCs w:val="16"/>
          <w:lang w:val="en-GB"/>
        </w:rPr>
        <w:t xml:space="preserve">According to the methodology of quarterly national accounts (export and import in FOB/FOB prices). </w:t>
      </w:r>
      <w:r>
        <w:rPr>
          <w:sz w:val="16"/>
          <w:szCs w:val="16"/>
          <w:lang w:val="en-GB"/>
        </w:rPr>
        <w:t xml:space="preserve">Foreign trade balance in current prices and seasonally adjusted. </w:t>
      </w:r>
    </w:p>
  </w:footnote>
  <w:footnote w:id="13">
    <w:p w14:paraId="48F58860" w14:textId="75B0DD7B" w:rsidR="008C5AA7" w:rsidRPr="00E87D3D" w:rsidRDefault="008C5AA7" w:rsidP="00E87D3D">
      <w:pPr>
        <w:pStyle w:val="Textpoznpodarou"/>
        <w:jc w:val="both"/>
        <w:rPr>
          <w:sz w:val="16"/>
          <w:szCs w:val="16"/>
          <w:lang w:val="en-GB"/>
        </w:rPr>
      </w:pPr>
      <w:r w:rsidRPr="00E87D3D">
        <w:rPr>
          <w:rStyle w:val="Znakapoznpodarou"/>
          <w:sz w:val="16"/>
          <w:szCs w:val="16"/>
        </w:rPr>
        <w:footnoteRef/>
      </w:r>
      <w:r w:rsidRPr="00E87D3D">
        <w:rPr>
          <w:sz w:val="16"/>
          <w:szCs w:val="16"/>
        </w:rPr>
        <w:t xml:space="preserve"> </w:t>
      </w:r>
      <w:r w:rsidRPr="00E87D3D">
        <w:rPr>
          <w:sz w:val="16"/>
          <w:szCs w:val="16"/>
          <w:lang w:val="en-GB"/>
        </w:rPr>
        <w:t xml:space="preserve">Considerable difference between the GDP and GVA dynamics was caused </w:t>
      </w:r>
      <w:r>
        <w:rPr>
          <w:sz w:val="16"/>
          <w:szCs w:val="16"/>
          <w:lang w:val="en-GB"/>
        </w:rPr>
        <w:t xml:space="preserve">by </w:t>
      </w:r>
      <w:r w:rsidRPr="00E87D3D">
        <w:rPr>
          <w:sz w:val="16"/>
          <w:szCs w:val="16"/>
          <w:lang w:val="en-GB"/>
        </w:rPr>
        <w:t>the effect of</w:t>
      </w:r>
      <w:r>
        <w:rPr>
          <w:sz w:val="16"/>
          <w:szCs w:val="16"/>
          <w:lang w:val="en-GB"/>
        </w:rPr>
        <w:t xml:space="preserve"> varying evaluation of the GDP and GVA. Gross value added is evaluated in basic prices, while the GDP is expressed in real prices. Currently these differences reflect the subsidies capturing the electricity price ceilings</w:t>
      </w:r>
      <w:r w:rsidRPr="00E87D3D">
        <w:rPr>
          <w:sz w:val="16"/>
          <w:szCs w:val="16"/>
          <w:lang w:val="en-GB"/>
        </w:rPr>
        <w:t>. T</w:t>
      </w:r>
      <w:r>
        <w:rPr>
          <w:sz w:val="16"/>
          <w:szCs w:val="16"/>
          <w:lang w:val="en-GB"/>
        </w:rPr>
        <w:t>hese were higher year-on-year in Q</w:t>
      </w:r>
      <w:r w:rsidRPr="00E87D3D">
        <w:rPr>
          <w:sz w:val="16"/>
          <w:szCs w:val="16"/>
          <w:lang w:val="en-GB"/>
        </w:rPr>
        <w:t>2</w:t>
      </w:r>
      <w:r>
        <w:rPr>
          <w:sz w:val="16"/>
          <w:szCs w:val="16"/>
          <w:lang w:val="en-GB"/>
        </w:rPr>
        <w:t xml:space="preserve"> </w:t>
      </w:r>
      <w:r w:rsidRPr="00E87D3D">
        <w:rPr>
          <w:sz w:val="16"/>
          <w:szCs w:val="16"/>
          <w:lang w:val="en-GB"/>
        </w:rPr>
        <w:t>(</w:t>
      </w:r>
      <w:r>
        <w:rPr>
          <w:sz w:val="16"/>
          <w:szCs w:val="16"/>
          <w:lang w:val="en-GB"/>
        </w:rPr>
        <w:t>thus they subdued the year-on-year GDP growth compared to the GVA</w:t>
      </w:r>
      <w:r w:rsidRPr="00E87D3D">
        <w:rPr>
          <w:sz w:val="16"/>
          <w:szCs w:val="16"/>
          <w:lang w:val="en-GB"/>
        </w:rPr>
        <w:t xml:space="preserve">), </w:t>
      </w:r>
      <w:r>
        <w:rPr>
          <w:sz w:val="16"/>
          <w:szCs w:val="16"/>
          <w:lang w:val="en-GB"/>
        </w:rPr>
        <w:t xml:space="preserve">but their volume fell quarter-on-quarter </w:t>
      </w:r>
      <w:r w:rsidRPr="00E87D3D">
        <w:rPr>
          <w:sz w:val="16"/>
          <w:szCs w:val="16"/>
          <w:lang w:val="en-GB"/>
        </w:rPr>
        <w:t>(a</w:t>
      </w:r>
      <w:r>
        <w:rPr>
          <w:sz w:val="16"/>
          <w:szCs w:val="16"/>
          <w:lang w:val="en-GB"/>
        </w:rPr>
        <w:t>nd with it the GDP dynamics overtook the GVA</w:t>
      </w:r>
      <w:r w:rsidRPr="00E87D3D">
        <w:rPr>
          <w:sz w:val="16"/>
          <w:szCs w:val="16"/>
          <w:lang w:val="en-GB"/>
        </w:rPr>
        <w:t xml:space="preserve">). </w:t>
      </w:r>
      <w:r>
        <w:rPr>
          <w:sz w:val="16"/>
          <w:szCs w:val="16"/>
          <w:lang w:val="en-GB"/>
        </w:rPr>
        <w:t xml:space="preserve">Falling tax income connected to the slumped consumption also contributed to the year-on-year difference between the GDP and GVA. </w:t>
      </w:r>
    </w:p>
  </w:footnote>
  <w:footnote w:id="14">
    <w:p w14:paraId="0A6874CF" w14:textId="29A0CE98" w:rsidR="008C5AA7" w:rsidRPr="006B2BC2" w:rsidRDefault="008C5AA7" w:rsidP="00D27F07">
      <w:pPr>
        <w:pStyle w:val="Textpoznpodarou"/>
        <w:rPr>
          <w:sz w:val="16"/>
          <w:szCs w:val="16"/>
          <w:lang w:val="en-GB"/>
        </w:rPr>
      </w:pPr>
      <w:r w:rsidRPr="00A61085">
        <w:rPr>
          <w:rStyle w:val="Znakapoznpodarou"/>
          <w:sz w:val="16"/>
          <w:szCs w:val="16"/>
        </w:rPr>
        <w:footnoteRef/>
      </w:r>
      <w:r w:rsidRPr="00A61085">
        <w:rPr>
          <w:sz w:val="16"/>
          <w:szCs w:val="16"/>
        </w:rPr>
        <w:t xml:space="preserve"> </w:t>
      </w:r>
      <w:r w:rsidRPr="006B2BC2">
        <w:rPr>
          <w:sz w:val="16"/>
          <w:szCs w:val="16"/>
          <w:lang w:val="en-GB"/>
        </w:rPr>
        <w:t xml:space="preserve">Performance of all branches of the economy corresponded to the peak of the boom from the past decade </w:t>
      </w:r>
      <w:r w:rsidRPr="006B2BC2">
        <w:rPr>
          <w:color w:val="0D0D0D" w:themeColor="text1" w:themeTint="F2"/>
          <w:sz w:val="16"/>
          <w:szCs w:val="16"/>
          <w:lang w:val="en-GB"/>
        </w:rPr>
        <w:t>(Q4 2019) this year.</w:t>
      </w:r>
    </w:p>
  </w:footnote>
  <w:footnote w:id="15">
    <w:p w14:paraId="36D6E78D" w14:textId="3D812D4A" w:rsidR="008C5AA7" w:rsidRPr="006B2BC2" w:rsidRDefault="008C5AA7" w:rsidP="00320D58">
      <w:pPr>
        <w:pStyle w:val="Textpoznpodarou"/>
        <w:jc w:val="both"/>
        <w:rPr>
          <w:rFonts w:cs="Arial"/>
          <w:color w:val="0D0D0D" w:themeColor="text1" w:themeTint="F2"/>
          <w:spacing w:val="-2"/>
          <w:sz w:val="16"/>
          <w:szCs w:val="16"/>
          <w:lang w:val="en-GB"/>
        </w:rPr>
      </w:pPr>
      <w:r w:rsidRPr="006B2BC2">
        <w:rPr>
          <w:rStyle w:val="Znakapoznpodarou"/>
          <w:rFonts w:cs="Arial"/>
          <w:color w:val="0D0D0D" w:themeColor="text1" w:themeTint="F2"/>
          <w:spacing w:val="-2"/>
          <w:sz w:val="16"/>
          <w:szCs w:val="16"/>
          <w:lang w:val="en-GB"/>
        </w:rPr>
        <w:footnoteRef/>
      </w:r>
      <w:r w:rsidRPr="006B2BC2">
        <w:rPr>
          <w:rFonts w:cs="Arial"/>
          <w:color w:val="0D0D0D" w:themeColor="text1" w:themeTint="F2"/>
          <w:spacing w:val="-2"/>
          <w:sz w:val="16"/>
          <w:szCs w:val="16"/>
          <w:lang w:val="en-GB"/>
        </w:rPr>
        <w:t xml:space="preserve"> Figures related to GVA are expressed in constant prices and adjusted</w:t>
      </w:r>
      <w:r>
        <w:rPr>
          <w:rFonts w:cs="Arial"/>
          <w:color w:val="0D0D0D" w:themeColor="text1" w:themeTint="F2"/>
          <w:spacing w:val="-2"/>
          <w:sz w:val="16"/>
          <w:szCs w:val="16"/>
          <w:lang w:val="en-GB"/>
        </w:rPr>
        <w:t xml:space="preserve"> </w:t>
      </w:r>
      <w:r w:rsidRPr="006B2BC2">
        <w:rPr>
          <w:rFonts w:cs="Arial"/>
          <w:color w:val="0D0D0D" w:themeColor="text1" w:themeTint="F2"/>
          <w:spacing w:val="-2"/>
          <w:sz w:val="16"/>
          <w:szCs w:val="16"/>
          <w:lang w:val="en-GB"/>
        </w:rPr>
        <w:t>for seasonal</w:t>
      </w:r>
      <w:r>
        <w:rPr>
          <w:rFonts w:cs="Arial"/>
          <w:color w:val="0D0D0D" w:themeColor="text1" w:themeTint="F2"/>
          <w:spacing w:val="-2"/>
          <w:sz w:val="16"/>
          <w:szCs w:val="16"/>
          <w:lang w:val="en-GB"/>
        </w:rPr>
        <w:t xml:space="preserve"> </w:t>
      </w:r>
      <w:r w:rsidRPr="006B2BC2">
        <w:rPr>
          <w:rFonts w:cs="Arial"/>
          <w:color w:val="0D0D0D" w:themeColor="text1" w:themeTint="F2"/>
          <w:spacing w:val="-2"/>
          <w:sz w:val="16"/>
          <w:szCs w:val="16"/>
          <w:lang w:val="en-GB"/>
        </w:rPr>
        <w:t xml:space="preserve">and calendar effects. </w:t>
      </w:r>
    </w:p>
  </w:footnote>
  <w:footnote w:id="16">
    <w:p w14:paraId="4D83E492" w14:textId="24CF35FC" w:rsidR="008C5AA7" w:rsidRPr="00110A76" w:rsidRDefault="008C5AA7" w:rsidP="00D27F07">
      <w:pPr>
        <w:pStyle w:val="paragraph"/>
        <w:spacing w:before="0" w:beforeAutospacing="0" w:after="0" w:afterAutospacing="0"/>
        <w:jc w:val="both"/>
        <w:textAlignment w:val="baseline"/>
        <w:rPr>
          <w:rFonts w:ascii="Arial" w:hAnsi="Arial" w:cs="Arial"/>
          <w:sz w:val="16"/>
          <w:szCs w:val="16"/>
          <w:lang w:val="en-GB"/>
        </w:rPr>
      </w:pPr>
      <w:r w:rsidRPr="006B2BC2">
        <w:rPr>
          <w:rStyle w:val="Znakapoznpodarou"/>
          <w:rFonts w:ascii="Arial" w:hAnsi="Arial" w:cs="Arial"/>
          <w:sz w:val="16"/>
          <w:szCs w:val="16"/>
          <w:lang w:val="en-GB"/>
        </w:rPr>
        <w:footnoteRef/>
      </w:r>
      <w:r w:rsidRPr="006B2BC2">
        <w:rPr>
          <w:rFonts w:ascii="Arial" w:hAnsi="Arial" w:cs="Arial"/>
          <w:sz w:val="16"/>
          <w:szCs w:val="16"/>
          <w:lang w:val="en-GB"/>
        </w:rPr>
        <w:t xml:space="preserve"> </w:t>
      </w:r>
      <w:r>
        <w:rPr>
          <w:rFonts w:ascii="Arial" w:hAnsi="Arial" w:cs="Arial"/>
          <w:sz w:val="16"/>
          <w:szCs w:val="16"/>
          <w:lang w:val="en-GB"/>
        </w:rPr>
        <w:t xml:space="preserve">It was connected to the low prices of slaughter pigs in </w:t>
      </w:r>
      <w:r w:rsidRPr="006B2BC2">
        <w:rPr>
          <w:rStyle w:val="normaltextrun"/>
          <w:rFonts w:ascii="Arial" w:eastAsia="MS Gothic" w:hAnsi="Arial" w:cs="Arial"/>
          <w:sz w:val="16"/>
          <w:szCs w:val="16"/>
          <w:lang w:val="en-GB"/>
        </w:rPr>
        <w:t>2021 a</w:t>
      </w:r>
      <w:r>
        <w:rPr>
          <w:rStyle w:val="normaltextrun"/>
          <w:rFonts w:ascii="Arial" w:eastAsia="MS Gothic" w:hAnsi="Arial" w:cs="Arial"/>
          <w:sz w:val="16"/>
          <w:szCs w:val="16"/>
          <w:lang w:val="en-GB"/>
        </w:rPr>
        <w:t>nd subsequent reduction of pig holdings</w:t>
      </w:r>
      <w:r w:rsidRPr="006B2BC2">
        <w:rPr>
          <w:rStyle w:val="normaltextrun"/>
          <w:rFonts w:ascii="Arial" w:eastAsia="MS Gothic" w:hAnsi="Arial" w:cs="Arial"/>
          <w:sz w:val="16"/>
          <w:szCs w:val="16"/>
          <w:lang w:val="en-GB"/>
        </w:rPr>
        <w:t xml:space="preserve">. </w:t>
      </w:r>
      <w:r>
        <w:rPr>
          <w:rStyle w:val="normaltextrun"/>
          <w:rFonts w:ascii="Arial" w:eastAsia="MS Gothic" w:hAnsi="Arial" w:cs="Arial"/>
          <w:sz w:val="16"/>
          <w:szCs w:val="16"/>
          <w:lang w:val="en-GB"/>
        </w:rPr>
        <w:t xml:space="preserve">Even despite strong year-on-year growth of import of animals for </w:t>
      </w:r>
      <w:r w:rsidRPr="00110A76">
        <w:rPr>
          <w:rStyle w:val="normaltextrun"/>
          <w:rFonts w:ascii="Arial" w:eastAsia="MS Gothic" w:hAnsi="Arial" w:cs="Arial"/>
          <w:sz w:val="16"/>
          <w:szCs w:val="16"/>
          <w:lang w:val="en-GB"/>
        </w:rPr>
        <w:t>slaughter (not however of significant volume), the amount of produced pork meat in slaughter h</w:t>
      </w:r>
      <w:r>
        <w:rPr>
          <w:rStyle w:val="normaltextrun"/>
          <w:rFonts w:ascii="Arial" w:eastAsia="MS Gothic" w:hAnsi="Arial" w:cs="Arial"/>
          <w:sz w:val="16"/>
          <w:szCs w:val="16"/>
          <w:lang w:val="en-GB"/>
        </w:rPr>
        <w:t>ouses in the CR in Q2 2023</w:t>
      </w:r>
      <w:r w:rsidRPr="00110A76">
        <w:rPr>
          <w:rStyle w:val="normaltextrun"/>
          <w:rFonts w:ascii="Arial" w:eastAsia="MS Gothic" w:hAnsi="Arial" w:cs="Arial"/>
          <w:sz w:val="16"/>
          <w:szCs w:val="16"/>
          <w:lang w:val="en-GB"/>
        </w:rPr>
        <w:t xml:space="preserve"> fell below 50 thousand tonnes for the first time in history. Under the influence of raised prices paid to producers for slaughter pigs since last year’s </w:t>
      </w:r>
      <w:r>
        <w:rPr>
          <w:rStyle w:val="normaltextrun"/>
          <w:rFonts w:ascii="Arial" w:eastAsia="MS Gothic" w:hAnsi="Arial" w:cs="Arial"/>
          <w:sz w:val="16"/>
          <w:szCs w:val="16"/>
          <w:lang w:val="en-GB"/>
        </w:rPr>
        <w:t>s</w:t>
      </w:r>
      <w:r w:rsidRPr="00110A76">
        <w:rPr>
          <w:rStyle w:val="normaltextrun"/>
          <w:rFonts w:ascii="Arial" w:eastAsia="MS Gothic" w:hAnsi="Arial" w:cs="Arial"/>
          <w:sz w:val="16"/>
          <w:szCs w:val="16"/>
          <w:lang w:val="en-GB"/>
        </w:rPr>
        <w:t xml:space="preserve">pring, </w:t>
      </w:r>
      <w:r>
        <w:rPr>
          <w:rStyle w:val="normaltextrun"/>
          <w:rFonts w:ascii="Arial" w:eastAsia="MS Gothic" w:hAnsi="Arial" w:cs="Arial"/>
          <w:sz w:val="16"/>
          <w:szCs w:val="16"/>
          <w:lang w:val="en-GB"/>
        </w:rPr>
        <w:t xml:space="preserve">numbers of sows gradually steadied and the export of piglets cut down as well, </w:t>
      </w:r>
      <w:r w:rsidRPr="00110A76">
        <w:rPr>
          <w:rStyle w:val="normaltextrun"/>
          <w:rFonts w:ascii="Arial" w:eastAsia="MS Gothic" w:hAnsi="Arial" w:cs="Arial"/>
          <w:sz w:val="16"/>
          <w:szCs w:val="16"/>
          <w:lang w:val="en-GB"/>
        </w:rPr>
        <w:t xml:space="preserve">which indicates a stabilisation of the level of domestic production of pork in the near future. </w:t>
      </w:r>
    </w:p>
  </w:footnote>
  <w:footnote w:id="17">
    <w:p w14:paraId="57E490AD" w14:textId="15F391A9" w:rsidR="008C5AA7" w:rsidRPr="00110A76" w:rsidRDefault="008C5AA7" w:rsidP="00D27F07">
      <w:pPr>
        <w:pStyle w:val="Textpoznpodarou"/>
        <w:rPr>
          <w:spacing w:val="-2"/>
          <w:sz w:val="16"/>
          <w:szCs w:val="16"/>
          <w:lang w:val="en-GB"/>
        </w:rPr>
      </w:pPr>
      <w:r w:rsidRPr="00110A76">
        <w:rPr>
          <w:rStyle w:val="Znakapoznpodarou"/>
          <w:spacing w:val="-2"/>
          <w:sz w:val="16"/>
          <w:szCs w:val="16"/>
          <w:lang w:val="en-GB"/>
        </w:rPr>
        <w:footnoteRef/>
      </w:r>
      <w:r w:rsidRPr="00110A76">
        <w:rPr>
          <w:spacing w:val="-2"/>
          <w:sz w:val="16"/>
          <w:szCs w:val="16"/>
          <w:lang w:val="en-GB"/>
        </w:rPr>
        <w:t xml:space="preserve"> </w:t>
      </w:r>
      <w:r>
        <w:rPr>
          <w:spacing w:val="-2"/>
          <w:sz w:val="16"/>
          <w:szCs w:val="16"/>
          <w:lang w:val="en-GB"/>
        </w:rPr>
        <w:t>Against the 1</w:t>
      </w:r>
      <w:r w:rsidRPr="00AD5FF2">
        <w:rPr>
          <w:spacing w:val="-2"/>
          <w:sz w:val="16"/>
          <w:szCs w:val="16"/>
          <w:vertAlign w:val="superscript"/>
          <w:lang w:val="en-GB"/>
        </w:rPr>
        <w:t>st</w:t>
      </w:r>
      <w:r>
        <w:rPr>
          <w:spacing w:val="-2"/>
          <w:sz w:val="16"/>
          <w:szCs w:val="16"/>
          <w:lang w:val="en-GB"/>
        </w:rPr>
        <w:t xml:space="preserve"> CZSO estimation </w:t>
      </w:r>
      <w:r w:rsidRPr="00110A76">
        <w:rPr>
          <w:rStyle w:val="normaltextrun"/>
          <w:rFonts w:cs="Arial"/>
          <w:color w:val="000000"/>
          <w:spacing w:val="-2"/>
          <w:sz w:val="16"/>
          <w:szCs w:val="16"/>
          <w:lang w:val="en-GB"/>
        </w:rPr>
        <w:t>(</w:t>
      </w:r>
      <w:r>
        <w:rPr>
          <w:rStyle w:val="normaltextrun"/>
          <w:rFonts w:cs="Arial"/>
          <w:color w:val="000000"/>
          <w:spacing w:val="-2"/>
          <w:sz w:val="16"/>
          <w:szCs w:val="16"/>
          <w:lang w:val="en-GB"/>
        </w:rPr>
        <w:t xml:space="preserve">as of </w:t>
      </w:r>
      <w:r w:rsidRPr="00110A76">
        <w:rPr>
          <w:rStyle w:val="normaltextrun"/>
          <w:rFonts w:cs="Arial"/>
          <w:color w:val="000000"/>
          <w:spacing w:val="-2"/>
          <w:sz w:val="16"/>
          <w:szCs w:val="16"/>
          <w:lang w:val="en-GB"/>
        </w:rPr>
        <w:t>10.6)</w:t>
      </w:r>
      <w:r>
        <w:rPr>
          <w:rStyle w:val="normaltextrun"/>
          <w:rFonts w:cs="Arial"/>
          <w:color w:val="000000"/>
          <w:spacing w:val="-2"/>
          <w:sz w:val="16"/>
          <w:szCs w:val="16"/>
          <w:lang w:val="en-GB"/>
        </w:rPr>
        <w:t xml:space="preserve">, a mild increase of expected harvest arose for the overwhelming majority of basic cereals </w:t>
      </w:r>
      <w:r w:rsidRPr="00110A76">
        <w:rPr>
          <w:rStyle w:val="normaltextrun"/>
          <w:rFonts w:cs="Arial"/>
          <w:color w:val="000000"/>
          <w:spacing w:val="-2"/>
          <w:sz w:val="16"/>
          <w:szCs w:val="16"/>
          <w:lang w:val="en-GB"/>
        </w:rPr>
        <w:t>(</w:t>
      </w:r>
      <w:r>
        <w:rPr>
          <w:rStyle w:val="normaltextrun"/>
          <w:rFonts w:cs="Arial"/>
          <w:color w:val="000000"/>
          <w:spacing w:val="-2"/>
          <w:sz w:val="16"/>
          <w:szCs w:val="16"/>
          <w:lang w:val="en-GB"/>
        </w:rPr>
        <w:t xml:space="preserve">in total by </w:t>
      </w:r>
      <w:r w:rsidRPr="00110A76">
        <w:rPr>
          <w:rStyle w:val="normaltextrun"/>
          <w:rFonts w:cs="Arial"/>
          <w:sz w:val="16"/>
          <w:szCs w:val="16"/>
          <w:lang w:val="en-GB"/>
        </w:rPr>
        <w:t>415 t</w:t>
      </w:r>
      <w:r>
        <w:rPr>
          <w:rStyle w:val="normaltextrun"/>
          <w:rFonts w:cs="Arial"/>
          <w:sz w:val="16"/>
          <w:szCs w:val="16"/>
          <w:lang w:val="en-GB"/>
        </w:rPr>
        <w:t xml:space="preserve">housand tonnes or by </w:t>
      </w:r>
      <w:r w:rsidRPr="00110A76">
        <w:rPr>
          <w:rStyle w:val="normaltextrun"/>
          <w:rFonts w:cs="Arial"/>
          <w:sz w:val="16"/>
          <w:szCs w:val="16"/>
          <w:lang w:val="en-GB"/>
        </w:rPr>
        <w:t>6</w:t>
      </w:r>
      <w:r>
        <w:rPr>
          <w:rStyle w:val="normaltextrun"/>
          <w:rFonts w:cs="Arial"/>
          <w:sz w:val="16"/>
          <w:szCs w:val="16"/>
          <w:lang w:val="en-GB"/>
        </w:rPr>
        <w:t>.</w:t>
      </w:r>
      <w:r w:rsidRPr="00110A76">
        <w:rPr>
          <w:rStyle w:val="normaltextrun"/>
          <w:rFonts w:cs="Arial"/>
          <w:sz w:val="16"/>
          <w:szCs w:val="16"/>
          <w:lang w:val="en-GB"/>
        </w:rPr>
        <w:t>0%).</w:t>
      </w:r>
    </w:p>
  </w:footnote>
  <w:footnote w:id="18">
    <w:p w14:paraId="768F1C4E" w14:textId="4DCFEE0F" w:rsidR="008C5AA7" w:rsidRPr="00110A76" w:rsidRDefault="008C5AA7" w:rsidP="001458AC">
      <w:pPr>
        <w:pStyle w:val="paragraph"/>
        <w:spacing w:before="0" w:beforeAutospacing="0" w:after="0" w:afterAutospacing="0"/>
        <w:jc w:val="both"/>
        <w:textAlignment w:val="baseline"/>
        <w:rPr>
          <w:rFonts w:ascii="Arial" w:hAnsi="Arial" w:cs="Arial"/>
          <w:sz w:val="16"/>
          <w:szCs w:val="16"/>
          <w:lang w:val="en-GB"/>
        </w:rPr>
      </w:pPr>
      <w:r w:rsidRPr="00110A76">
        <w:rPr>
          <w:rStyle w:val="Znakapoznpodarou"/>
          <w:rFonts w:ascii="Arial" w:hAnsi="Arial" w:cs="Arial"/>
          <w:sz w:val="16"/>
          <w:szCs w:val="16"/>
          <w:lang w:val="en-GB"/>
        </w:rPr>
        <w:footnoteRef/>
      </w:r>
      <w:r w:rsidRPr="00110A76">
        <w:rPr>
          <w:rFonts w:ascii="Arial" w:hAnsi="Arial" w:cs="Arial"/>
          <w:sz w:val="16"/>
          <w:szCs w:val="16"/>
          <w:lang w:val="en-GB"/>
        </w:rPr>
        <w:t xml:space="preserve"> </w:t>
      </w:r>
      <w:r>
        <w:rPr>
          <w:rFonts w:ascii="Arial" w:hAnsi="Arial" w:cs="Arial"/>
          <w:sz w:val="16"/>
          <w:szCs w:val="16"/>
          <w:lang w:val="en-GB"/>
        </w:rPr>
        <w:t xml:space="preserve">Expected harvest of other oil plants </w:t>
      </w:r>
      <w:r w:rsidRPr="00110A76">
        <w:rPr>
          <w:rStyle w:val="normaltextrun"/>
          <w:rFonts w:ascii="Arial" w:eastAsia="MS Gothic" w:hAnsi="Arial" w:cs="Arial"/>
          <w:sz w:val="16"/>
          <w:szCs w:val="16"/>
          <w:lang w:val="en-GB"/>
        </w:rPr>
        <w:t>(</w:t>
      </w:r>
      <w:r>
        <w:rPr>
          <w:rStyle w:val="normaltextrun"/>
          <w:rFonts w:ascii="Arial" w:eastAsia="MS Gothic" w:hAnsi="Arial" w:cs="Arial"/>
          <w:sz w:val="16"/>
          <w:szCs w:val="16"/>
          <w:lang w:val="en-GB"/>
        </w:rPr>
        <w:t>except for rape</w:t>
      </w:r>
      <w:r w:rsidRPr="00110A76">
        <w:rPr>
          <w:rStyle w:val="normaltextrun"/>
          <w:rFonts w:ascii="Arial" w:eastAsia="MS Gothic" w:hAnsi="Arial" w:cs="Arial"/>
          <w:sz w:val="16"/>
          <w:szCs w:val="16"/>
          <w:lang w:val="en-GB"/>
        </w:rPr>
        <w:t>)</w:t>
      </w:r>
      <w:r>
        <w:rPr>
          <w:rStyle w:val="normaltextrun"/>
          <w:rFonts w:ascii="Arial" w:eastAsia="MS Gothic" w:hAnsi="Arial" w:cs="Arial"/>
          <w:sz w:val="16"/>
          <w:szCs w:val="16"/>
          <w:lang w:val="en-GB"/>
        </w:rPr>
        <w:t xml:space="preserve"> is lower year-on-year</w:t>
      </w:r>
      <w:r w:rsidRPr="00110A76">
        <w:rPr>
          <w:rStyle w:val="normaltextrun"/>
          <w:rFonts w:ascii="Arial" w:eastAsia="MS Gothic" w:hAnsi="Arial" w:cs="Arial"/>
          <w:sz w:val="16"/>
          <w:szCs w:val="16"/>
          <w:lang w:val="en-GB"/>
        </w:rPr>
        <w:t>. S</w:t>
      </w:r>
      <w:r>
        <w:rPr>
          <w:rStyle w:val="normaltextrun"/>
          <w:rFonts w:ascii="Arial" w:eastAsia="MS Gothic" w:hAnsi="Arial" w:cs="Arial"/>
          <w:sz w:val="16"/>
          <w:szCs w:val="16"/>
          <w:lang w:val="en-GB"/>
        </w:rPr>
        <w:t xml:space="preserve">unflower harvest will be </w:t>
      </w:r>
      <w:r w:rsidRPr="00110A76">
        <w:rPr>
          <w:rStyle w:val="normaltextrun"/>
          <w:rFonts w:ascii="Arial" w:eastAsia="MS Gothic" w:hAnsi="Arial" w:cs="Arial"/>
          <w:sz w:val="16"/>
          <w:szCs w:val="16"/>
          <w:lang w:val="en-GB"/>
        </w:rPr>
        <w:t>50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(−16</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2%) a</w:t>
      </w:r>
      <w:r>
        <w:rPr>
          <w:rStyle w:val="normaltextrun"/>
          <w:rFonts w:ascii="Arial" w:eastAsia="MS Gothic" w:hAnsi="Arial" w:cs="Arial"/>
          <w:sz w:val="16"/>
          <w:szCs w:val="16"/>
          <w:lang w:val="en-GB"/>
        </w:rPr>
        <w:t xml:space="preserve">nd soya </w:t>
      </w:r>
      <w:r w:rsidRPr="00110A76">
        <w:rPr>
          <w:rStyle w:val="normaltextrun"/>
          <w:rFonts w:ascii="Arial" w:eastAsia="MS Gothic" w:hAnsi="Arial" w:cs="Arial"/>
          <w:sz w:val="16"/>
          <w:szCs w:val="16"/>
          <w:lang w:val="en-GB"/>
        </w:rPr>
        <w:t>60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(−8</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0%). </w:t>
      </w:r>
      <w:r>
        <w:rPr>
          <w:rStyle w:val="normaltextrun"/>
          <w:rFonts w:ascii="Arial" w:eastAsia="MS Gothic" w:hAnsi="Arial" w:cs="Arial"/>
          <w:sz w:val="16"/>
          <w:szCs w:val="16"/>
          <w:lang w:val="en-GB"/>
        </w:rPr>
        <w:t xml:space="preserve">Expected harvest of root crop is mainly as a result of declined per hectare yields weaker year-on-year. Potatoes harvest is to be </w:t>
      </w:r>
      <w:r w:rsidRPr="00110A76">
        <w:rPr>
          <w:rStyle w:val="normaltextrun"/>
          <w:rFonts w:ascii="Arial" w:eastAsia="MS Gothic" w:hAnsi="Arial" w:cs="Arial"/>
          <w:sz w:val="16"/>
          <w:szCs w:val="16"/>
          <w:lang w:val="en-GB"/>
        </w:rPr>
        <w:t>522 t</w:t>
      </w:r>
      <w:r>
        <w:rPr>
          <w:rStyle w:val="normaltextrun"/>
          <w:rFonts w:ascii="Arial" w:eastAsia="MS Gothic" w:hAnsi="Arial" w:cs="Arial"/>
          <w:sz w:val="16"/>
          <w:szCs w:val="16"/>
          <w:lang w:val="en-GB"/>
        </w:rPr>
        <w:t xml:space="preserve">housand tonnes, by one fifth less in the year-on-year </w:t>
      </w:r>
      <w:r w:rsidRPr="00110A76">
        <w:rPr>
          <w:rStyle w:val="normaltextrun"/>
          <w:rFonts w:ascii="Arial" w:eastAsia="MS Gothic" w:hAnsi="Arial" w:cs="Arial"/>
          <w:sz w:val="16"/>
          <w:szCs w:val="16"/>
          <w:lang w:val="en-GB"/>
        </w:rPr>
        <w:t>(−20</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3%)</w:t>
      </w:r>
      <w:r>
        <w:rPr>
          <w:rStyle w:val="normaltextrun"/>
          <w:rFonts w:ascii="Arial" w:eastAsia="MS Gothic" w:hAnsi="Arial" w:cs="Arial"/>
          <w:sz w:val="16"/>
          <w:szCs w:val="16"/>
          <w:lang w:val="en-GB"/>
        </w:rPr>
        <w:t xml:space="preserve"> as well as the comparison with the average of harvest for the last five years </w:t>
      </w:r>
      <w:r w:rsidRPr="00110A76">
        <w:rPr>
          <w:rStyle w:val="normaltextrun"/>
          <w:rFonts w:ascii="Arial" w:eastAsia="MS Gothic" w:hAnsi="Arial" w:cs="Arial"/>
          <w:sz w:val="16"/>
          <w:szCs w:val="16"/>
          <w:lang w:val="en-GB"/>
        </w:rPr>
        <w:t>(−19</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2%). </w:t>
      </w:r>
      <w:r>
        <w:rPr>
          <w:rStyle w:val="normaltextrun"/>
          <w:rFonts w:ascii="Arial" w:eastAsia="MS Gothic" w:hAnsi="Arial" w:cs="Arial"/>
          <w:sz w:val="16"/>
          <w:szCs w:val="16"/>
          <w:lang w:val="en-GB"/>
        </w:rPr>
        <w:t xml:space="preserve">Harvest of sugar beet could be </w:t>
      </w:r>
      <w:r w:rsidRPr="00110A76">
        <w:rPr>
          <w:rStyle w:val="normaltextrun"/>
          <w:rFonts w:ascii="Arial" w:eastAsia="MS Gothic" w:hAnsi="Arial" w:cs="Arial"/>
          <w:sz w:val="16"/>
          <w:szCs w:val="16"/>
          <w:lang w:val="en-GB"/>
        </w:rPr>
        <w:t>3</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 xml:space="preserve">635 </w:t>
      </w:r>
      <w:r>
        <w:rPr>
          <w:rStyle w:val="normaltextrun"/>
          <w:rFonts w:ascii="Arial" w:eastAsia="MS Gothic" w:hAnsi="Arial" w:cs="Arial"/>
          <w:sz w:val="16"/>
          <w:szCs w:val="16"/>
          <w:lang w:val="en-GB"/>
        </w:rPr>
        <w:t xml:space="preserve">million tonnes </w:t>
      </w:r>
      <w:r w:rsidRPr="00110A76">
        <w:rPr>
          <w:rStyle w:val="normaltextrun"/>
          <w:rFonts w:ascii="Arial" w:eastAsia="MS Gothic" w:hAnsi="Arial" w:cs="Arial"/>
          <w:sz w:val="16"/>
          <w:szCs w:val="16"/>
          <w:lang w:val="en-GB"/>
        </w:rPr>
        <w:t>(−10</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4%</w:t>
      </w:r>
      <w:r>
        <w:rPr>
          <w:rStyle w:val="normaltextrun"/>
          <w:rFonts w:ascii="Arial" w:eastAsia="MS Gothic" w:hAnsi="Arial" w:cs="Arial"/>
          <w:sz w:val="16"/>
          <w:szCs w:val="16"/>
          <w:lang w:val="en-GB"/>
        </w:rPr>
        <w:t xml:space="preserve"> year-on-year</w:t>
      </w:r>
      <w:r w:rsidRPr="00110A76">
        <w:rPr>
          <w:rStyle w:val="normaltextrun"/>
          <w:rFonts w:ascii="Arial" w:eastAsia="MS Gothic" w:hAnsi="Arial" w:cs="Arial"/>
          <w:sz w:val="16"/>
          <w:szCs w:val="16"/>
          <w:lang w:val="en-GB"/>
        </w:rPr>
        <w:t xml:space="preserve">; </w:t>
      </w:r>
      <w:r>
        <w:rPr>
          <w:rStyle w:val="normaltextrun"/>
          <w:rFonts w:ascii="Arial" w:eastAsia="MS Gothic" w:hAnsi="Arial" w:cs="Arial"/>
          <w:sz w:val="16"/>
          <w:szCs w:val="16"/>
          <w:lang w:val="en-GB"/>
        </w:rPr>
        <w:t xml:space="preserve">compared to five-year average </w:t>
      </w:r>
      <w:r w:rsidRPr="00110A76">
        <w:rPr>
          <w:rStyle w:val="normaltextrun"/>
          <w:rFonts w:ascii="Arial" w:eastAsia="MS Gothic" w:hAnsi="Arial" w:cs="Arial"/>
          <w:sz w:val="16"/>
          <w:szCs w:val="16"/>
          <w:lang w:val="en-GB"/>
        </w:rPr>
        <w:t>−5</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6%).</w:t>
      </w:r>
      <w:r w:rsidRPr="00110A76">
        <w:rPr>
          <w:rStyle w:val="eop"/>
          <w:rFonts w:ascii="Arial" w:eastAsia="MS Gothic" w:hAnsi="Arial" w:cs="Arial"/>
          <w:sz w:val="16"/>
          <w:szCs w:val="16"/>
          <w:lang w:val="en-GB"/>
        </w:rPr>
        <w:t xml:space="preserve"> </w:t>
      </w:r>
      <w:r>
        <w:rPr>
          <w:rStyle w:val="eop"/>
          <w:rFonts w:ascii="Arial" w:eastAsia="MS Gothic" w:hAnsi="Arial" w:cs="Arial"/>
          <w:sz w:val="16"/>
          <w:szCs w:val="16"/>
          <w:lang w:val="en-GB"/>
        </w:rPr>
        <w:t xml:space="preserve">Harvest of </w:t>
      </w:r>
      <w:r w:rsidRPr="00B7374C">
        <w:rPr>
          <w:rStyle w:val="eop"/>
          <w:rFonts w:ascii="Arial" w:eastAsia="MS Gothic" w:hAnsi="Arial" w:cs="Arial"/>
          <w:sz w:val="16"/>
          <w:szCs w:val="16"/>
          <w:lang w:val="en-GB"/>
        </w:rPr>
        <w:t>fodder crops</w:t>
      </w:r>
      <w:r>
        <w:rPr>
          <w:rStyle w:val="eop"/>
          <w:rFonts w:ascii="Arial" w:eastAsia="MS Gothic" w:hAnsi="Arial" w:cs="Arial"/>
          <w:sz w:val="16"/>
          <w:szCs w:val="16"/>
          <w:lang w:val="en-GB"/>
        </w:rPr>
        <w:t xml:space="preserve"> is also estimated to be lower year-on-year, harvest of green maize </w:t>
      </w:r>
      <w:r w:rsidRPr="00110A76">
        <w:rPr>
          <w:rStyle w:val="normaltextrun"/>
          <w:rFonts w:ascii="Arial" w:eastAsia="MS Gothic" w:hAnsi="Arial" w:cs="Arial"/>
          <w:sz w:val="16"/>
          <w:szCs w:val="16"/>
          <w:lang w:val="en-GB"/>
        </w:rPr>
        <w:t>s</w:t>
      </w:r>
      <w:r>
        <w:rPr>
          <w:rStyle w:val="normaltextrun"/>
          <w:rFonts w:ascii="Arial" w:eastAsia="MS Gothic" w:hAnsi="Arial" w:cs="Arial"/>
          <w:sz w:val="16"/>
          <w:szCs w:val="16"/>
          <w:lang w:val="en-GB"/>
        </w:rPr>
        <w:t xml:space="preserve">hould be </w:t>
      </w:r>
      <w:r w:rsidRPr="00110A76">
        <w:rPr>
          <w:rStyle w:val="normaltextrun"/>
          <w:rFonts w:ascii="Arial" w:eastAsia="MS Gothic" w:hAnsi="Arial" w:cs="Arial"/>
          <w:sz w:val="16"/>
          <w:szCs w:val="16"/>
          <w:lang w:val="en-GB"/>
        </w:rPr>
        <w:t>6</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308 m</w:t>
      </w:r>
      <w:r>
        <w:rPr>
          <w:rStyle w:val="normaltextrun"/>
          <w:rFonts w:ascii="Arial" w:eastAsia="MS Gothic" w:hAnsi="Arial" w:cs="Arial"/>
          <w:sz w:val="16"/>
          <w:szCs w:val="16"/>
          <w:lang w:val="en-GB"/>
        </w:rPr>
        <w:t xml:space="preserve">illion tonnes </w:t>
      </w:r>
      <w:r w:rsidRPr="00110A76">
        <w:rPr>
          <w:rStyle w:val="normaltextrun"/>
          <w:rFonts w:ascii="Arial" w:eastAsia="MS Gothic" w:hAnsi="Arial" w:cs="Arial"/>
          <w:sz w:val="16"/>
          <w:szCs w:val="16"/>
          <w:lang w:val="en-GB"/>
        </w:rPr>
        <w:t>(−17</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2%) a</w:t>
      </w:r>
      <w:r>
        <w:rPr>
          <w:rStyle w:val="normaltextrun"/>
          <w:rFonts w:ascii="Arial" w:eastAsia="MS Gothic" w:hAnsi="Arial" w:cs="Arial"/>
          <w:sz w:val="16"/>
          <w:szCs w:val="16"/>
          <w:lang w:val="en-GB"/>
        </w:rPr>
        <w:t xml:space="preserve">nd </w:t>
      </w:r>
      <w:proofErr w:type="spellStart"/>
      <w:r>
        <w:rPr>
          <w:rStyle w:val="normaltextrun"/>
          <w:rFonts w:ascii="Arial" w:eastAsia="MS Gothic" w:hAnsi="Arial" w:cs="Arial"/>
          <w:sz w:val="16"/>
          <w:szCs w:val="16"/>
          <w:lang w:val="en-GB"/>
        </w:rPr>
        <w:t>l</w:t>
      </w:r>
      <w:r w:rsidRPr="0006210C">
        <w:rPr>
          <w:rStyle w:val="normaltextrun"/>
          <w:rFonts w:ascii="Arial" w:eastAsia="MS Gothic" w:hAnsi="Arial" w:cs="Arial"/>
          <w:sz w:val="16"/>
          <w:szCs w:val="16"/>
          <w:lang w:val="en-GB"/>
        </w:rPr>
        <w:t>ucerne</w:t>
      </w:r>
      <w:proofErr w:type="spellEnd"/>
      <w:r>
        <w:rPr>
          <w:rStyle w:val="normaltextrun"/>
          <w:rFonts w:ascii="Arial" w:eastAsia="MS Gothic" w:hAnsi="Arial" w:cs="Arial"/>
          <w:sz w:val="16"/>
          <w:szCs w:val="16"/>
          <w:lang w:val="en-GB"/>
        </w:rPr>
        <w:t xml:space="preserve"> </w:t>
      </w:r>
      <w:r w:rsidRPr="00110A76">
        <w:rPr>
          <w:rStyle w:val="normaltextrun"/>
          <w:rFonts w:ascii="Arial" w:eastAsia="MS Gothic" w:hAnsi="Arial" w:cs="Arial"/>
          <w:sz w:val="16"/>
          <w:szCs w:val="16"/>
          <w:lang w:val="en-GB"/>
        </w:rPr>
        <w:t>395 t</w:t>
      </w:r>
      <w:r>
        <w:rPr>
          <w:rStyle w:val="normaltextrun"/>
          <w:rFonts w:ascii="Arial" w:eastAsia="MS Gothic" w:hAnsi="Arial" w:cs="Arial"/>
          <w:sz w:val="16"/>
          <w:szCs w:val="16"/>
          <w:lang w:val="en-GB"/>
        </w:rPr>
        <w:t xml:space="preserve">housand tonnes </w:t>
      </w:r>
      <w:r w:rsidRPr="00110A76">
        <w:rPr>
          <w:rStyle w:val="normaltextrun"/>
          <w:rFonts w:ascii="Arial" w:eastAsia="MS Gothic" w:hAnsi="Arial" w:cs="Arial"/>
          <w:sz w:val="16"/>
          <w:szCs w:val="16"/>
          <w:lang w:val="en-GB"/>
        </w:rPr>
        <w:t>(−24</w:t>
      </w:r>
      <w:r>
        <w:rPr>
          <w:rStyle w:val="normaltextrun"/>
          <w:rFonts w:ascii="Arial" w:eastAsia="MS Gothic" w:hAnsi="Arial" w:cs="Arial"/>
          <w:sz w:val="16"/>
          <w:szCs w:val="16"/>
          <w:lang w:val="en-GB"/>
        </w:rPr>
        <w:t>.</w:t>
      </w:r>
      <w:r w:rsidRPr="00110A76">
        <w:rPr>
          <w:rStyle w:val="normaltextrun"/>
          <w:rFonts w:ascii="Arial" w:eastAsia="MS Gothic" w:hAnsi="Arial" w:cs="Arial"/>
          <w:sz w:val="16"/>
          <w:szCs w:val="16"/>
          <w:lang w:val="en-GB"/>
        </w:rPr>
        <w:t>7%).</w:t>
      </w:r>
      <w:r w:rsidRPr="00110A76">
        <w:rPr>
          <w:rStyle w:val="eop"/>
          <w:rFonts w:ascii="Arial" w:hAnsi="Arial" w:cs="Arial"/>
          <w:sz w:val="16"/>
          <w:szCs w:val="16"/>
          <w:lang w:val="en-GB"/>
        </w:rPr>
        <w:t> </w:t>
      </w:r>
    </w:p>
  </w:footnote>
  <w:footnote w:id="19">
    <w:p w14:paraId="6B3DC5E8" w14:textId="57F62B2D" w:rsidR="008C5AA7" w:rsidRPr="00A44E3F" w:rsidRDefault="008C5AA7" w:rsidP="001458AC">
      <w:pPr>
        <w:pStyle w:val="Textpoznpodarou"/>
        <w:jc w:val="both"/>
        <w:rPr>
          <w:spacing w:val="-3"/>
          <w:sz w:val="16"/>
          <w:szCs w:val="16"/>
          <w:lang w:val="en-GB"/>
        </w:rPr>
      </w:pPr>
      <w:r w:rsidRPr="00110A76">
        <w:rPr>
          <w:rStyle w:val="Znakapoznpodarou"/>
          <w:spacing w:val="-3"/>
          <w:sz w:val="16"/>
          <w:szCs w:val="16"/>
          <w:lang w:val="en-GB"/>
        </w:rPr>
        <w:footnoteRef/>
      </w:r>
      <w:r w:rsidRPr="00110A76">
        <w:rPr>
          <w:spacing w:val="-3"/>
          <w:sz w:val="16"/>
          <w:szCs w:val="16"/>
          <w:lang w:val="en-GB"/>
        </w:rPr>
        <w:t xml:space="preserve"> </w:t>
      </w:r>
      <w:r>
        <w:rPr>
          <w:spacing w:val="-3"/>
          <w:sz w:val="16"/>
          <w:szCs w:val="16"/>
          <w:lang w:val="en-GB"/>
        </w:rPr>
        <w:t>The volume of fixed investment expanded by 0.8% year-on-year in Q</w:t>
      </w:r>
      <w:r w:rsidRPr="00110A76">
        <w:rPr>
          <w:spacing w:val="-3"/>
          <w:sz w:val="16"/>
          <w:szCs w:val="16"/>
          <w:lang w:val="en-GB"/>
        </w:rPr>
        <w:t>1</w:t>
      </w:r>
      <w:r>
        <w:rPr>
          <w:spacing w:val="-3"/>
          <w:sz w:val="16"/>
          <w:szCs w:val="16"/>
          <w:lang w:val="en-GB"/>
        </w:rPr>
        <w:t xml:space="preserve"> </w:t>
      </w:r>
      <w:r w:rsidRPr="00110A76">
        <w:rPr>
          <w:spacing w:val="-3"/>
          <w:sz w:val="16"/>
          <w:szCs w:val="16"/>
          <w:lang w:val="en-GB"/>
        </w:rPr>
        <w:t>2023</w:t>
      </w:r>
      <w:r>
        <w:rPr>
          <w:spacing w:val="-3"/>
          <w:sz w:val="16"/>
          <w:szCs w:val="16"/>
          <w:lang w:val="en-GB"/>
        </w:rPr>
        <w:t>,</w:t>
      </w:r>
      <w:r w:rsidRPr="00110A76">
        <w:rPr>
          <w:spacing w:val="-3"/>
          <w:sz w:val="16"/>
          <w:szCs w:val="16"/>
          <w:lang w:val="en-GB"/>
        </w:rPr>
        <w:t xml:space="preserve"> </w:t>
      </w:r>
      <w:r>
        <w:rPr>
          <w:spacing w:val="-3"/>
          <w:sz w:val="16"/>
          <w:szCs w:val="16"/>
          <w:lang w:val="en-GB"/>
        </w:rPr>
        <w:t xml:space="preserve">in that by 2.5% in Q2 itself (by </w:t>
      </w:r>
      <w:r w:rsidRPr="00A44E3F">
        <w:rPr>
          <w:spacing w:val="-3"/>
          <w:sz w:val="16"/>
          <w:szCs w:val="16"/>
          <w:lang w:val="en-GB"/>
        </w:rPr>
        <w:t>3</w:t>
      </w:r>
      <w:r>
        <w:rPr>
          <w:spacing w:val="-3"/>
          <w:sz w:val="16"/>
          <w:szCs w:val="16"/>
          <w:lang w:val="en-GB"/>
        </w:rPr>
        <w:t>.</w:t>
      </w:r>
      <w:r w:rsidRPr="00A44E3F">
        <w:rPr>
          <w:spacing w:val="-3"/>
          <w:sz w:val="16"/>
          <w:szCs w:val="16"/>
          <w:lang w:val="en-GB"/>
        </w:rPr>
        <w:t>4%</w:t>
      </w:r>
      <w:r>
        <w:rPr>
          <w:spacing w:val="-3"/>
          <w:sz w:val="16"/>
          <w:szCs w:val="16"/>
          <w:lang w:val="en-GB"/>
        </w:rPr>
        <w:t xml:space="preserve"> quarter-on-quarter)</w:t>
      </w:r>
      <w:r w:rsidRPr="00A44E3F">
        <w:rPr>
          <w:spacing w:val="-3"/>
          <w:sz w:val="16"/>
          <w:szCs w:val="16"/>
          <w:lang w:val="en-GB"/>
        </w:rPr>
        <w:t xml:space="preserve">. </w:t>
      </w:r>
    </w:p>
  </w:footnote>
  <w:footnote w:id="20">
    <w:p w14:paraId="3BDE52F0" w14:textId="06B8A07A" w:rsidR="008C5AA7" w:rsidRPr="00BA65BE" w:rsidRDefault="008C5AA7" w:rsidP="00BA65BE">
      <w:pPr>
        <w:pStyle w:val="Textpoznpodarou"/>
        <w:jc w:val="both"/>
        <w:rPr>
          <w:rFonts w:cs="Arial"/>
          <w:color w:val="0D0D0D" w:themeColor="text1" w:themeTint="F2"/>
          <w:spacing w:val="-4"/>
          <w:sz w:val="16"/>
          <w:szCs w:val="16"/>
          <w:lang w:val="en-GB"/>
        </w:rPr>
      </w:pPr>
      <w:r w:rsidRPr="00BA65BE">
        <w:rPr>
          <w:rStyle w:val="Znakapoznpodarou"/>
          <w:spacing w:val="-4"/>
          <w:sz w:val="16"/>
          <w:szCs w:val="16"/>
          <w:lang w:val="en-GB"/>
        </w:rPr>
        <w:footnoteRef/>
      </w:r>
      <w:r w:rsidRPr="00BA65BE">
        <w:rPr>
          <w:spacing w:val="-4"/>
          <w:sz w:val="16"/>
          <w:szCs w:val="16"/>
          <w:lang w:val="en-GB"/>
        </w:rPr>
        <w:t xml:space="preserve"> </w:t>
      </w:r>
      <w:r w:rsidRPr="00BA65BE">
        <w:rPr>
          <w:rFonts w:cs="Arial"/>
          <w:color w:val="0D0D0D" w:themeColor="text1" w:themeTint="F2"/>
          <w:spacing w:val="-2"/>
          <w:sz w:val="16"/>
          <w:szCs w:val="16"/>
          <w:lang w:val="en-GB"/>
        </w:rPr>
        <w:t xml:space="preserve">Includes branches of mining and quarrying, manufacturing and also energetics (here as activities of production and distribution of electricity, gas, heat and air conditioning supply). All year-on-year rates of growth of output are adjusted for calendar effects, quarter-on-quarter rates as well as the seasonal effects. </w:t>
      </w:r>
    </w:p>
  </w:footnote>
  <w:footnote w:id="21">
    <w:p w14:paraId="5B208C30" w14:textId="474E2638" w:rsidR="008C5AA7" w:rsidRPr="00BA65BE" w:rsidRDefault="008C5AA7" w:rsidP="005C68DA">
      <w:pPr>
        <w:pStyle w:val="Textpoznpodarou"/>
        <w:jc w:val="both"/>
        <w:rPr>
          <w:sz w:val="16"/>
          <w:szCs w:val="16"/>
          <w:lang w:val="en-GB"/>
        </w:rPr>
      </w:pPr>
      <w:r w:rsidRPr="00BA65BE">
        <w:rPr>
          <w:rStyle w:val="Znakapoznpodarou"/>
          <w:sz w:val="16"/>
          <w:szCs w:val="16"/>
          <w:lang w:val="en-GB"/>
        </w:rPr>
        <w:footnoteRef/>
      </w:r>
      <w:r w:rsidRPr="00BA65BE">
        <w:rPr>
          <w:sz w:val="16"/>
          <w:szCs w:val="16"/>
          <w:lang w:val="en-GB"/>
        </w:rPr>
        <w:t xml:space="preserve"> </w:t>
      </w:r>
      <w:r>
        <w:rPr>
          <w:sz w:val="16"/>
          <w:szCs w:val="16"/>
          <w:lang w:val="en-GB"/>
        </w:rPr>
        <w:t xml:space="preserve">According to the </w:t>
      </w:r>
      <w:r>
        <w:rPr>
          <w:spacing w:val="-6"/>
          <w:sz w:val="16"/>
          <w:szCs w:val="16"/>
          <w:lang w:val="en-GB"/>
        </w:rPr>
        <w:t>Automotive Industry Association, there were 738 thousand personal vehicles manufactured in the CR in H1 2023 (the most in this time period for the last four years and only by 3% less compared to the record H1 2018). Production strengthened by 22% year-on-year. Production in March (139 thousand cars) as well as in June (143 thousand) was the largest in history (within the same months). Already more than one eighth of all locally manufactured motor vehicles were electrical vehicles (including electric-hybrid vehicles) i</w:t>
      </w:r>
      <w:r>
        <w:rPr>
          <w:spacing w:val="-3"/>
          <w:sz w:val="16"/>
          <w:szCs w:val="16"/>
          <w:lang w:val="en-GB"/>
        </w:rPr>
        <w:t>n H1 this year</w:t>
      </w:r>
      <w:r w:rsidRPr="00BA65BE">
        <w:rPr>
          <w:spacing w:val="-3"/>
          <w:sz w:val="16"/>
          <w:szCs w:val="16"/>
          <w:lang w:val="en-GB"/>
        </w:rPr>
        <w:t xml:space="preserve">. </w:t>
      </w:r>
      <w:r>
        <w:rPr>
          <w:spacing w:val="-3"/>
          <w:sz w:val="16"/>
          <w:szCs w:val="16"/>
          <w:lang w:val="en-GB"/>
        </w:rPr>
        <w:t>On the contrary manufacturers of other types of motor vehicles (</w:t>
      </w:r>
      <w:r w:rsidRPr="00A34FCE">
        <w:rPr>
          <w:spacing w:val="-3"/>
          <w:sz w:val="16"/>
          <w:szCs w:val="16"/>
          <w:lang w:val="en-GB"/>
        </w:rPr>
        <w:t>buses and motorcycles</w:t>
      </w:r>
      <w:r>
        <w:rPr>
          <w:spacing w:val="-3"/>
          <w:sz w:val="16"/>
          <w:szCs w:val="16"/>
          <w:lang w:val="en-GB"/>
        </w:rPr>
        <w:t xml:space="preserve">) recorded lower production year-on-year. </w:t>
      </w:r>
    </w:p>
  </w:footnote>
  <w:footnote w:id="22">
    <w:p w14:paraId="6A3BEFD9" w14:textId="04C32389" w:rsidR="008C5AA7" w:rsidRPr="009A7A5B" w:rsidRDefault="008C5AA7" w:rsidP="009A7A5B">
      <w:pPr>
        <w:pStyle w:val="Textpoznpodarou"/>
        <w:jc w:val="both"/>
        <w:rPr>
          <w:spacing w:val="-2"/>
          <w:sz w:val="16"/>
          <w:szCs w:val="16"/>
          <w:lang w:val="en-GB"/>
        </w:rPr>
      </w:pPr>
      <w:r w:rsidRPr="00BF5830">
        <w:rPr>
          <w:rStyle w:val="Znakapoznpodarou"/>
          <w:spacing w:val="-4"/>
          <w:sz w:val="16"/>
          <w:szCs w:val="16"/>
        </w:rPr>
        <w:footnoteRef/>
      </w:r>
      <w:r w:rsidRPr="00BF5830">
        <w:rPr>
          <w:spacing w:val="-4"/>
          <w:sz w:val="16"/>
          <w:szCs w:val="16"/>
        </w:rPr>
        <w:t xml:space="preserve"> </w:t>
      </w:r>
      <w:r w:rsidRPr="009A7A5B">
        <w:rPr>
          <w:spacing w:val="-4"/>
          <w:sz w:val="16"/>
          <w:szCs w:val="16"/>
          <w:lang w:val="en-GB"/>
        </w:rPr>
        <w:t>The gross domestic electricity consumption shrank by 6.4% year-on-year in H1 2023 and deepened its fall from the previous year (−1.5%).</w:t>
      </w:r>
      <w:r>
        <w:rPr>
          <w:spacing w:val="-4"/>
          <w:sz w:val="16"/>
          <w:szCs w:val="16"/>
          <w:lang w:val="en-GB"/>
        </w:rPr>
        <w:t xml:space="preserve"> All main categories recorded a saving this year </w:t>
      </w:r>
      <w:r w:rsidRPr="009A7A5B">
        <w:rPr>
          <w:spacing w:val="-3"/>
          <w:sz w:val="16"/>
          <w:szCs w:val="16"/>
          <w:lang w:val="en-GB"/>
        </w:rPr>
        <w:t xml:space="preserve">– </w:t>
      </w:r>
      <w:r>
        <w:rPr>
          <w:spacing w:val="-3"/>
          <w:sz w:val="16"/>
          <w:szCs w:val="16"/>
          <w:lang w:val="en-GB"/>
        </w:rPr>
        <w:t xml:space="preserve">the most at retail customers </w:t>
      </w:r>
      <w:r w:rsidRPr="009A7A5B">
        <w:rPr>
          <w:spacing w:val="-3"/>
          <w:sz w:val="16"/>
          <w:szCs w:val="16"/>
          <w:lang w:val="en-GB"/>
        </w:rPr>
        <w:t>(</w:t>
      </w:r>
      <w:r w:rsidR="00045447">
        <w:rPr>
          <w:spacing w:val="-3"/>
          <w:sz w:val="16"/>
          <w:szCs w:val="16"/>
          <w:lang w:val="en-GB"/>
        </w:rPr>
        <w:t xml:space="preserve">e.g. small </w:t>
      </w:r>
      <w:r>
        <w:rPr>
          <w:spacing w:val="-3"/>
          <w:sz w:val="16"/>
          <w:szCs w:val="16"/>
          <w:lang w:val="en-GB"/>
        </w:rPr>
        <w:t>businesses</w:t>
      </w:r>
      <w:r w:rsidRPr="009A7A5B">
        <w:rPr>
          <w:spacing w:val="-3"/>
          <w:sz w:val="16"/>
          <w:szCs w:val="16"/>
          <w:lang w:val="en-GB"/>
        </w:rPr>
        <w:t xml:space="preserve">), </w:t>
      </w:r>
      <w:r>
        <w:rPr>
          <w:spacing w:val="-3"/>
          <w:sz w:val="16"/>
          <w:szCs w:val="16"/>
          <w:lang w:val="en-GB"/>
        </w:rPr>
        <w:t xml:space="preserve">specifically by </w:t>
      </w:r>
      <w:r w:rsidRPr="009A7A5B">
        <w:rPr>
          <w:spacing w:val="-3"/>
          <w:sz w:val="16"/>
          <w:szCs w:val="16"/>
          <w:lang w:val="en-GB"/>
        </w:rPr>
        <w:t>5</w:t>
      </w:r>
      <w:r>
        <w:rPr>
          <w:spacing w:val="-3"/>
          <w:sz w:val="16"/>
          <w:szCs w:val="16"/>
          <w:lang w:val="en-GB"/>
        </w:rPr>
        <w:t>.</w:t>
      </w:r>
      <w:r w:rsidRPr="009A7A5B">
        <w:rPr>
          <w:spacing w:val="-3"/>
          <w:sz w:val="16"/>
          <w:szCs w:val="16"/>
          <w:lang w:val="en-GB"/>
        </w:rPr>
        <w:t>6%,</w:t>
      </w:r>
      <w:r>
        <w:rPr>
          <w:spacing w:val="-3"/>
          <w:sz w:val="16"/>
          <w:szCs w:val="16"/>
          <w:lang w:val="en-GB"/>
        </w:rPr>
        <w:t xml:space="preserve"> the least at the most significant wholesale customers </w:t>
      </w:r>
      <w:r w:rsidRPr="009A7A5B">
        <w:rPr>
          <w:spacing w:val="-4"/>
          <w:sz w:val="16"/>
          <w:szCs w:val="16"/>
          <w:lang w:val="en-GB"/>
        </w:rPr>
        <w:t>(−2</w:t>
      </w:r>
      <w:r>
        <w:rPr>
          <w:spacing w:val="-4"/>
          <w:sz w:val="16"/>
          <w:szCs w:val="16"/>
          <w:lang w:val="en-GB"/>
        </w:rPr>
        <w:t>.</w:t>
      </w:r>
      <w:r w:rsidRPr="009A7A5B">
        <w:rPr>
          <w:spacing w:val="-4"/>
          <w:sz w:val="16"/>
          <w:szCs w:val="16"/>
          <w:lang w:val="en-GB"/>
        </w:rPr>
        <w:t xml:space="preserve">2%). </w:t>
      </w:r>
      <w:r>
        <w:rPr>
          <w:spacing w:val="-4"/>
          <w:sz w:val="16"/>
          <w:szCs w:val="16"/>
          <w:lang w:val="en-GB"/>
        </w:rPr>
        <w:t xml:space="preserve">Consumption dropped by 4.4% at households </w:t>
      </w:r>
      <w:r w:rsidRPr="009A7A5B">
        <w:rPr>
          <w:spacing w:val="-4"/>
          <w:sz w:val="16"/>
          <w:szCs w:val="16"/>
          <w:lang w:val="en-GB"/>
        </w:rPr>
        <w:t>(</w:t>
      </w:r>
      <w:r>
        <w:rPr>
          <w:spacing w:val="-4"/>
          <w:sz w:val="16"/>
          <w:szCs w:val="16"/>
          <w:lang w:val="en-GB"/>
        </w:rPr>
        <w:t>the decrease was however deeper in H</w:t>
      </w:r>
      <w:r w:rsidRPr="009A7A5B">
        <w:rPr>
          <w:spacing w:val="-4"/>
          <w:sz w:val="16"/>
          <w:szCs w:val="16"/>
          <w:lang w:val="en-GB"/>
        </w:rPr>
        <w:t>1</w:t>
      </w:r>
      <w:r>
        <w:rPr>
          <w:spacing w:val="-4"/>
          <w:sz w:val="16"/>
          <w:szCs w:val="16"/>
          <w:lang w:val="en-GB"/>
        </w:rPr>
        <w:t xml:space="preserve"> </w:t>
      </w:r>
      <w:r w:rsidRPr="009A7A5B">
        <w:rPr>
          <w:spacing w:val="-4"/>
          <w:sz w:val="16"/>
          <w:szCs w:val="16"/>
          <w:lang w:val="en-GB"/>
        </w:rPr>
        <w:t>2022 – 10</w:t>
      </w:r>
      <w:r>
        <w:rPr>
          <w:spacing w:val="-4"/>
          <w:sz w:val="16"/>
          <w:szCs w:val="16"/>
          <w:lang w:val="en-GB"/>
        </w:rPr>
        <w:t>.</w:t>
      </w:r>
      <w:r w:rsidRPr="009A7A5B">
        <w:rPr>
          <w:spacing w:val="-4"/>
          <w:sz w:val="16"/>
          <w:szCs w:val="16"/>
          <w:lang w:val="en-GB"/>
        </w:rPr>
        <w:t xml:space="preserve">3%). </w:t>
      </w:r>
      <w:r>
        <w:rPr>
          <w:spacing w:val="-4"/>
          <w:sz w:val="16"/>
          <w:szCs w:val="16"/>
          <w:lang w:val="en-GB"/>
        </w:rPr>
        <w:t>The total consumpti</w:t>
      </w:r>
      <w:r w:rsidR="0093734C">
        <w:rPr>
          <w:spacing w:val="-4"/>
          <w:sz w:val="16"/>
          <w:szCs w:val="16"/>
          <w:lang w:val="en-GB"/>
        </w:rPr>
        <w:t>on of gas also fell appreciably</w:t>
      </w:r>
      <w:r>
        <w:rPr>
          <w:spacing w:val="-4"/>
          <w:sz w:val="16"/>
          <w:szCs w:val="16"/>
          <w:lang w:val="en-GB"/>
        </w:rPr>
        <w:t xml:space="preserve"> </w:t>
      </w:r>
      <w:r w:rsidR="0093734C">
        <w:rPr>
          <w:spacing w:val="-4"/>
          <w:sz w:val="16"/>
          <w:szCs w:val="16"/>
          <w:lang w:val="en-GB"/>
        </w:rPr>
        <w:t>(</w:t>
      </w:r>
      <w:r>
        <w:rPr>
          <w:spacing w:val="-4"/>
          <w:sz w:val="16"/>
          <w:szCs w:val="16"/>
          <w:lang w:val="en-GB"/>
        </w:rPr>
        <w:t>even though less than last year</w:t>
      </w:r>
      <w:r w:rsidR="0093734C">
        <w:rPr>
          <w:spacing w:val="-4"/>
          <w:sz w:val="16"/>
          <w:szCs w:val="16"/>
          <w:lang w:val="en-GB"/>
        </w:rPr>
        <w:t>)</w:t>
      </w:r>
      <w:r>
        <w:rPr>
          <w:spacing w:val="-4"/>
          <w:sz w:val="16"/>
          <w:szCs w:val="16"/>
          <w:lang w:val="en-GB"/>
        </w:rPr>
        <w:t xml:space="preserve"> in the CR in H1</w:t>
      </w:r>
      <w:r w:rsidR="0093734C">
        <w:rPr>
          <w:spacing w:val="-4"/>
          <w:sz w:val="16"/>
          <w:szCs w:val="16"/>
          <w:lang w:val="en-GB"/>
        </w:rPr>
        <w:t xml:space="preserve"> 2023</w:t>
      </w:r>
      <w:r>
        <w:rPr>
          <w:spacing w:val="-4"/>
          <w:sz w:val="16"/>
          <w:szCs w:val="16"/>
          <w:lang w:val="en-GB"/>
        </w:rPr>
        <w:t xml:space="preserve"> </w:t>
      </w:r>
      <w:r w:rsidRPr="009A7A5B">
        <w:rPr>
          <w:spacing w:val="-4"/>
          <w:sz w:val="16"/>
          <w:szCs w:val="16"/>
          <w:lang w:val="en-GB"/>
        </w:rPr>
        <w:t xml:space="preserve">– </w:t>
      </w:r>
      <w:r>
        <w:rPr>
          <w:spacing w:val="-4"/>
          <w:sz w:val="16"/>
          <w:szCs w:val="16"/>
          <w:lang w:val="en-GB"/>
        </w:rPr>
        <w:t xml:space="preserve">by </w:t>
      </w:r>
      <w:r w:rsidRPr="009A7A5B">
        <w:rPr>
          <w:spacing w:val="-4"/>
          <w:sz w:val="16"/>
          <w:szCs w:val="16"/>
          <w:lang w:val="en-GB"/>
        </w:rPr>
        <w:t>12</w:t>
      </w:r>
      <w:r>
        <w:rPr>
          <w:spacing w:val="-4"/>
          <w:sz w:val="16"/>
          <w:szCs w:val="16"/>
          <w:lang w:val="en-GB"/>
        </w:rPr>
        <w:t>.</w:t>
      </w:r>
      <w:r w:rsidRPr="009A7A5B">
        <w:rPr>
          <w:spacing w:val="-4"/>
          <w:sz w:val="16"/>
          <w:szCs w:val="16"/>
          <w:lang w:val="en-GB"/>
        </w:rPr>
        <w:t>3%</w:t>
      </w:r>
      <w:r>
        <w:rPr>
          <w:spacing w:val="-4"/>
          <w:sz w:val="16"/>
          <w:szCs w:val="16"/>
          <w:lang w:val="en-GB"/>
        </w:rPr>
        <w:t xml:space="preserve"> year-on-year</w:t>
      </w:r>
      <w:r w:rsidRPr="009A7A5B">
        <w:rPr>
          <w:spacing w:val="-4"/>
          <w:sz w:val="16"/>
          <w:szCs w:val="16"/>
          <w:lang w:val="en-GB"/>
        </w:rPr>
        <w:t xml:space="preserve"> (</w:t>
      </w:r>
      <w:r w:rsidR="0093734C">
        <w:rPr>
          <w:spacing w:val="-4"/>
          <w:sz w:val="16"/>
          <w:szCs w:val="16"/>
          <w:lang w:val="en-GB"/>
        </w:rPr>
        <w:t>after adjustment</w:t>
      </w:r>
      <w:r>
        <w:rPr>
          <w:spacing w:val="-4"/>
          <w:sz w:val="16"/>
          <w:szCs w:val="16"/>
          <w:lang w:val="en-GB"/>
        </w:rPr>
        <w:t xml:space="preserve"> to long-term temperature norm by </w:t>
      </w:r>
      <w:r w:rsidRPr="009A7A5B">
        <w:rPr>
          <w:spacing w:val="-4"/>
          <w:sz w:val="16"/>
          <w:szCs w:val="16"/>
          <w:lang w:val="en-GB"/>
        </w:rPr>
        <w:t>11</w:t>
      </w:r>
      <w:r>
        <w:rPr>
          <w:spacing w:val="-4"/>
          <w:sz w:val="16"/>
          <w:szCs w:val="16"/>
          <w:lang w:val="en-GB"/>
        </w:rPr>
        <w:t>.</w:t>
      </w:r>
      <w:r w:rsidRPr="009A7A5B">
        <w:rPr>
          <w:spacing w:val="-4"/>
          <w:sz w:val="16"/>
          <w:szCs w:val="16"/>
          <w:lang w:val="en-GB"/>
        </w:rPr>
        <w:t xml:space="preserve">7%). </w:t>
      </w:r>
      <w:r>
        <w:rPr>
          <w:spacing w:val="-4"/>
          <w:sz w:val="16"/>
          <w:szCs w:val="16"/>
          <w:lang w:val="en-GB"/>
        </w:rPr>
        <w:t xml:space="preserve">The decrease of consumption was comparable for all main types of consumers. Households took by </w:t>
      </w:r>
      <w:r w:rsidRPr="009A7A5B">
        <w:rPr>
          <w:spacing w:val="-4"/>
          <w:sz w:val="16"/>
          <w:szCs w:val="16"/>
          <w:lang w:val="en-GB"/>
        </w:rPr>
        <w:t>12</w:t>
      </w:r>
      <w:r>
        <w:rPr>
          <w:spacing w:val="-4"/>
          <w:sz w:val="16"/>
          <w:szCs w:val="16"/>
          <w:lang w:val="en-GB"/>
        </w:rPr>
        <w:t>.</w:t>
      </w:r>
      <w:r w:rsidRPr="009A7A5B">
        <w:rPr>
          <w:spacing w:val="-4"/>
          <w:sz w:val="16"/>
          <w:szCs w:val="16"/>
          <w:lang w:val="en-GB"/>
        </w:rPr>
        <w:t>9%</w:t>
      </w:r>
      <w:r>
        <w:rPr>
          <w:spacing w:val="-4"/>
          <w:sz w:val="16"/>
          <w:szCs w:val="16"/>
          <w:lang w:val="en-GB"/>
        </w:rPr>
        <w:t xml:space="preserve"> gas less, their decrease was however </w:t>
      </w:r>
      <w:r w:rsidRPr="009A7A5B">
        <w:rPr>
          <w:spacing w:val="-4"/>
          <w:sz w:val="16"/>
          <w:szCs w:val="16"/>
          <w:lang w:val="en-GB"/>
        </w:rPr>
        <w:t>19</w:t>
      </w:r>
      <w:r>
        <w:rPr>
          <w:spacing w:val="-4"/>
          <w:sz w:val="16"/>
          <w:szCs w:val="16"/>
          <w:lang w:val="en-GB"/>
        </w:rPr>
        <w:t>.</w:t>
      </w:r>
      <w:r w:rsidRPr="009A7A5B">
        <w:rPr>
          <w:spacing w:val="-4"/>
          <w:sz w:val="16"/>
          <w:szCs w:val="16"/>
          <w:lang w:val="en-GB"/>
        </w:rPr>
        <w:t>2%</w:t>
      </w:r>
      <w:r>
        <w:rPr>
          <w:spacing w:val="-4"/>
          <w:sz w:val="16"/>
          <w:szCs w:val="16"/>
          <w:lang w:val="en-GB"/>
        </w:rPr>
        <w:t xml:space="preserve"> in</w:t>
      </w:r>
      <w:r w:rsidR="0093734C">
        <w:rPr>
          <w:spacing w:val="-4"/>
          <w:sz w:val="16"/>
          <w:szCs w:val="16"/>
          <w:lang w:val="en-GB"/>
        </w:rPr>
        <w:t xml:space="preserve"> H1 2022</w:t>
      </w:r>
      <w:r w:rsidRPr="009A7A5B">
        <w:rPr>
          <w:spacing w:val="-4"/>
          <w:sz w:val="16"/>
          <w:szCs w:val="16"/>
          <w:lang w:val="en-GB"/>
        </w:rPr>
        <w:t>.</w:t>
      </w:r>
    </w:p>
  </w:footnote>
  <w:footnote w:id="23">
    <w:p w14:paraId="186D47ED" w14:textId="77777777" w:rsidR="008C5AA7" w:rsidRPr="009A7A5B" w:rsidRDefault="008C5AA7" w:rsidP="00BC2340">
      <w:pPr>
        <w:pStyle w:val="Textpoznpodarou"/>
        <w:jc w:val="both"/>
        <w:rPr>
          <w:sz w:val="16"/>
          <w:szCs w:val="16"/>
          <w:lang w:val="en-GB"/>
        </w:rPr>
      </w:pPr>
      <w:r w:rsidRPr="009A7A5B">
        <w:rPr>
          <w:rStyle w:val="Znakapoznpodarou"/>
          <w:sz w:val="16"/>
          <w:szCs w:val="16"/>
          <w:lang w:val="en-GB"/>
        </w:rPr>
        <w:footnoteRef/>
      </w:r>
      <w:r w:rsidRPr="009A7A5B">
        <w:rPr>
          <w:sz w:val="16"/>
          <w:szCs w:val="16"/>
          <w:lang w:val="en-GB"/>
        </w:rPr>
        <w:t xml:space="preserve"> </w:t>
      </w:r>
      <w:r>
        <w:rPr>
          <w:sz w:val="16"/>
          <w:szCs w:val="16"/>
          <w:lang w:val="en-GB"/>
        </w:rPr>
        <w:t>Due to the effect of the temporary period of coal mining revival in the preceding two years, the output fell “only” by 11.2% compared to H</w:t>
      </w:r>
      <w:r w:rsidRPr="009A7A5B">
        <w:rPr>
          <w:spacing w:val="-5"/>
          <w:sz w:val="16"/>
          <w:szCs w:val="16"/>
          <w:lang w:val="en-GB"/>
        </w:rPr>
        <w:t>1</w:t>
      </w:r>
      <w:r>
        <w:rPr>
          <w:spacing w:val="-5"/>
          <w:sz w:val="16"/>
          <w:szCs w:val="16"/>
          <w:lang w:val="en-GB"/>
        </w:rPr>
        <w:t xml:space="preserve"> </w:t>
      </w:r>
      <w:r w:rsidRPr="009A7A5B">
        <w:rPr>
          <w:spacing w:val="-5"/>
          <w:sz w:val="16"/>
          <w:szCs w:val="16"/>
          <w:lang w:val="en-GB"/>
        </w:rPr>
        <w:t>2020</w:t>
      </w:r>
      <w:r>
        <w:rPr>
          <w:spacing w:val="-5"/>
          <w:sz w:val="16"/>
          <w:szCs w:val="16"/>
          <w:lang w:val="en-GB"/>
        </w:rPr>
        <w:t xml:space="preserve"> this year</w:t>
      </w:r>
      <w:r w:rsidRPr="009A7A5B">
        <w:rPr>
          <w:spacing w:val="-5"/>
          <w:sz w:val="16"/>
          <w:szCs w:val="16"/>
          <w:lang w:val="en-GB"/>
        </w:rPr>
        <w:t>.</w:t>
      </w:r>
    </w:p>
  </w:footnote>
  <w:footnote w:id="24">
    <w:p w14:paraId="24ACB297" w14:textId="15685059" w:rsidR="008C5AA7" w:rsidRPr="00F158B1" w:rsidRDefault="008C5AA7" w:rsidP="00F158B1">
      <w:pPr>
        <w:pStyle w:val="Textpoznpodarou"/>
        <w:jc w:val="both"/>
        <w:rPr>
          <w:spacing w:val="-2"/>
          <w:sz w:val="16"/>
          <w:szCs w:val="16"/>
          <w:lang w:val="en-GB"/>
        </w:rPr>
      </w:pPr>
      <w:r w:rsidRPr="00F33536">
        <w:rPr>
          <w:rStyle w:val="Znakapoznpodarou"/>
          <w:spacing w:val="-2"/>
          <w:sz w:val="16"/>
          <w:szCs w:val="16"/>
        </w:rPr>
        <w:footnoteRef/>
      </w:r>
      <w:r w:rsidRPr="00F33536">
        <w:rPr>
          <w:spacing w:val="-2"/>
          <w:sz w:val="16"/>
          <w:szCs w:val="16"/>
        </w:rPr>
        <w:t xml:space="preserve"> </w:t>
      </w:r>
      <w:r>
        <w:rPr>
          <w:spacing w:val="-2"/>
          <w:sz w:val="16"/>
          <w:szCs w:val="16"/>
          <w:lang w:val="en-GB"/>
        </w:rPr>
        <w:t xml:space="preserve">It concerns sales from industrial activity. Year-on-year rates of growth of sales are adjusted for calendar effects. </w:t>
      </w:r>
    </w:p>
  </w:footnote>
  <w:footnote w:id="25">
    <w:p w14:paraId="104C1D81" w14:textId="14D76FA6" w:rsidR="008C5AA7" w:rsidRPr="00F158B1" w:rsidRDefault="008C5AA7" w:rsidP="00F158B1">
      <w:pPr>
        <w:pStyle w:val="Textpoznpodarou"/>
        <w:jc w:val="both"/>
        <w:rPr>
          <w:sz w:val="16"/>
          <w:szCs w:val="16"/>
          <w:lang w:val="en-GB"/>
        </w:rPr>
      </w:pPr>
      <w:r w:rsidRPr="00F158B1">
        <w:rPr>
          <w:rStyle w:val="Znakapoznpodarou"/>
          <w:sz w:val="16"/>
          <w:szCs w:val="16"/>
          <w:lang w:val="en-GB"/>
        </w:rPr>
        <w:footnoteRef/>
      </w:r>
      <w:r w:rsidRPr="00F158B1">
        <w:rPr>
          <w:sz w:val="16"/>
          <w:szCs w:val="16"/>
          <w:lang w:val="en-GB"/>
        </w:rPr>
        <w:t xml:space="preserve"> </w:t>
      </w:r>
      <w:r w:rsidRPr="00F158B1">
        <w:rPr>
          <w:rFonts w:cs="Arial"/>
          <w:bCs/>
          <w:color w:val="0D0D0D" w:themeColor="text1" w:themeTint="F2"/>
          <w:spacing w:val="-5"/>
          <w:sz w:val="16"/>
          <w:szCs w:val="16"/>
          <w:lang w:val="en-GB"/>
        </w:rPr>
        <w:t>T</w:t>
      </w:r>
      <w:r>
        <w:rPr>
          <w:rFonts w:cs="Arial"/>
          <w:bCs/>
          <w:color w:val="0D0D0D" w:themeColor="text1" w:themeTint="F2"/>
          <w:spacing w:val="-5"/>
          <w:sz w:val="16"/>
          <w:szCs w:val="16"/>
          <w:lang w:val="en-GB"/>
        </w:rPr>
        <w:t xml:space="preserve">his discrepancy is connected to the sharp price hike in branches, whose production is traditionally directed to the domestic market </w:t>
      </w:r>
      <w:r w:rsidRPr="00F158B1">
        <w:rPr>
          <w:rFonts w:cs="Arial"/>
          <w:bCs/>
          <w:color w:val="0D0D0D" w:themeColor="text1" w:themeTint="F2"/>
          <w:spacing w:val="-5"/>
          <w:sz w:val="16"/>
          <w:szCs w:val="16"/>
          <w:lang w:val="en-GB"/>
        </w:rPr>
        <w:t>(energeti</w:t>
      </w:r>
      <w:r>
        <w:rPr>
          <w:rFonts w:cs="Arial"/>
          <w:bCs/>
          <w:color w:val="0D0D0D" w:themeColor="text1" w:themeTint="F2"/>
          <w:spacing w:val="-5"/>
          <w:sz w:val="16"/>
          <w:szCs w:val="16"/>
          <w:lang w:val="en-GB"/>
        </w:rPr>
        <w:t>cs, mining and quarrying or food industry</w:t>
      </w:r>
      <w:r w:rsidRPr="00F158B1">
        <w:rPr>
          <w:rFonts w:cs="Arial"/>
          <w:bCs/>
          <w:color w:val="0D0D0D" w:themeColor="text1" w:themeTint="F2"/>
          <w:spacing w:val="-5"/>
          <w:sz w:val="16"/>
          <w:szCs w:val="16"/>
          <w:lang w:val="en-GB"/>
        </w:rPr>
        <w:t>).</w:t>
      </w:r>
    </w:p>
  </w:footnote>
  <w:footnote w:id="26">
    <w:p w14:paraId="53149EC0" w14:textId="410365C3" w:rsidR="008C5AA7" w:rsidRPr="00F158B1" w:rsidRDefault="008C5AA7" w:rsidP="00FD7767">
      <w:pPr>
        <w:pStyle w:val="Textpoznpodarou"/>
        <w:jc w:val="both"/>
        <w:rPr>
          <w:rFonts w:cs="Arial"/>
          <w:color w:val="0D0D0D" w:themeColor="text1" w:themeTint="F2"/>
          <w:spacing w:val="-2"/>
          <w:sz w:val="16"/>
          <w:szCs w:val="16"/>
          <w:lang w:val="en-GB"/>
        </w:rPr>
      </w:pPr>
      <w:r w:rsidRPr="00F158B1">
        <w:rPr>
          <w:rStyle w:val="Znakapoznpodarou"/>
          <w:rFonts w:cs="Arial"/>
          <w:color w:val="0D0D0D" w:themeColor="text1" w:themeTint="F2"/>
          <w:spacing w:val="-2"/>
          <w:sz w:val="16"/>
          <w:szCs w:val="16"/>
          <w:lang w:val="en-GB"/>
        </w:rPr>
        <w:footnoteRef/>
      </w:r>
      <w:r w:rsidRPr="00F158B1">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or orders is ongoing only in twelve manufacturing branches producing </w:t>
      </w:r>
      <w:r>
        <w:rPr>
          <w:rFonts w:cs="Arial"/>
          <w:color w:val="0D0D0D" w:themeColor="text1" w:themeTint="F2"/>
          <w:sz w:val="16"/>
          <w:szCs w:val="16"/>
          <w:lang w:val="en-GB"/>
        </w:rPr>
        <w:t xml:space="preserve">mostly custom-made products, with longer </w:t>
      </w:r>
      <w:r w:rsidRPr="00B755F7">
        <w:rPr>
          <w:rFonts w:cs="Arial"/>
          <w:color w:val="0D0D0D" w:themeColor="text1" w:themeTint="F2"/>
          <w:sz w:val="16"/>
          <w:szCs w:val="16"/>
          <w:lang w:val="en-GB"/>
        </w:rPr>
        <w:t>production cycle and larger stocks of orders.</w:t>
      </w:r>
      <w:r>
        <w:rPr>
          <w:rFonts w:cs="Arial"/>
          <w:color w:val="0D0D0D" w:themeColor="text1" w:themeTint="F2"/>
          <w:sz w:val="16"/>
          <w:szCs w:val="16"/>
          <w:lang w:val="en-GB"/>
        </w:rPr>
        <w:t xml:space="preserve"> Year-on-year growth rates of orders are adjusted for calendar effects, quarter-on-quarter rates also for the seasonal effects. </w:t>
      </w:r>
    </w:p>
  </w:footnote>
  <w:footnote w:id="27">
    <w:p w14:paraId="591B1120" w14:textId="06923DBD" w:rsidR="008C5AA7" w:rsidRPr="008246D7" w:rsidRDefault="008C5AA7" w:rsidP="00F158B1">
      <w:pPr>
        <w:pStyle w:val="Textpoznpodarou"/>
        <w:jc w:val="both"/>
        <w:rPr>
          <w:sz w:val="16"/>
          <w:szCs w:val="16"/>
          <w:lang w:val="en-GB"/>
        </w:rPr>
      </w:pPr>
      <w:r w:rsidRPr="00F158B1">
        <w:rPr>
          <w:rStyle w:val="Znakapoznpodarou"/>
          <w:sz w:val="16"/>
          <w:szCs w:val="16"/>
          <w:lang w:val="en-GB"/>
        </w:rPr>
        <w:footnoteRef/>
      </w:r>
      <w:r w:rsidRPr="00F158B1">
        <w:rPr>
          <w:sz w:val="16"/>
          <w:szCs w:val="16"/>
          <w:lang w:val="en-GB"/>
        </w:rPr>
        <w:t xml:space="preserve"> </w:t>
      </w:r>
      <w:r>
        <w:rPr>
          <w:sz w:val="16"/>
          <w:szCs w:val="16"/>
          <w:lang w:val="en-GB"/>
        </w:rPr>
        <w:t>In the quarter-on-quarter comparison orders stagnated in Q</w:t>
      </w:r>
      <w:r w:rsidRPr="00F158B1">
        <w:rPr>
          <w:sz w:val="16"/>
          <w:szCs w:val="16"/>
          <w:lang w:val="en-GB"/>
        </w:rPr>
        <w:t>2</w:t>
      </w:r>
      <w:r>
        <w:rPr>
          <w:sz w:val="16"/>
          <w:szCs w:val="16"/>
          <w:lang w:val="en-GB"/>
        </w:rPr>
        <w:t xml:space="preserve">, decrease </w:t>
      </w:r>
      <w:r w:rsidRPr="008246D7">
        <w:rPr>
          <w:sz w:val="16"/>
          <w:szCs w:val="16"/>
          <w:lang w:val="en-GB"/>
        </w:rPr>
        <w:t>was however registered in the first this year’s quarter (by 3.8%).</w:t>
      </w:r>
    </w:p>
  </w:footnote>
  <w:footnote w:id="28">
    <w:p w14:paraId="6F351CB6" w14:textId="77777777" w:rsidR="008C5AA7" w:rsidRPr="004E3012" w:rsidRDefault="008C5AA7" w:rsidP="004E3012">
      <w:pPr>
        <w:pStyle w:val="Textpoznpodarou"/>
        <w:jc w:val="both"/>
        <w:rPr>
          <w:spacing w:val="-2"/>
          <w:sz w:val="16"/>
          <w:szCs w:val="16"/>
          <w:lang w:val="en-GB"/>
        </w:rPr>
      </w:pPr>
      <w:r w:rsidRPr="002F35D0">
        <w:rPr>
          <w:rStyle w:val="Znakapoznpodarou"/>
          <w:spacing w:val="-2"/>
          <w:sz w:val="16"/>
          <w:szCs w:val="16"/>
        </w:rPr>
        <w:footnoteRef/>
      </w:r>
      <w:r w:rsidRPr="002F35D0">
        <w:rPr>
          <w:spacing w:val="-2"/>
          <w:sz w:val="16"/>
          <w:szCs w:val="16"/>
        </w:rPr>
        <w:t xml:space="preserve"> </w:t>
      </w:r>
      <w:r w:rsidRPr="004E3012">
        <w:rPr>
          <w:spacing w:val="-2"/>
          <w:sz w:val="16"/>
          <w:szCs w:val="16"/>
          <w:lang w:val="en-GB"/>
        </w:rPr>
        <w:t>T</w:t>
      </w:r>
      <w:r>
        <w:rPr>
          <w:spacing w:val="-2"/>
          <w:sz w:val="16"/>
          <w:szCs w:val="16"/>
          <w:lang w:val="en-GB"/>
        </w:rPr>
        <w:t xml:space="preserve">hese prevailed since the end of the last October. That already started to permeate the </w:t>
      </w:r>
      <w:r>
        <w:rPr>
          <w:sz w:val="16"/>
          <w:szCs w:val="16"/>
          <w:lang w:val="en-GB"/>
        </w:rPr>
        <w:t>“hard” data</w:t>
      </w:r>
      <w:r w:rsidRPr="004E3012">
        <w:rPr>
          <w:sz w:val="16"/>
          <w:szCs w:val="16"/>
          <w:lang w:val="en-GB"/>
        </w:rPr>
        <w:t xml:space="preserve"> – </w:t>
      </w:r>
      <w:r>
        <w:rPr>
          <w:sz w:val="16"/>
          <w:szCs w:val="16"/>
          <w:lang w:val="en-GB"/>
        </w:rPr>
        <w:t xml:space="preserve">the number of registered employees in industry fell by </w:t>
      </w:r>
      <w:r w:rsidRPr="004E3012">
        <w:rPr>
          <w:sz w:val="16"/>
          <w:szCs w:val="16"/>
          <w:lang w:val="en-GB"/>
        </w:rPr>
        <w:t>0</w:t>
      </w:r>
      <w:r>
        <w:rPr>
          <w:sz w:val="16"/>
          <w:szCs w:val="16"/>
          <w:lang w:val="en-GB"/>
        </w:rPr>
        <w:t>.</w:t>
      </w:r>
      <w:r w:rsidRPr="004E3012">
        <w:rPr>
          <w:sz w:val="16"/>
          <w:szCs w:val="16"/>
          <w:lang w:val="en-GB"/>
        </w:rPr>
        <w:t>7%</w:t>
      </w:r>
      <w:r>
        <w:rPr>
          <w:sz w:val="16"/>
          <w:szCs w:val="16"/>
          <w:lang w:val="en-GB"/>
        </w:rPr>
        <w:t xml:space="preserve"> year-on-year in Q1 2023</w:t>
      </w:r>
      <w:r w:rsidRPr="004E3012">
        <w:rPr>
          <w:sz w:val="16"/>
          <w:szCs w:val="16"/>
          <w:lang w:val="en-GB"/>
        </w:rPr>
        <w:t>,</w:t>
      </w:r>
      <w:r>
        <w:rPr>
          <w:sz w:val="16"/>
          <w:szCs w:val="16"/>
          <w:lang w:val="en-GB"/>
        </w:rPr>
        <w:t xml:space="preserve"> already by </w:t>
      </w:r>
      <w:r w:rsidRPr="004E3012">
        <w:rPr>
          <w:sz w:val="16"/>
          <w:szCs w:val="16"/>
          <w:lang w:val="en-GB"/>
        </w:rPr>
        <w:t>1</w:t>
      </w:r>
      <w:r>
        <w:rPr>
          <w:sz w:val="16"/>
          <w:szCs w:val="16"/>
          <w:lang w:val="en-GB"/>
        </w:rPr>
        <w:t>.</w:t>
      </w:r>
      <w:r w:rsidRPr="004E3012">
        <w:rPr>
          <w:sz w:val="16"/>
          <w:szCs w:val="16"/>
          <w:lang w:val="en-GB"/>
        </w:rPr>
        <w:t>3%</w:t>
      </w:r>
      <w:r>
        <w:rPr>
          <w:sz w:val="16"/>
          <w:szCs w:val="16"/>
          <w:lang w:val="en-GB"/>
        </w:rPr>
        <w:t xml:space="preserve"> in the subsequent quarter</w:t>
      </w:r>
      <w:r w:rsidRPr="004E3012">
        <w:rPr>
          <w:sz w:val="16"/>
          <w:szCs w:val="16"/>
          <w:lang w:val="en-GB"/>
        </w:rPr>
        <w:t>.</w:t>
      </w:r>
    </w:p>
  </w:footnote>
  <w:footnote w:id="29">
    <w:p w14:paraId="639B770A" w14:textId="77777777" w:rsidR="008C5AA7" w:rsidRPr="00F16ACA" w:rsidRDefault="008C5AA7" w:rsidP="004E3012">
      <w:pPr>
        <w:pStyle w:val="Textpoznpodarou"/>
        <w:jc w:val="both"/>
        <w:rPr>
          <w:sz w:val="16"/>
          <w:szCs w:val="16"/>
          <w:lang w:val="en-GB"/>
        </w:rPr>
      </w:pPr>
      <w:r w:rsidRPr="004E3012">
        <w:rPr>
          <w:rStyle w:val="Znakapoznpodarou"/>
          <w:sz w:val="16"/>
          <w:szCs w:val="16"/>
          <w:lang w:val="en-GB"/>
        </w:rPr>
        <w:footnoteRef/>
      </w:r>
      <w:r w:rsidRPr="004E3012">
        <w:rPr>
          <w:sz w:val="16"/>
          <w:szCs w:val="16"/>
          <w:lang w:val="en-GB"/>
        </w:rPr>
        <w:t xml:space="preserve"> </w:t>
      </w:r>
      <w:r>
        <w:rPr>
          <w:sz w:val="16"/>
          <w:szCs w:val="16"/>
          <w:lang w:val="en-GB"/>
        </w:rPr>
        <w:t xml:space="preserve">Businesses could have stated more barriers simultaneously. Barriers are adjusted for the seasonality effect. Weak demand presented the major growth limit mainly for the majority of energy intensive industrial branches </w:t>
      </w:r>
      <w:r w:rsidRPr="004E3012">
        <w:rPr>
          <w:sz w:val="16"/>
          <w:szCs w:val="16"/>
          <w:lang w:val="en-GB"/>
        </w:rPr>
        <w:t>(</w:t>
      </w:r>
      <w:r>
        <w:rPr>
          <w:sz w:val="16"/>
          <w:szCs w:val="16"/>
          <w:lang w:val="en-GB"/>
        </w:rPr>
        <w:t xml:space="preserve">metallurgy, production of construction materials, </w:t>
      </w:r>
      <w:r w:rsidRPr="00F16ACA">
        <w:rPr>
          <w:sz w:val="16"/>
          <w:szCs w:val="16"/>
          <w:lang w:val="en-GB"/>
        </w:rPr>
        <w:t xml:space="preserve">manufacturing of rubber and plastic products, wood and paper industries), further for textiles or beverage industry. High proportion of businesses in the manufacturing of electrical appliances also stated this barrier. </w:t>
      </w:r>
    </w:p>
  </w:footnote>
  <w:footnote w:id="30">
    <w:p w14:paraId="5E329D76" w14:textId="77777777" w:rsidR="008C5AA7" w:rsidRPr="00F16ACA" w:rsidRDefault="008C5AA7" w:rsidP="004E3012">
      <w:pPr>
        <w:pStyle w:val="Textpoznpodarou"/>
        <w:jc w:val="both"/>
        <w:rPr>
          <w:sz w:val="16"/>
          <w:szCs w:val="16"/>
          <w:lang w:val="en-GB"/>
        </w:rPr>
      </w:pPr>
      <w:r w:rsidRPr="00F16ACA">
        <w:rPr>
          <w:rStyle w:val="Znakapoznpodarou"/>
          <w:sz w:val="16"/>
          <w:szCs w:val="16"/>
          <w:lang w:val="en-GB"/>
        </w:rPr>
        <w:footnoteRef/>
      </w:r>
      <w:r w:rsidRPr="00F16ACA">
        <w:rPr>
          <w:sz w:val="16"/>
          <w:szCs w:val="16"/>
          <w:lang w:val="en-GB"/>
        </w:rPr>
        <w:t xml:space="preserve"> </w:t>
      </w:r>
      <w:r>
        <w:rPr>
          <w:sz w:val="16"/>
          <w:szCs w:val="16"/>
          <w:lang w:val="en-GB"/>
        </w:rPr>
        <w:t xml:space="preserve">For shortage of labour force it concerned machinery, manufacture of both leather products and footwear or manufacturing of transport equipment </w:t>
      </w:r>
      <w:r w:rsidRPr="00F16ACA">
        <w:rPr>
          <w:sz w:val="16"/>
          <w:szCs w:val="16"/>
          <w:lang w:val="en-GB"/>
        </w:rPr>
        <w:t>(</w:t>
      </w:r>
      <w:r>
        <w:rPr>
          <w:sz w:val="16"/>
          <w:szCs w:val="16"/>
          <w:lang w:val="en-GB"/>
        </w:rPr>
        <w:t>except for motor vehicles</w:t>
      </w:r>
      <w:r w:rsidRPr="00F16ACA">
        <w:rPr>
          <w:sz w:val="16"/>
          <w:szCs w:val="16"/>
          <w:lang w:val="en-GB"/>
        </w:rPr>
        <w:t>).</w:t>
      </w:r>
    </w:p>
  </w:footnote>
  <w:footnote w:id="31">
    <w:p w14:paraId="61C80EAB" w14:textId="0143F551" w:rsidR="008C5AA7" w:rsidRPr="00F16ACA" w:rsidRDefault="008C5AA7" w:rsidP="004E3012">
      <w:pPr>
        <w:pStyle w:val="Textpoznpodarou"/>
        <w:jc w:val="both"/>
        <w:rPr>
          <w:sz w:val="16"/>
          <w:szCs w:val="16"/>
          <w:lang w:val="en-GB"/>
        </w:rPr>
      </w:pPr>
      <w:r w:rsidRPr="00F16ACA">
        <w:rPr>
          <w:rStyle w:val="Znakapoznpodarou"/>
          <w:sz w:val="16"/>
          <w:szCs w:val="16"/>
          <w:lang w:val="en-GB"/>
        </w:rPr>
        <w:footnoteRef/>
      </w:r>
      <w:r w:rsidRPr="00F16ACA">
        <w:rPr>
          <w:sz w:val="16"/>
          <w:szCs w:val="16"/>
          <w:lang w:val="en-GB"/>
        </w:rPr>
        <w:t xml:space="preserve"> Base</w:t>
      </w:r>
      <w:r>
        <w:rPr>
          <w:sz w:val="16"/>
          <w:szCs w:val="16"/>
          <w:lang w:val="en-GB"/>
        </w:rPr>
        <w:t>d</w:t>
      </w:r>
      <w:r w:rsidRPr="00F16ACA">
        <w:rPr>
          <w:sz w:val="16"/>
          <w:szCs w:val="16"/>
          <w:lang w:val="en-GB"/>
        </w:rPr>
        <w:t xml:space="preserve"> on the business cycle surveys from th</w:t>
      </w:r>
      <w:r>
        <w:rPr>
          <w:sz w:val="16"/>
          <w:szCs w:val="16"/>
          <w:lang w:val="en-GB"/>
        </w:rPr>
        <w:t>is</w:t>
      </w:r>
      <w:r w:rsidRPr="00F16ACA">
        <w:rPr>
          <w:sz w:val="16"/>
          <w:szCs w:val="16"/>
          <w:lang w:val="en-GB"/>
        </w:rPr>
        <w:t xml:space="preserve"> year’s August, more than 40% of domestic construction businesses expected rise of prices of own production (in the three-month horizon). </w:t>
      </w:r>
      <w:r>
        <w:rPr>
          <w:sz w:val="16"/>
          <w:szCs w:val="16"/>
          <w:lang w:val="en-GB"/>
        </w:rPr>
        <w:t xml:space="preserve">Despite gradual decrease </w:t>
      </w:r>
      <w:r w:rsidRPr="00F16ACA">
        <w:rPr>
          <w:sz w:val="16"/>
          <w:szCs w:val="16"/>
          <w:lang w:val="en-GB"/>
        </w:rPr>
        <w:t>(</w:t>
      </w:r>
      <w:r>
        <w:rPr>
          <w:sz w:val="16"/>
          <w:szCs w:val="16"/>
          <w:lang w:val="en-GB"/>
        </w:rPr>
        <w:t xml:space="preserve">which is nevertheless milder than in industry or retail trade) it represented by far the largest share among all main branches in the CR. </w:t>
      </w:r>
    </w:p>
  </w:footnote>
  <w:footnote w:id="32">
    <w:p w14:paraId="52E7AF48" w14:textId="7D4EA5AC" w:rsidR="008C5AA7" w:rsidRPr="00F16ACA" w:rsidRDefault="008C5AA7" w:rsidP="004E3012">
      <w:pPr>
        <w:pStyle w:val="Textpoznpodarou"/>
        <w:jc w:val="both"/>
        <w:rPr>
          <w:sz w:val="16"/>
          <w:szCs w:val="16"/>
          <w:lang w:val="en-GB"/>
        </w:rPr>
      </w:pPr>
      <w:r w:rsidRPr="00F16ACA">
        <w:rPr>
          <w:rStyle w:val="Znakapoznpodarou"/>
          <w:rFonts w:cs="Arial"/>
          <w:color w:val="0D0D0D" w:themeColor="text1" w:themeTint="F2"/>
          <w:sz w:val="16"/>
          <w:szCs w:val="16"/>
          <w:lang w:val="en-GB"/>
        </w:rPr>
        <w:footnoteRef/>
      </w:r>
      <w:r w:rsidRPr="00F16ACA">
        <w:rPr>
          <w:rFonts w:cs="Arial"/>
          <w:color w:val="0D0D0D" w:themeColor="text1" w:themeTint="F2"/>
          <w:sz w:val="16"/>
          <w:szCs w:val="16"/>
          <w:lang w:val="en-GB"/>
        </w:rPr>
        <w:t xml:space="preserve"> Figures regarding the construction output are in constant prices, year-on-year rates of growth are adjusted for calendar effects, quarter-on-quarter also for seasonal effects. </w:t>
      </w:r>
    </w:p>
  </w:footnote>
  <w:footnote w:id="33">
    <w:p w14:paraId="0EF4613D" w14:textId="101F82A4" w:rsidR="008C5AA7" w:rsidRPr="00F16ACA" w:rsidRDefault="008C5AA7" w:rsidP="004E3012">
      <w:pPr>
        <w:pStyle w:val="Textpoznpodarou"/>
        <w:jc w:val="both"/>
        <w:rPr>
          <w:lang w:val="en-GB"/>
        </w:rPr>
      </w:pPr>
      <w:r w:rsidRPr="00F16ACA">
        <w:rPr>
          <w:rStyle w:val="Znakapoznpodarou"/>
          <w:sz w:val="16"/>
          <w:szCs w:val="16"/>
          <w:lang w:val="en-GB"/>
        </w:rPr>
        <w:footnoteRef/>
      </w:r>
      <w:r w:rsidRPr="00F16ACA">
        <w:rPr>
          <w:sz w:val="16"/>
          <w:szCs w:val="16"/>
          <w:lang w:val="en-GB"/>
        </w:rPr>
        <w:t xml:space="preserve"> </w:t>
      </w:r>
      <w:r>
        <w:rPr>
          <w:sz w:val="16"/>
          <w:szCs w:val="16"/>
          <w:lang w:val="en-GB"/>
        </w:rPr>
        <w:t>Number of commenced flats was, however, relatively high in the CR in H</w:t>
      </w:r>
      <w:r w:rsidRPr="00F16ACA">
        <w:rPr>
          <w:sz w:val="16"/>
          <w:szCs w:val="16"/>
          <w:lang w:val="en-GB"/>
        </w:rPr>
        <w:t>1</w:t>
      </w:r>
      <w:r>
        <w:rPr>
          <w:sz w:val="16"/>
          <w:szCs w:val="16"/>
          <w:lang w:val="en-GB"/>
        </w:rPr>
        <w:t xml:space="preserve"> </w:t>
      </w:r>
      <w:r w:rsidRPr="00F16ACA">
        <w:rPr>
          <w:sz w:val="16"/>
          <w:szCs w:val="16"/>
          <w:lang w:val="en-GB"/>
        </w:rPr>
        <w:t>2022</w:t>
      </w:r>
      <w:r>
        <w:rPr>
          <w:sz w:val="16"/>
          <w:szCs w:val="16"/>
          <w:lang w:val="en-GB"/>
        </w:rPr>
        <w:t>, when it climbed up to the level comparable with the boom period 2</w:t>
      </w:r>
      <w:r w:rsidRPr="00F16ACA">
        <w:rPr>
          <w:sz w:val="16"/>
          <w:szCs w:val="16"/>
          <w:lang w:val="en-GB"/>
        </w:rPr>
        <w:t xml:space="preserve">006 </w:t>
      </w:r>
      <w:r>
        <w:rPr>
          <w:sz w:val="16"/>
          <w:szCs w:val="16"/>
          <w:lang w:val="en-GB"/>
        </w:rPr>
        <w:t xml:space="preserve">till </w:t>
      </w:r>
      <w:r w:rsidRPr="00F16ACA">
        <w:rPr>
          <w:sz w:val="16"/>
          <w:szCs w:val="16"/>
          <w:lang w:val="en-GB"/>
        </w:rPr>
        <w:t>2008.</w:t>
      </w:r>
    </w:p>
  </w:footnote>
  <w:footnote w:id="34">
    <w:p w14:paraId="28701952" w14:textId="6A4BCAE3" w:rsidR="008C5AA7" w:rsidRDefault="008C5AA7" w:rsidP="00D27F07">
      <w:pPr>
        <w:pStyle w:val="Textpoznpodarou"/>
      </w:pPr>
      <w:r>
        <w:rPr>
          <w:rStyle w:val="Znakapoznpodarou"/>
        </w:rPr>
        <w:footnoteRef/>
      </w:r>
      <w:r>
        <w:t xml:space="preserve"> </w:t>
      </w:r>
      <w:r w:rsidRPr="00D94929">
        <w:rPr>
          <w:spacing w:val="-6"/>
          <w:sz w:val="16"/>
          <w:szCs w:val="16"/>
          <w:lang w:val="en-GB"/>
        </w:rPr>
        <w:t xml:space="preserve">Businesses could have indicated more barriers simultaneously. </w:t>
      </w:r>
    </w:p>
  </w:footnote>
  <w:footnote w:id="35">
    <w:p w14:paraId="6F883029" w14:textId="67F5D3EB" w:rsidR="008C5AA7" w:rsidRPr="00773E63" w:rsidRDefault="008C5AA7" w:rsidP="00773E63">
      <w:pPr>
        <w:spacing w:after="0" w:line="240" w:lineRule="auto"/>
        <w:rPr>
          <w:spacing w:val="-2"/>
          <w:lang w:val="en-GB"/>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w:t>
      </w:r>
      <w:r w:rsidRPr="00773E63">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36">
    <w:p w14:paraId="56F80E8B" w14:textId="77777777" w:rsidR="00B117D9" w:rsidRDefault="008C5AA7" w:rsidP="00A44336">
      <w:pPr>
        <w:pStyle w:val="paragraph"/>
        <w:spacing w:before="0" w:beforeAutospacing="0" w:after="0" w:afterAutospacing="0"/>
        <w:jc w:val="both"/>
        <w:textAlignment w:val="baseline"/>
        <w:rPr>
          <w:rFonts w:ascii="Arial" w:eastAsia="Calibri" w:hAnsi="Arial"/>
          <w:sz w:val="16"/>
          <w:szCs w:val="16"/>
          <w:lang w:val="en-GB"/>
        </w:rPr>
      </w:pPr>
      <w:r w:rsidRPr="00773E63">
        <w:rPr>
          <w:rFonts w:ascii="Arial" w:eastAsia="Calibri" w:hAnsi="Arial"/>
          <w:sz w:val="16"/>
          <w:szCs w:val="16"/>
          <w:vertAlign w:val="superscript"/>
          <w:lang w:val="en-GB"/>
        </w:rPr>
        <w:footnoteRef/>
      </w:r>
      <w:r w:rsidRPr="00773E63">
        <w:rPr>
          <w:rFonts w:ascii="Arial" w:eastAsia="Calibri" w:hAnsi="Arial"/>
          <w:sz w:val="16"/>
          <w:szCs w:val="16"/>
          <w:lang w:val="en-GB"/>
        </w:rPr>
        <w:t xml:space="preserve"> </w:t>
      </w:r>
      <w:r>
        <w:rPr>
          <w:rFonts w:ascii="Arial" w:eastAsia="Calibri" w:hAnsi="Arial"/>
          <w:sz w:val="16"/>
          <w:szCs w:val="16"/>
          <w:lang w:val="en-GB"/>
        </w:rPr>
        <w:t xml:space="preserve">Number of guests as well as their overnight stays in mass accommodation facilities </w:t>
      </w:r>
      <w:r w:rsidRPr="00773E63">
        <w:rPr>
          <w:rFonts w:ascii="Arial" w:eastAsia="Calibri" w:hAnsi="Arial"/>
          <w:sz w:val="16"/>
          <w:szCs w:val="16"/>
          <w:lang w:val="en-GB"/>
        </w:rPr>
        <w:t>(</w:t>
      </w:r>
      <w:r>
        <w:rPr>
          <w:rFonts w:ascii="Arial" w:eastAsia="Calibri" w:hAnsi="Arial"/>
          <w:sz w:val="16"/>
          <w:szCs w:val="16"/>
          <w:lang w:val="en-GB"/>
        </w:rPr>
        <w:t>MAF</w:t>
      </w:r>
      <w:r w:rsidRPr="00773E63">
        <w:rPr>
          <w:rFonts w:ascii="Arial" w:eastAsia="Calibri" w:hAnsi="Arial"/>
          <w:sz w:val="16"/>
          <w:szCs w:val="16"/>
          <w:lang w:val="en-GB"/>
        </w:rPr>
        <w:t xml:space="preserve">) </w:t>
      </w:r>
      <w:r>
        <w:rPr>
          <w:rFonts w:ascii="Arial" w:eastAsia="Calibri" w:hAnsi="Arial"/>
          <w:sz w:val="16"/>
          <w:szCs w:val="16"/>
          <w:lang w:val="en-GB"/>
        </w:rPr>
        <w:t xml:space="preserve">was rising in the CR year-on-year for the ninth quarter in a row. </w:t>
      </w:r>
      <w:r w:rsidRPr="00773E63">
        <w:rPr>
          <w:rFonts w:ascii="Arial" w:eastAsia="Calibri" w:hAnsi="Arial"/>
          <w:sz w:val="16"/>
          <w:szCs w:val="16"/>
          <w:lang w:val="en-GB"/>
        </w:rPr>
        <w:t>21</w:t>
      </w:r>
      <w:r>
        <w:rPr>
          <w:rFonts w:ascii="Arial" w:eastAsia="Calibri" w:hAnsi="Arial"/>
          <w:sz w:val="16"/>
          <w:szCs w:val="16"/>
          <w:lang w:val="en-GB"/>
        </w:rPr>
        <w:t>.</w:t>
      </w:r>
      <w:r w:rsidRPr="00773E63">
        <w:rPr>
          <w:rFonts w:ascii="Arial" w:eastAsia="Calibri" w:hAnsi="Arial"/>
          <w:sz w:val="16"/>
          <w:szCs w:val="16"/>
          <w:lang w:val="en-GB"/>
        </w:rPr>
        <w:t>9%</w:t>
      </w:r>
      <w:r>
        <w:rPr>
          <w:rFonts w:ascii="Arial" w:eastAsia="Calibri" w:hAnsi="Arial"/>
          <w:sz w:val="16"/>
          <w:szCs w:val="16"/>
          <w:lang w:val="en-GB"/>
        </w:rPr>
        <w:t xml:space="preserve"> more guests thus arrived and there were by </w:t>
      </w:r>
      <w:r w:rsidRPr="00773E63">
        <w:rPr>
          <w:rFonts w:ascii="Arial" w:eastAsia="Calibri" w:hAnsi="Arial"/>
          <w:sz w:val="16"/>
          <w:szCs w:val="16"/>
          <w:lang w:val="en-GB"/>
        </w:rPr>
        <w:t>19</w:t>
      </w:r>
      <w:r>
        <w:rPr>
          <w:rFonts w:ascii="Arial" w:eastAsia="Calibri" w:hAnsi="Arial"/>
          <w:sz w:val="16"/>
          <w:szCs w:val="16"/>
          <w:lang w:val="en-GB"/>
        </w:rPr>
        <w:t>.</w:t>
      </w:r>
      <w:r w:rsidRPr="00773E63">
        <w:rPr>
          <w:rFonts w:ascii="Arial" w:eastAsia="Calibri" w:hAnsi="Arial"/>
          <w:sz w:val="16"/>
          <w:szCs w:val="16"/>
          <w:lang w:val="en-GB"/>
        </w:rPr>
        <w:t>2%</w:t>
      </w:r>
      <w:r>
        <w:rPr>
          <w:rFonts w:ascii="Arial" w:eastAsia="Calibri" w:hAnsi="Arial"/>
          <w:sz w:val="16"/>
          <w:szCs w:val="16"/>
          <w:lang w:val="en-GB"/>
        </w:rPr>
        <w:t xml:space="preserve"> more of their overnight stays in H1 2023</w:t>
      </w:r>
      <w:r w:rsidRPr="00773E63">
        <w:rPr>
          <w:rFonts w:ascii="Arial" w:eastAsia="Calibri" w:hAnsi="Arial"/>
          <w:sz w:val="16"/>
          <w:szCs w:val="16"/>
          <w:lang w:val="en-GB"/>
        </w:rPr>
        <w:t xml:space="preserve">. </w:t>
      </w:r>
      <w:r>
        <w:rPr>
          <w:rFonts w:ascii="Arial" w:eastAsia="Calibri" w:hAnsi="Arial"/>
          <w:sz w:val="16"/>
          <w:szCs w:val="16"/>
          <w:lang w:val="en-GB"/>
        </w:rPr>
        <w:t xml:space="preserve">Foreign tourists were for the vast majority instrumental this year </w:t>
      </w:r>
      <w:r w:rsidRPr="00773E63">
        <w:rPr>
          <w:rFonts w:ascii="Arial" w:eastAsia="Calibri" w:hAnsi="Arial"/>
          <w:sz w:val="16"/>
          <w:szCs w:val="16"/>
          <w:lang w:val="en-GB"/>
        </w:rPr>
        <w:t>(</w:t>
      </w:r>
      <w:r>
        <w:rPr>
          <w:rFonts w:ascii="Arial" w:eastAsia="Calibri" w:hAnsi="Arial"/>
          <w:sz w:val="16"/>
          <w:szCs w:val="16"/>
          <w:lang w:val="en-GB"/>
        </w:rPr>
        <w:t>the same as for the whole H</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2022)</w:t>
      </w:r>
      <w:r>
        <w:rPr>
          <w:rFonts w:ascii="Arial" w:eastAsia="Calibri" w:hAnsi="Arial"/>
          <w:sz w:val="16"/>
          <w:szCs w:val="16"/>
          <w:lang w:val="en-GB"/>
        </w:rPr>
        <w:t xml:space="preserve"> since the overnight stays of residents increased only by </w:t>
      </w:r>
      <w:r w:rsidRPr="00773E63">
        <w:rPr>
          <w:rFonts w:ascii="Arial" w:eastAsia="Calibri" w:hAnsi="Arial"/>
          <w:sz w:val="16"/>
          <w:szCs w:val="16"/>
          <w:lang w:val="en-GB"/>
        </w:rPr>
        <w:t>3</w:t>
      </w:r>
      <w:r>
        <w:rPr>
          <w:rFonts w:ascii="Arial" w:eastAsia="Calibri" w:hAnsi="Arial"/>
          <w:sz w:val="16"/>
          <w:szCs w:val="16"/>
          <w:lang w:val="en-GB"/>
        </w:rPr>
        <w:t>.</w:t>
      </w:r>
      <w:r w:rsidRPr="00773E63">
        <w:rPr>
          <w:rFonts w:ascii="Arial" w:eastAsia="Calibri" w:hAnsi="Arial"/>
          <w:sz w:val="16"/>
          <w:szCs w:val="16"/>
          <w:lang w:val="en-GB"/>
        </w:rPr>
        <w:t>8% (</w:t>
      </w:r>
      <w:r>
        <w:rPr>
          <w:rFonts w:ascii="Arial" w:eastAsia="Calibri" w:hAnsi="Arial"/>
          <w:sz w:val="16"/>
          <w:szCs w:val="16"/>
          <w:lang w:val="en-GB"/>
        </w:rPr>
        <w:t xml:space="preserve">of </w:t>
      </w:r>
      <w:r w:rsidRPr="00773E63">
        <w:rPr>
          <w:rFonts w:ascii="Arial" w:eastAsia="Calibri" w:hAnsi="Arial"/>
          <w:sz w:val="16"/>
          <w:szCs w:val="16"/>
          <w:lang w:val="en-GB"/>
        </w:rPr>
        <w:t>n</w:t>
      </w:r>
      <w:r>
        <w:rPr>
          <w:rFonts w:ascii="Arial" w:eastAsia="Calibri" w:hAnsi="Arial"/>
          <w:sz w:val="16"/>
          <w:szCs w:val="16"/>
          <w:lang w:val="en-GB"/>
        </w:rPr>
        <w:t xml:space="preserve">on-residents by </w:t>
      </w:r>
      <w:r w:rsidRPr="00773E63">
        <w:rPr>
          <w:rFonts w:ascii="Arial" w:eastAsia="Calibri" w:hAnsi="Arial"/>
          <w:sz w:val="16"/>
          <w:szCs w:val="16"/>
          <w:lang w:val="en-GB"/>
        </w:rPr>
        <w:t>47</w:t>
      </w:r>
      <w:r>
        <w:rPr>
          <w:rFonts w:ascii="Arial" w:eastAsia="Calibri" w:hAnsi="Arial"/>
          <w:sz w:val="16"/>
          <w:szCs w:val="16"/>
          <w:lang w:val="en-GB"/>
        </w:rPr>
        <w:t>.</w:t>
      </w:r>
      <w:r w:rsidRPr="00773E63">
        <w:rPr>
          <w:rFonts w:ascii="Arial" w:eastAsia="Calibri" w:hAnsi="Arial"/>
          <w:sz w:val="16"/>
          <w:szCs w:val="16"/>
          <w:lang w:val="en-GB"/>
        </w:rPr>
        <w:t xml:space="preserve">8%). </w:t>
      </w:r>
      <w:r>
        <w:rPr>
          <w:rFonts w:ascii="Arial" w:eastAsia="Calibri" w:hAnsi="Arial"/>
          <w:sz w:val="16"/>
          <w:szCs w:val="16"/>
          <w:lang w:val="en-GB"/>
        </w:rPr>
        <w:t>In Q</w:t>
      </w:r>
      <w:r w:rsidRPr="00773E63">
        <w:rPr>
          <w:rFonts w:ascii="Arial" w:eastAsia="Calibri" w:hAnsi="Arial"/>
          <w:sz w:val="16"/>
          <w:szCs w:val="16"/>
          <w:lang w:val="en-GB"/>
        </w:rPr>
        <w:t>2</w:t>
      </w:r>
      <w:r>
        <w:rPr>
          <w:rFonts w:ascii="Arial" w:eastAsia="Calibri" w:hAnsi="Arial"/>
          <w:sz w:val="16"/>
          <w:szCs w:val="16"/>
          <w:lang w:val="en-GB"/>
        </w:rPr>
        <w:t xml:space="preserve"> itself this year, the performance of tourism markedly approached the level from the similar period of year </w:t>
      </w:r>
      <w:r w:rsidRPr="00773E63">
        <w:rPr>
          <w:rFonts w:ascii="Arial" w:eastAsia="Calibri" w:hAnsi="Arial"/>
          <w:sz w:val="16"/>
          <w:szCs w:val="16"/>
          <w:lang w:val="en-GB"/>
        </w:rPr>
        <w:t>2019</w:t>
      </w:r>
      <w:r>
        <w:rPr>
          <w:rFonts w:ascii="Arial" w:eastAsia="Calibri" w:hAnsi="Arial"/>
          <w:sz w:val="16"/>
          <w:szCs w:val="16"/>
          <w:lang w:val="en-GB"/>
        </w:rPr>
        <w:t xml:space="preserve"> for the first time</w:t>
      </w:r>
      <w:r w:rsidRPr="00773E63">
        <w:rPr>
          <w:rFonts w:ascii="Arial" w:eastAsia="Calibri" w:hAnsi="Arial"/>
          <w:sz w:val="16"/>
          <w:szCs w:val="16"/>
          <w:lang w:val="en-GB"/>
        </w:rPr>
        <w:t xml:space="preserve"> – </w:t>
      </w:r>
      <w:r>
        <w:rPr>
          <w:rFonts w:ascii="Arial" w:eastAsia="Calibri" w:hAnsi="Arial"/>
          <w:sz w:val="16"/>
          <w:szCs w:val="16"/>
          <w:lang w:val="en-GB"/>
        </w:rPr>
        <w:t xml:space="preserve">number of all overnight stays was lower only by just below </w:t>
      </w:r>
      <w:r w:rsidRPr="00773E63">
        <w:rPr>
          <w:rFonts w:ascii="Arial" w:eastAsia="Calibri" w:hAnsi="Arial"/>
          <w:sz w:val="16"/>
          <w:szCs w:val="16"/>
          <w:lang w:val="en-GB"/>
        </w:rPr>
        <w:t xml:space="preserve">2%, </w:t>
      </w:r>
      <w:r>
        <w:rPr>
          <w:rFonts w:ascii="Arial" w:eastAsia="Calibri" w:hAnsi="Arial"/>
          <w:sz w:val="16"/>
          <w:szCs w:val="16"/>
          <w:lang w:val="en-GB"/>
        </w:rPr>
        <w:t xml:space="preserve">for foreign guests however still by significant </w:t>
      </w:r>
      <w:r w:rsidRPr="00773E63">
        <w:rPr>
          <w:rFonts w:ascii="Arial" w:eastAsia="Calibri" w:hAnsi="Arial"/>
          <w:sz w:val="16"/>
          <w:szCs w:val="16"/>
          <w:lang w:val="en-GB"/>
        </w:rPr>
        <w:t>15% (</w:t>
      </w:r>
      <w:r>
        <w:rPr>
          <w:rFonts w:ascii="Arial" w:eastAsia="Calibri" w:hAnsi="Arial"/>
          <w:sz w:val="16"/>
          <w:szCs w:val="16"/>
          <w:lang w:val="en-GB"/>
        </w:rPr>
        <w:t>domestic tourism recovered from the “</w:t>
      </w:r>
      <w:r w:rsidRPr="00773E63">
        <w:rPr>
          <w:rFonts w:ascii="Arial" w:eastAsia="Calibri" w:hAnsi="Arial"/>
          <w:sz w:val="16"/>
          <w:szCs w:val="16"/>
          <w:lang w:val="en-GB"/>
        </w:rPr>
        <w:t>covid</w:t>
      </w:r>
      <w:r>
        <w:rPr>
          <w:rFonts w:ascii="Arial" w:eastAsia="Calibri" w:hAnsi="Arial"/>
          <w:sz w:val="16"/>
          <w:szCs w:val="16"/>
          <w:lang w:val="en-GB"/>
        </w:rPr>
        <w:t xml:space="preserve"> shock” already in summer 2021</w:t>
      </w:r>
      <w:r w:rsidRPr="00773E63">
        <w:rPr>
          <w:rFonts w:ascii="Arial" w:eastAsia="Calibri" w:hAnsi="Arial"/>
          <w:sz w:val="16"/>
          <w:szCs w:val="16"/>
          <w:lang w:val="en-GB"/>
        </w:rPr>
        <w:t>). </w:t>
      </w:r>
      <w:r>
        <w:rPr>
          <w:rFonts w:ascii="Arial" w:eastAsia="Calibri" w:hAnsi="Arial"/>
          <w:sz w:val="16"/>
          <w:szCs w:val="16"/>
          <w:lang w:val="en-GB"/>
        </w:rPr>
        <w:t>Number of guests at taking up accommodation expanded in all regions against Q</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2022</w:t>
      </w:r>
      <w:r>
        <w:rPr>
          <w:rFonts w:ascii="Arial" w:eastAsia="Calibri" w:hAnsi="Arial"/>
          <w:sz w:val="16"/>
          <w:szCs w:val="16"/>
          <w:lang w:val="en-GB"/>
        </w:rPr>
        <w:t xml:space="preserve"> </w:t>
      </w:r>
      <w:r w:rsidRPr="00773E63">
        <w:rPr>
          <w:rFonts w:ascii="Arial" w:eastAsia="Calibri" w:hAnsi="Arial"/>
          <w:sz w:val="16"/>
          <w:szCs w:val="16"/>
          <w:lang w:val="en-GB"/>
        </w:rPr>
        <w:t xml:space="preserve">– </w:t>
      </w:r>
      <w:r>
        <w:rPr>
          <w:rFonts w:ascii="Arial" w:eastAsia="Calibri" w:hAnsi="Arial"/>
          <w:sz w:val="16"/>
          <w:szCs w:val="16"/>
          <w:lang w:val="en-GB"/>
        </w:rPr>
        <w:t xml:space="preserve">the most in Prague, Karlovy Vary region </w:t>
      </w:r>
      <w:r w:rsidRPr="00773E63">
        <w:rPr>
          <w:rFonts w:ascii="Arial" w:eastAsia="Calibri" w:hAnsi="Arial"/>
          <w:sz w:val="16"/>
          <w:szCs w:val="16"/>
          <w:lang w:val="en-GB"/>
        </w:rPr>
        <w:t>(</w:t>
      </w:r>
      <w:r>
        <w:rPr>
          <w:rFonts w:ascii="Arial" w:eastAsia="Calibri" w:hAnsi="Arial"/>
          <w:sz w:val="16"/>
          <w:szCs w:val="16"/>
          <w:lang w:val="en-GB"/>
        </w:rPr>
        <w:t>similarly by approximately one fifth</w:t>
      </w:r>
      <w:r w:rsidRPr="00773E63">
        <w:rPr>
          <w:rFonts w:ascii="Arial" w:eastAsia="Calibri" w:hAnsi="Arial"/>
          <w:sz w:val="16"/>
          <w:szCs w:val="16"/>
          <w:lang w:val="en-GB"/>
        </w:rPr>
        <w:t>),</w:t>
      </w:r>
      <w:r>
        <w:rPr>
          <w:rFonts w:ascii="Arial" w:eastAsia="Calibri" w:hAnsi="Arial"/>
          <w:sz w:val="16"/>
          <w:szCs w:val="16"/>
          <w:lang w:val="en-GB"/>
        </w:rPr>
        <w:t xml:space="preserve"> the least in </w:t>
      </w:r>
      <w:proofErr w:type="spellStart"/>
      <w:r>
        <w:rPr>
          <w:rFonts w:ascii="Arial" w:eastAsia="Calibri" w:hAnsi="Arial"/>
          <w:sz w:val="16"/>
          <w:szCs w:val="16"/>
          <w:lang w:val="en-GB"/>
        </w:rPr>
        <w:t>Vysocina</w:t>
      </w:r>
      <w:proofErr w:type="spellEnd"/>
      <w:r>
        <w:rPr>
          <w:rFonts w:ascii="Arial" w:eastAsia="Calibri" w:hAnsi="Arial"/>
          <w:sz w:val="16"/>
          <w:szCs w:val="16"/>
          <w:lang w:val="en-GB"/>
        </w:rPr>
        <w:t xml:space="preserve"> </w:t>
      </w:r>
      <w:r w:rsidRPr="00773E63">
        <w:rPr>
          <w:rFonts w:ascii="Arial" w:eastAsia="Calibri" w:hAnsi="Arial"/>
          <w:sz w:val="16"/>
          <w:szCs w:val="16"/>
          <w:lang w:val="en-GB"/>
        </w:rPr>
        <w:t>(+5%) a</w:t>
      </w:r>
      <w:r>
        <w:rPr>
          <w:rFonts w:ascii="Arial" w:eastAsia="Calibri" w:hAnsi="Arial"/>
          <w:sz w:val="16"/>
          <w:szCs w:val="16"/>
          <w:lang w:val="en-GB"/>
        </w:rPr>
        <w:t xml:space="preserve">nd the Pilsen region </w:t>
      </w:r>
      <w:r w:rsidRPr="00773E63">
        <w:rPr>
          <w:rFonts w:ascii="Arial" w:eastAsia="Calibri" w:hAnsi="Arial"/>
          <w:sz w:val="16"/>
          <w:szCs w:val="16"/>
          <w:lang w:val="en-GB"/>
        </w:rPr>
        <w:t xml:space="preserve">(+7%). </w:t>
      </w:r>
      <w:r>
        <w:rPr>
          <w:rFonts w:ascii="Arial" w:eastAsia="Calibri" w:hAnsi="Arial"/>
          <w:sz w:val="16"/>
          <w:szCs w:val="16"/>
          <w:lang w:val="en-GB"/>
        </w:rPr>
        <w:t xml:space="preserve">Foreigners primarily contributed to the growth of number of visits in the majority of regions </w:t>
      </w:r>
      <w:r w:rsidRPr="00773E63">
        <w:rPr>
          <w:rFonts w:ascii="Arial" w:eastAsia="Calibri" w:hAnsi="Arial"/>
          <w:sz w:val="16"/>
          <w:szCs w:val="16"/>
          <w:lang w:val="en-GB"/>
        </w:rPr>
        <w:t>(</w:t>
      </w:r>
      <w:r>
        <w:rPr>
          <w:rFonts w:ascii="Arial" w:eastAsia="Calibri" w:hAnsi="Arial"/>
          <w:sz w:val="16"/>
          <w:szCs w:val="16"/>
          <w:lang w:val="en-GB"/>
        </w:rPr>
        <w:t xml:space="preserve">apart from the </w:t>
      </w:r>
      <w:proofErr w:type="spellStart"/>
      <w:r>
        <w:rPr>
          <w:rFonts w:ascii="Arial" w:eastAsia="Calibri" w:hAnsi="Arial"/>
          <w:sz w:val="16"/>
          <w:szCs w:val="16"/>
          <w:lang w:val="en-GB"/>
        </w:rPr>
        <w:t>Kralovehradecky</w:t>
      </w:r>
      <w:proofErr w:type="spellEnd"/>
      <w:r>
        <w:rPr>
          <w:rFonts w:ascii="Arial" w:eastAsia="Calibri" w:hAnsi="Arial"/>
          <w:sz w:val="16"/>
          <w:szCs w:val="16"/>
          <w:lang w:val="en-GB"/>
        </w:rPr>
        <w:t xml:space="preserve">, </w:t>
      </w:r>
      <w:proofErr w:type="spellStart"/>
      <w:r>
        <w:rPr>
          <w:rFonts w:ascii="Arial" w:eastAsia="Calibri" w:hAnsi="Arial"/>
          <w:sz w:val="16"/>
          <w:szCs w:val="16"/>
          <w:lang w:val="en-GB"/>
        </w:rPr>
        <w:t>Pardubicky</w:t>
      </w:r>
      <w:proofErr w:type="spellEnd"/>
      <w:r>
        <w:rPr>
          <w:rFonts w:ascii="Arial" w:eastAsia="Calibri" w:hAnsi="Arial"/>
          <w:sz w:val="16"/>
          <w:szCs w:val="16"/>
          <w:lang w:val="en-GB"/>
        </w:rPr>
        <w:t xml:space="preserve"> and Olomouc regions</w:t>
      </w:r>
      <w:r w:rsidRPr="00773E63">
        <w:rPr>
          <w:rFonts w:ascii="Arial" w:eastAsia="Calibri" w:hAnsi="Arial"/>
          <w:sz w:val="16"/>
          <w:szCs w:val="16"/>
          <w:lang w:val="en-GB"/>
        </w:rPr>
        <w:t xml:space="preserve">). </w:t>
      </w:r>
      <w:r>
        <w:rPr>
          <w:rFonts w:ascii="Arial" w:eastAsia="Calibri" w:hAnsi="Arial"/>
          <w:sz w:val="16"/>
          <w:szCs w:val="16"/>
          <w:lang w:val="en-GB"/>
        </w:rPr>
        <w:t xml:space="preserve">Number of domestic guests even only stagnated in Prague and the </w:t>
      </w:r>
      <w:proofErr w:type="spellStart"/>
      <w:r>
        <w:rPr>
          <w:rFonts w:ascii="Arial" w:eastAsia="Calibri" w:hAnsi="Arial"/>
          <w:sz w:val="16"/>
          <w:szCs w:val="16"/>
          <w:lang w:val="en-GB"/>
        </w:rPr>
        <w:t>Jihomoravsky</w:t>
      </w:r>
      <w:proofErr w:type="spellEnd"/>
      <w:r>
        <w:rPr>
          <w:rFonts w:ascii="Arial" w:eastAsia="Calibri" w:hAnsi="Arial"/>
          <w:sz w:val="16"/>
          <w:szCs w:val="16"/>
          <w:lang w:val="en-GB"/>
        </w:rPr>
        <w:t xml:space="preserve"> region year-on-year. </w:t>
      </w:r>
    </w:p>
    <w:p w14:paraId="31A222B7" w14:textId="33B03F37" w:rsidR="008C5AA7" w:rsidRPr="00773E63" w:rsidRDefault="008C5AA7" w:rsidP="00A44336">
      <w:pPr>
        <w:pStyle w:val="paragraph"/>
        <w:spacing w:before="0" w:beforeAutospacing="0" w:after="0" w:afterAutospacing="0"/>
        <w:jc w:val="both"/>
        <w:textAlignment w:val="baseline"/>
        <w:rPr>
          <w:rFonts w:ascii="Arial" w:eastAsia="Calibri" w:hAnsi="Arial"/>
          <w:sz w:val="16"/>
          <w:szCs w:val="16"/>
          <w:lang w:val="en-GB"/>
        </w:rPr>
      </w:pPr>
      <w:r>
        <w:rPr>
          <w:rFonts w:ascii="Arial" w:eastAsia="Calibri" w:hAnsi="Arial"/>
          <w:sz w:val="16"/>
          <w:szCs w:val="16"/>
          <w:lang w:val="en-GB"/>
        </w:rPr>
        <w:t xml:space="preserve">Guests from Germany </w:t>
      </w:r>
      <w:r w:rsidRPr="00773E63">
        <w:rPr>
          <w:rFonts w:ascii="Arial" w:eastAsia="Calibri" w:hAnsi="Arial"/>
          <w:sz w:val="16"/>
          <w:szCs w:val="16"/>
          <w:lang w:val="en-GB"/>
        </w:rPr>
        <w:t>(+116 t</w:t>
      </w:r>
      <w:r>
        <w:rPr>
          <w:rFonts w:ascii="Arial" w:eastAsia="Calibri" w:hAnsi="Arial"/>
          <w:sz w:val="16"/>
          <w:szCs w:val="16"/>
          <w:lang w:val="en-GB"/>
        </w:rPr>
        <w:t>housand</w:t>
      </w:r>
      <w:r w:rsidRPr="00773E63">
        <w:rPr>
          <w:rFonts w:ascii="Arial" w:eastAsia="Calibri" w:hAnsi="Arial"/>
          <w:sz w:val="16"/>
          <w:szCs w:val="16"/>
          <w:lang w:val="en-GB"/>
        </w:rPr>
        <w:t xml:space="preserve">), </w:t>
      </w:r>
      <w:r>
        <w:rPr>
          <w:rFonts w:ascii="Arial" w:eastAsia="Calibri" w:hAnsi="Arial"/>
          <w:sz w:val="16"/>
          <w:szCs w:val="16"/>
          <w:lang w:val="en-GB"/>
        </w:rPr>
        <w:t xml:space="preserve">South Korea </w:t>
      </w:r>
      <w:r w:rsidRPr="00773E63">
        <w:rPr>
          <w:rFonts w:ascii="Arial" w:eastAsia="Calibri" w:hAnsi="Arial"/>
          <w:sz w:val="16"/>
          <w:szCs w:val="16"/>
          <w:lang w:val="en-GB"/>
        </w:rPr>
        <w:t>(+52 t</w:t>
      </w:r>
      <w:r>
        <w:rPr>
          <w:rFonts w:ascii="Arial" w:eastAsia="Calibri" w:hAnsi="Arial"/>
          <w:sz w:val="16"/>
          <w:szCs w:val="16"/>
          <w:lang w:val="en-GB"/>
        </w:rPr>
        <w:t>housand</w:t>
      </w:r>
      <w:r w:rsidRPr="00773E63">
        <w:rPr>
          <w:rFonts w:ascii="Arial" w:eastAsia="Calibri" w:hAnsi="Arial"/>
          <w:sz w:val="16"/>
          <w:szCs w:val="16"/>
          <w:lang w:val="en-GB"/>
        </w:rPr>
        <w:t>), Pol</w:t>
      </w:r>
      <w:r>
        <w:rPr>
          <w:rFonts w:ascii="Arial" w:eastAsia="Calibri" w:hAnsi="Arial"/>
          <w:sz w:val="16"/>
          <w:szCs w:val="16"/>
          <w:lang w:val="en-GB"/>
        </w:rPr>
        <w:t xml:space="preserve">and </w:t>
      </w:r>
      <w:r w:rsidRPr="00773E63">
        <w:rPr>
          <w:rFonts w:ascii="Arial" w:eastAsia="Calibri" w:hAnsi="Arial"/>
          <w:sz w:val="16"/>
          <w:szCs w:val="16"/>
          <w:lang w:val="en-GB"/>
        </w:rPr>
        <w:t>(+47 t</w:t>
      </w:r>
      <w:r>
        <w:rPr>
          <w:rFonts w:ascii="Arial" w:eastAsia="Calibri" w:hAnsi="Arial"/>
          <w:sz w:val="16"/>
          <w:szCs w:val="16"/>
          <w:lang w:val="en-GB"/>
        </w:rPr>
        <w:t>housand</w:t>
      </w:r>
      <w:r w:rsidRPr="00773E63">
        <w:rPr>
          <w:rFonts w:ascii="Arial" w:eastAsia="Calibri" w:hAnsi="Arial"/>
          <w:sz w:val="16"/>
          <w:szCs w:val="16"/>
          <w:lang w:val="en-GB"/>
        </w:rPr>
        <w:t>)</w:t>
      </w:r>
      <w:r>
        <w:rPr>
          <w:rFonts w:ascii="Arial" w:eastAsia="Calibri" w:hAnsi="Arial"/>
          <w:sz w:val="16"/>
          <w:szCs w:val="16"/>
          <w:lang w:val="en-GB"/>
        </w:rPr>
        <w:t xml:space="preserve"> and the </w:t>
      </w:r>
      <w:r w:rsidRPr="00773E63">
        <w:rPr>
          <w:rFonts w:ascii="Arial" w:eastAsia="Calibri" w:hAnsi="Arial"/>
          <w:sz w:val="16"/>
          <w:szCs w:val="16"/>
          <w:lang w:val="en-GB"/>
        </w:rPr>
        <w:t>USA (+37 t</w:t>
      </w:r>
      <w:r>
        <w:rPr>
          <w:rFonts w:ascii="Arial" w:eastAsia="Calibri" w:hAnsi="Arial"/>
          <w:sz w:val="16"/>
          <w:szCs w:val="16"/>
          <w:lang w:val="en-GB"/>
        </w:rPr>
        <w:t>housand</w:t>
      </w:r>
      <w:r w:rsidRPr="00773E63">
        <w:rPr>
          <w:rFonts w:ascii="Arial" w:eastAsia="Calibri" w:hAnsi="Arial"/>
          <w:sz w:val="16"/>
          <w:szCs w:val="16"/>
          <w:lang w:val="en-GB"/>
        </w:rPr>
        <w:t>)</w:t>
      </w:r>
      <w:r>
        <w:rPr>
          <w:rFonts w:ascii="Arial" w:eastAsia="Calibri" w:hAnsi="Arial"/>
          <w:sz w:val="16"/>
          <w:szCs w:val="16"/>
          <w:lang w:val="en-GB"/>
        </w:rPr>
        <w:t xml:space="preserve"> added the most to the year-on-year growth of visits in Q2</w:t>
      </w:r>
      <w:r w:rsidR="00B117D9">
        <w:rPr>
          <w:rFonts w:ascii="Arial" w:eastAsia="Calibri" w:hAnsi="Arial"/>
          <w:sz w:val="16"/>
          <w:szCs w:val="16"/>
          <w:lang w:val="en-GB"/>
        </w:rPr>
        <w:t xml:space="preserve"> 2023</w:t>
      </w:r>
      <w:r w:rsidRPr="00873F9E">
        <w:rPr>
          <w:rFonts w:ascii="Arial" w:eastAsia="Calibri" w:hAnsi="Arial"/>
          <w:sz w:val="16"/>
          <w:szCs w:val="16"/>
          <w:lang w:val="en-GB"/>
        </w:rPr>
        <w:t>.</w:t>
      </w:r>
      <w:r>
        <w:rPr>
          <w:rFonts w:ascii="Arial" w:eastAsia="Calibri" w:hAnsi="Arial"/>
          <w:sz w:val="16"/>
          <w:szCs w:val="16"/>
          <w:lang w:val="en-GB"/>
        </w:rPr>
        <w:t xml:space="preserve"> Preparations or rather opening </w:t>
      </w:r>
      <w:r w:rsidRPr="00873F9E">
        <w:rPr>
          <w:rFonts w:ascii="Arial" w:eastAsia="Calibri" w:hAnsi="Arial"/>
          <w:sz w:val="16"/>
          <w:szCs w:val="16"/>
          <w:lang w:val="en-GB"/>
        </w:rPr>
        <w:t>of new</w:t>
      </w:r>
      <w:r>
        <w:rPr>
          <w:rFonts w:ascii="Arial" w:eastAsia="Calibri" w:hAnsi="Arial"/>
          <w:sz w:val="16"/>
          <w:szCs w:val="16"/>
          <w:lang w:val="en-GB"/>
        </w:rPr>
        <w:t xml:space="preserve"> direct flights to Prague </w:t>
      </w:r>
      <w:r w:rsidRPr="00773E63">
        <w:rPr>
          <w:rFonts w:ascii="Arial" w:eastAsia="Calibri" w:hAnsi="Arial"/>
          <w:sz w:val="16"/>
          <w:szCs w:val="16"/>
          <w:lang w:val="en-GB"/>
        </w:rPr>
        <w:t>(</w:t>
      </w:r>
      <w:r>
        <w:rPr>
          <w:rFonts w:ascii="Arial" w:eastAsia="Calibri" w:hAnsi="Arial"/>
          <w:sz w:val="16"/>
          <w:szCs w:val="16"/>
          <w:lang w:val="en-GB"/>
        </w:rPr>
        <w:t>from Seoul, Taipei</w:t>
      </w:r>
      <w:r w:rsidRPr="00773E63">
        <w:rPr>
          <w:rFonts w:ascii="Arial" w:eastAsia="Calibri" w:hAnsi="Arial"/>
          <w:sz w:val="16"/>
          <w:szCs w:val="16"/>
          <w:lang w:val="en-GB"/>
        </w:rPr>
        <w:t>)</w:t>
      </w:r>
      <w:r>
        <w:rPr>
          <w:rFonts w:ascii="Arial" w:eastAsia="Calibri" w:hAnsi="Arial"/>
          <w:sz w:val="16"/>
          <w:szCs w:val="16"/>
          <w:lang w:val="en-GB"/>
        </w:rPr>
        <w:t xml:space="preserve"> assisted to the restoration of ties to the more distant states</w:t>
      </w:r>
      <w:r w:rsidRPr="00773E63">
        <w:rPr>
          <w:rFonts w:ascii="Arial" w:eastAsia="Calibri" w:hAnsi="Arial"/>
          <w:sz w:val="16"/>
          <w:szCs w:val="16"/>
          <w:lang w:val="en-GB"/>
        </w:rPr>
        <w:t xml:space="preserve">. </w:t>
      </w:r>
      <w:r>
        <w:rPr>
          <w:rFonts w:ascii="Arial" w:eastAsia="Calibri" w:hAnsi="Arial"/>
          <w:sz w:val="16"/>
          <w:szCs w:val="16"/>
          <w:lang w:val="en-GB"/>
        </w:rPr>
        <w:t>On the contrary, only minimal relations in tourism prevailed in Russia</w:t>
      </w:r>
      <w:r w:rsidRPr="00773E63">
        <w:rPr>
          <w:rFonts w:ascii="Arial" w:eastAsia="Calibri" w:hAnsi="Arial"/>
          <w:sz w:val="16"/>
          <w:szCs w:val="16"/>
          <w:lang w:val="en-GB"/>
        </w:rPr>
        <w:t xml:space="preserve">, </w:t>
      </w:r>
      <w:r>
        <w:rPr>
          <w:rFonts w:ascii="Arial" w:eastAsia="Calibri" w:hAnsi="Arial"/>
          <w:sz w:val="16"/>
          <w:szCs w:val="16"/>
          <w:lang w:val="en-GB"/>
        </w:rPr>
        <w:t xml:space="preserve">deteriorated geopolitical situation was presumably reflected also in the year-on-year decrease of the number of guests at accommodation from Israel </w:t>
      </w:r>
      <w:r w:rsidRPr="00773E63">
        <w:rPr>
          <w:rFonts w:ascii="Arial" w:eastAsia="Calibri" w:hAnsi="Arial"/>
          <w:sz w:val="16"/>
          <w:szCs w:val="16"/>
          <w:lang w:val="en-GB"/>
        </w:rPr>
        <w:t xml:space="preserve">(−10%). </w:t>
      </w:r>
      <w:r>
        <w:rPr>
          <w:rFonts w:ascii="Arial" w:eastAsia="Calibri" w:hAnsi="Arial"/>
          <w:sz w:val="16"/>
          <w:szCs w:val="16"/>
          <w:lang w:val="en-GB"/>
        </w:rPr>
        <w:t>Compared to Q</w:t>
      </w:r>
      <w:r w:rsidRPr="00773E63">
        <w:rPr>
          <w:rFonts w:ascii="Arial" w:eastAsia="Calibri" w:hAnsi="Arial"/>
          <w:sz w:val="16"/>
          <w:szCs w:val="16"/>
          <w:lang w:val="en-GB"/>
        </w:rPr>
        <w:t>2</w:t>
      </w:r>
      <w:r>
        <w:rPr>
          <w:rFonts w:ascii="Arial" w:eastAsia="Calibri" w:hAnsi="Arial"/>
          <w:sz w:val="16"/>
          <w:szCs w:val="16"/>
          <w:lang w:val="en-GB"/>
        </w:rPr>
        <w:t xml:space="preserve"> </w:t>
      </w:r>
      <w:r w:rsidRPr="00773E63">
        <w:rPr>
          <w:rFonts w:ascii="Arial" w:eastAsia="Calibri" w:hAnsi="Arial"/>
          <w:sz w:val="16"/>
          <w:szCs w:val="16"/>
          <w:lang w:val="en-GB"/>
        </w:rPr>
        <w:t>2019</w:t>
      </w:r>
      <w:r>
        <w:rPr>
          <w:rFonts w:ascii="Arial" w:eastAsia="Calibri" w:hAnsi="Arial"/>
          <w:sz w:val="16"/>
          <w:szCs w:val="16"/>
          <w:lang w:val="en-GB"/>
        </w:rPr>
        <w:t xml:space="preserve">, notably more guests arrived in the CR from all neighbouring states </w:t>
      </w:r>
      <w:r w:rsidRPr="00773E63">
        <w:rPr>
          <w:rFonts w:ascii="Arial" w:eastAsia="Calibri" w:hAnsi="Arial"/>
          <w:sz w:val="16"/>
          <w:szCs w:val="16"/>
          <w:lang w:val="en-GB"/>
        </w:rPr>
        <w:t>(</w:t>
      </w:r>
      <w:r>
        <w:rPr>
          <w:rFonts w:ascii="Arial" w:eastAsia="Calibri" w:hAnsi="Arial"/>
          <w:sz w:val="16"/>
          <w:szCs w:val="16"/>
          <w:lang w:val="en-GB"/>
        </w:rPr>
        <w:t>even nearly by 20% from Slovakia</w:t>
      </w:r>
      <w:r w:rsidRPr="00773E63">
        <w:rPr>
          <w:rFonts w:ascii="Arial" w:eastAsia="Calibri" w:hAnsi="Arial"/>
          <w:sz w:val="16"/>
          <w:szCs w:val="16"/>
          <w:lang w:val="en-GB"/>
        </w:rPr>
        <w:t xml:space="preserve">), </w:t>
      </w:r>
      <w:r>
        <w:rPr>
          <w:rFonts w:ascii="Arial" w:eastAsia="Calibri" w:hAnsi="Arial"/>
          <w:sz w:val="16"/>
          <w:szCs w:val="16"/>
          <w:lang w:val="en-GB"/>
        </w:rPr>
        <w:t xml:space="preserve">among other more significant partner countries </w:t>
      </w:r>
      <w:r w:rsidRPr="00773E63">
        <w:rPr>
          <w:rFonts w:ascii="Arial" w:eastAsia="Calibri" w:hAnsi="Arial"/>
          <w:sz w:val="16"/>
          <w:szCs w:val="16"/>
          <w:lang w:val="en-GB"/>
        </w:rPr>
        <w:t xml:space="preserve">(top 30 </w:t>
      </w:r>
      <w:r>
        <w:rPr>
          <w:rFonts w:ascii="Arial" w:eastAsia="Calibri" w:hAnsi="Arial"/>
          <w:sz w:val="16"/>
          <w:szCs w:val="16"/>
          <w:lang w:val="en-GB"/>
        </w:rPr>
        <w:t xml:space="preserve">from year </w:t>
      </w:r>
      <w:r w:rsidRPr="00773E63">
        <w:rPr>
          <w:rFonts w:ascii="Arial" w:eastAsia="Calibri" w:hAnsi="Arial"/>
          <w:sz w:val="16"/>
          <w:szCs w:val="16"/>
          <w:lang w:val="en-GB"/>
        </w:rPr>
        <w:t xml:space="preserve">2019) </w:t>
      </w:r>
      <w:r>
        <w:rPr>
          <w:rFonts w:ascii="Arial" w:eastAsia="Calibri" w:hAnsi="Arial"/>
          <w:sz w:val="16"/>
          <w:szCs w:val="16"/>
          <w:lang w:val="en-GB"/>
        </w:rPr>
        <w:t>nevertheless only from the Netherlands</w:t>
      </w:r>
      <w:r w:rsidRPr="00773E63">
        <w:rPr>
          <w:rFonts w:ascii="Arial" w:eastAsia="Calibri" w:hAnsi="Arial"/>
          <w:sz w:val="16"/>
          <w:szCs w:val="16"/>
          <w:lang w:val="en-GB"/>
        </w:rPr>
        <w:t>.</w:t>
      </w:r>
    </w:p>
  </w:footnote>
  <w:footnote w:id="37">
    <w:p w14:paraId="341A97B4" w14:textId="649A1F31" w:rsidR="008C5AA7" w:rsidRPr="00D0544B" w:rsidRDefault="008C5AA7" w:rsidP="00C008FE">
      <w:pPr>
        <w:pStyle w:val="Textpoznpodarou"/>
        <w:jc w:val="both"/>
        <w:rPr>
          <w:sz w:val="16"/>
          <w:szCs w:val="16"/>
          <w:lang w:val="en-GB"/>
        </w:rPr>
      </w:pPr>
      <w:r w:rsidRPr="00880DA8">
        <w:rPr>
          <w:rStyle w:val="Znakapoznpodarou"/>
          <w:sz w:val="16"/>
          <w:szCs w:val="16"/>
        </w:rPr>
        <w:footnoteRef/>
      </w:r>
      <w:r w:rsidRPr="00880DA8">
        <w:rPr>
          <w:sz w:val="16"/>
          <w:szCs w:val="16"/>
        </w:rPr>
        <w:t xml:space="preserve"> </w:t>
      </w:r>
      <w:r w:rsidRPr="00C008FE">
        <w:rPr>
          <w:sz w:val="16"/>
          <w:szCs w:val="16"/>
          <w:lang w:val="en-GB"/>
        </w:rPr>
        <w:t>These consist of activities linked to the data processing and hosting, area of web portals and further news press offices as well as agencies.</w:t>
      </w:r>
    </w:p>
  </w:footnote>
  <w:footnote w:id="38">
    <w:p w14:paraId="7B3AAA55" w14:textId="2D9C8BFD" w:rsidR="008C5AA7" w:rsidRPr="00D0544B" w:rsidRDefault="008C5AA7" w:rsidP="00D0544B">
      <w:pPr>
        <w:pStyle w:val="Textpoznpodarou"/>
        <w:jc w:val="both"/>
        <w:rPr>
          <w:lang w:val="en-GB"/>
        </w:rPr>
      </w:pPr>
      <w:r w:rsidRPr="00D0544B">
        <w:rPr>
          <w:rStyle w:val="Znakapoznpodarou"/>
          <w:sz w:val="16"/>
          <w:szCs w:val="16"/>
          <w:lang w:val="en-GB"/>
        </w:rPr>
        <w:footnoteRef/>
      </w:r>
      <w:r w:rsidRPr="00D0544B">
        <w:rPr>
          <w:sz w:val="16"/>
          <w:szCs w:val="16"/>
          <w:lang w:val="en-GB"/>
        </w:rPr>
        <w:t xml:space="preserve"> </w:t>
      </w:r>
      <w:r w:rsidRPr="003B0067">
        <w:rPr>
          <w:sz w:val="16"/>
          <w:szCs w:val="16"/>
          <w:lang w:val="en-GB"/>
        </w:rPr>
        <w:t xml:space="preserve">Segment of motion picture distribution </w:t>
      </w:r>
      <w:r>
        <w:rPr>
          <w:sz w:val="16"/>
          <w:szCs w:val="16"/>
          <w:lang w:val="en-GB"/>
        </w:rPr>
        <w:t xml:space="preserve">thrived slightly more. According to the figures </w:t>
      </w:r>
      <w:r w:rsidRPr="003B0067">
        <w:rPr>
          <w:sz w:val="16"/>
          <w:szCs w:val="16"/>
          <w:lang w:val="en-GB"/>
        </w:rPr>
        <w:t>f</w:t>
      </w:r>
      <w:r>
        <w:rPr>
          <w:sz w:val="16"/>
          <w:szCs w:val="16"/>
          <w:lang w:val="en-GB"/>
        </w:rPr>
        <w:t xml:space="preserve">rom </w:t>
      </w:r>
      <w:r w:rsidRPr="003B0067">
        <w:rPr>
          <w:sz w:val="16"/>
          <w:szCs w:val="16"/>
          <w:lang w:val="en-GB"/>
        </w:rPr>
        <w:t>the Union of Motion Picture Distributors</w:t>
      </w:r>
      <w:r>
        <w:rPr>
          <w:sz w:val="16"/>
          <w:szCs w:val="16"/>
          <w:lang w:val="en-GB"/>
        </w:rPr>
        <w:t xml:space="preserve"> the gross nominal sales of the domestic cinema o</w:t>
      </w:r>
      <w:r w:rsidR="00B117D9">
        <w:rPr>
          <w:sz w:val="16"/>
          <w:szCs w:val="16"/>
          <w:lang w:val="en-GB"/>
        </w:rPr>
        <w:t>perators increased by</w:t>
      </w:r>
      <w:r>
        <w:rPr>
          <w:sz w:val="16"/>
          <w:szCs w:val="16"/>
          <w:lang w:val="en-GB"/>
        </w:rPr>
        <w:t xml:space="preserve"> 2% year-on-year in H1 2023. Total attendance however owing to weaker this </w:t>
      </w:r>
      <w:r w:rsidRPr="00F16DE3">
        <w:rPr>
          <w:sz w:val="16"/>
          <w:szCs w:val="16"/>
          <w:lang w:val="en-GB"/>
        </w:rPr>
        <w:t>year’s results in Q2 fell by 6.1% for the entire H1</w:t>
      </w:r>
      <w:r>
        <w:rPr>
          <w:sz w:val="16"/>
          <w:szCs w:val="16"/>
          <w:lang w:val="en-GB"/>
        </w:rPr>
        <w:t xml:space="preserve">. Nearly one third of audience was missing and the sales lagged by nearly one fifth this year </w:t>
      </w:r>
      <w:r w:rsidRPr="00D0544B">
        <w:rPr>
          <w:spacing w:val="-3"/>
          <w:sz w:val="16"/>
          <w:szCs w:val="16"/>
          <w:lang w:val="en-GB"/>
        </w:rPr>
        <w:t>(</w:t>
      </w:r>
      <w:r>
        <w:rPr>
          <w:spacing w:val="-3"/>
          <w:sz w:val="16"/>
          <w:szCs w:val="16"/>
          <w:lang w:val="en-GB"/>
        </w:rPr>
        <w:t xml:space="preserve">however the number of shows was lower only by less than </w:t>
      </w:r>
      <w:r w:rsidRPr="00D0544B">
        <w:rPr>
          <w:spacing w:val="-3"/>
          <w:sz w:val="16"/>
          <w:szCs w:val="16"/>
          <w:lang w:val="en-GB"/>
        </w:rPr>
        <w:t>7%)</w:t>
      </w:r>
      <w:r>
        <w:rPr>
          <w:spacing w:val="-3"/>
          <w:sz w:val="16"/>
          <w:szCs w:val="16"/>
          <w:lang w:val="en-GB"/>
        </w:rPr>
        <w:t xml:space="preserve"> in comparison to record year 2019</w:t>
      </w:r>
      <w:r w:rsidRPr="00D0544B">
        <w:rPr>
          <w:spacing w:val="-3"/>
          <w:sz w:val="16"/>
          <w:szCs w:val="16"/>
          <w:lang w:val="en-GB"/>
        </w:rPr>
        <w:t>.</w:t>
      </w:r>
    </w:p>
  </w:footnote>
  <w:footnote w:id="39">
    <w:p w14:paraId="14A565D5" w14:textId="10F5CD74" w:rsidR="008C5AA7" w:rsidRPr="005235FD" w:rsidRDefault="008C5AA7" w:rsidP="005235FD">
      <w:pPr>
        <w:spacing w:after="0" w:line="240" w:lineRule="auto"/>
        <w:rPr>
          <w:spacing w:val="-2"/>
          <w:lang w:val="en-GB"/>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w:t>
      </w:r>
      <w:r w:rsidRPr="005235FD">
        <w:rPr>
          <w:color w:val="0D0D0D" w:themeColor="text1" w:themeTint="F2"/>
          <w:sz w:val="16"/>
          <w:szCs w:val="16"/>
          <w:lang w:val="en-GB"/>
        </w:rPr>
        <w:t>All year-on-year rates of growth of retail sales are stated in constant prices and adjusted for calendar effects, quarter-on-quarter as well as month-on-month rates are adjusted for seasonal effects (including the number of working days). Retail includes branch CZ</w:t>
      </w:r>
      <w:r w:rsidRPr="005235FD">
        <w:rPr>
          <w:color w:val="0D0D0D" w:themeColor="text1" w:themeTint="F2"/>
          <w:sz w:val="16"/>
          <w:szCs w:val="16"/>
          <w:lang w:val="en-GB"/>
        </w:rPr>
        <w:noBreakHyphen/>
        <w:t>NACE 47.</w:t>
      </w:r>
    </w:p>
  </w:footnote>
  <w:footnote w:id="40">
    <w:p w14:paraId="28406609" w14:textId="4F981AE0" w:rsidR="008C5AA7" w:rsidRPr="009D164D" w:rsidRDefault="008C5AA7" w:rsidP="005235FD">
      <w:pPr>
        <w:pStyle w:val="Textpoznpodarou"/>
        <w:jc w:val="both"/>
        <w:rPr>
          <w:sz w:val="16"/>
          <w:szCs w:val="16"/>
          <w:lang w:val="en-GB"/>
        </w:rPr>
      </w:pPr>
      <w:r w:rsidRPr="005235FD">
        <w:rPr>
          <w:rStyle w:val="Znakapoznpodarou"/>
          <w:sz w:val="16"/>
          <w:szCs w:val="16"/>
          <w:lang w:val="en-GB"/>
        </w:rPr>
        <w:footnoteRef/>
      </w:r>
      <w:r w:rsidRPr="005235FD">
        <w:rPr>
          <w:sz w:val="16"/>
          <w:szCs w:val="16"/>
          <w:lang w:val="en-GB"/>
        </w:rPr>
        <w:t xml:space="preserve"> </w:t>
      </w:r>
      <w:r w:rsidRPr="009D164D">
        <w:rPr>
          <w:sz w:val="16"/>
          <w:szCs w:val="16"/>
          <w:lang w:val="en-GB"/>
        </w:rPr>
        <w:t>It reached the highest value since the crisis year last year in October.</w:t>
      </w:r>
      <w:r>
        <w:rPr>
          <w:sz w:val="16"/>
          <w:szCs w:val="16"/>
          <w:lang w:val="en-GB"/>
        </w:rPr>
        <w:t xml:space="preserve"> The household confidence gradually increased in the subsequent months also in connection to the improvement of accessibility and price development of key energy commodities in Europe. The pessimism of consumers thus attained practically the lowest level since the beginning of the Russian invasion to Ukraine this year in July</w:t>
      </w:r>
      <w:r w:rsidRPr="009D164D">
        <w:rPr>
          <w:sz w:val="16"/>
          <w:szCs w:val="16"/>
          <w:lang w:val="en-GB"/>
        </w:rPr>
        <w:t xml:space="preserve">. </w:t>
      </w:r>
    </w:p>
  </w:footnote>
  <w:footnote w:id="41">
    <w:p w14:paraId="49972FF3" w14:textId="027B9251" w:rsidR="008C5AA7" w:rsidRPr="005235FD" w:rsidRDefault="008C5AA7" w:rsidP="005235FD">
      <w:pPr>
        <w:pStyle w:val="Textpoznpodarou"/>
        <w:jc w:val="both"/>
        <w:rPr>
          <w:sz w:val="16"/>
          <w:szCs w:val="16"/>
          <w:lang w:val="en-GB"/>
        </w:rPr>
      </w:pPr>
      <w:r w:rsidRPr="009D164D">
        <w:rPr>
          <w:rStyle w:val="Znakapoznpodarou"/>
          <w:sz w:val="16"/>
          <w:szCs w:val="16"/>
          <w:lang w:val="en-GB"/>
        </w:rPr>
        <w:footnoteRef/>
      </w:r>
      <w:r w:rsidRPr="009D164D">
        <w:rPr>
          <w:sz w:val="16"/>
          <w:szCs w:val="16"/>
          <w:lang w:val="en-GB"/>
        </w:rPr>
        <w:t xml:space="preserve"> </w:t>
      </w:r>
      <w:r>
        <w:rPr>
          <w:sz w:val="16"/>
          <w:szCs w:val="16"/>
          <w:lang w:val="en-GB"/>
        </w:rPr>
        <w:t xml:space="preserve">If we do not regard the period of pandemic economic shutdowns, the current confidence in trade was the lowest since the half of year </w:t>
      </w:r>
      <w:r w:rsidRPr="009D164D">
        <w:rPr>
          <w:sz w:val="16"/>
          <w:szCs w:val="16"/>
          <w:lang w:val="en-GB"/>
        </w:rPr>
        <w:t>2013.</w:t>
      </w:r>
    </w:p>
  </w:footnote>
  <w:footnote w:id="42">
    <w:p w14:paraId="04F54C47" w14:textId="02BDCC6B" w:rsidR="008C5AA7" w:rsidRPr="000A6546" w:rsidRDefault="008C5AA7" w:rsidP="000A6546">
      <w:pPr>
        <w:pStyle w:val="Textpoznpodarou"/>
        <w:jc w:val="both"/>
        <w:rPr>
          <w:rFonts w:cs="Arial"/>
          <w:i/>
          <w:iCs/>
          <w:sz w:val="16"/>
          <w:szCs w:val="16"/>
          <w:lang w:val="en-GB"/>
        </w:rPr>
      </w:pPr>
      <w:r w:rsidRPr="00441515">
        <w:rPr>
          <w:rStyle w:val="Znakapoznpodarou"/>
          <w:rFonts w:cs="Arial"/>
          <w:sz w:val="16"/>
          <w:szCs w:val="16"/>
        </w:rPr>
        <w:footnoteRef/>
      </w:r>
      <w:r>
        <w:rPr>
          <w:rFonts w:cs="Arial"/>
          <w:i/>
          <w:iCs/>
          <w:sz w:val="16"/>
          <w:szCs w:val="16"/>
        </w:rPr>
        <w:t xml:space="preserve"> </w:t>
      </w:r>
      <w:r>
        <w:rPr>
          <w:rStyle w:val="Zdraznn"/>
          <w:rFonts w:cs="Arial"/>
          <w:i w:val="0"/>
          <w:iCs w:val="0"/>
          <w:color w:val="333333"/>
          <w:sz w:val="16"/>
          <w:szCs w:val="16"/>
          <w:bdr w:val="none" w:sz="0" w:space="0" w:color="auto" w:frame="1"/>
          <w:shd w:val="clear" w:color="auto" w:fill="FFFFFF"/>
          <w:lang w:val="en-GB"/>
        </w:rPr>
        <w:t>Data for foreign trade with goods are recalculated using the updated method based on higher rate of detail since year 2020</w:t>
      </w:r>
      <w:r w:rsidRPr="000A6546">
        <w:rPr>
          <w:rStyle w:val="Zdraznn"/>
          <w:rFonts w:cs="Arial"/>
          <w:i w:val="0"/>
          <w:iCs w:val="0"/>
          <w:color w:val="333333"/>
          <w:sz w:val="16"/>
          <w:szCs w:val="16"/>
          <w:bdr w:val="none" w:sz="0" w:space="0" w:color="auto" w:frame="1"/>
          <w:shd w:val="clear" w:color="auto" w:fill="FFFFFF"/>
          <w:lang w:val="en-GB"/>
        </w:rPr>
        <w:t>,</w:t>
      </w:r>
      <w:r>
        <w:rPr>
          <w:rStyle w:val="Zdraznn"/>
          <w:rFonts w:cs="Arial"/>
          <w:i w:val="0"/>
          <w:iCs w:val="0"/>
          <w:color w:val="333333"/>
          <w:sz w:val="16"/>
          <w:szCs w:val="16"/>
          <w:bdr w:val="none" w:sz="0" w:space="0" w:color="auto" w:frame="1"/>
          <w:shd w:val="clear" w:color="auto" w:fill="FFFFFF"/>
          <w:lang w:val="en-GB"/>
        </w:rPr>
        <w:t xml:space="preserve"> see </w:t>
      </w:r>
      <w:hyperlink r:id="rId1" w:history="1">
        <w:r w:rsidRPr="000A6546">
          <w:rPr>
            <w:rStyle w:val="Hypertextovodkaz"/>
            <w:rFonts w:cs="Arial"/>
            <w:sz w:val="16"/>
            <w:szCs w:val="16"/>
            <w:bdr w:val="none" w:sz="0" w:space="0" w:color="auto" w:frame="1"/>
            <w:shd w:val="clear" w:color="auto" w:fill="FFFFFF"/>
            <w:lang w:val="en-GB"/>
          </w:rPr>
          <w:t>https://www.czso.cz/csu/czso/aktualizace-metody-propoctu-zahranicni-obchod-se-zbozim</w:t>
        </w:r>
      </w:hyperlink>
      <w:r w:rsidRPr="000A6546">
        <w:rPr>
          <w:rStyle w:val="Hypertextovodkaz"/>
          <w:rFonts w:cs="Arial"/>
          <w:sz w:val="16"/>
          <w:szCs w:val="16"/>
          <w:bdr w:val="none" w:sz="0" w:space="0" w:color="auto" w:frame="1"/>
          <w:shd w:val="clear" w:color="auto" w:fill="FFFFFF"/>
          <w:lang w:val="en-GB"/>
        </w:rPr>
        <w:t xml:space="preserve">. </w:t>
      </w:r>
      <w:r>
        <w:rPr>
          <w:sz w:val="16"/>
          <w:szCs w:val="16"/>
          <w:lang w:val="en-GB"/>
        </w:rPr>
        <w:t xml:space="preserve">Unless stated otherwise, all figures are without seasonal adjustment and in current prices. </w:t>
      </w:r>
    </w:p>
  </w:footnote>
  <w:footnote w:id="43">
    <w:p w14:paraId="517C0088" w14:textId="5C4BB03E"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Prices of export of goods were raised by 1.8% year-on-year in Q</w:t>
      </w:r>
      <w:r w:rsidRPr="000A6546">
        <w:rPr>
          <w:sz w:val="16"/>
          <w:szCs w:val="16"/>
          <w:lang w:val="en-GB"/>
        </w:rPr>
        <w:t>2</w:t>
      </w:r>
      <w:r>
        <w:rPr>
          <w:sz w:val="16"/>
          <w:szCs w:val="16"/>
          <w:lang w:val="en-GB"/>
        </w:rPr>
        <w:t xml:space="preserve"> </w:t>
      </w:r>
      <w:r w:rsidRPr="000A6546">
        <w:rPr>
          <w:sz w:val="16"/>
          <w:szCs w:val="16"/>
          <w:lang w:val="en-GB"/>
        </w:rPr>
        <w:t>2023</w:t>
      </w:r>
      <w:r>
        <w:rPr>
          <w:sz w:val="16"/>
          <w:szCs w:val="16"/>
          <w:lang w:val="en-GB"/>
        </w:rPr>
        <w:t xml:space="preserve"> and fell by </w:t>
      </w:r>
      <w:r w:rsidRPr="000A6546">
        <w:rPr>
          <w:sz w:val="16"/>
          <w:szCs w:val="16"/>
          <w:lang w:val="en-GB"/>
        </w:rPr>
        <w:t>22%</w:t>
      </w:r>
      <w:r>
        <w:rPr>
          <w:sz w:val="16"/>
          <w:szCs w:val="16"/>
          <w:lang w:val="en-GB"/>
        </w:rPr>
        <w:t xml:space="preserve"> quarter-on-quarter</w:t>
      </w:r>
      <w:r w:rsidRPr="000A6546">
        <w:rPr>
          <w:sz w:val="16"/>
          <w:szCs w:val="16"/>
          <w:lang w:val="en-GB"/>
        </w:rPr>
        <w:t xml:space="preserve">. </w:t>
      </w:r>
    </w:p>
  </w:footnote>
  <w:footnote w:id="44">
    <w:p w14:paraId="1D2D38DA" w14:textId="00876C71"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 xml:space="preserve">Export to our nearest neighbours was considerably influenced by the decrease of price of electricity. In case of Germany, the value of export of electricity, gas, steam and air conditioning slumped by </w:t>
      </w:r>
      <w:r w:rsidRPr="000A6546">
        <w:rPr>
          <w:sz w:val="16"/>
          <w:szCs w:val="16"/>
          <w:lang w:val="en-GB"/>
        </w:rPr>
        <w:t>4</w:t>
      </w:r>
      <w:r>
        <w:rPr>
          <w:sz w:val="16"/>
          <w:szCs w:val="16"/>
          <w:lang w:val="en-GB"/>
        </w:rPr>
        <w:t>.</w:t>
      </w:r>
      <w:r w:rsidRPr="000A6546">
        <w:rPr>
          <w:sz w:val="16"/>
          <w:szCs w:val="16"/>
          <w:lang w:val="en-GB"/>
        </w:rPr>
        <w:t>8</w:t>
      </w:r>
      <w:r>
        <w:rPr>
          <w:sz w:val="16"/>
          <w:szCs w:val="16"/>
          <w:lang w:val="en-GB"/>
        </w:rPr>
        <w:t xml:space="preserve"> CZK bn and the export of products associated with waste collection was by </w:t>
      </w:r>
      <w:r w:rsidRPr="000A6546">
        <w:rPr>
          <w:sz w:val="16"/>
          <w:szCs w:val="16"/>
          <w:lang w:val="en-GB"/>
        </w:rPr>
        <w:t>2</w:t>
      </w:r>
      <w:r>
        <w:rPr>
          <w:sz w:val="16"/>
          <w:szCs w:val="16"/>
          <w:lang w:val="en-GB"/>
        </w:rPr>
        <w:t>.</w:t>
      </w:r>
      <w:r w:rsidRPr="000A6546">
        <w:rPr>
          <w:sz w:val="16"/>
          <w:szCs w:val="16"/>
          <w:lang w:val="en-GB"/>
        </w:rPr>
        <w:t>1</w:t>
      </w:r>
      <w:r>
        <w:rPr>
          <w:sz w:val="16"/>
          <w:szCs w:val="16"/>
          <w:lang w:val="en-GB"/>
        </w:rPr>
        <w:t xml:space="preserve"> bn lower in Q2</w:t>
      </w:r>
      <w:r w:rsidRPr="000A6546">
        <w:rPr>
          <w:sz w:val="16"/>
          <w:szCs w:val="16"/>
          <w:lang w:val="en-GB"/>
        </w:rPr>
        <w:t xml:space="preserve">. Export </w:t>
      </w:r>
      <w:r>
        <w:rPr>
          <w:sz w:val="16"/>
          <w:szCs w:val="16"/>
          <w:lang w:val="en-GB"/>
        </w:rPr>
        <w:t xml:space="preserve">of electricity to Slovakia slumped by </w:t>
      </w:r>
      <w:r w:rsidRPr="000A6546">
        <w:rPr>
          <w:sz w:val="16"/>
          <w:szCs w:val="16"/>
          <w:lang w:val="en-GB"/>
        </w:rPr>
        <w:t>8</w:t>
      </w:r>
      <w:r>
        <w:rPr>
          <w:sz w:val="16"/>
          <w:szCs w:val="16"/>
          <w:lang w:val="en-GB"/>
        </w:rPr>
        <w:t>.</w:t>
      </w:r>
      <w:r w:rsidRPr="000A6546">
        <w:rPr>
          <w:sz w:val="16"/>
          <w:szCs w:val="16"/>
          <w:lang w:val="en-GB"/>
        </w:rPr>
        <w:t>0</w:t>
      </w:r>
      <w:r>
        <w:rPr>
          <w:sz w:val="16"/>
          <w:szCs w:val="16"/>
          <w:lang w:val="en-GB"/>
        </w:rPr>
        <w:t xml:space="preserve"> CZK bn and it was joined by the lowering of export of oil and natural gas by </w:t>
      </w:r>
      <w:r w:rsidRPr="000A6546">
        <w:rPr>
          <w:sz w:val="16"/>
          <w:szCs w:val="16"/>
          <w:lang w:val="en-GB"/>
        </w:rPr>
        <w:t>5</w:t>
      </w:r>
      <w:r>
        <w:rPr>
          <w:sz w:val="16"/>
          <w:szCs w:val="16"/>
          <w:lang w:val="en-GB"/>
        </w:rPr>
        <w:t>.</w:t>
      </w:r>
      <w:r w:rsidRPr="000A6546">
        <w:rPr>
          <w:sz w:val="16"/>
          <w:szCs w:val="16"/>
          <w:lang w:val="en-GB"/>
        </w:rPr>
        <w:t>1</w:t>
      </w:r>
      <w:r>
        <w:rPr>
          <w:sz w:val="16"/>
          <w:szCs w:val="16"/>
          <w:lang w:val="en-GB"/>
        </w:rPr>
        <w:t xml:space="preserve"> bn</w:t>
      </w:r>
      <w:r w:rsidRPr="000A6546">
        <w:rPr>
          <w:sz w:val="16"/>
          <w:szCs w:val="16"/>
          <w:lang w:val="en-GB"/>
        </w:rPr>
        <w:t xml:space="preserve">.  </w:t>
      </w:r>
    </w:p>
  </w:footnote>
  <w:footnote w:id="45">
    <w:p w14:paraId="6AEAB5B2" w14:textId="7912A22C"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 xml:space="preserve">Prices of import of goods fell by </w:t>
      </w:r>
      <w:r w:rsidRPr="000A6546">
        <w:rPr>
          <w:sz w:val="16"/>
          <w:szCs w:val="16"/>
          <w:lang w:val="en-GB"/>
        </w:rPr>
        <w:t>7</w:t>
      </w:r>
      <w:r>
        <w:rPr>
          <w:sz w:val="16"/>
          <w:szCs w:val="16"/>
          <w:lang w:val="en-GB"/>
        </w:rPr>
        <w:t>.</w:t>
      </w:r>
      <w:r w:rsidRPr="000A6546">
        <w:rPr>
          <w:sz w:val="16"/>
          <w:szCs w:val="16"/>
          <w:lang w:val="en-GB"/>
        </w:rPr>
        <w:t>6%</w:t>
      </w:r>
      <w:r>
        <w:rPr>
          <w:sz w:val="16"/>
          <w:szCs w:val="16"/>
          <w:lang w:val="en-GB"/>
        </w:rPr>
        <w:t xml:space="preserve"> year-on-year in Q2 and plunged by </w:t>
      </w:r>
      <w:r w:rsidRPr="000A6546">
        <w:rPr>
          <w:sz w:val="16"/>
          <w:szCs w:val="16"/>
          <w:lang w:val="en-GB"/>
        </w:rPr>
        <w:t>4</w:t>
      </w:r>
      <w:r>
        <w:rPr>
          <w:sz w:val="16"/>
          <w:szCs w:val="16"/>
          <w:lang w:val="en-GB"/>
        </w:rPr>
        <w:t>.</w:t>
      </w:r>
      <w:r w:rsidRPr="000A6546">
        <w:rPr>
          <w:sz w:val="16"/>
          <w:szCs w:val="16"/>
          <w:lang w:val="en-GB"/>
        </w:rPr>
        <w:t>5%</w:t>
      </w:r>
      <w:r>
        <w:rPr>
          <w:sz w:val="16"/>
          <w:szCs w:val="16"/>
          <w:lang w:val="en-GB"/>
        </w:rPr>
        <w:t xml:space="preserve"> quarter-on-quarter</w:t>
      </w:r>
      <w:r w:rsidRPr="000A6546">
        <w:rPr>
          <w:sz w:val="16"/>
          <w:szCs w:val="16"/>
          <w:lang w:val="en-GB"/>
        </w:rPr>
        <w:t xml:space="preserve">. </w:t>
      </w:r>
      <w:r>
        <w:rPr>
          <w:sz w:val="16"/>
          <w:szCs w:val="16"/>
          <w:lang w:val="en-GB"/>
        </w:rPr>
        <w:t>Prices of mineral fuels were lower by 3</w:t>
      </w:r>
      <w:r w:rsidRPr="000A6546">
        <w:rPr>
          <w:sz w:val="16"/>
          <w:szCs w:val="16"/>
          <w:lang w:val="en-GB"/>
        </w:rPr>
        <w:t>2</w:t>
      </w:r>
      <w:r>
        <w:rPr>
          <w:sz w:val="16"/>
          <w:szCs w:val="16"/>
          <w:lang w:val="en-GB"/>
        </w:rPr>
        <w:t>.</w:t>
      </w:r>
      <w:r w:rsidRPr="000A6546">
        <w:rPr>
          <w:sz w:val="16"/>
          <w:szCs w:val="16"/>
          <w:lang w:val="en-GB"/>
        </w:rPr>
        <w:t>0% (</w:t>
      </w:r>
      <w:r>
        <w:rPr>
          <w:sz w:val="16"/>
          <w:szCs w:val="16"/>
          <w:lang w:val="en-GB"/>
        </w:rPr>
        <w:t>mainly oil and oil products, gas and electricity</w:t>
      </w:r>
      <w:r w:rsidRPr="000A6546">
        <w:rPr>
          <w:sz w:val="16"/>
          <w:szCs w:val="16"/>
          <w:lang w:val="en-GB"/>
        </w:rPr>
        <w:t>),</w:t>
      </w:r>
      <w:r>
        <w:rPr>
          <w:sz w:val="16"/>
          <w:szCs w:val="16"/>
          <w:lang w:val="en-GB"/>
        </w:rPr>
        <w:t xml:space="preserve"> other materials by </w:t>
      </w:r>
      <w:r w:rsidRPr="000A6546">
        <w:rPr>
          <w:sz w:val="16"/>
          <w:szCs w:val="16"/>
          <w:lang w:val="en-GB"/>
        </w:rPr>
        <w:t>15</w:t>
      </w:r>
      <w:r>
        <w:rPr>
          <w:sz w:val="16"/>
          <w:szCs w:val="16"/>
          <w:lang w:val="en-GB"/>
        </w:rPr>
        <w:t>.</w:t>
      </w:r>
      <w:r w:rsidRPr="000A6546">
        <w:rPr>
          <w:sz w:val="16"/>
          <w:szCs w:val="16"/>
          <w:lang w:val="en-GB"/>
        </w:rPr>
        <w:t>8% (</w:t>
      </w:r>
      <w:r>
        <w:rPr>
          <w:sz w:val="16"/>
          <w:szCs w:val="16"/>
          <w:lang w:val="en-GB"/>
        </w:rPr>
        <w:t xml:space="preserve">mainly </w:t>
      </w:r>
      <w:r w:rsidRPr="00F17C5C">
        <w:rPr>
          <w:sz w:val="16"/>
          <w:szCs w:val="16"/>
          <w:lang w:val="en-GB"/>
        </w:rPr>
        <w:t xml:space="preserve">metalliferous ores </w:t>
      </w:r>
      <w:r>
        <w:rPr>
          <w:sz w:val="16"/>
          <w:szCs w:val="16"/>
          <w:lang w:val="en-GB"/>
        </w:rPr>
        <w:t>and metallic waste</w:t>
      </w:r>
      <w:r w:rsidRPr="000A6546">
        <w:rPr>
          <w:sz w:val="16"/>
          <w:szCs w:val="16"/>
          <w:lang w:val="en-GB"/>
        </w:rPr>
        <w:t xml:space="preserve">) </w:t>
      </w:r>
      <w:r w:rsidRPr="000A6546">
        <w:rPr>
          <w:sz w:val="16"/>
          <w:szCs w:val="16"/>
          <w:lang w:val="en-GB"/>
        </w:rPr>
        <w:br/>
        <w:t>a</w:t>
      </w:r>
      <w:r>
        <w:rPr>
          <w:sz w:val="16"/>
          <w:szCs w:val="16"/>
          <w:lang w:val="en-GB"/>
        </w:rPr>
        <w:t xml:space="preserve">nd chemicals by </w:t>
      </w:r>
      <w:r w:rsidRPr="000A6546">
        <w:rPr>
          <w:sz w:val="16"/>
          <w:szCs w:val="16"/>
          <w:lang w:val="en-GB"/>
        </w:rPr>
        <w:t>10</w:t>
      </w:r>
      <w:r>
        <w:rPr>
          <w:sz w:val="16"/>
          <w:szCs w:val="16"/>
          <w:lang w:val="en-GB"/>
        </w:rPr>
        <w:t>.</w:t>
      </w:r>
      <w:r w:rsidRPr="000A6546">
        <w:rPr>
          <w:sz w:val="16"/>
          <w:szCs w:val="16"/>
          <w:lang w:val="en-GB"/>
        </w:rPr>
        <w:t>9% (</w:t>
      </w:r>
      <w:r>
        <w:rPr>
          <w:sz w:val="16"/>
          <w:szCs w:val="16"/>
          <w:lang w:val="en-GB"/>
        </w:rPr>
        <w:t>especially plastics)</w:t>
      </w:r>
      <w:r w:rsidRPr="000A6546">
        <w:rPr>
          <w:sz w:val="16"/>
          <w:szCs w:val="16"/>
          <w:lang w:val="en-GB"/>
        </w:rPr>
        <w:t>.</w:t>
      </w:r>
    </w:p>
  </w:footnote>
  <w:footnote w:id="46">
    <w:p w14:paraId="494957D6" w14:textId="0F978B77" w:rsidR="008C5AA7" w:rsidRPr="00286AAC" w:rsidRDefault="008C5AA7" w:rsidP="00674BAC">
      <w:pPr>
        <w:pStyle w:val="Textpoznpodarou"/>
        <w:rPr>
          <w:sz w:val="16"/>
          <w:szCs w:val="16"/>
          <w:lang w:val="en-GB"/>
        </w:rPr>
      </w:pPr>
      <w:r w:rsidRPr="009424B8">
        <w:rPr>
          <w:rStyle w:val="Znakapoznpodarou"/>
          <w:sz w:val="16"/>
          <w:szCs w:val="16"/>
        </w:rPr>
        <w:footnoteRef/>
      </w:r>
      <w:r w:rsidRPr="009424B8">
        <w:rPr>
          <w:sz w:val="16"/>
          <w:szCs w:val="16"/>
        </w:rPr>
        <w:t xml:space="preserve"> </w:t>
      </w:r>
      <w:r w:rsidRPr="00286AAC">
        <w:rPr>
          <w:sz w:val="16"/>
          <w:szCs w:val="16"/>
          <w:lang w:val="en-GB"/>
        </w:rPr>
        <w:t xml:space="preserve">Norway represents a </w:t>
      </w:r>
      <w:r>
        <w:rPr>
          <w:sz w:val="16"/>
          <w:szCs w:val="16"/>
          <w:lang w:val="en-GB"/>
        </w:rPr>
        <w:t>“</w:t>
      </w:r>
      <w:r w:rsidRPr="00286AAC">
        <w:rPr>
          <w:sz w:val="16"/>
          <w:szCs w:val="16"/>
          <w:lang w:val="en-GB"/>
        </w:rPr>
        <w:t>new</w:t>
      </w:r>
      <w:r>
        <w:rPr>
          <w:sz w:val="16"/>
          <w:szCs w:val="16"/>
          <w:lang w:val="en-GB"/>
        </w:rPr>
        <w:t>”</w:t>
      </w:r>
      <w:r w:rsidRPr="00286AAC">
        <w:rPr>
          <w:sz w:val="16"/>
          <w:szCs w:val="16"/>
          <w:lang w:val="en-GB"/>
        </w:rPr>
        <w:t xml:space="preserve"> source of natural gas and substitute for the</w:t>
      </w:r>
      <w:r>
        <w:rPr>
          <w:sz w:val="16"/>
          <w:szCs w:val="16"/>
          <w:lang w:val="en-GB"/>
        </w:rPr>
        <w:t xml:space="preserve"> outage </w:t>
      </w:r>
      <w:r w:rsidRPr="00286AAC">
        <w:rPr>
          <w:sz w:val="16"/>
          <w:szCs w:val="16"/>
          <w:lang w:val="en-GB"/>
        </w:rPr>
        <w:t xml:space="preserve">of import of this commodity from Russia. </w:t>
      </w:r>
    </w:p>
  </w:footnote>
  <w:footnote w:id="47">
    <w:p w14:paraId="471BB2AB" w14:textId="2144B48C" w:rsidR="008C5AA7" w:rsidRPr="00452985" w:rsidRDefault="008C5AA7" w:rsidP="00C152DE">
      <w:pPr>
        <w:pStyle w:val="Textpoznpodarou"/>
        <w:jc w:val="both"/>
        <w:rPr>
          <w:sz w:val="16"/>
          <w:szCs w:val="16"/>
          <w:lang w:val="en-GB"/>
        </w:rPr>
      </w:pPr>
      <w:r w:rsidRPr="008D5381">
        <w:rPr>
          <w:rStyle w:val="Znakapoznpodarou"/>
          <w:sz w:val="16"/>
          <w:szCs w:val="16"/>
        </w:rPr>
        <w:footnoteRef/>
      </w:r>
      <w:r w:rsidRPr="008D5381">
        <w:rPr>
          <w:sz w:val="16"/>
          <w:szCs w:val="16"/>
        </w:rPr>
        <w:t xml:space="preserve"> </w:t>
      </w:r>
      <w:r w:rsidRPr="00C152DE">
        <w:rPr>
          <w:sz w:val="16"/>
          <w:szCs w:val="16"/>
          <w:lang w:val="en-GB"/>
        </w:rPr>
        <w:t>Consumer prices increased by 7.2% between June 2023 and December 2022. In that the majority of the shift can be attributed to January, when</w:t>
      </w:r>
      <w:r>
        <w:rPr>
          <w:sz w:val="16"/>
          <w:szCs w:val="16"/>
          <w:lang w:val="en-GB"/>
        </w:rPr>
        <w:t xml:space="preserve"> the price lists are usually changed and the increase also covered the abolition of the energy tariff this year</w:t>
      </w:r>
      <w:r w:rsidRPr="00C152DE">
        <w:rPr>
          <w:sz w:val="16"/>
          <w:szCs w:val="16"/>
          <w:lang w:val="en-GB"/>
        </w:rPr>
        <w:t xml:space="preserve"> – </w:t>
      </w:r>
      <w:r>
        <w:rPr>
          <w:sz w:val="16"/>
          <w:szCs w:val="16"/>
          <w:lang w:val="en-GB"/>
        </w:rPr>
        <w:t xml:space="preserve">the increase of prices was only </w:t>
      </w:r>
      <w:r w:rsidRPr="00C152DE">
        <w:rPr>
          <w:sz w:val="16"/>
          <w:szCs w:val="16"/>
          <w:lang w:val="en-GB"/>
        </w:rPr>
        <w:t>1</w:t>
      </w:r>
      <w:r>
        <w:rPr>
          <w:sz w:val="16"/>
          <w:szCs w:val="16"/>
          <w:lang w:val="en-GB"/>
        </w:rPr>
        <w:t>.</w:t>
      </w:r>
      <w:r w:rsidRPr="00C152DE">
        <w:rPr>
          <w:sz w:val="16"/>
          <w:szCs w:val="16"/>
          <w:lang w:val="en-GB"/>
        </w:rPr>
        <w:t>2%</w:t>
      </w:r>
      <w:r>
        <w:rPr>
          <w:sz w:val="16"/>
          <w:szCs w:val="16"/>
          <w:lang w:val="en-GB"/>
        </w:rPr>
        <w:t xml:space="preserve"> between this year</w:t>
      </w:r>
      <w:r>
        <w:rPr>
          <w:sz w:val="16"/>
          <w:szCs w:val="16"/>
          <w:lang w:val="en-US"/>
        </w:rPr>
        <w:t>’s June and January</w:t>
      </w:r>
      <w:r w:rsidRPr="00C152DE">
        <w:rPr>
          <w:sz w:val="16"/>
          <w:szCs w:val="16"/>
          <w:lang w:val="en-GB"/>
        </w:rPr>
        <w:t xml:space="preserve">. </w:t>
      </w:r>
      <w:r>
        <w:rPr>
          <w:sz w:val="16"/>
          <w:szCs w:val="16"/>
          <w:lang w:val="en-GB"/>
        </w:rPr>
        <w:t xml:space="preserve">The increase totalled nevertheless 13.2% between June </w:t>
      </w:r>
      <w:r w:rsidRPr="00C152DE">
        <w:rPr>
          <w:sz w:val="16"/>
          <w:szCs w:val="16"/>
          <w:lang w:val="en-GB"/>
        </w:rPr>
        <w:t>2022 a</w:t>
      </w:r>
      <w:r>
        <w:rPr>
          <w:sz w:val="16"/>
          <w:szCs w:val="16"/>
          <w:lang w:val="en-GB"/>
        </w:rPr>
        <w:t>nd December 2</w:t>
      </w:r>
      <w:r w:rsidRPr="00C152DE">
        <w:rPr>
          <w:sz w:val="16"/>
          <w:szCs w:val="16"/>
          <w:lang w:val="en-GB"/>
        </w:rPr>
        <w:t>021</w:t>
      </w:r>
      <w:r>
        <w:rPr>
          <w:sz w:val="16"/>
          <w:szCs w:val="16"/>
          <w:lang w:val="en-GB"/>
        </w:rPr>
        <w:t xml:space="preserve"> </w:t>
      </w:r>
      <w:r w:rsidRPr="00C152DE">
        <w:rPr>
          <w:sz w:val="16"/>
          <w:szCs w:val="16"/>
          <w:lang w:val="en-GB"/>
        </w:rPr>
        <w:t>a</w:t>
      </w:r>
      <w:r>
        <w:rPr>
          <w:sz w:val="16"/>
          <w:szCs w:val="16"/>
          <w:lang w:val="en-GB"/>
        </w:rPr>
        <w:t>nd in that prices increased by 8.3% between June and January</w:t>
      </w:r>
      <w:r w:rsidRPr="00C152DE">
        <w:rPr>
          <w:sz w:val="16"/>
          <w:szCs w:val="16"/>
          <w:lang w:val="en-GB"/>
        </w:rPr>
        <w:t>.</w:t>
      </w:r>
      <w:r w:rsidRPr="00452985">
        <w:rPr>
          <w:sz w:val="16"/>
          <w:szCs w:val="16"/>
          <w:lang w:val="en-GB"/>
        </w:rPr>
        <w:t xml:space="preserve">  </w:t>
      </w:r>
    </w:p>
  </w:footnote>
  <w:footnote w:id="48">
    <w:p w14:paraId="0CA22C48" w14:textId="5FB3A469" w:rsidR="008C5AA7" w:rsidRPr="00114669" w:rsidRDefault="008C5AA7" w:rsidP="00C152DE">
      <w:pPr>
        <w:pStyle w:val="Textpoznpodarou"/>
        <w:jc w:val="both"/>
        <w:rPr>
          <w:sz w:val="16"/>
          <w:szCs w:val="16"/>
        </w:rPr>
      </w:pPr>
      <w:r w:rsidRPr="00452985">
        <w:rPr>
          <w:rStyle w:val="Znakapoznpodarou"/>
          <w:sz w:val="16"/>
          <w:szCs w:val="16"/>
          <w:lang w:val="en-GB"/>
        </w:rPr>
        <w:footnoteRef/>
      </w:r>
      <w:r w:rsidRPr="00452985">
        <w:rPr>
          <w:sz w:val="16"/>
          <w:szCs w:val="16"/>
          <w:lang w:val="en-GB"/>
        </w:rPr>
        <w:t xml:space="preserve"> </w:t>
      </w:r>
      <w:r w:rsidRPr="00A14F4D">
        <w:rPr>
          <w:sz w:val="16"/>
          <w:szCs w:val="16"/>
          <w:lang w:val="en-GB"/>
        </w:rPr>
        <w:t xml:space="preserve">Imputed rent expresses the cost of owner living. Apart from prices of housing themselves, it also contains the cost of construction and renovation and further fees. More at: </w:t>
      </w:r>
      <w:hyperlink r:id="rId2" w:history="1">
        <w:r>
          <w:rPr>
            <w:rStyle w:val="Hypertextovodkaz"/>
            <w:sz w:val="16"/>
            <w:szCs w:val="16"/>
          </w:rPr>
          <w:t>https://www.czso.cz/csu/czso/methodological-note-to-consumer-price-index-imputed-rentals</w:t>
        </w:r>
      </w:hyperlink>
      <w:r>
        <w:rPr>
          <w:rStyle w:val="Hypertextovodkaz"/>
          <w:sz w:val="16"/>
          <w:szCs w:val="16"/>
          <w:u w:val="none"/>
        </w:rPr>
        <w:t>.</w:t>
      </w:r>
    </w:p>
  </w:footnote>
  <w:footnote w:id="49">
    <w:p w14:paraId="44898EB0" w14:textId="3DECEA7D" w:rsidR="008C5AA7" w:rsidRPr="00247B13" w:rsidRDefault="008C5AA7" w:rsidP="00C6020C">
      <w:pPr>
        <w:pStyle w:val="Textpoznpodarou"/>
        <w:rPr>
          <w:sz w:val="16"/>
          <w:szCs w:val="16"/>
          <w:lang w:val="en-GB"/>
        </w:rPr>
      </w:pPr>
      <w:r w:rsidRPr="00247B13">
        <w:rPr>
          <w:rStyle w:val="Znakapoznpodarou"/>
          <w:sz w:val="16"/>
          <w:szCs w:val="16"/>
          <w:lang w:val="en-GB"/>
        </w:rPr>
        <w:footnoteRef/>
      </w:r>
      <w:r w:rsidRPr="00247B13">
        <w:rPr>
          <w:sz w:val="16"/>
          <w:szCs w:val="16"/>
          <w:lang w:val="en-GB"/>
        </w:rPr>
        <w:t xml:space="preserve"> Comprises services of personal care and personal need</w:t>
      </w:r>
      <w:r>
        <w:rPr>
          <w:sz w:val="16"/>
          <w:szCs w:val="16"/>
          <w:lang w:val="en-GB"/>
        </w:rPr>
        <w:t>s</w:t>
      </w:r>
      <w:r w:rsidRPr="00247B13">
        <w:rPr>
          <w:sz w:val="16"/>
          <w:szCs w:val="16"/>
          <w:lang w:val="en-GB"/>
        </w:rPr>
        <w:t xml:space="preserve"> and accessories, social care, insurance and further financial services etc. </w:t>
      </w:r>
    </w:p>
  </w:footnote>
  <w:footnote w:id="50">
    <w:p w14:paraId="6C33C92E" w14:textId="26DA1958" w:rsidR="008C5AA7" w:rsidRPr="00C055FA" w:rsidRDefault="008C5AA7" w:rsidP="00BA0986">
      <w:pPr>
        <w:pStyle w:val="Textpoznpodarou"/>
        <w:jc w:val="both"/>
        <w:rPr>
          <w:sz w:val="16"/>
          <w:szCs w:val="16"/>
        </w:rPr>
      </w:pPr>
      <w:r w:rsidRPr="00C055FA">
        <w:rPr>
          <w:rStyle w:val="Znakapoznpodarou"/>
          <w:sz w:val="16"/>
          <w:szCs w:val="16"/>
        </w:rPr>
        <w:footnoteRef/>
      </w:r>
      <w:r w:rsidRPr="00C055FA">
        <w:rPr>
          <w:sz w:val="16"/>
          <w:szCs w:val="16"/>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consist of imputed rent, which is the main reason for the difference between the HICP and Consumer price index. </w:t>
      </w:r>
    </w:p>
  </w:footnote>
  <w:footnote w:id="51">
    <w:p w14:paraId="19B9E259" w14:textId="6076EDC0" w:rsidR="008C5AA7" w:rsidRPr="005F66A4" w:rsidRDefault="008C5AA7" w:rsidP="00BA0986">
      <w:pPr>
        <w:pStyle w:val="Textpoznpodarou"/>
        <w:jc w:val="both"/>
        <w:rPr>
          <w:sz w:val="16"/>
          <w:szCs w:val="16"/>
        </w:rPr>
      </w:pPr>
      <w:r w:rsidRPr="005F66A4">
        <w:rPr>
          <w:rStyle w:val="Znakapoznpodarou"/>
          <w:sz w:val="16"/>
          <w:szCs w:val="16"/>
        </w:rPr>
        <w:footnoteRef/>
      </w:r>
      <w:r w:rsidRPr="005F66A4">
        <w:rPr>
          <w:sz w:val="16"/>
          <w:szCs w:val="16"/>
        </w:rPr>
        <w:t xml:space="preserve"> </w:t>
      </w:r>
      <w:r w:rsidRPr="00E35D83">
        <w:rPr>
          <w:sz w:val="16"/>
          <w:szCs w:val="16"/>
          <w:lang w:val="en-GB"/>
        </w:rPr>
        <w:t>Exact values of the indicator are not provided due to the protection of individual data.</w:t>
      </w:r>
      <w:r>
        <w:rPr>
          <w:sz w:val="16"/>
          <w:szCs w:val="16"/>
          <w:lang w:val="en-GB"/>
        </w:rPr>
        <w:t xml:space="preserve"> </w:t>
      </w:r>
    </w:p>
  </w:footnote>
  <w:footnote w:id="52">
    <w:p w14:paraId="0B2D34E5" w14:textId="7A7CF1BB" w:rsidR="008C5AA7" w:rsidRPr="000C5F73" w:rsidRDefault="008C5AA7" w:rsidP="00C6020C">
      <w:pPr>
        <w:pStyle w:val="Textpoznpodarou"/>
        <w:rPr>
          <w:sz w:val="16"/>
          <w:szCs w:val="16"/>
        </w:rPr>
      </w:pPr>
      <w:r w:rsidRPr="000C5F73">
        <w:rPr>
          <w:rStyle w:val="Znakapoznpodarou"/>
          <w:sz w:val="16"/>
          <w:szCs w:val="16"/>
        </w:rPr>
        <w:footnoteRef/>
      </w:r>
      <w:r w:rsidRPr="000C5F73">
        <w:rPr>
          <w:sz w:val="16"/>
          <w:szCs w:val="16"/>
        </w:rPr>
        <w:t xml:space="preserve"> </w:t>
      </w:r>
      <w:r w:rsidRPr="00DE6E29">
        <w:rPr>
          <w:sz w:val="16"/>
          <w:szCs w:val="16"/>
          <w:lang w:val="en-GB"/>
        </w:rPr>
        <w:t xml:space="preserve">Without prices of water distribution and </w:t>
      </w:r>
      <w:r>
        <w:rPr>
          <w:sz w:val="16"/>
          <w:szCs w:val="16"/>
          <w:lang w:val="en-GB"/>
        </w:rPr>
        <w:t>s</w:t>
      </w:r>
      <w:r w:rsidRPr="00DE6E29">
        <w:rPr>
          <w:sz w:val="16"/>
          <w:szCs w:val="16"/>
          <w:lang w:val="en-GB"/>
        </w:rPr>
        <w:t xml:space="preserve">ervices associated with wastewaters. </w:t>
      </w:r>
    </w:p>
  </w:footnote>
  <w:footnote w:id="53">
    <w:p w14:paraId="6052F062" w14:textId="74BE8319" w:rsidR="008C5AA7" w:rsidRPr="00C11C5A" w:rsidRDefault="008C5AA7" w:rsidP="00403BBF">
      <w:pPr>
        <w:pStyle w:val="Textpoznpodarou"/>
        <w:jc w:val="both"/>
        <w:rPr>
          <w:sz w:val="16"/>
          <w:szCs w:val="16"/>
        </w:rPr>
      </w:pPr>
      <w:r w:rsidRPr="00C11C5A">
        <w:rPr>
          <w:rStyle w:val="Znakapoznpodarou"/>
          <w:sz w:val="16"/>
          <w:szCs w:val="16"/>
        </w:rPr>
        <w:footnoteRef/>
      </w:r>
      <w:r>
        <w:rPr>
          <w:sz w:val="16"/>
          <w:szCs w:val="16"/>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23.588 CZK/EUR in Q2 2023. It was 24.644 CZK/EUR in the year 2022. Koruna foreign exchange per dollar markedly strengthened year-on-year. </w:t>
      </w:r>
      <w:r w:rsidRPr="00A25E62">
        <w:rPr>
          <w:sz w:val="16"/>
          <w:szCs w:val="16"/>
          <w:lang w:val="en-GB"/>
        </w:rPr>
        <w:t>The average was 2</w:t>
      </w:r>
      <w:r>
        <w:rPr>
          <w:sz w:val="16"/>
          <w:szCs w:val="16"/>
          <w:lang w:val="en-GB"/>
        </w:rPr>
        <w:t>3</w:t>
      </w:r>
      <w:r w:rsidRPr="00A25E62">
        <w:rPr>
          <w:sz w:val="16"/>
          <w:szCs w:val="16"/>
          <w:lang w:val="en-GB"/>
        </w:rPr>
        <w:t>.</w:t>
      </w:r>
      <w:r>
        <w:rPr>
          <w:sz w:val="16"/>
          <w:szCs w:val="16"/>
          <w:lang w:val="en-GB"/>
        </w:rPr>
        <w:t>156</w:t>
      </w:r>
      <w:r w:rsidRPr="00A25E62">
        <w:rPr>
          <w:sz w:val="16"/>
          <w:szCs w:val="16"/>
          <w:lang w:val="en-GB"/>
        </w:rPr>
        <w:t> CZK/USD</w:t>
      </w:r>
      <w:r>
        <w:rPr>
          <w:sz w:val="16"/>
          <w:szCs w:val="16"/>
          <w:lang w:val="en-GB"/>
        </w:rPr>
        <w:t xml:space="preserve"> in Q2 2022 and 21.673 CZK/USD this year.</w:t>
      </w:r>
    </w:p>
  </w:footnote>
  <w:footnote w:id="54">
    <w:p w14:paraId="68DCCC78" w14:textId="43B3CEA1" w:rsidR="008C5AA7" w:rsidRPr="00940B11" w:rsidRDefault="008C5AA7" w:rsidP="00C602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xml:space="preserve">– </w:t>
      </w:r>
      <w:r w:rsidRPr="00A25E62">
        <w:rPr>
          <w:sz w:val="16"/>
          <w:szCs w:val="16"/>
          <w:lang w:val="en-GB"/>
        </w:rPr>
        <w:t>crude materials inedible, except fuels</w:t>
      </w:r>
      <w:r>
        <w:rPr>
          <w:sz w:val="16"/>
          <w:szCs w:val="16"/>
          <w:lang w:val="en-GB"/>
        </w:rPr>
        <w:t xml:space="preserve">. </w:t>
      </w:r>
    </w:p>
  </w:footnote>
  <w:footnote w:id="55">
    <w:p w14:paraId="799D14DF" w14:textId="12BBD92A" w:rsidR="008C5AA7" w:rsidRPr="00940B11" w:rsidRDefault="008C5AA7" w:rsidP="00C602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xml:space="preserve">– </w:t>
      </w:r>
      <w:r w:rsidRPr="00A25E62">
        <w:rPr>
          <w:sz w:val="16"/>
          <w:szCs w:val="16"/>
          <w:lang w:val="en-GB"/>
        </w:rPr>
        <w:t>m</w:t>
      </w:r>
      <w:r w:rsidRPr="00217809">
        <w:rPr>
          <w:sz w:val="16"/>
          <w:szCs w:val="16"/>
          <w:lang w:val="en-GB"/>
        </w:rPr>
        <w:t>anufactured goods classified chiefly by material</w:t>
      </w:r>
      <w:r>
        <w:rPr>
          <w:sz w:val="16"/>
          <w:szCs w:val="16"/>
        </w:rPr>
        <w:t>.</w:t>
      </w:r>
    </w:p>
  </w:footnote>
  <w:footnote w:id="56">
    <w:p w14:paraId="3B8DB768" w14:textId="60647D6D" w:rsidR="008C5AA7" w:rsidRPr="00986858" w:rsidRDefault="008C5AA7" w:rsidP="00986858">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86858">
        <w:rPr>
          <w:color w:val="0D0D0D" w:themeColor="text1" w:themeTint="F2"/>
          <w:spacing w:val="-2"/>
          <w:sz w:val="16"/>
          <w:szCs w:val="16"/>
          <w:lang w:val="en-GB"/>
        </w:rPr>
        <w:t xml:space="preserve">Data regarding employment stem from the national accounts conception. </w:t>
      </w:r>
      <w:r>
        <w:rPr>
          <w:color w:val="0D0D0D" w:themeColor="text1" w:themeTint="F2"/>
          <w:spacing w:val="-2"/>
          <w:sz w:val="16"/>
          <w:szCs w:val="16"/>
          <w:lang w:val="en-GB"/>
        </w:rPr>
        <w:t xml:space="preserve">They are expressed in physical persons and adjusted for seasonal effects. Contrary to the data from the business statistics or the labour force sample survey </w:t>
      </w:r>
      <w:r w:rsidRPr="00986858">
        <w:rPr>
          <w:sz w:val="16"/>
          <w:szCs w:val="16"/>
          <w:lang w:val="en-GB"/>
        </w:rPr>
        <w:t>(</w:t>
      </w:r>
      <w:r>
        <w:rPr>
          <w:sz w:val="16"/>
          <w:szCs w:val="16"/>
          <w:lang w:val="en-GB"/>
        </w:rPr>
        <w:t>LFSS), they</w:t>
      </w:r>
      <w:r w:rsidRPr="00986858">
        <w:rPr>
          <w:sz w:val="16"/>
          <w:szCs w:val="16"/>
          <w:lang w:val="en-GB"/>
        </w:rPr>
        <w:t xml:space="preserve"> </w:t>
      </w:r>
      <w:r>
        <w:rPr>
          <w:sz w:val="16"/>
          <w:szCs w:val="16"/>
          <w:lang w:val="en-GB"/>
        </w:rPr>
        <w:t>take into account e.g. the estimation of the impact of grey economy</w:t>
      </w:r>
      <w:r w:rsidRPr="00986858">
        <w:rPr>
          <w:sz w:val="16"/>
          <w:szCs w:val="16"/>
          <w:lang w:val="en-GB"/>
        </w:rPr>
        <w:t xml:space="preserve">. </w:t>
      </w:r>
    </w:p>
  </w:footnote>
  <w:footnote w:id="57">
    <w:p w14:paraId="46C1EB98" w14:textId="491E0F22" w:rsidR="008C5AA7" w:rsidRPr="00C85C86" w:rsidRDefault="008C5AA7" w:rsidP="009D7CC3">
      <w:pPr>
        <w:pStyle w:val="Textpoznpodarou"/>
        <w:jc w:val="both"/>
        <w:rPr>
          <w:sz w:val="16"/>
          <w:szCs w:val="16"/>
          <w:lang w:val="en-GB"/>
        </w:rPr>
      </w:pPr>
      <w:r w:rsidRPr="00986858">
        <w:rPr>
          <w:rStyle w:val="Znakapoznpodarou"/>
          <w:sz w:val="16"/>
          <w:szCs w:val="16"/>
          <w:lang w:val="en-GB"/>
        </w:rPr>
        <w:footnoteRef/>
      </w:r>
      <w:r w:rsidRPr="00986858">
        <w:rPr>
          <w:sz w:val="16"/>
          <w:szCs w:val="16"/>
          <w:lang w:val="en-GB"/>
        </w:rPr>
        <w:t xml:space="preserve"> </w:t>
      </w:r>
      <w:r>
        <w:rPr>
          <w:sz w:val="16"/>
          <w:szCs w:val="16"/>
          <w:lang w:val="en-GB"/>
        </w:rPr>
        <w:t xml:space="preserve">It follows from the more detail data of the LFSS, that the number of employers </w:t>
      </w:r>
      <w:r w:rsidRPr="00986858">
        <w:rPr>
          <w:sz w:val="16"/>
          <w:szCs w:val="16"/>
          <w:lang w:val="en-GB"/>
        </w:rPr>
        <w:t>(</w:t>
      </w:r>
      <w:r>
        <w:rPr>
          <w:sz w:val="16"/>
          <w:szCs w:val="16"/>
          <w:lang w:val="en-GB"/>
        </w:rPr>
        <w:t>entrepreneurs with employees</w:t>
      </w:r>
      <w:r w:rsidRPr="00986858">
        <w:rPr>
          <w:sz w:val="16"/>
          <w:szCs w:val="16"/>
          <w:lang w:val="en-GB"/>
        </w:rPr>
        <w:t xml:space="preserve">) </w:t>
      </w:r>
      <w:r>
        <w:rPr>
          <w:sz w:val="16"/>
          <w:szCs w:val="16"/>
          <w:lang w:val="en-GB"/>
        </w:rPr>
        <w:t>only stagnated year-on-year in Q</w:t>
      </w:r>
      <w:r w:rsidRPr="00986858">
        <w:rPr>
          <w:sz w:val="16"/>
          <w:szCs w:val="16"/>
          <w:lang w:val="en-GB"/>
        </w:rPr>
        <w:t>2</w:t>
      </w:r>
      <w:r>
        <w:rPr>
          <w:sz w:val="16"/>
          <w:szCs w:val="16"/>
          <w:lang w:val="en-GB"/>
        </w:rPr>
        <w:t xml:space="preserve"> </w:t>
      </w:r>
      <w:r w:rsidRPr="00986858">
        <w:rPr>
          <w:sz w:val="16"/>
          <w:szCs w:val="16"/>
          <w:lang w:val="en-GB"/>
        </w:rPr>
        <w:t>(</w:t>
      </w:r>
      <w:r>
        <w:rPr>
          <w:sz w:val="16"/>
          <w:szCs w:val="16"/>
          <w:lang w:val="en-GB"/>
        </w:rPr>
        <w:t>after preceding four years of decreases</w:t>
      </w:r>
      <w:r w:rsidRPr="00986858">
        <w:rPr>
          <w:sz w:val="16"/>
          <w:szCs w:val="16"/>
          <w:lang w:val="en-GB"/>
        </w:rPr>
        <w:t>). T</w:t>
      </w:r>
      <w:r>
        <w:rPr>
          <w:sz w:val="16"/>
          <w:szCs w:val="16"/>
          <w:lang w:val="en-GB"/>
        </w:rPr>
        <w:t xml:space="preserve">his group of businesses is in the methodology of the national accounts classed into </w:t>
      </w:r>
      <w:r w:rsidRPr="00C85C86">
        <w:rPr>
          <w:sz w:val="16"/>
          <w:szCs w:val="16"/>
          <w:lang w:val="en-GB"/>
        </w:rPr>
        <w:t xml:space="preserve">the category of employees. </w:t>
      </w:r>
    </w:p>
  </w:footnote>
  <w:footnote w:id="58">
    <w:p w14:paraId="187805C1" w14:textId="43CE08E8" w:rsidR="008C5AA7" w:rsidRPr="00986858" w:rsidRDefault="008C5AA7" w:rsidP="009D7CC3">
      <w:pPr>
        <w:pStyle w:val="Textpoznpodarou"/>
        <w:jc w:val="both"/>
        <w:rPr>
          <w:sz w:val="16"/>
          <w:szCs w:val="16"/>
          <w:lang w:val="en-GB"/>
        </w:rPr>
      </w:pPr>
      <w:r w:rsidRPr="00C85C86">
        <w:rPr>
          <w:rStyle w:val="Znakapoznpodarou"/>
          <w:sz w:val="16"/>
          <w:szCs w:val="16"/>
          <w:lang w:val="en-GB"/>
        </w:rPr>
        <w:footnoteRef/>
      </w:r>
      <w:r w:rsidRPr="00C85C86">
        <w:rPr>
          <w:sz w:val="16"/>
          <w:szCs w:val="16"/>
          <w:lang w:val="en-GB"/>
        </w:rPr>
        <w:t xml:space="preserve"> Their quantity was </w:t>
      </w:r>
      <w:r>
        <w:rPr>
          <w:sz w:val="16"/>
          <w:szCs w:val="16"/>
          <w:lang w:val="en-GB"/>
        </w:rPr>
        <w:t xml:space="preserve">in the most weight significant segments of the economy </w:t>
      </w:r>
      <w:r w:rsidRPr="00C85C86">
        <w:rPr>
          <w:color w:val="0D0D0D" w:themeColor="text1" w:themeTint="F2"/>
          <w:spacing w:val="-4"/>
          <w:sz w:val="16"/>
          <w:szCs w:val="16"/>
          <w:lang w:val="en-GB"/>
        </w:rPr>
        <w:t xml:space="preserve">– </w:t>
      </w:r>
      <w:r>
        <w:rPr>
          <w:color w:val="0D0D0D" w:themeColor="text1" w:themeTint="F2"/>
          <w:spacing w:val="-4"/>
          <w:sz w:val="16"/>
          <w:szCs w:val="16"/>
          <w:lang w:val="en-GB"/>
        </w:rPr>
        <w:t xml:space="preserve">manufacturing or group trade, transportation, accommodation and restaurants </w:t>
      </w:r>
      <w:r w:rsidRPr="00C85C86">
        <w:rPr>
          <w:color w:val="0D0D0D" w:themeColor="text1" w:themeTint="F2"/>
          <w:spacing w:val="-4"/>
          <w:sz w:val="16"/>
          <w:szCs w:val="16"/>
          <w:lang w:val="en-GB"/>
        </w:rPr>
        <w:t xml:space="preserve">– </w:t>
      </w:r>
      <w:r>
        <w:rPr>
          <w:color w:val="0D0D0D" w:themeColor="text1" w:themeTint="F2"/>
          <w:spacing w:val="-4"/>
          <w:sz w:val="16"/>
          <w:szCs w:val="16"/>
          <w:lang w:val="en-GB"/>
        </w:rPr>
        <w:t xml:space="preserve">lower by 11% and 7%, respectively, this year compared to the beginning of year </w:t>
      </w:r>
      <w:r w:rsidRPr="00C85C86">
        <w:rPr>
          <w:color w:val="0D0D0D" w:themeColor="text1" w:themeTint="F2"/>
          <w:spacing w:val="-4"/>
          <w:sz w:val="16"/>
          <w:szCs w:val="16"/>
          <w:lang w:val="en-GB"/>
        </w:rPr>
        <w:t>2019. In contrast, self-employed mainly in information and communication (+12%) and in construction (+3%) stayed above their pre-crisis numbers.</w:t>
      </w:r>
      <w:r w:rsidRPr="00986858">
        <w:rPr>
          <w:color w:val="0D0D0D" w:themeColor="text1" w:themeTint="F2"/>
          <w:spacing w:val="-4"/>
          <w:sz w:val="16"/>
          <w:szCs w:val="16"/>
          <w:lang w:val="en-GB"/>
        </w:rPr>
        <w:t xml:space="preserve"> </w:t>
      </w:r>
    </w:p>
  </w:footnote>
  <w:footnote w:id="59">
    <w:p w14:paraId="4F81874B" w14:textId="5EF18A68" w:rsidR="008C5AA7" w:rsidRPr="00986858" w:rsidRDefault="008C5AA7" w:rsidP="009D7CC3">
      <w:pPr>
        <w:pStyle w:val="Textpoznpodarou"/>
        <w:jc w:val="both"/>
        <w:rPr>
          <w:sz w:val="16"/>
          <w:szCs w:val="16"/>
          <w:lang w:val="en-GB"/>
        </w:rPr>
      </w:pPr>
      <w:r w:rsidRPr="00986858">
        <w:rPr>
          <w:rStyle w:val="Znakapoznpodarou"/>
          <w:sz w:val="16"/>
          <w:szCs w:val="16"/>
          <w:lang w:val="en-GB"/>
        </w:rPr>
        <w:footnoteRef/>
      </w:r>
      <w:r w:rsidRPr="00986858">
        <w:rPr>
          <w:sz w:val="16"/>
          <w:szCs w:val="16"/>
          <w:lang w:val="en-GB"/>
        </w:rPr>
        <w:t xml:space="preserve"> </w:t>
      </w:r>
      <w:r>
        <w:rPr>
          <w:sz w:val="16"/>
          <w:szCs w:val="16"/>
          <w:lang w:val="en-GB"/>
        </w:rPr>
        <w:t xml:space="preserve">For instance the number of students in school year </w:t>
      </w:r>
      <w:r w:rsidRPr="00986858">
        <w:rPr>
          <w:sz w:val="16"/>
          <w:szCs w:val="16"/>
          <w:lang w:val="en-GB"/>
        </w:rPr>
        <w:t>2022/2023</w:t>
      </w:r>
      <w:r>
        <w:rPr>
          <w:sz w:val="16"/>
          <w:szCs w:val="16"/>
          <w:lang w:val="en-GB"/>
        </w:rPr>
        <w:t xml:space="preserve"> expanded unusually on all stages of education simultaneously year-on-year </w:t>
      </w:r>
      <w:r w:rsidRPr="00986858">
        <w:rPr>
          <w:sz w:val="16"/>
          <w:szCs w:val="16"/>
          <w:lang w:val="en-GB"/>
        </w:rPr>
        <w:t>(</w:t>
      </w:r>
      <w:r>
        <w:rPr>
          <w:sz w:val="16"/>
          <w:szCs w:val="16"/>
          <w:lang w:val="en-GB"/>
        </w:rPr>
        <w:t xml:space="preserve">the most at primary schools </w:t>
      </w:r>
      <w:r w:rsidRPr="00986858">
        <w:rPr>
          <w:sz w:val="16"/>
          <w:szCs w:val="16"/>
          <w:lang w:val="en-GB"/>
        </w:rPr>
        <w:t xml:space="preserve">– </w:t>
      </w:r>
      <w:r>
        <w:rPr>
          <w:sz w:val="16"/>
          <w:szCs w:val="16"/>
          <w:lang w:val="en-GB"/>
        </w:rPr>
        <w:t xml:space="preserve">by </w:t>
      </w:r>
      <w:r w:rsidRPr="00986858">
        <w:rPr>
          <w:sz w:val="16"/>
          <w:szCs w:val="16"/>
          <w:lang w:val="en-GB"/>
        </w:rPr>
        <w:t>4</w:t>
      </w:r>
      <w:r>
        <w:rPr>
          <w:sz w:val="16"/>
          <w:szCs w:val="16"/>
          <w:lang w:val="en-GB"/>
        </w:rPr>
        <w:t>.</w:t>
      </w:r>
      <w:r w:rsidRPr="00986858">
        <w:rPr>
          <w:sz w:val="16"/>
          <w:szCs w:val="16"/>
          <w:lang w:val="en-GB"/>
        </w:rPr>
        <w:t>5%).</w:t>
      </w:r>
    </w:p>
  </w:footnote>
  <w:footnote w:id="60">
    <w:p w14:paraId="37301B58" w14:textId="08D21C7D"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More detailed data of the business statistics show that the year-on-year decrease of the registered number of employees occurred in all more weight significant industrial branches </w:t>
      </w:r>
      <w:r w:rsidRPr="00FC6CCA">
        <w:rPr>
          <w:sz w:val="16"/>
          <w:szCs w:val="16"/>
          <w:lang w:val="en-GB"/>
        </w:rPr>
        <w:t>(</w:t>
      </w:r>
      <w:r>
        <w:rPr>
          <w:sz w:val="16"/>
          <w:szCs w:val="16"/>
          <w:lang w:val="en-GB"/>
        </w:rPr>
        <w:t>manufacturing of motor vehicles was no exception</w:t>
      </w:r>
      <w:r w:rsidRPr="00FC6CCA">
        <w:rPr>
          <w:sz w:val="16"/>
          <w:szCs w:val="16"/>
          <w:lang w:val="en-GB"/>
        </w:rPr>
        <w:t>)</w:t>
      </w:r>
      <w:r>
        <w:rPr>
          <w:sz w:val="16"/>
          <w:szCs w:val="16"/>
          <w:lang w:val="en-GB"/>
        </w:rPr>
        <w:t xml:space="preserve"> in Q2</w:t>
      </w:r>
      <w:r w:rsidRPr="00FC6CCA">
        <w:rPr>
          <w:sz w:val="16"/>
          <w:szCs w:val="16"/>
          <w:lang w:val="en-GB"/>
        </w:rPr>
        <w:t>.</w:t>
      </w:r>
    </w:p>
  </w:footnote>
  <w:footnote w:id="61">
    <w:p w14:paraId="7468E3C6" w14:textId="77777777"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From the citizens of Ukraine registered at labour offices females already comprised </w:t>
      </w:r>
      <w:r w:rsidRPr="00FC6CCA">
        <w:rPr>
          <w:sz w:val="16"/>
          <w:szCs w:val="16"/>
          <w:lang w:val="en-GB"/>
        </w:rPr>
        <w:t xml:space="preserve">52%. </w:t>
      </w:r>
      <w:r>
        <w:rPr>
          <w:sz w:val="16"/>
          <w:szCs w:val="16"/>
          <w:lang w:val="en-GB"/>
        </w:rPr>
        <w:t>The absolute majority of females among the more numerous groups of foreigners existed already for the citizens of Russia, Kazakhstan and Thailand</w:t>
      </w:r>
      <w:r w:rsidRPr="00FC6CCA">
        <w:rPr>
          <w:sz w:val="16"/>
          <w:szCs w:val="16"/>
          <w:lang w:val="en-GB"/>
        </w:rPr>
        <w:t xml:space="preserve">. </w:t>
      </w:r>
      <w:r>
        <w:rPr>
          <w:sz w:val="16"/>
          <w:szCs w:val="16"/>
          <w:lang w:val="en-GB"/>
        </w:rPr>
        <w:t xml:space="preserve">Already nearly three quarters of the registered workers from Ukraine in the CR did not need a special work permit </w:t>
      </w:r>
      <w:r w:rsidRPr="00FC6CCA">
        <w:rPr>
          <w:sz w:val="16"/>
          <w:szCs w:val="16"/>
          <w:lang w:val="en-GB"/>
        </w:rPr>
        <w:t>(</w:t>
      </w:r>
      <w:r>
        <w:rPr>
          <w:sz w:val="16"/>
          <w:szCs w:val="16"/>
          <w:lang w:val="en-GB"/>
        </w:rPr>
        <w:t>e.g. the employee card</w:t>
      </w:r>
      <w:r w:rsidRPr="00FC6CCA">
        <w:rPr>
          <w:sz w:val="16"/>
          <w:szCs w:val="16"/>
          <w:lang w:val="en-GB"/>
        </w:rPr>
        <w:t>). T</w:t>
      </w:r>
      <w:r>
        <w:rPr>
          <w:sz w:val="16"/>
          <w:szCs w:val="16"/>
          <w:lang w:val="en-GB"/>
        </w:rPr>
        <w:t>his way they differ from the majority of other employees from the so called “third countries”</w:t>
      </w:r>
      <w:r w:rsidRPr="00FC6CCA">
        <w:rPr>
          <w:sz w:val="16"/>
          <w:szCs w:val="16"/>
          <w:lang w:val="en-GB"/>
        </w:rPr>
        <w:t>.</w:t>
      </w:r>
    </w:p>
  </w:footnote>
  <w:footnote w:id="62">
    <w:p w14:paraId="76F70F46" w14:textId="77777777"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For the citizens of Slovakia it arrived at </w:t>
      </w:r>
      <w:r w:rsidRPr="00FC6CCA">
        <w:rPr>
          <w:sz w:val="16"/>
          <w:szCs w:val="16"/>
          <w:lang w:val="en-GB"/>
        </w:rPr>
        <w:t>7</w:t>
      </w:r>
      <w:r>
        <w:rPr>
          <w:sz w:val="16"/>
          <w:szCs w:val="16"/>
          <w:lang w:val="en-GB"/>
        </w:rPr>
        <w:t>.</w:t>
      </w:r>
      <w:r w:rsidRPr="00FC6CCA">
        <w:rPr>
          <w:sz w:val="16"/>
          <w:szCs w:val="16"/>
          <w:lang w:val="en-GB"/>
        </w:rPr>
        <w:t>5</w:t>
      </w:r>
      <w:r>
        <w:rPr>
          <w:sz w:val="16"/>
          <w:szCs w:val="16"/>
          <w:lang w:val="en-GB"/>
        </w:rPr>
        <w:t xml:space="preserve"> thousand, the Philippines </w:t>
      </w:r>
      <w:r w:rsidRPr="00FC6CCA">
        <w:rPr>
          <w:sz w:val="16"/>
          <w:szCs w:val="16"/>
          <w:lang w:val="en-GB"/>
        </w:rPr>
        <w:t>(+3</w:t>
      </w:r>
      <w:r>
        <w:rPr>
          <w:sz w:val="16"/>
          <w:szCs w:val="16"/>
          <w:lang w:val="en-GB"/>
        </w:rPr>
        <w:t>.</w:t>
      </w:r>
      <w:r w:rsidRPr="00FC6CCA">
        <w:rPr>
          <w:sz w:val="16"/>
          <w:szCs w:val="16"/>
          <w:lang w:val="en-GB"/>
        </w:rPr>
        <w:t>0 t</w:t>
      </w:r>
      <w:r>
        <w:rPr>
          <w:sz w:val="16"/>
          <w:szCs w:val="16"/>
          <w:lang w:val="en-GB"/>
        </w:rPr>
        <w:t>housand</w:t>
      </w:r>
      <w:r w:rsidRPr="00FC6CCA">
        <w:rPr>
          <w:sz w:val="16"/>
          <w:szCs w:val="16"/>
          <w:lang w:val="en-GB"/>
        </w:rPr>
        <w:t>), Pol</w:t>
      </w:r>
      <w:r>
        <w:rPr>
          <w:sz w:val="16"/>
          <w:szCs w:val="16"/>
          <w:lang w:val="en-GB"/>
        </w:rPr>
        <w:t xml:space="preserve">and </w:t>
      </w:r>
      <w:r w:rsidRPr="00FC6CCA">
        <w:rPr>
          <w:sz w:val="16"/>
          <w:szCs w:val="16"/>
          <w:lang w:val="en-GB"/>
        </w:rPr>
        <w:t>(+2</w:t>
      </w:r>
      <w:r>
        <w:rPr>
          <w:sz w:val="16"/>
          <w:szCs w:val="16"/>
          <w:lang w:val="en-GB"/>
        </w:rPr>
        <w:t>.</w:t>
      </w:r>
      <w:r w:rsidRPr="00FC6CCA">
        <w:rPr>
          <w:sz w:val="16"/>
          <w:szCs w:val="16"/>
          <w:lang w:val="en-GB"/>
        </w:rPr>
        <w:t>4 t</w:t>
      </w:r>
      <w:r>
        <w:rPr>
          <w:sz w:val="16"/>
          <w:szCs w:val="16"/>
          <w:lang w:val="en-GB"/>
        </w:rPr>
        <w:t>housand</w:t>
      </w:r>
      <w:r w:rsidRPr="00FC6CCA">
        <w:rPr>
          <w:sz w:val="16"/>
          <w:szCs w:val="16"/>
          <w:lang w:val="en-GB"/>
        </w:rPr>
        <w:t>), Rus</w:t>
      </w:r>
      <w:r>
        <w:rPr>
          <w:sz w:val="16"/>
          <w:szCs w:val="16"/>
          <w:lang w:val="en-GB"/>
        </w:rPr>
        <w:t>sia and Vietnam (</w:t>
      </w:r>
      <w:r w:rsidRPr="00FC6CCA">
        <w:rPr>
          <w:sz w:val="16"/>
          <w:szCs w:val="16"/>
          <w:lang w:val="en-GB"/>
        </w:rPr>
        <w:t>+1</w:t>
      </w:r>
      <w:r>
        <w:rPr>
          <w:sz w:val="16"/>
          <w:szCs w:val="16"/>
          <w:lang w:val="en-GB"/>
        </w:rPr>
        <w:t>.</w:t>
      </w:r>
      <w:r w:rsidRPr="00FC6CCA">
        <w:rPr>
          <w:sz w:val="16"/>
          <w:szCs w:val="16"/>
          <w:lang w:val="en-GB"/>
        </w:rPr>
        <w:t>9</w:t>
      </w:r>
      <w:r>
        <w:rPr>
          <w:sz w:val="16"/>
          <w:szCs w:val="16"/>
          <w:lang w:val="en-GB"/>
        </w:rPr>
        <w:t xml:space="preserve"> thousand</w:t>
      </w:r>
      <w:r w:rsidRPr="00FC6CCA">
        <w:rPr>
          <w:sz w:val="16"/>
          <w:szCs w:val="16"/>
          <w:lang w:val="en-GB"/>
        </w:rPr>
        <w:t>), Indi</w:t>
      </w:r>
      <w:r>
        <w:rPr>
          <w:sz w:val="16"/>
          <w:szCs w:val="16"/>
          <w:lang w:val="en-GB"/>
        </w:rPr>
        <w:t>a</w:t>
      </w:r>
      <w:r w:rsidRPr="00FC6CCA">
        <w:rPr>
          <w:sz w:val="16"/>
          <w:szCs w:val="16"/>
          <w:lang w:val="en-GB"/>
        </w:rPr>
        <w:t xml:space="preserve"> (+1</w:t>
      </w:r>
      <w:r>
        <w:rPr>
          <w:sz w:val="16"/>
          <w:szCs w:val="16"/>
          <w:lang w:val="en-GB"/>
        </w:rPr>
        <w:t>.</w:t>
      </w:r>
      <w:r w:rsidRPr="00FC6CCA">
        <w:rPr>
          <w:sz w:val="16"/>
          <w:szCs w:val="16"/>
          <w:lang w:val="en-GB"/>
        </w:rPr>
        <w:t>8 t</w:t>
      </w:r>
      <w:r>
        <w:rPr>
          <w:sz w:val="16"/>
          <w:szCs w:val="16"/>
          <w:lang w:val="en-GB"/>
        </w:rPr>
        <w:t>housand</w:t>
      </w:r>
      <w:r w:rsidRPr="00FC6CCA">
        <w:rPr>
          <w:sz w:val="16"/>
          <w:szCs w:val="16"/>
          <w:lang w:val="en-GB"/>
        </w:rPr>
        <w:t xml:space="preserve">), </w:t>
      </w:r>
      <w:r>
        <w:rPr>
          <w:sz w:val="16"/>
          <w:szCs w:val="16"/>
          <w:lang w:val="en-GB"/>
        </w:rPr>
        <w:t xml:space="preserve">Hungary and Turkey </w:t>
      </w:r>
      <w:r w:rsidRPr="00FC6CCA">
        <w:rPr>
          <w:sz w:val="16"/>
          <w:szCs w:val="16"/>
          <w:lang w:val="en-GB"/>
        </w:rPr>
        <w:t>(s</w:t>
      </w:r>
      <w:r>
        <w:rPr>
          <w:sz w:val="16"/>
          <w:szCs w:val="16"/>
          <w:lang w:val="en-GB"/>
        </w:rPr>
        <w:t xml:space="preserve">imilarly </w:t>
      </w:r>
      <w:r w:rsidRPr="00FC6CCA">
        <w:rPr>
          <w:sz w:val="16"/>
          <w:szCs w:val="16"/>
          <w:lang w:val="en-GB"/>
        </w:rPr>
        <w:t>+1</w:t>
      </w:r>
      <w:r>
        <w:rPr>
          <w:sz w:val="16"/>
          <w:szCs w:val="16"/>
          <w:lang w:val="en-GB"/>
        </w:rPr>
        <w:t>.</w:t>
      </w:r>
      <w:r w:rsidRPr="00FC6CCA">
        <w:rPr>
          <w:sz w:val="16"/>
          <w:szCs w:val="16"/>
          <w:lang w:val="en-GB"/>
        </w:rPr>
        <w:t>2%), Kazakhst</w:t>
      </w:r>
      <w:r>
        <w:rPr>
          <w:sz w:val="16"/>
          <w:szCs w:val="16"/>
          <w:lang w:val="en-GB"/>
        </w:rPr>
        <w:t xml:space="preserve">an </w:t>
      </w:r>
      <w:r w:rsidRPr="00FC6CCA">
        <w:rPr>
          <w:sz w:val="16"/>
          <w:szCs w:val="16"/>
          <w:lang w:val="en-GB"/>
        </w:rPr>
        <w:t>(+1</w:t>
      </w:r>
      <w:r>
        <w:rPr>
          <w:sz w:val="16"/>
          <w:szCs w:val="16"/>
          <w:lang w:val="en-GB"/>
        </w:rPr>
        <w:t>.</w:t>
      </w:r>
      <w:r w:rsidRPr="00FC6CCA">
        <w:rPr>
          <w:sz w:val="16"/>
          <w:szCs w:val="16"/>
          <w:lang w:val="en-GB"/>
        </w:rPr>
        <w:t>0</w:t>
      </w:r>
      <w:r>
        <w:rPr>
          <w:sz w:val="16"/>
          <w:szCs w:val="16"/>
          <w:lang w:val="en-GB"/>
        </w:rPr>
        <w:t xml:space="preserve"> </w:t>
      </w:r>
      <w:r w:rsidRPr="00FC6CCA">
        <w:rPr>
          <w:sz w:val="16"/>
          <w:szCs w:val="16"/>
          <w:lang w:val="en-GB"/>
        </w:rPr>
        <w:t>t</w:t>
      </w:r>
      <w:r>
        <w:rPr>
          <w:sz w:val="16"/>
          <w:szCs w:val="16"/>
          <w:lang w:val="en-GB"/>
        </w:rPr>
        <w:t>housand</w:t>
      </w:r>
      <w:r w:rsidRPr="00FC6CCA">
        <w:rPr>
          <w:sz w:val="16"/>
          <w:szCs w:val="16"/>
          <w:lang w:val="en-GB"/>
        </w:rPr>
        <w:t xml:space="preserve">). </w:t>
      </w:r>
      <w:r>
        <w:rPr>
          <w:sz w:val="16"/>
          <w:szCs w:val="16"/>
          <w:lang w:val="en-GB"/>
        </w:rPr>
        <w:t xml:space="preserve">From the more significant groups of foreigners in the CR, only the number of employees from Belarus </w:t>
      </w:r>
      <w:r w:rsidRPr="00FC6CCA">
        <w:rPr>
          <w:sz w:val="16"/>
          <w:szCs w:val="16"/>
          <w:lang w:val="en-GB"/>
        </w:rPr>
        <w:t>(-0</w:t>
      </w:r>
      <w:r>
        <w:rPr>
          <w:sz w:val="16"/>
          <w:szCs w:val="16"/>
          <w:lang w:val="en-GB"/>
        </w:rPr>
        <w:t>.</w:t>
      </w:r>
      <w:r w:rsidRPr="00FC6CCA">
        <w:rPr>
          <w:sz w:val="16"/>
          <w:szCs w:val="16"/>
          <w:lang w:val="en-GB"/>
        </w:rPr>
        <w:t>3 t</w:t>
      </w:r>
      <w:r>
        <w:rPr>
          <w:sz w:val="16"/>
          <w:szCs w:val="16"/>
          <w:lang w:val="en-GB"/>
        </w:rPr>
        <w:t>housand</w:t>
      </w:r>
      <w:r w:rsidRPr="00FC6CCA">
        <w:rPr>
          <w:sz w:val="16"/>
          <w:szCs w:val="16"/>
          <w:lang w:val="en-GB"/>
        </w:rPr>
        <w:t>) a</w:t>
      </w:r>
      <w:r>
        <w:rPr>
          <w:sz w:val="16"/>
          <w:szCs w:val="16"/>
          <w:lang w:val="en-GB"/>
        </w:rPr>
        <w:t xml:space="preserve">nd Bulgaria </w:t>
      </w:r>
      <w:r w:rsidRPr="00FC6CCA">
        <w:rPr>
          <w:sz w:val="16"/>
          <w:szCs w:val="16"/>
          <w:lang w:val="en-GB"/>
        </w:rPr>
        <w:t>(-0</w:t>
      </w:r>
      <w:r>
        <w:rPr>
          <w:sz w:val="16"/>
          <w:szCs w:val="16"/>
          <w:lang w:val="en-GB"/>
        </w:rPr>
        <w:t>.</w:t>
      </w:r>
      <w:r w:rsidRPr="00FC6CCA">
        <w:rPr>
          <w:sz w:val="16"/>
          <w:szCs w:val="16"/>
          <w:lang w:val="en-GB"/>
        </w:rPr>
        <w:t>1</w:t>
      </w:r>
      <w:r>
        <w:rPr>
          <w:sz w:val="16"/>
          <w:szCs w:val="16"/>
          <w:lang w:val="en-GB"/>
        </w:rPr>
        <w:t xml:space="preserve"> thousand</w:t>
      </w:r>
      <w:r w:rsidRPr="00FC6CCA">
        <w:rPr>
          <w:sz w:val="16"/>
          <w:szCs w:val="16"/>
          <w:lang w:val="en-GB"/>
        </w:rPr>
        <w:t>)</w:t>
      </w:r>
      <w:r>
        <w:rPr>
          <w:sz w:val="16"/>
          <w:szCs w:val="16"/>
          <w:lang w:val="en-GB"/>
        </w:rPr>
        <w:t xml:space="preserve"> fell in the last 1.5 years</w:t>
      </w:r>
      <w:r w:rsidRPr="00FC6CCA">
        <w:rPr>
          <w:sz w:val="16"/>
          <w:szCs w:val="16"/>
          <w:lang w:val="en-GB"/>
        </w:rPr>
        <w:t xml:space="preserve">.  </w:t>
      </w:r>
    </w:p>
  </w:footnote>
  <w:footnote w:id="63">
    <w:p w14:paraId="7C0CE3C7" w14:textId="78E66E44" w:rsidR="008C5AA7" w:rsidRPr="00E155BB" w:rsidRDefault="008C5AA7" w:rsidP="00F6716B">
      <w:pPr>
        <w:pStyle w:val="Textpoznpodarou"/>
        <w:jc w:val="both"/>
        <w:rPr>
          <w:color w:val="0D0D0D" w:themeColor="text1" w:themeTint="F2"/>
          <w:spacing w:val="-4"/>
          <w:sz w:val="16"/>
          <w:szCs w:val="16"/>
          <w:lang w:val="en-GB"/>
        </w:rPr>
      </w:pPr>
      <w:r w:rsidRPr="00E155BB">
        <w:rPr>
          <w:rStyle w:val="Znakapoznpodarou"/>
          <w:color w:val="0D0D0D" w:themeColor="text1" w:themeTint="F2"/>
          <w:spacing w:val="-2"/>
          <w:sz w:val="16"/>
          <w:szCs w:val="16"/>
        </w:rPr>
        <w:footnoteRef/>
      </w:r>
      <w:r w:rsidRPr="00E155BB">
        <w:rPr>
          <w:color w:val="0D0D0D" w:themeColor="text1" w:themeTint="F2"/>
          <w:spacing w:val="-2"/>
          <w:sz w:val="16"/>
          <w:szCs w:val="16"/>
        </w:rPr>
        <w:t xml:space="preserve"> </w:t>
      </w:r>
      <w:r w:rsidRPr="00D14AF9">
        <w:rPr>
          <w:color w:val="0D0D0D" w:themeColor="text1" w:themeTint="F2"/>
          <w:spacing w:val="-2"/>
          <w:sz w:val="16"/>
          <w:szCs w:val="16"/>
          <w:lang w:val="en-GB"/>
        </w:rPr>
        <w:t xml:space="preserve">Businesses in the vast majority of industrial branches anticipated the reduction of the number of employees (according to the survey from July 2023) – both energy intensive (metallurgy, metalworking industry, manufacturing of construction materials, </w:t>
      </w:r>
      <w:r>
        <w:rPr>
          <w:color w:val="0D0D0D" w:themeColor="text1" w:themeTint="F2"/>
          <w:spacing w:val="-2"/>
          <w:sz w:val="16"/>
          <w:szCs w:val="16"/>
          <w:lang w:val="en-GB"/>
        </w:rPr>
        <w:t>chemical industry or food industry</w:t>
      </w:r>
      <w:r w:rsidRPr="00D14AF9">
        <w:rPr>
          <w:color w:val="0D0D0D" w:themeColor="text1" w:themeTint="F2"/>
          <w:spacing w:val="-2"/>
          <w:sz w:val="16"/>
          <w:szCs w:val="16"/>
          <w:lang w:val="en-GB"/>
        </w:rPr>
        <w:t>)</w:t>
      </w:r>
      <w:r>
        <w:rPr>
          <w:color w:val="0D0D0D" w:themeColor="text1" w:themeTint="F2"/>
          <w:spacing w:val="-2"/>
          <w:sz w:val="16"/>
          <w:szCs w:val="16"/>
          <w:lang w:val="en-GB"/>
        </w:rPr>
        <w:t xml:space="preserve"> and sub-supplier fields for the manufacturing of motor vehicles </w:t>
      </w:r>
      <w:r w:rsidRPr="00D14AF9">
        <w:rPr>
          <w:color w:val="0D0D0D" w:themeColor="text1" w:themeTint="F2"/>
          <w:spacing w:val="-2"/>
          <w:sz w:val="16"/>
          <w:szCs w:val="16"/>
          <w:lang w:val="en-GB"/>
        </w:rPr>
        <w:t>(</w:t>
      </w:r>
      <w:r>
        <w:rPr>
          <w:color w:val="0D0D0D" w:themeColor="text1" w:themeTint="F2"/>
          <w:spacing w:val="-2"/>
          <w:sz w:val="16"/>
          <w:szCs w:val="16"/>
          <w:lang w:val="en-GB"/>
        </w:rPr>
        <w:t>electrical engineering, manufacturing of rubber and plastic products</w:t>
      </w:r>
      <w:r w:rsidRPr="00D14AF9">
        <w:rPr>
          <w:color w:val="0D0D0D" w:themeColor="text1" w:themeTint="F2"/>
          <w:spacing w:val="-2"/>
          <w:sz w:val="16"/>
          <w:szCs w:val="16"/>
          <w:lang w:val="en-GB"/>
        </w:rPr>
        <w:t>)</w:t>
      </w:r>
      <w:r>
        <w:rPr>
          <w:color w:val="0D0D0D" w:themeColor="text1" w:themeTint="F2"/>
          <w:spacing w:val="-2"/>
          <w:sz w:val="16"/>
          <w:szCs w:val="16"/>
          <w:lang w:val="en-GB"/>
        </w:rPr>
        <w:t xml:space="preserve"> or in the number of smaller branches </w:t>
      </w:r>
      <w:r w:rsidRPr="00D14AF9">
        <w:rPr>
          <w:color w:val="0D0D0D" w:themeColor="text1" w:themeTint="F2"/>
          <w:spacing w:val="-2"/>
          <w:sz w:val="16"/>
          <w:szCs w:val="16"/>
          <w:lang w:val="en-GB"/>
        </w:rPr>
        <w:t>(</w:t>
      </w:r>
      <w:r>
        <w:rPr>
          <w:color w:val="0D0D0D" w:themeColor="text1" w:themeTint="F2"/>
          <w:spacing w:val="-2"/>
          <w:sz w:val="16"/>
          <w:szCs w:val="16"/>
          <w:lang w:val="en-GB"/>
        </w:rPr>
        <w:t>beverage, textiles, wearing apparel, wood and paper industry</w:t>
      </w:r>
      <w:r w:rsidRPr="00D14AF9">
        <w:rPr>
          <w:color w:val="0D0D0D" w:themeColor="text1" w:themeTint="F2"/>
          <w:spacing w:val="-2"/>
          <w:sz w:val="16"/>
          <w:szCs w:val="16"/>
          <w:lang w:val="en-GB"/>
        </w:rPr>
        <w:t>). On the</w:t>
      </w:r>
      <w:r>
        <w:rPr>
          <w:color w:val="0D0D0D" w:themeColor="text1" w:themeTint="F2"/>
          <w:spacing w:val="-2"/>
          <w:sz w:val="16"/>
          <w:szCs w:val="16"/>
          <w:lang w:val="en-GB"/>
        </w:rPr>
        <w:t xml:space="preserve"> contrary, mildly positive outlooks prevailed in manufacturing of motor vehicles, computers, electronic and optical appliances, among smaller branches then in the pharmaceuticals, printing activities, manufacturing of footwear or repairs and installation of machinery and equipment.  </w:t>
      </w:r>
    </w:p>
    <w:p w14:paraId="158B4574" w14:textId="2766D35C" w:rsidR="008C5AA7" w:rsidRPr="00F6716B" w:rsidRDefault="008C5AA7" w:rsidP="00E15065">
      <w:pPr>
        <w:pStyle w:val="Textpoznpodarou"/>
        <w:jc w:val="both"/>
        <w:rPr>
          <w:color w:val="0D0D0D" w:themeColor="text1" w:themeTint="F2"/>
          <w:spacing w:val="-4"/>
          <w:sz w:val="16"/>
          <w:szCs w:val="16"/>
          <w:lang w:val="en-GB"/>
        </w:rPr>
      </w:pPr>
      <w:r>
        <w:rPr>
          <w:color w:val="0D0D0D" w:themeColor="text1" w:themeTint="F2"/>
          <w:spacing w:val="-4"/>
          <w:sz w:val="16"/>
          <w:szCs w:val="16"/>
          <w:lang w:val="en-GB"/>
        </w:rPr>
        <w:t>In services, the negative anticipations were the most obvious in the land transport, in financial activities, in telecommunications, in publishing activities, at travel offices and agencies, repairs of computers and products for personal need for household or in administrative, office or other support service activities for businesses. In contrast, for a number of other business services (legal and accounting activities, architectural and engineering activities, services of employment agencies) or in insurance activities, programming, courier activities, restaurants and warehousing, the businesses assumed rather higher employment.</w:t>
      </w:r>
    </w:p>
  </w:footnote>
  <w:footnote w:id="64">
    <w:p w14:paraId="1AF425DF" w14:textId="62F60519" w:rsidR="008C5AA7" w:rsidRPr="00F6716B" w:rsidRDefault="008C5AA7" w:rsidP="00BE0D18">
      <w:pPr>
        <w:pStyle w:val="Textpoznpodarou"/>
        <w:jc w:val="both"/>
        <w:rPr>
          <w:spacing w:val="-3"/>
          <w:sz w:val="16"/>
          <w:szCs w:val="16"/>
          <w:lang w:val="en-GB"/>
        </w:rPr>
      </w:pPr>
      <w:r w:rsidRPr="00F6716B">
        <w:rPr>
          <w:rStyle w:val="Znakapoznpodarou"/>
          <w:spacing w:val="-3"/>
          <w:sz w:val="16"/>
          <w:szCs w:val="16"/>
          <w:lang w:val="en-GB"/>
        </w:rPr>
        <w:footnoteRef/>
      </w:r>
      <w:r w:rsidRPr="00F6716B">
        <w:rPr>
          <w:spacing w:val="-3"/>
          <w:sz w:val="16"/>
          <w:szCs w:val="16"/>
          <w:lang w:val="en-GB"/>
        </w:rPr>
        <w:t xml:space="preserve"> </w:t>
      </w:r>
      <w:r w:rsidRPr="00A433ED">
        <w:rPr>
          <w:spacing w:val="-3"/>
          <w:sz w:val="16"/>
          <w:szCs w:val="16"/>
          <w:lang w:val="en-GB"/>
        </w:rPr>
        <w:t>Unless stated otherwise, all data regarding the unemployment rates are sourced from the LFSS (based on the ILO methodology) and are adjusted for seasonal effects.</w:t>
      </w:r>
    </w:p>
  </w:footnote>
  <w:footnote w:id="65">
    <w:p w14:paraId="235D8E5E" w14:textId="4A65086B" w:rsidR="008C5AA7" w:rsidRPr="00FC7BC8" w:rsidRDefault="008C5AA7" w:rsidP="00821A86">
      <w:pPr>
        <w:pStyle w:val="paragraph"/>
        <w:spacing w:before="0" w:beforeAutospacing="0" w:after="0" w:afterAutospacing="0"/>
        <w:jc w:val="both"/>
        <w:textAlignment w:val="baseline"/>
        <w:rPr>
          <w:rFonts w:ascii="Arial" w:hAnsi="Arial" w:cs="Arial"/>
          <w:sz w:val="20"/>
          <w:szCs w:val="20"/>
          <w:lang w:val="en-GB"/>
        </w:rPr>
      </w:pPr>
      <w:r w:rsidRPr="00F6716B">
        <w:rPr>
          <w:rFonts w:ascii="Arial" w:eastAsia="Calibri" w:hAnsi="Arial"/>
          <w:color w:val="0D0D0D" w:themeColor="text1" w:themeTint="F2"/>
          <w:spacing w:val="-4"/>
          <w:sz w:val="16"/>
          <w:szCs w:val="16"/>
          <w:vertAlign w:val="superscript"/>
          <w:lang w:val="en-GB"/>
        </w:rPr>
        <w:footnoteRef/>
      </w:r>
      <w:r w:rsidRPr="00F6716B">
        <w:rPr>
          <w:rFonts w:ascii="Arial" w:eastAsia="Calibri" w:hAnsi="Arial"/>
          <w:color w:val="0D0D0D" w:themeColor="text1" w:themeTint="F2"/>
          <w:spacing w:val="-4"/>
          <w:sz w:val="16"/>
          <w:szCs w:val="16"/>
          <w:lang w:val="en-GB"/>
        </w:rPr>
        <w:t xml:space="preserve"> </w:t>
      </w:r>
      <w:r>
        <w:rPr>
          <w:rFonts w:ascii="Arial" w:eastAsia="Calibri" w:hAnsi="Arial"/>
          <w:color w:val="0D0D0D" w:themeColor="text1" w:themeTint="F2"/>
          <w:spacing w:val="-4"/>
          <w:sz w:val="16"/>
          <w:szCs w:val="16"/>
          <w:lang w:val="en-GB"/>
        </w:rPr>
        <w:t xml:space="preserve">The CR still occupied a significant position among the EU states. Only Malta (2.5%) recorded lower total unemployment </w:t>
      </w:r>
      <w:r w:rsidRPr="00F6716B">
        <w:rPr>
          <w:rFonts w:ascii="Arial" w:eastAsia="Calibri" w:hAnsi="Arial"/>
          <w:sz w:val="16"/>
          <w:szCs w:val="16"/>
          <w:lang w:val="en-GB"/>
        </w:rPr>
        <w:t>(</w:t>
      </w:r>
      <w:r>
        <w:rPr>
          <w:rFonts w:ascii="Arial" w:eastAsia="Calibri" w:hAnsi="Arial"/>
          <w:sz w:val="16"/>
          <w:szCs w:val="16"/>
          <w:lang w:val="en-GB"/>
        </w:rPr>
        <w:t xml:space="preserve">of persons aged </w:t>
      </w:r>
      <w:r w:rsidRPr="00F6716B">
        <w:rPr>
          <w:rFonts w:ascii="Arial" w:eastAsia="Calibri" w:hAnsi="Arial"/>
          <w:sz w:val="16"/>
          <w:szCs w:val="16"/>
          <w:lang w:val="en-GB"/>
        </w:rPr>
        <w:t>15–74</w:t>
      </w:r>
      <w:r>
        <w:rPr>
          <w:rFonts w:ascii="Arial" w:eastAsia="Calibri" w:hAnsi="Arial"/>
          <w:sz w:val="16"/>
          <w:szCs w:val="16"/>
          <w:lang w:val="en-GB"/>
        </w:rPr>
        <w:t xml:space="preserve"> years</w:t>
      </w:r>
      <w:r w:rsidRPr="00F6716B">
        <w:rPr>
          <w:rFonts w:ascii="Arial" w:eastAsia="Calibri" w:hAnsi="Arial"/>
          <w:sz w:val="16"/>
          <w:szCs w:val="16"/>
          <w:lang w:val="en-GB"/>
        </w:rPr>
        <w:t>)</w:t>
      </w:r>
      <w:r>
        <w:rPr>
          <w:rFonts w:ascii="Arial" w:eastAsia="Calibri" w:hAnsi="Arial"/>
          <w:sz w:val="16"/>
          <w:szCs w:val="16"/>
          <w:lang w:val="en-GB"/>
        </w:rPr>
        <w:t xml:space="preserve"> than this country. Among the central European countries, Poland as well as Germany maintained the unemployment below </w:t>
      </w:r>
      <w:r w:rsidRPr="00F6716B">
        <w:rPr>
          <w:rFonts w:ascii="Arial" w:eastAsia="Calibri" w:hAnsi="Arial"/>
          <w:sz w:val="16"/>
          <w:szCs w:val="16"/>
          <w:lang w:val="en-GB"/>
        </w:rPr>
        <w:t>3%</w:t>
      </w:r>
      <w:r>
        <w:rPr>
          <w:rFonts w:ascii="Arial" w:eastAsia="Calibri" w:hAnsi="Arial"/>
          <w:sz w:val="16"/>
          <w:szCs w:val="16"/>
          <w:lang w:val="en-GB"/>
        </w:rPr>
        <w:t xml:space="preserve">, </w:t>
      </w:r>
      <w:r w:rsidRPr="00821A86">
        <w:rPr>
          <w:rFonts w:ascii="Arial" w:eastAsia="Calibri" w:hAnsi="Arial"/>
          <w:sz w:val="16"/>
          <w:szCs w:val="16"/>
          <w:lang w:val="en-GB"/>
        </w:rPr>
        <w:t xml:space="preserve">it was higher </w:t>
      </w:r>
      <w:r>
        <w:rPr>
          <w:rFonts w:ascii="Arial" w:eastAsia="Calibri" w:hAnsi="Arial"/>
          <w:sz w:val="16"/>
          <w:szCs w:val="16"/>
          <w:lang w:val="en-GB"/>
        </w:rPr>
        <w:t>in</w:t>
      </w:r>
      <w:r w:rsidRPr="00821A86">
        <w:rPr>
          <w:rFonts w:ascii="Arial" w:eastAsia="Calibri" w:hAnsi="Arial"/>
          <w:sz w:val="16"/>
          <w:szCs w:val="16"/>
          <w:lang w:val="en-GB"/>
        </w:rPr>
        <w:t xml:space="preserve"> Slovakia (5.8%) and Austria (5.6%). </w:t>
      </w:r>
      <w:r>
        <w:rPr>
          <w:rFonts w:ascii="Arial" w:eastAsia="Calibri" w:hAnsi="Arial"/>
          <w:sz w:val="16"/>
          <w:szCs w:val="16"/>
          <w:lang w:val="en-GB"/>
        </w:rPr>
        <w:t xml:space="preserve">Traditionally, Spain (11.6%) and Greece (10.8%) faced the biggest difficulties in the whole EU. </w:t>
      </w:r>
      <w:r w:rsidRPr="00821A86">
        <w:rPr>
          <w:rFonts w:ascii="Arial" w:eastAsia="Calibri" w:hAnsi="Arial"/>
          <w:sz w:val="16"/>
          <w:szCs w:val="16"/>
          <w:lang w:val="en-GB"/>
        </w:rPr>
        <w:t>The unemployment stayed on very low values both in the EU (5.9%) and the euro area (6.4%)</w:t>
      </w:r>
      <w:r>
        <w:rPr>
          <w:rFonts w:ascii="Arial" w:eastAsia="Calibri" w:hAnsi="Arial"/>
          <w:sz w:val="16"/>
          <w:szCs w:val="16"/>
          <w:lang w:val="en-GB"/>
        </w:rPr>
        <w:t>. It stagnated compared to this year</w:t>
      </w:r>
      <w:r>
        <w:rPr>
          <w:rFonts w:ascii="Arial" w:eastAsia="Calibri" w:hAnsi="Arial"/>
          <w:sz w:val="16"/>
          <w:szCs w:val="16"/>
          <w:lang w:val="en-US"/>
        </w:rPr>
        <w:t>’s June and it was b</w:t>
      </w:r>
      <w:r>
        <w:rPr>
          <w:rFonts w:ascii="Arial" w:eastAsia="Calibri" w:hAnsi="Arial"/>
          <w:sz w:val="16"/>
          <w:szCs w:val="16"/>
        </w:rPr>
        <w:t xml:space="preserve">y </w:t>
      </w:r>
      <w:r w:rsidRPr="00FC7BC8">
        <w:rPr>
          <w:rFonts w:ascii="Arial" w:eastAsia="Calibri" w:hAnsi="Arial"/>
          <w:sz w:val="16"/>
          <w:szCs w:val="16"/>
          <w:lang w:val="en-GB"/>
        </w:rPr>
        <w:t xml:space="preserve">more than 1 p. p. lower </w:t>
      </w:r>
      <w:r>
        <w:rPr>
          <w:rFonts w:ascii="Arial" w:eastAsia="Calibri" w:hAnsi="Arial"/>
          <w:sz w:val="16"/>
          <w:szCs w:val="16"/>
          <w:lang w:val="en-GB"/>
        </w:rPr>
        <w:t xml:space="preserve">in comparison to the boom year </w:t>
      </w:r>
      <w:r w:rsidRPr="00FC7BC8">
        <w:rPr>
          <w:rFonts w:ascii="Arial" w:eastAsia="Calibri" w:hAnsi="Arial"/>
          <w:sz w:val="16"/>
          <w:szCs w:val="16"/>
          <w:lang w:val="en-GB"/>
        </w:rPr>
        <w:t xml:space="preserve">2008. </w:t>
      </w:r>
    </w:p>
  </w:footnote>
  <w:footnote w:id="66">
    <w:p w14:paraId="572B6205" w14:textId="6AC81573" w:rsidR="008C5AA7" w:rsidRPr="00FC7BC8" w:rsidRDefault="008C5AA7" w:rsidP="00821A86">
      <w:pPr>
        <w:pStyle w:val="Textpoznpodarou"/>
        <w:jc w:val="both"/>
        <w:rPr>
          <w:sz w:val="16"/>
          <w:szCs w:val="16"/>
          <w:lang w:val="en-GB"/>
        </w:rPr>
      </w:pPr>
      <w:r w:rsidRPr="00FC7BC8">
        <w:rPr>
          <w:rStyle w:val="Znakapoznpodarou"/>
          <w:sz w:val="16"/>
          <w:szCs w:val="16"/>
          <w:lang w:val="en-GB"/>
        </w:rPr>
        <w:footnoteRef/>
      </w:r>
      <w:r w:rsidRPr="00FC7BC8">
        <w:rPr>
          <w:sz w:val="16"/>
          <w:szCs w:val="16"/>
          <w:lang w:val="en-GB"/>
        </w:rPr>
        <w:t xml:space="preserve"> </w:t>
      </w:r>
      <w:r>
        <w:rPr>
          <w:sz w:val="16"/>
          <w:szCs w:val="16"/>
          <w:lang w:val="en-GB"/>
        </w:rPr>
        <w:t xml:space="preserve">Based on the LFSS data, the seasonally unadjusted proportion of the reachable job applicants aged </w:t>
      </w:r>
      <w:r w:rsidRPr="00FC7BC8">
        <w:rPr>
          <w:spacing w:val="-3"/>
          <w:sz w:val="16"/>
          <w:szCs w:val="16"/>
          <w:lang w:val="en-GB"/>
        </w:rPr>
        <w:t>15</w:t>
      </w:r>
      <w:r>
        <w:rPr>
          <w:spacing w:val="-3"/>
          <w:sz w:val="16"/>
          <w:szCs w:val="16"/>
          <w:lang w:val="en-GB"/>
        </w:rPr>
        <w:t xml:space="preserve"> to </w:t>
      </w:r>
      <w:r w:rsidRPr="00FC7BC8">
        <w:rPr>
          <w:spacing w:val="-3"/>
          <w:sz w:val="16"/>
          <w:szCs w:val="16"/>
          <w:lang w:val="en-GB"/>
        </w:rPr>
        <w:t>64</w:t>
      </w:r>
      <w:r>
        <w:rPr>
          <w:spacing w:val="-3"/>
          <w:sz w:val="16"/>
          <w:szCs w:val="16"/>
          <w:lang w:val="en-GB"/>
        </w:rPr>
        <w:t xml:space="preserve"> years of the population of the same age arrived at </w:t>
      </w:r>
      <w:r w:rsidRPr="00FC7BC8">
        <w:rPr>
          <w:spacing w:val="-2"/>
          <w:sz w:val="16"/>
          <w:szCs w:val="16"/>
          <w:lang w:val="en-GB"/>
        </w:rPr>
        <w:t>3</w:t>
      </w:r>
      <w:r>
        <w:rPr>
          <w:spacing w:val="-2"/>
          <w:sz w:val="16"/>
          <w:szCs w:val="16"/>
          <w:lang w:val="en-GB"/>
        </w:rPr>
        <w:t>.</w:t>
      </w:r>
      <w:r w:rsidRPr="00FC7BC8">
        <w:rPr>
          <w:spacing w:val="-2"/>
          <w:sz w:val="16"/>
          <w:szCs w:val="16"/>
          <w:lang w:val="en-GB"/>
        </w:rPr>
        <w:t>6%</w:t>
      </w:r>
      <w:r>
        <w:rPr>
          <w:spacing w:val="-2"/>
          <w:sz w:val="16"/>
          <w:szCs w:val="16"/>
          <w:lang w:val="en-GB"/>
        </w:rPr>
        <w:t xml:space="preserve"> last year in January</w:t>
      </w:r>
      <w:r w:rsidRPr="00FC7BC8">
        <w:rPr>
          <w:spacing w:val="-2"/>
          <w:sz w:val="16"/>
          <w:szCs w:val="16"/>
          <w:lang w:val="en-GB"/>
        </w:rPr>
        <w:t>,</w:t>
      </w:r>
      <w:r>
        <w:rPr>
          <w:spacing w:val="-2"/>
          <w:sz w:val="16"/>
          <w:szCs w:val="16"/>
          <w:lang w:val="en-GB"/>
        </w:rPr>
        <w:t xml:space="preserve"> </w:t>
      </w:r>
      <w:r w:rsidRPr="00FC7BC8">
        <w:rPr>
          <w:spacing w:val="-2"/>
          <w:sz w:val="16"/>
          <w:szCs w:val="16"/>
          <w:lang w:val="en-GB"/>
        </w:rPr>
        <w:t>3</w:t>
      </w:r>
      <w:r>
        <w:rPr>
          <w:spacing w:val="-2"/>
          <w:sz w:val="16"/>
          <w:szCs w:val="16"/>
          <w:lang w:val="en-GB"/>
        </w:rPr>
        <w:t>.</w:t>
      </w:r>
      <w:r w:rsidRPr="00FC7BC8">
        <w:rPr>
          <w:spacing w:val="-2"/>
          <w:sz w:val="16"/>
          <w:szCs w:val="16"/>
          <w:lang w:val="en-GB"/>
        </w:rPr>
        <w:t>3%</w:t>
      </w:r>
      <w:r>
        <w:rPr>
          <w:spacing w:val="-2"/>
          <w:sz w:val="16"/>
          <w:szCs w:val="16"/>
          <w:lang w:val="en-GB"/>
        </w:rPr>
        <w:t xml:space="preserve"> in July and </w:t>
      </w:r>
      <w:r w:rsidRPr="00FC7BC8">
        <w:rPr>
          <w:spacing w:val="-2"/>
          <w:sz w:val="16"/>
          <w:szCs w:val="16"/>
          <w:lang w:val="en-GB"/>
        </w:rPr>
        <w:t>3</w:t>
      </w:r>
      <w:r>
        <w:rPr>
          <w:spacing w:val="-2"/>
          <w:sz w:val="16"/>
          <w:szCs w:val="16"/>
          <w:lang w:val="en-GB"/>
        </w:rPr>
        <w:t>.</w:t>
      </w:r>
      <w:r w:rsidRPr="00FC7BC8">
        <w:rPr>
          <w:spacing w:val="-2"/>
          <w:sz w:val="16"/>
          <w:szCs w:val="16"/>
          <w:lang w:val="en-GB"/>
        </w:rPr>
        <w:t>7%</w:t>
      </w:r>
      <w:r>
        <w:rPr>
          <w:spacing w:val="-2"/>
          <w:sz w:val="16"/>
          <w:szCs w:val="16"/>
          <w:lang w:val="en-GB"/>
        </w:rPr>
        <w:t xml:space="preserve"> in December</w:t>
      </w:r>
      <w:r w:rsidRPr="00FC7BC8">
        <w:rPr>
          <w:spacing w:val="-2"/>
          <w:sz w:val="16"/>
          <w:szCs w:val="16"/>
          <w:lang w:val="en-GB"/>
        </w:rPr>
        <w:t xml:space="preserve">. </w:t>
      </w:r>
      <w:r>
        <w:rPr>
          <w:spacing w:val="-2"/>
          <w:sz w:val="16"/>
          <w:szCs w:val="16"/>
          <w:lang w:val="en-GB"/>
        </w:rPr>
        <w:t xml:space="preserve">It climbed to </w:t>
      </w:r>
      <w:r w:rsidRPr="00FC7BC8">
        <w:rPr>
          <w:spacing w:val="-2"/>
          <w:sz w:val="16"/>
          <w:szCs w:val="16"/>
          <w:lang w:val="en-GB"/>
        </w:rPr>
        <w:t>3</w:t>
      </w:r>
      <w:r>
        <w:rPr>
          <w:spacing w:val="-2"/>
          <w:sz w:val="16"/>
          <w:szCs w:val="16"/>
          <w:lang w:val="en-GB"/>
        </w:rPr>
        <w:t>.</w:t>
      </w:r>
      <w:r w:rsidRPr="00FC7BC8">
        <w:rPr>
          <w:spacing w:val="-2"/>
          <w:sz w:val="16"/>
          <w:szCs w:val="16"/>
          <w:lang w:val="en-GB"/>
        </w:rPr>
        <w:t>9%</w:t>
      </w:r>
      <w:r>
        <w:rPr>
          <w:spacing w:val="-2"/>
          <w:sz w:val="16"/>
          <w:szCs w:val="16"/>
          <w:lang w:val="en-GB"/>
        </w:rPr>
        <w:t xml:space="preserve"> in January</w:t>
      </w:r>
      <w:r w:rsidRPr="00FC7BC8">
        <w:rPr>
          <w:spacing w:val="-2"/>
          <w:sz w:val="16"/>
          <w:szCs w:val="16"/>
          <w:lang w:val="en-GB"/>
        </w:rPr>
        <w:t xml:space="preserve"> (</w:t>
      </w:r>
      <w:r>
        <w:rPr>
          <w:spacing w:val="-2"/>
          <w:sz w:val="16"/>
          <w:szCs w:val="16"/>
          <w:lang w:val="en-GB"/>
        </w:rPr>
        <w:t xml:space="preserve">the highest since May </w:t>
      </w:r>
      <w:r w:rsidRPr="00FC7BC8">
        <w:rPr>
          <w:spacing w:val="-2"/>
          <w:sz w:val="16"/>
          <w:szCs w:val="16"/>
          <w:lang w:val="en-GB"/>
        </w:rPr>
        <w:t>2021),</w:t>
      </w:r>
      <w:r>
        <w:rPr>
          <w:spacing w:val="-2"/>
          <w:sz w:val="16"/>
          <w:szCs w:val="16"/>
          <w:lang w:val="en-GB"/>
        </w:rPr>
        <w:t xml:space="preserve"> it fell to </w:t>
      </w:r>
      <w:r w:rsidRPr="00FC7BC8">
        <w:rPr>
          <w:spacing w:val="-2"/>
          <w:sz w:val="16"/>
          <w:szCs w:val="16"/>
          <w:lang w:val="en-GB"/>
        </w:rPr>
        <w:t>3</w:t>
      </w:r>
      <w:r>
        <w:rPr>
          <w:spacing w:val="-2"/>
          <w:sz w:val="16"/>
          <w:szCs w:val="16"/>
          <w:lang w:val="en-GB"/>
        </w:rPr>
        <w:t>.</w:t>
      </w:r>
      <w:r w:rsidRPr="00FC7BC8">
        <w:rPr>
          <w:spacing w:val="-2"/>
          <w:sz w:val="16"/>
          <w:szCs w:val="16"/>
          <w:lang w:val="en-GB"/>
        </w:rPr>
        <w:t>5%</w:t>
      </w:r>
      <w:r>
        <w:rPr>
          <w:spacing w:val="-2"/>
          <w:sz w:val="16"/>
          <w:szCs w:val="16"/>
          <w:lang w:val="en-GB"/>
        </w:rPr>
        <w:t xml:space="preserve"> in July</w:t>
      </w:r>
      <w:r w:rsidRPr="00FC7BC8">
        <w:rPr>
          <w:spacing w:val="-2"/>
          <w:sz w:val="16"/>
          <w:szCs w:val="16"/>
          <w:lang w:val="en-GB"/>
        </w:rPr>
        <w:t>.</w:t>
      </w:r>
    </w:p>
  </w:footnote>
  <w:footnote w:id="67">
    <w:p w14:paraId="365C4AA9" w14:textId="12AF67D9" w:rsidR="008C5AA7" w:rsidRPr="00FC7BC8" w:rsidRDefault="008C5AA7" w:rsidP="00821A86">
      <w:pPr>
        <w:pStyle w:val="Textpoznpodarou"/>
        <w:jc w:val="both"/>
        <w:rPr>
          <w:sz w:val="16"/>
          <w:szCs w:val="16"/>
          <w:lang w:val="en-GB"/>
        </w:rPr>
      </w:pPr>
      <w:r w:rsidRPr="00FC7BC8">
        <w:rPr>
          <w:rStyle w:val="Znakapoznpodarou"/>
          <w:sz w:val="16"/>
          <w:szCs w:val="16"/>
          <w:lang w:val="en-GB"/>
        </w:rPr>
        <w:footnoteRef/>
      </w:r>
      <w:r w:rsidRPr="00FC7BC8">
        <w:rPr>
          <w:sz w:val="16"/>
          <w:szCs w:val="16"/>
          <w:lang w:val="en-GB"/>
        </w:rPr>
        <w:t xml:space="preserve"> </w:t>
      </w:r>
      <w:r>
        <w:rPr>
          <w:sz w:val="16"/>
          <w:szCs w:val="16"/>
          <w:lang w:val="en-GB"/>
        </w:rPr>
        <w:t xml:space="preserve">Only a fraction of this quantity is however able to join the workforce immediately, since a significant part of working reserves consists of students and females on the parental leave. </w:t>
      </w:r>
    </w:p>
  </w:footnote>
  <w:footnote w:id="68">
    <w:p w14:paraId="0885A5B1" w14:textId="77777777" w:rsidR="008C5AA7" w:rsidRPr="00FC7BC8" w:rsidRDefault="008C5AA7" w:rsidP="00821A86">
      <w:pPr>
        <w:spacing w:after="0"/>
        <w:rPr>
          <w:color w:val="0D0D0D" w:themeColor="text1" w:themeTint="F2"/>
          <w:spacing w:val="-4"/>
          <w:sz w:val="16"/>
          <w:szCs w:val="16"/>
          <w:lang w:val="en-GB"/>
        </w:rPr>
      </w:pPr>
      <w:r w:rsidRPr="00FC7BC8">
        <w:rPr>
          <w:rStyle w:val="Znakapoznpodarou"/>
          <w:sz w:val="16"/>
          <w:szCs w:val="16"/>
          <w:lang w:val="en-GB"/>
        </w:rPr>
        <w:footnoteRef/>
      </w:r>
      <w:r w:rsidRPr="00FC7BC8">
        <w:rPr>
          <w:sz w:val="16"/>
          <w:szCs w:val="16"/>
          <w:lang w:val="en-GB"/>
        </w:rPr>
        <w:t xml:space="preserve"> Current decrease was however the weakest in a row since the beginning of last year. </w:t>
      </w:r>
    </w:p>
  </w:footnote>
  <w:footnote w:id="69">
    <w:p w14:paraId="0A32308D" w14:textId="77777777" w:rsidR="008C5AA7" w:rsidRPr="00FC7BC8" w:rsidRDefault="008C5AA7" w:rsidP="00821A86">
      <w:pPr>
        <w:pStyle w:val="Textpoznpodarou"/>
        <w:jc w:val="both"/>
        <w:rPr>
          <w:sz w:val="16"/>
          <w:szCs w:val="16"/>
          <w:lang w:val="en-GB"/>
        </w:rPr>
      </w:pPr>
      <w:r w:rsidRPr="00FC7BC8">
        <w:rPr>
          <w:rStyle w:val="Znakapoznpodarou"/>
          <w:spacing w:val="-3"/>
          <w:sz w:val="16"/>
          <w:szCs w:val="16"/>
          <w:lang w:val="en-GB"/>
        </w:rPr>
        <w:footnoteRef/>
      </w:r>
      <w:r w:rsidRPr="00FC7BC8">
        <w:rPr>
          <w:spacing w:val="-3"/>
          <w:sz w:val="16"/>
          <w:szCs w:val="16"/>
          <w:lang w:val="en-GB"/>
        </w:rPr>
        <w:t xml:space="preserve"> The Gross disposable income (GDI) of households in real expression lowered by 3.4% year-on-year in Q1 2023, in that the volume of wages and salaries in the national accounts conception slumped by 3.8% in real terms for the same time period (according to the preliminary data, this volume also fell in Q2, specifically by 1.9%). Wages and salaries also reflect (unlike the business statistics) other factors, e.g. the grey economy, possible increase of economic activity of population, for instance in the form of second employments or work agreements. GDI includes next to wages and salaries also income flowing from running a business or ownership of capital and also social transfers from state, incl. the until recently fully adjusted retirement pensions (effect of the amendment of the adjustment scheme for the reason of saving measures occurred for the first time in June 2023).</w:t>
      </w:r>
    </w:p>
    <w:p w14:paraId="427D3C02" w14:textId="77777777" w:rsidR="008C5AA7" w:rsidRPr="00B6005F" w:rsidRDefault="008C5AA7" w:rsidP="00821A86">
      <w:pPr>
        <w:pStyle w:val="Textpoznpodarou"/>
        <w:jc w:val="both"/>
        <w:rPr>
          <w:spacing w:val="-3"/>
          <w:sz w:val="16"/>
          <w:szCs w:val="16"/>
        </w:rPr>
      </w:pPr>
    </w:p>
  </w:footnote>
  <w:footnote w:id="70">
    <w:p w14:paraId="5651AC21" w14:textId="10F98BE4" w:rsidR="008C5AA7" w:rsidRPr="00E13E90" w:rsidRDefault="008C5AA7" w:rsidP="00834131">
      <w:pPr>
        <w:pStyle w:val="Textpoznpodarou"/>
        <w:jc w:val="both"/>
        <w:rPr>
          <w:spacing w:val="-3"/>
          <w:sz w:val="16"/>
          <w:szCs w:val="16"/>
          <w:lang w:val="en-GB"/>
        </w:rPr>
      </w:pPr>
      <w:r w:rsidRPr="00B6005F">
        <w:rPr>
          <w:rStyle w:val="Znakapoznpodarou"/>
          <w:spacing w:val="-3"/>
          <w:sz w:val="16"/>
          <w:szCs w:val="16"/>
        </w:rPr>
        <w:footnoteRef/>
      </w:r>
      <w:r w:rsidRPr="00B6005F">
        <w:rPr>
          <w:spacing w:val="-3"/>
          <w:sz w:val="16"/>
          <w:szCs w:val="16"/>
        </w:rPr>
        <w:t xml:space="preserve"> </w:t>
      </w:r>
      <w:r w:rsidRPr="00E13E90">
        <w:rPr>
          <w:spacing w:val="-3"/>
          <w:sz w:val="16"/>
          <w:szCs w:val="16"/>
          <w:lang w:val="en-GB"/>
        </w:rPr>
        <w:t>The branch public administration and social work was an exception. As of 1</w:t>
      </w:r>
      <w:r w:rsidRPr="00E13E90">
        <w:rPr>
          <w:spacing w:val="-3"/>
          <w:sz w:val="16"/>
          <w:szCs w:val="16"/>
          <w:vertAlign w:val="superscript"/>
          <w:lang w:val="en-GB"/>
        </w:rPr>
        <w:t>st</w:t>
      </w:r>
      <w:r w:rsidRPr="00E13E90">
        <w:rPr>
          <w:spacing w:val="-3"/>
          <w:sz w:val="16"/>
          <w:szCs w:val="16"/>
          <w:lang w:val="en-GB"/>
        </w:rPr>
        <w:t xml:space="preserve"> September 2022, 10% </w:t>
      </w:r>
      <w:r>
        <w:rPr>
          <w:spacing w:val="-3"/>
          <w:sz w:val="16"/>
          <w:szCs w:val="16"/>
          <w:lang w:val="en-GB"/>
        </w:rPr>
        <w:t>raise of the pay tariffs for employees falling under the Act on civil service was put in place</w:t>
      </w:r>
      <w:r w:rsidRPr="00E13E90">
        <w:rPr>
          <w:spacing w:val="-4"/>
          <w:sz w:val="16"/>
          <w:szCs w:val="16"/>
          <w:lang w:val="en-GB"/>
        </w:rPr>
        <w:t xml:space="preserve">. </w:t>
      </w:r>
      <w:r>
        <w:rPr>
          <w:spacing w:val="-4"/>
          <w:sz w:val="16"/>
          <w:szCs w:val="16"/>
          <w:lang w:val="en-GB"/>
        </w:rPr>
        <w:t xml:space="preserve">The pay tariffs of armed forces and public security forces were also raised (by 10%) as of January </w:t>
      </w:r>
      <w:r w:rsidRPr="00E13E90">
        <w:rPr>
          <w:spacing w:val="-4"/>
          <w:sz w:val="16"/>
          <w:szCs w:val="16"/>
          <w:lang w:val="en-GB"/>
        </w:rPr>
        <w:t>2023</w:t>
      </w:r>
      <w:r>
        <w:rPr>
          <w:spacing w:val="-4"/>
          <w:sz w:val="16"/>
          <w:szCs w:val="16"/>
          <w:lang w:val="en-GB"/>
        </w:rPr>
        <w:t xml:space="preserve">. </w:t>
      </w:r>
    </w:p>
  </w:footnote>
  <w:footnote w:id="71">
    <w:p w14:paraId="16455923" w14:textId="071D7A62" w:rsidR="008C5AA7" w:rsidRPr="00E13E90" w:rsidRDefault="008C5AA7" w:rsidP="00834131">
      <w:pPr>
        <w:pStyle w:val="Textpoznpodarou"/>
        <w:jc w:val="both"/>
        <w:rPr>
          <w:spacing w:val="-3"/>
          <w:sz w:val="16"/>
          <w:szCs w:val="16"/>
          <w:lang w:val="en-GB"/>
        </w:rPr>
      </w:pPr>
      <w:r w:rsidRPr="00E13E90">
        <w:rPr>
          <w:rStyle w:val="Znakapoznpodarou"/>
          <w:spacing w:val="-3"/>
          <w:sz w:val="16"/>
          <w:szCs w:val="16"/>
          <w:lang w:val="en-GB"/>
        </w:rPr>
        <w:footnoteRef/>
      </w:r>
      <w:r w:rsidRPr="00E13E90">
        <w:rPr>
          <w:spacing w:val="-3"/>
          <w:sz w:val="16"/>
          <w:szCs w:val="16"/>
          <w:lang w:val="en-GB"/>
        </w:rPr>
        <w:t xml:space="preserve"> </w:t>
      </w:r>
      <w:r>
        <w:rPr>
          <w:spacing w:val="-3"/>
          <w:sz w:val="16"/>
          <w:szCs w:val="16"/>
          <w:lang w:val="en-GB"/>
        </w:rPr>
        <w:t xml:space="preserve">Minimum wage was raised by 6.8% </w:t>
      </w:r>
      <w:r w:rsidRPr="00E13E90">
        <w:rPr>
          <w:spacing w:val="-3"/>
          <w:sz w:val="16"/>
          <w:szCs w:val="16"/>
          <w:lang w:val="en-GB"/>
        </w:rPr>
        <w:t>(</w:t>
      </w:r>
      <w:r>
        <w:rPr>
          <w:spacing w:val="-3"/>
          <w:sz w:val="16"/>
          <w:szCs w:val="16"/>
          <w:lang w:val="en-GB"/>
        </w:rPr>
        <w:t>comparably to the previous year</w:t>
      </w:r>
      <w:r w:rsidRPr="00E13E90">
        <w:rPr>
          <w:spacing w:val="-3"/>
          <w:sz w:val="16"/>
          <w:szCs w:val="16"/>
          <w:lang w:val="en-GB"/>
        </w:rPr>
        <w:t>)</w:t>
      </w:r>
      <w:r>
        <w:rPr>
          <w:spacing w:val="-3"/>
          <w:sz w:val="16"/>
          <w:szCs w:val="16"/>
          <w:lang w:val="en-GB"/>
        </w:rPr>
        <w:t xml:space="preserve"> as of January </w:t>
      </w:r>
      <w:r w:rsidRPr="00E13E90">
        <w:rPr>
          <w:spacing w:val="-3"/>
          <w:sz w:val="16"/>
          <w:szCs w:val="16"/>
          <w:lang w:val="en-GB"/>
        </w:rPr>
        <w:t>2023.</w:t>
      </w:r>
      <w:r>
        <w:rPr>
          <w:spacing w:val="-3"/>
          <w:sz w:val="16"/>
          <w:szCs w:val="16"/>
          <w:lang w:val="en-GB"/>
        </w:rPr>
        <w:t xml:space="preserve"> Unlike the practice from past years however the shift of the minimum wage was not accompanied by increase of the boundary for the so called guaranteed wages</w:t>
      </w:r>
      <w:r w:rsidRPr="00E13E90">
        <w:rPr>
          <w:spacing w:val="-3"/>
          <w:sz w:val="16"/>
          <w:szCs w:val="16"/>
          <w:lang w:val="en-GB"/>
        </w:rPr>
        <w:t xml:space="preserve"> (</w:t>
      </w:r>
      <w:r>
        <w:rPr>
          <w:spacing w:val="-3"/>
          <w:sz w:val="16"/>
          <w:szCs w:val="16"/>
          <w:lang w:val="en-GB"/>
        </w:rPr>
        <w:t xml:space="preserve">it increased this year only in the eighth </w:t>
      </w:r>
      <w:r w:rsidRPr="00E13E90">
        <w:rPr>
          <w:spacing w:val="-3"/>
          <w:sz w:val="16"/>
          <w:szCs w:val="16"/>
          <w:lang w:val="en-GB"/>
        </w:rPr>
        <w:t xml:space="preserve">– </w:t>
      </w:r>
      <w:r>
        <w:rPr>
          <w:spacing w:val="-3"/>
          <w:sz w:val="16"/>
          <w:szCs w:val="16"/>
          <w:lang w:val="en-GB"/>
        </w:rPr>
        <w:t xml:space="preserve">category of jobs with the highest qualification </w:t>
      </w:r>
      <w:r w:rsidRPr="00E13E90">
        <w:rPr>
          <w:spacing w:val="-3"/>
          <w:sz w:val="16"/>
          <w:szCs w:val="16"/>
          <w:lang w:val="en-GB"/>
        </w:rPr>
        <w:t xml:space="preserve">–, </w:t>
      </w:r>
      <w:r>
        <w:rPr>
          <w:spacing w:val="-3"/>
          <w:sz w:val="16"/>
          <w:szCs w:val="16"/>
          <w:lang w:val="en-GB"/>
        </w:rPr>
        <w:t>where however only a fraction of employees receives wage</w:t>
      </w:r>
      <w:r w:rsidRPr="00E13E90">
        <w:rPr>
          <w:spacing w:val="-3"/>
          <w:sz w:val="16"/>
          <w:szCs w:val="16"/>
          <w:lang w:val="en-GB"/>
        </w:rPr>
        <w:t>).</w:t>
      </w:r>
    </w:p>
  </w:footnote>
  <w:footnote w:id="72">
    <w:p w14:paraId="559A5826" w14:textId="0821925B" w:rsidR="008C5AA7" w:rsidRPr="00E13E90" w:rsidRDefault="008C5AA7" w:rsidP="00834131">
      <w:pPr>
        <w:pStyle w:val="Textpoznpodarou"/>
        <w:jc w:val="both"/>
        <w:rPr>
          <w:sz w:val="16"/>
          <w:szCs w:val="16"/>
          <w:lang w:val="en-GB"/>
        </w:rPr>
      </w:pPr>
      <w:r w:rsidRPr="00E13E90">
        <w:rPr>
          <w:rStyle w:val="Znakapoznpodarou"/>
          <w:sz w:val="16"/>
          <w:szCs w:val="16"/>
          <w:lang w:val="en-GB"/>
        </w:rPr>
        <w:footnoteRef/>
      </w:r>
      <w:r w:rsidRPr="00E13E90">
        <w:rPr>
          <w:sz w:val="16"/>
          <w:szCs w:val="16"/>
          <w:lang w:val="en-GB"/>
        </w:rPr>
        <w:t xml:space="preserve"> </w:t>
      </w:r>
      <w:r>
        <w:rPr>
          <w:sz w:val="16"/>
          <w:szCs w:val="16"/>
          <w:lang w:val="en-GB"/>
        </w:rPr>
        <w:t>For instance the median of wage of citizens of Ukraine rose the least among all more significant foreigner groups of employees according to the preliminary data in H</w:t>
      </w:r>
      <w:r w:rsidRPr="00E13E90">
        <w:rPr>
          <w:spacing w:val="-2"/>
          <w:sz w:val="16"/>
          <w:szCs w:val="16"/>
          <w:lang w:val="en-GB"/>
        </w:rPr>
        <w:t>1</w:t>
      </w:r>
      <w:r>
        <w:rPr>
          <w:spacing w:val="-2"/>
          <w:sz w:val="16"/>
          <w:szCs w:val="16"/>
          <w:lang w:val="en-GB"/>
        </w:rPr>
        <w:t xml:space="preserve"> </w:t>
      </w:r>
      <w:r w:rsidRPr="00E13E90">
        <w:rPr>
          <w:spacing w:val="-2"/>
          <w:sz w:val="16"/>
          <w:szCs w:val="16"/>
          <w:lang w:val="en-GB"/>
        </w:rPr>
        <w:t xml:space="preserve">– </w:t>
      </w:r>
      <w:r>
        <w:rPr>
          <w:spacing w:val="-2"/>
          <w:sz w:val="16"/>
          <w:szCs w:val="16"/>
          <w:lang w:val="en-GB"/>
        </w:rPr>
        <w:t xml:space="preserve">by </w:t>
      </w:r>
      <w:r w:rsidRPr="00E13E90">
        <w:rPr>
          <w:spacing w:val="-2"/>
          <w:sz w:val="16"/>
          <w:szCs w:val="16"/>
          <w:lang w:val="en-GB"/>
        </w:rPr>
        <w:t>6</w:t>
      </w:r>
      <w:r>
        <w:rPr>
          <w:spacing w:val="-2"/>
          <w:sz w:val="16"/>
          <w:szCs w:val="16"/>
          <w:lang w:val="en-GB"/>
        </w:rPr>
        <w:t>.</w:t>
      </w:r>
      <w:r w:rsidRPr="00E13E90">
        <w:rPr>
          <w:spacing w:val="-2"/>
          <w:sz w:val="16"/>
          <w:szCs w:val="16"/>
          <w:lang w:val="en-GB"/>
        </w:rPr>
        <w:t>2%</w:t>
      </w:r>
      <w:r>
        <w:rPr>
          <w:spacing w:val="-2"/>
          <w:sz w:val="16"/>
          <w:szCs w:val="16"/>
          <w:lang w:val="en-GB"/>
        </w:rPr>
        <w:t xml:space="preserve"> year-on-year</w:t>
      </w:r>
      <w:r w:rsidRPr="00E13E90">
        <w:rPr>
          <w:spacing w:val="-2"/>
          <w:sz w:val="16"/>
          <w:szCs w:val="16"/>
          <w:lang w:val="en-GB"/>
        </w:rPr>
        <w:t xml:space="preserve"> (</w:t>
      </w:r>
      <w:r>
        <w:rPr>
          <w:spacing w:val="-2"/>
          <w:sz w:val="16"/>
          <w:szCs w:val="16"/>
          <w:lang w:val="en-GB"/>
        </w:rPr>
        <w:t xml:space="preserve">to less than </w:t>
      </w:r>
      <w:r w:rsidRPr="00E13E90">
        <w:rPr>
          <w:spacing w:val="-2"/>
          <w:sz w:val="16"/>
          <w:szCs w:val="16"/>
          <w:lang w:val="en-GB"/>
        </w:rPr>
        <w:t>30</w:t>
      </w:r>
      <w:r>
        <w:rPr>
          <w:spacing w:val="-2"/>
          <w:sz w:val="16"/>
          <w:szCs w:val="16"/>
          <w:lang w:val="en-GB"/>
        </w:rPr>
        <w:t xml:space="preserve"> CZK</w:t>
      </w:r>
      <w:r w:rsidRPr="00E13E90">
        <w:rPr>
          <w:spacing w:val="-2"/>
          <w:sz w:val="16"/>
          <w:szCs w:val="16"/>
          <w:lang w:val="en-GB"/>
        </w:rPr>
        <w:t xml:space="preserve"> </w:t>
      </w:r>
      <w:r>
        <w:rPr>
          <w:spacing w:val="-2"/>
          <w:sz w:val="16"/>
          <w:szCs w:val="16"/>
          <w:lang w:val="en-GB"/>
        </w:rPr>
        <w:t>thousand</w:t>
      </w:r>
      <w:r w:rsidRPr="00E13E90">
        <w:rPr>
          <w:spacing w:val="-2"/>
          <w:sz w:val="16"/>
          <w:szCs w:val="16"/>
          <w:lang w:val="en-GB"/>
        </w:rPr>
        <w:t xml:space="preserve">), </w:t>
      </w:r>
      <w:r>
        <w:rPr>
          <w:spacing w:val="-2"/>
          <w:sz w:val="16"/>
          <w:szCs w:val="16"/>
          <w:lang w:val="en-GB"/>
        </w:rPr>
        <w:t xml:space="preserve">even though the mean value of wage increased by 7.2% on the whole labour market. </w:t>
      </w:r>
    </w:p>
  </w:footnote>
  <w:footnote w:id="73">
    <w:p w14:paraId="7D7963CF" w14:textId="4AD185B0" w:rsidR="008C5AA7" w:rsidRPr="00E13E90" w:rsidRDefault="008C5AA7" w:rsidP="00834131">
      <w:pPr>
        <w:pStyle w:val="Textpoznpodarou"/>
        <w:jc w:val="both"/>
        <w:rPr>
          <w:sz w:val="16"/>
          <w:szCs w:val="16"/>
          <w:lang w:val="en-GB"/>
        </w:rPr>
      </w:pPr>
      <w:r w:rsidRPr="00E13E90">
        <w:rPr>
          <w:rStyle w:val="Znakapoznpodarou"/>
          <w:spacing w:val="-3"/>
          <w:sz w:val="16"/>
          <w:szCs w:val="16"/>
          <w:lang w:val="en-GB"/>
        </w:rPr>
        <w:footnoteRef/>
      </w:r>
      <w:r w:rsidRPr="00E13E90">
        <w:rPr>
          <w:spacing w:val="-3"/>
          <w:sz w:val="16"/>
          <w:szCs w:val="16"/>
          <w:lang w:val="en-GB"/>
        </w:rPr>
        <w:t xml:space="preserve"> Includes generation and distribution of electricity, gas, heat and air conditioning. </w:t>
      </w:r>
    </w:p>
  </w:footnote>
  <w:footnote w:id="74">
    <w:p w14:paraId="34F70312" w14:textId="461877DA" w:rsidR="008C5AA7" w:rsidRPr="00E03A92" w:rsidRDefault="008C5AA7" w:rsidP="00C23796">
      <w:pPr>
        <w:pStyle w:val="Textpoznpodarou"/>
        <w:jc w:val="both"/>
        <w:rPr>
          <w:spacing w:val="-2"/>
          <w:sz w:val="16"/>
          <w:szCs w:val="16"/>
          <w:lang w:val="en-GB"/>
        </w:rPr>
      </w:pPr>
      <w:r w:rsidRPr="007A01D2">
        <w:rPr>
          <w:rStyle w:val="Znakapoznpodarou"/>
          <w:spacing w:val="-2"/>
          <w:sz w:val="16"/>
          <w:szCs w:val="16"/>
        </w:rPr>
        <w:footnoteRef/>
      </w:r>
      <w:r w:rsidRPr="007A01D2">
        <w:rPr>
          <w:spacing w:val="-2"/>
          <w:sz w:val="16"/>
          <w:szCs w:val="16"/>
        </w:rPr>
        <w:t xml:space="preserve"> </w:t>
      </w:r>
      <w:r w:rsidRPr="00E03A92">
        <w:rPr>
          <w:spacing w:val="-2"/>
          <w:sz w:val="16"/>
          <w:szCs w:val="16"/>
          <w:lang w:val="en-GB"/>
        </w:rPr>
        <w:t xml:space="preserve">After allowing for the swift growth of employment here the volume of paid out wages increased by nearly one fifth and matched thus the branch of energetics. </w:t>
      </w:r>
    </w:p>
  </w:footnote>
  <w:footnote w:id="75">
    <w:p w14:paraId="033DA195" w14:textId="4363A7FC" w:rsidR="008C5AA7" w:rsidRPr="00C23796" w:rsidRDefault="008C5AA7" w:rsidP="00C23796">
      <w:pPr>
        <w:pStyle w:val="Textpoznpodarou"/>
        <w:jc w:val="both"/>
        <w:rPr>
          <w:sz w:val="16"/>
          <w:szCs w:val="16"/>
          <w:lang w:val="en-GB"/>
        </w:rPr>
      </w:pPr>
      <w:r w:rsidRPr="00C23796">
        <w:rPr>
          <w:rStyle w:val="Znakapoznpodarou"/>
          <w:sz w:val="16"/>
          <w:szCs w:val="16"/>
          <w:lang w:val="en-GB"/>
        </w:rPr>
        <w:footnoteRef/>
      </w:r>
      <w:r w:rsidRPr="00C23796">
        <w:rPr>
          <w:sz w:val="16"/>
          <w:szCs w:val="16"/>
          <w:lang w:val="en-GB"/>
        </w:rPr>
        <w:t xml:space="preserve"> </w:t>
      </w:r>
      <w:r>
        <w:rPr>
          <w:sz w:val="16"/>
          <w:szCs w:val="16"/>
          <w:lang w:val="en-GB"/>
        </w:rPr>
        <w:t xml:space="preserve">It is with regards to employment relatively small branch consisting of diverse spectrum of activities. It concerns mainly the professional bodies, trade unions, associations and citizen initiatives, but also repairs of computers and products for personal needs and further personal services for household </w:t>
      </w:r>
      <w:r w:rsidRPr="00C23796">
        <w:rPr>
          <w:sz w:val="16"/>
          <w:szCs w:val="16"/>
          <w:lang w:val="en-GB"/>
        </w:rPr>
        <w:t>(</w:t>
      </w:r>
      <w:r>
        <w:rPr>
          <w:sz w:val="16"/>
          <w:szCs w:val="16"/>
          <w:lang w:val="en-GB"/>
        </w:rPr>
        <w:t>e.g. cosmetic, hairdressing, cleaners of clothing and others</w:t>
      </w:r>
      <w:r w:rsidRPr="00C23796">
        <w:rPr>
          <w:sz w:val="16"/>
          <w:szCs w:val="16"/>
          <w:lang w:val="en-GB"/>
        </w:rPr>
        <w:t>).</w:t>
      </w:r>
    </w:p>
  </w:footnote>
  <w:footnote w:id="76">
    <w:p w14:paraId="6E6C9503" w14:textId="2A0CBEC6" w:rsidR="008C5AA7" w:rsidRPr="00C23796" w:rsidRDefault="008C5AA7" w:rsidP="00C83B4C">
      <w:pPr>
        <w:spacing w:after="0" w:line="240" w:lineRule="auto"/>
        <w:rPr>
          <w:sz w:val="16"/>
          <w:szCs w:val="16"/>
          <w:lang w:val="en-GB"/>
        </w:rPr>
      </w:pPr>
      <w:r w:rsidRPr="00C23796">
        <w:rPr>
          <w:rStyle w:val="Znakapoznpodarou"/>
          <w:sz w:val="16"/>
          <w:szCs w:val="16"/>
          <w:lang w:val="en-GB"/>
        </w:rPr>
        <w:footnoteRef/>
      </w:r>
      <w:r w:rsidRPr="00C23796">
        <w:rPr>
          <w:sz w:val="16"/>
          <w:szCs w:val="16"/>
          <w:lang w:val="en-GB"/>
        </w:rPr>
        <w:t xml:space="preserve"> </w:t>
      </w:r>
      <w:r>
        <w:rPr>
          <w:sz w:val="16"/>
          <w:szCs w:val="16"/>
          <w:lang w:val="en-GB"/>
        </w:rPr>
        <w:t xml:space="preserve">For simplification includes branch Public administration, mandatory social security; Education; Health and social work; Cultural, amusement and recreational activities. </w:t>
      </w:r>
    </w:p>
  </w:footnote>
  <w:footnote w:id="77">
    <w:p w14:paraId="569D83A9" w14:textId="3233233F" w:rsidR="008C5AA7" w:rsidRPr="00676A86" w:rsidRDefault="008C5AA7" w:rsidP="00676A86">
      <w:pPr>
        <w:pStyle w:val="Textpoznpodarou"/>
        <w:jc w:val="both"/>
        <w:rPr>
          <w:spacing w:val="-3"/>
          <w:sz w:val="16"/>
          <w:szCs w:val="16"/>
          <w:lang w:val="en-GB"/>
        </w:rPr>
      </w:pPr>
      <w:r w:rsidRPr="00676A86">
        <w:rPr>
          <w:rStyle w:val="Znakapoznpodarou"/>
          <w:spacing w:val="-3"/>
          <w:sz w:val="16"/>
          <w:szCs w:val="16"/>
          <w:lang w:val="en-GB"/>
        </w:rPr>
        <w:footnoteRef/>
      </w:r>
      <w:r w:rsidRPr="00676A86">
        <w:rPr>
          <w:spacing w:val="-3"/>
          <w:sz w:val="16"/>
          <w:szCs w:val="16"/>
          <w:lang w:val="en-GB"/>
        </w:rPr>
        <w:t xml:space="preserve"> The raise of pay tariffs of non-educational staff by 10% implemented since the last year’s September was reflected in the growth of the average wages here. </w:t>
      </w:r>
    </w:p>
  </w:footnote>
  <w:footnote w:id="78">
    <w:p w14:paraId="043B5E44" w14:textId="70CDA7DF" w:rsidR="008C5AA7" w:rsidRPr="00E63B6E" w:rsidRDefault="008C5AA7" w:rsidP="00E63B6E">
      <w:pPr>
        <w:pStyle w:val="Textpoznpodarou"/>
        <w:jc w:val="both"/>
        <w:rPr>
          <w:sz w:val="16"/>
          <w:szCs w:val="16"/>
          <w:lang w:val="en-GB"/>
        </w:rPr>
      </w:pPr>
      <w:r>
        <w:rPr>
          <w:rStyle w:val="Znakapoznpodarou"/>
          <w:sz w:val="16"/>
          <w:szCs w:val="16"/>
        </w:rPr>
        <w:footnoteRef/>
      </w:r>
      <w:r>
        <w:rPr>
          <w:sz w:val="16"/>
          <w:szCs w:val="16"/>
        </w:rPr>
        <w:t xml:space="preserve"> </w:t>
      </w:r>
      <w:r w:rsidRPr="00E63B6E">
        <w:rPr>
          <w:sz w:val="16"/>
          <w:szCs w:val="16"/>
          <w:lang w:val="en-GB"/>
        </w:rPr>
        <w:t>Unless stated otherwise, the source of data in the chapter is the Czech National Bank database ARAD. Values of foreign exchange rates also stem from the CNB.</w:t>
      </w:r>
    </w:p>
  </w:footnote>
  <w:footnote w:id="79">
    <w:p w14:paraId="749C133E" w14:textId="5A329FC3" w:rsidR="008C5AA7" w:rsidRPr="001F5F82" w:rsidRDefault="008C5AA7" w:rsidP="00E63B6E">
      <w:pPr>
        <w:pStyle w:val="Textpoznpodarou"/>
        <w:jc w:val="both"/>
        <w:rPr>
          <w:sz w:val="16"/>
          <w:szCs w:val="16"/>
        </w:rPr>
      </w:pPr>
      <w:r w:rsidRPr="001F5F82">
        <w:rPr>
          <w:rStyle w:val="Znakapoznpodarou"/>
          <w:sz w:val="16"/>
          <w:szCs w:val="16"/>
        </w:rPr>
        <w:footnoteRef/>
      </w:r>
      <w:r w:rsidRPr="001F5F82">
        <w:rPr>
          <w:sz w:val="16"/>
          <w:szCs w:val="16"/>
        </w:rPr>
        <w:t xml:space="preserve"> </w:t>
      </w:r>
      <w:r>
        <w:rPr>
          <w:sz w:val="16"/>
          <w:szCs w:val="16"/>
          <w:lang w:val="en-GB"/>
        </w:rPr>
        <w:t>Unless stated otherwise, as the change of interest rates is meant the difference between value as of 30</w:t>
      </w:r>
      <w:r w:rsidRPr="006063BB">
        <w:rPr>
          <w:sz w:val="16"/>
          <w:szCs w:val="16"/>
          <w:vertAlign w:val="superscript"/>
          <w:lang w:val="en-GB"/>
        </w:rPr>
        <w:t>th</w:t>
      </w:r>
      <w:r>
        <w:rPr>
          <w:sz w:val="16"/>
          <w:szCs w:val="16"/>
          <w:lang w:val="en-GB"/>
        </w:rPr>
        <w:t xml:space="preserve"> June</w:t>
      </w:r>
      <w:r w:rsidRPr="001C044E">
        <w:rPr>
          <w:sz w:val="16"/>
          <w:szCs w:val="16"/>
          <w:lang w:val="en-GB"/>
        </w:rPr>
        <w:t xml:space="preserve"> 202</w:t>
      </w:r>
      <w:r>
        <w:rPr>
          <w:sz w:val="16"/>
          <w:szCs w:val="16"/>
          <w:lang w:val="en-GB"/>
        </w:rPr>
        <w:t>3</w:t>
      </w:r>
      <w:r w:rsidRPr="001C044E">
        <w:rPr>
          <w:sz w:val="16"/>
          <w:szCs w:val="16"/>
          <w:lang w:val="en-GB"/>
        </w:rPr>
        <w:t xml:space="preserve"> a</w:t>
      </w:r>
      <w:r>
        <w:rPr>
          <w:sz w:val="16"/>
          <w:szCs w:val="16"/>
          <w:lang w:val="en-GB"/>
        </w:rPr>
        <w:t>nd 31</w:t>
      </w:r>
      <w:r w:rsidRPr="006063BB">
        <w:rPr>
          <w:sz w:val="16"/>
          <w:szCs w:val="16"/>
          <w:vertAlign w:val="superscript"/>
          <w:lang w:val="en-GB"/>
        </w:rPr>
        <w:t>st</w:t>
      </w:r>
      <w:r>
        <w:rPr>
          <w:sz w:val="16"/>
          <w:szCs w:val="16"/>
          <w:lang w:val="en-GB"/>
        </w:rPr>
        <w:t xml:space="preserve"> March</w:t>
      </w:r>
      <w:r w:rsidRPr="001C044E">
        <w:rPr>
          <w:sz w:val="16"/>
          <w:szCs w:val="16"/>
          <w:lang w:val="en-GB"/>
        </w:rPr>
        <w:t xml:space="preserve"> 202</w:t>
      </w:r>
      <w:r>
        <w:rPr>
          <w:sz w:val="16"/>
          <w:szCs w:val="16"/>
          <w:lang w:val="en-GB"/>
        </w:rPr>
        <w:t>3</w:t>
      </w:r>
      <w:r w:rsidRPr="001C044E">
        <w:rPr>
          <w:sz w:val="16"/>
          <w:szCs w:val="16"/>
          <w:lang w:val="en-GB"/>
        </w:rPr>
        <w:t>.</w:t>
      </w:r>
    </w:p>
  </w:footnote>
  <w:footnote w:id="80">
    <w:p w14:paraId="229B28BD" w14:textId="766CCBB5" w:rsidR="008C5AA7" w:rsidRPr="00651A71" w:rsidRDefault="008C5AA7" w:rsidP="00E63B6E">
      <w:pPr>
        <w:pStyle w:val="Textpoznpodarou"/>
        <w:jc w:val="both"/>
        <w:rPr>
          <w:sz w:val="16"/>
          <w:szCs w:val="16"/>
        </w:rPr>
      </w:pPr>
      <w:r w:rsidRPr="00651A71">
        <w:rPr>
          <w:rStyle w:val="Znakapoznpodarou"/>
          <w:sz w:val="16"/>
          <w:szCs w:val="16"/>
        </w:rPr>
        <w:footnoteRef/>
      </w:r>
      <w:r w:rsidRPr="00651A71">
        <w:rPr>
          <w:sz w:val="16"/>
          <w:szCs w:val="16"/>
        </w:rPr>
        <w:t xml:space="preserve"> </w:t>
      </w:r>
      <w:r>
        <w:rPr>
          <w:sz w:val="16"/>
          <w:szCs w:val="16"/>
          <w:lang w:val="en-GB"/>
        </w:rPr>
        <w:t xml:space="preserve">Population including self-employed persons. </w:t>
      </w:r>
    </w:p>
  </w:footnote>
  <w:footnote w:id="81">
    <w:p w14:paraId="35768DD6" w14:textId="4AEDBA54" w:rsidR="008C5AA7" w:rsidRPr="007E1443" w:rsidRDefault="008C5AA7" w:rsidP="007E1443">
      <w:pPr>
        <w:pStyle w:val="Textpoznpodarou"/>
        <w:jc w:val="both"/>
        <w:rPr>
          <w:sz w:val="16"/>
          <w:szCs w:val="16"/>
          <w:lang w:val="en-GB"/>
        </w:rPr>
      </w:pPr>
      <w:r w:rsidRPr="00284DA5">
        <w:rPr>
          <w:rStyle w:val="Znakapoznpodarou"/>
          <w:sz w:val="16"/>
          <w:szCs w:val="16"/>
        </w:rPr>
        <w:footnoteRef/>
      </w:r>
      <w:r w:rsidRPr="00284DA5">
        <w:rPr>
          <w:sz w:val="16"/>
          <w:szCs w:val="16"/>
        </w:rPr>
        <w:t xml:space="preserve"> </w:t>
      </w:r>
      <w:r w:rsidRPr="007E1443">
        <w:rPr>
          <w:sz w:val="16"/>
          <w:szCs w:val="16"/>
          <w:lang w:val="en-GB"/>
        </w:rPr>
        <w:t xml:space="preserve">New contracts also include the refinanced credit and </w:t>
      </w:r>
      <w:r>
        <w:rPr>
          <w:sz w:val="16"/>
          <w:szCs w:val="16"/>
          <w:lang w:val="en-GB"/>
        </w:rPr>
        <w:t>o</w:t>
      </w:r>
      <w:r w:rsidRPr="007A3C7D">
        <w:rPr>
          <w:sz w:val="16"/>
          <w:szCs w:val="16"/>
          <w:lang w:val="en-GB"/>
        </w:rPr>
        <w:t>ther renegotiated loans</w:t>
      </w:r>
      <w:r w:rsidRPr="007E1443">
        <w:rPr>
          <w:sz w:val="16"/>
          <w:szCs w:val="16"/>
          <w:lang w:val="en-GB"/>
        </w:rPr>
        <w:t>. Refinanc</w:t>
      </w:r>
      <w:r>
        <w:rPr>
          <w:sz w:val="16"/>
          <w:szCs w:val="16"/>
          <w:lang w:val="en-GB"/>
        </w:rPr>
        <w:t xml:space="preserve">ed credit includes current contracts concluded newly at other bank, while other renegotiated loans are current contracts concluded with new conditions at the same bank. </w:t>
      </w:r>
    </w:p>
  </w:footnote>
  <w:footnote w:id="82">
    <w:p w14:paraId="202C26E8" w14:textId="15801398" w:rsidR="008C5AA7" w:rsidRPr="007E1443" w:rsidRDefault="008C5AA7" w:rsidP="007E1443">
      <w:pPr>
        <w:pStyle w:val="Textpoznpodarou"/>
        <w:jc w:val="both"/>
        <w:rPr>
          <w:sz w:val="16"/>
          <w:szCs w:val="16"/>
          <w:lang w:val="en-GB"/>
        </w:rPr>
      </w:pPr>
      <w:r w:rsidRPr="007E1443">
        <w:rPr>
          <w:rStyle w:val="Znakapoznpodarou"/>
          <w:sz w:val="16"/>
          <w:szCs w:val="16"/>
          <w:lang w:val="en-GB"/>
        </w:rPr>
        <w:footnoteRef/>
      </w:r>
      <w:r w:rsidRPr="007E1443">
        <w:rPr>
          <w:sz w:val="16"/>
          <w:szCs w:val="16"/>
          <w:lang w:val="en-GB"/>
        </w:rPr>
        <w:t xml:space="preserve"> </w:t>
      </w:r>
      <w:r>
        <w:rPr>
          <w:sz w:val="16"/>
          <w:szCs w:val="16"/>
          <w:lang w:val="en-GB"/>
        </w:rPr>
        <w:t xml:space="preserve">Credit in foreign currency started to rise steeply following the commencement of the repeated increase of the monetary policy-relevant rates in June </w:t>
      </w:r>
      <w:r w:rsidRPr="007E1443">
        <w:rPr>
          <w:sz w:val="16"/>
          <w:szCs w:val="16"/>
          <w:lang w:val="en-GB"/>
        </w:rPr>
        <w:t>2021.</w:t>
      </w:r>
    </w:p>
  </w:footnote>
  <w:footnote w:id="83">
    <w:p w14:paraId="3CFA6B9C" w14:textId="4D904E80" w:rsidR="008C5AA7" w:rsidRPr="00E63B6E" w:rsidRDefault="008C5AA7" w:rsidP="00106BCC">
      <w:pPr>
        <w:pStyle w:val="Textpoznpodarou"/>
        <w:jc w:val="both"/>
        <w:rPr>
          <w:sz w:val="16"/>
          <w:szCs w:val="16"/>
          <w:lang w:val="en-GB"/>
        </w:rPr>
      </w:pPr>
      <w:r w:rsidRPr="008522D6">
        <w:rPr>
          <w:rStyle w:val="Znakapoznpodarou"/>
          <w:sz w:val="16"/>
          <w:szCs w:val="16"/>
        </w:rPr>
        <w:footnoteRef/>
      </w:r>
      <w:r w:rsidRPr="008522D6">
        <w:rPr>
          <w:sz w:val="16"/>
          <w:szCs w:val="16"/>
        </w:rPr>
        <w:t xml:space="preserve"> </w:t>
      </w:r>
      <w:r w:rsidRPr="00E63B6E">
        <w:rPr>
          <w:spacing w:val="-3"/>
          <w:sz w:val="16"/>
          <w:szCs w:val="16"/>
          <w:lang w:val="en-GB"/>
        </w:rPr>
        <w:t>Unless stated otherwise</w:t>
      </w:r>
      <w:r w:rsidRPr="00E63B6E">
        <w:rPr>
          <w:color w:val="0D0D0D" w:themeColor="text1" w:themeTint="F2"/>
          <w:spacing w:val="-3"/>
          <w:sz w:val="16"/>
          <w:szCs w:val="16"/>
          <w:lang w:val="en-GB"/>
        </w:rPr>
        <w:t xml:space="preserve">, </w:t>
      </w:r>
      <w:r w:rsidRPr="00E63B6E">
        <w:rPr>
          <w:sz w:val="16"/>
          <w:szCs w:val="16"/>
          <w:lang w:val="en-GB"/>
        </w:rPr>
        <w:t xml:space="preserve">all data related to the state budget stem from the data of the Ministry of Finance regarding the treasury fulfilment. </w:t>
      </w:r>
    </w:p>
  </w:footnote>
  <w:footnote w:id="84">
    <w:p w14:paraId="6DFF2546" w14:textId="0888E39B" w:rsidR="008C5AA7" w:rsidRPr="00E63B6E" w:rsidRDefault="008C5AA7" w:rsidP="00106BCC">
      <w:pPr>
        <w:pStyle w:val="Textpoznpodarou"/>
        <w:rPr>
          <w:sz w:val="16"/>
          <w:szCs w:val="16"/>
          <w:lang w:val="en-GB"/>
        </w:rPr>
      </w:pPr>
      <w:r w:rsidRPr="00E63B6E">
        <w:rPr>
          <w:rStyle w:val="Znakapoznpodarou"/>
          <w:sz w:val="16"/>
          <w:szCs w:val="16"/>
          <w:lang w:val="en-GB"/>
        </w:rPr>
        <w:footnoteRef/>
      </w:r>
      <w:r w:rsidRPr="00E63B6E">
        <w:rPr>
          <w:sz w:val="16"/>
          <w:szCs w:val="16"/>
          <w:lang w:val="en-GB"/>
        </w:rPr>
        <w:t xml:space="preserve"> Based on Act No. 449/2023 Coll., on the state budget for year 2023, approved on 30th November 2022. </w:t>
      </w:r>
    </w:p>
  </w:footnote>
  <w:footnote w:id="85">
    <w:p w14:paraId="7045D3F4" w14:textId="5BBAD93D" w:rsidR="008C5AA7" w:rsidRPr="00F137EC" w:rsidRDefault="008C5AA7" w:rsidP="00F137EC">
      <w:pPr>
        <w:pStyle w:val="Textpoznpodarou"/>
        <w:jc w:val="both"/>
        <w:rPr>
          <w:spacing w:val="-2"/>
          <w:lang w:val="en-GB"/>
        </w:rPr>
      </w:pPr>
      <w:r w:rsidRPr="00563E75">
        <w:rPr>
          <w:rStyle w:val="Znakapoznpodarou"/>
          <w:spacing w:val="-2"/>
          <w:sz w:val="16"/>
          <w:szCs w:val="16"/>
        </w:rPr>
        <w:footnoteRef/>
      </w:r>
      <w:r w:rsidRPr="00563E75">
        <w:rPr>
          <w:spacing w:val="-2"/>
        </w:rPr>
        <w:t xml:space="preserve"> </w:t>
      </w:r>
      <w:r>
        <w:rPr>
          <w:spacing w:val="-2"/>
          <w:sz w:val="16"/>
          <w:szCs w:val="16"/>
          <w:lang w:val="en-GB"/>
        </w:rPr>
        <w:t>Collections of the “</w:t>
      </w:r>
      <w:r w:rsidRPr="00F137EC">
        <w:rPr>
          <w:spacing w:val="-2"/>
          <w:sz w:val="16"/>
          <w:szCs w:val="16"/>
          <w:lang w:val="en-GB"/>
        </w:rPr>
        <w:t>se</w:t>
      </w:r>
      <w:r>
        <w:rPr>
          <w:spacing w:val="-2"/>
          <w:sz w:val="16"/>
          <w:szCs w:val="16"/>
          <w:lang w:val="en-GB"/>
        </w:rPr>
        <w:t>ctor”</w:t>
      </w:r>
      <w:r w:rsidRPr="00F137EC">
        <w:rPr>
          <w:spacing w:val="-2"/>
          <w:sz w:val="16"/>
          <w:szCs w:val="16"/>
          <w:lang w:val="en-GB"/>
        </w:rPr>
        <w:t xml:space="preserve"> </w:t>
      </w:r>
      <w:r>
        <w:rPr>
          <w:spacing w:val="-2"/>
          <w:sz w:val="16"/>
          <w:szCs w:val="16"/>
          <w:lang w:val="en-GB"/>
        </w:rPr>
        <w:t xml:space="preserve">tax from businesses from the unexpected profits and levies from the excess income </w:t>
      </w:r>
      <w:r w:rsidRPr="00F137EC">
        <w:rPr>
          <w:spacing w:val="-2"/>
          <w:sz w:val="16"/>
          <w:szCs w:val="16"/>
          <w:lang w:val="en-GB"/>
        </w:rPr>
        <w:t>(</w:t>
      </w:r>
      <w:r>
        <w:rPr>
          <w:spacing w:val="-2"/>
          <w:sz w:val="16"/>
          <w:szCs w:val="16"/>
          <w:lang w:val="en-GB"/>
        </w:rPr>
        <w:t xml:space="preserve">primarily estimated on </w:t>
      </w:r>
      <w:r w:rsidRPr="00F137EC">
        <w:rPr>
          <w:spacing w:val="-2"/>
          <w:sz w:val="16"/>
          <w:szCs w:val="16"/>
          <w:lang w:val="en-GB"/>
        </w:rPr>
        <w:t>100</w:t>
      </w:r>
      <w:r>
        <w:rPr>
          <w:spacing w:val="-2"/>
          <w:sz w:val="16"/>
          <w:szCs w:val="16"/>
          <w:lang w:val="en-GB"/>
        </w:rPr>
        <w:t xml:space="preserve"> CZK bn</w:t>
      </w:r>
      <w:r w:rsidRPr="00F137EC">
        <w:rPr>
          <w:spacing w:val="-2"/>
          <w:sz w:val="16"/>
          <w:szCs w:val="16"/>
          <w:lang w:val="en-GB"/>
        </w:rPr>
        <w:t xml:space="preserve">, </w:t>
      </w:r>
      <w:r>
        <w:rPr>
          <w:spacing w:val="-2"/>
          <w:sz w:val="16"/>
          <w:szCs w:val="16"/>
          <w:lang w:val="en-GB"/>
        </w:rPr>
        <w:t xml:space="preserve">currently </w:t>
      </w:r>
      <w:r w:rsidRPr="00F137EC">
        <w:rPr>
          <w:spacing w:val="-2"/>
          <w:sz w:val="16"/>
          <w:szCs w:val="16"/>
          <w:lang w:val="en-GB"/>
        </w:rPr>
        <w:t>64</w:t>
      </w:r>
      <w:r>
        <w:rPr>
          <w:spacing w:val="-2"/>
          <w:sz w:val="16"/>
          <w:szCs w:val="16"/>
          <w:lang w:val="en-GB"/>
        </w:rPr>
        <w:t>.</w:t>
      </w:r>
      <w:r w:rsidRPr="00F137EC">
        <w:rPr>
          <w:spacing w:val="-2"/>
          <w:sz w:val="16"/>
          <w:szCs w:val="16"/>
          <w:lang w:val="en-GB"/>
        </w:rPr>
        <w:t>5</w:t>
      </w:r>
      <w:r>
        <w:rPr>
          <w:spacing w:val="-2"/>
          <w:sz w:val="16"/>
          <w:szCs w:val="16"/>
          <w:lang w:val="en-GB"/>
        </w:rPr>
        <w:t xml:space="preserve"> bn</w:t>
      </w:r>
      <w:r w:rsidRPr="00F137EC">
        <w:rPr>
          <w:spacing w:val="-2"/>
          <w:sz w:val="16"/>
          <w:szCs w:val="16"/>
          <w:lang w:val="en-GB"/>
        </w:rPr>
        <w:t xml:space="preserve">), </w:t>
      </w:r>
      <w:r>
        <w:rPr>
          <w:spacing w:val="-2"/>
          <w:sz w:val="16"/>
          <w:szCs w:val="16"/>
          <w:lang w:val="en-GB"/>
        </w:rPr>
        <w:t xml:space="preserve">further for instance increase of the anticipated revenues from the emission allowances </w:t>
      </w:r>
      <w:r w:rsidRPr="00F137EC">
        <w:rPr>
          <w:spacing w:val="-2"/>
          <w:sz w:val="16"/>
          <w:szCs w:val="16"/>
          <w:lang w:val="en-GB"/>
        </w:rPr>
        <w:t>(</w:t>
      </w:r>
      <w:r>
        <w:rPr>
          <w:spacing w:val="-2"/>
          <w:sz w:val="16"/>
          <w:szCs w:val="16"/>
          <w:lang w:val="en-GB"/>
        </w:rPr>
        <w:t xml:space="preserve">to </w:t>
      </w:r>
      <w:r w:rsidRPr="00F137EC">
        <w:rPr>
          <w:spacing w:val="-2"/>
          <w:sz w:val="16"/>
          <w:szCs w:val="16"/>
          <w:lang w:val="en-GB"/>
        </w:rPr>
        <w:t>82</w:t>
      </w:r>
      <w:r>
        <w:rPr>
          <w:spacing w:val="-2"/>
          <w:sz w:val="16"/>
          <w:szCs w:val="16"/>
          <w:lang w:val="en-GB"/>
        </w:rPr>
        <w:t>.</w:t>
      </w:r>
      <w:r w:rsidRPr="00F137EC">
        <w:rPr>
          <w:spacing w:val="-2"/>
          <w:sz w:val="16"/>
          <w:szCs w:val="16"/>
          <w:lang w:val="en-GB"/>
        </w:rPr>
        <w:t>5</w:t>
      </w:r>
      <w:r>
        <w:rPr>
          <w:spacing w:val="-2"/>
          <w:sz w:val="16"/>
          <w:szCs w:val="16"/>
          <w:lang w:val="en-GB"/>
        </w:rPr>
        <w:t xml:space="preserve"> bn</w:t>
      </w:r>
      <w:r w:rsidRPr="00F137EC">
        <w:rPr>
          <w:spacing w:val="-2"/>
          <w:sz w:val="16"/>
          <w:szCs w:val="16"/>
          <w:lang w:val="en-GB"/>
        </w:rPr>
        <w:t>) a</w:t>
      </w:r>
      <w:r>
        <w:rPr>
          <w:spacing w:val="-2"/>
          <w:sz w:val="16"/>
          <w:szCs w:val="16"/>
          <w:lang w:val="en-GB"/>
        </w:rPr>
        <w:t xml:space="preserve">nd significantly strengthened transfer from the so called privatisation account </w:t>
      </w:r>
      <w:r w:rsidRPr="00F137EC">
        <w:rPr>
          <w:spacing w:val="-2"/>
          <w:sz w:val="16"/>
          <w:szCs w:val="16"/>
          <w:lang w:val="en-GB"/>
        </w:rPr>
        <w:t>(</w:t>
      </w:r>
      <w:r>
        <w:rPr>
          <w:spacing w:val="-2"/>
          <w:sz w:val="16"/>
          <w:szCs w:val="16"/>
          <w:lang w:val="en-GB"/>
        </w:rPr>
        <w:t xml:space="preserve">to </w:t>
      </w:r>
      <w:r w:rsidRPr="00F137EC">
        <w:rPr>
          <w:spacing w:val="-2"/>
          <w:sz w:val="16"/>
          <w:szCs w:val="16"/>
          <w:lang w:val="en-GB"/>
        </w:rPr>
        <w:t>45</w:t>
      </w:r>
      <w:r>
        <w:rPr>
          <w:spacing w:val="-2"/>
          <w:sz w:val="16"/>
          <w:szCs w:val="16"/>
          <w:lang w:val="en-GB"/>
        </w:rPr>
        <w:t xml:space="preserve"> bn</w:t>
      </w:r>
      <w:r w:rsidRPr="00F137EC">
        <w:rPr>
          <w:spacing w:val="-2"/>
          <w:sz w:val="16"/>
          <w:szCs w:val="16"/>
          <w:lang w:val="en-GB"/>
        </w:rPr>
        <w:t>)</w:t>
      </w:r>
      <w:r>
        <w:rPr>
          <w:spacing w:val="-2"/>
          <w:sz w:val="16"/>
          <w:szCs w:val="16"/>
          <w:lang w:val="en-GB"/>
        </w:rPr>
        <w:t xml:space="preserve"> should fundamentally participate on the anticipated growth of the total SB revenues for year 2023 (</w:t>
      </w:r>
      <w:r w:rsidRPr="00F137EC">
        <w:rPr>
          <w:spacing w:val="-2"/>
          <w:sz w:val="16"/>
          <w:szCs w:val="16"/>
          <w:lang w:val="en-GB"/>
        </w:rPr>
        <w:t>+19</w:t>
      </w:r>
      <w:r>
        <w:rPr>
          <w:spacing w:val="-2"/>
          <w:sz w:val="16"/>
          <w:szCs w:val="16"/>
          <w:lang w:val="en-GB"/>
        </w:rPr>
        <w:t>.</w:t>
      </w:r>
      <w:r w:rsidRPr="00F137EC">
        <w:rPr>
          <w:spacing w:val="-2"/>
          <w:sz w:val="16"/>
          <w:szCs w:val="16"/>
          <w:lang w:val="en-GB"/>
        </w:rPr>
        <w:t>5%)</w:t>
      </w:r>
      <w:r>
        <w:rPr>
          <w:spacing w:val="-2"/>
          <w:sz w:val="16"/>
          <w:szCs w:val="16"/>
          <w:lang w:val="en-GB"/>
        </w:rPr>
        <w:t>.</w:t>
      </w:r>
    </w:p>
  </w:footnote>
  <w:footnote w:id="86">
    <w:p w14:paraId="41E13CA3" w14:textId="287B27EA"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 xml:space="preserve">Contain revenues from the budget of the European Union and from the </w:t>
      </w:r>
      <w:proofErr w:type="gramStart"/>
      <w:r>
        <w:rPr>
          <w:sz w:val="16"/>
          <w:szCs w:val="16"/>
          <w:lang w:val="en-GB"/>
        </w:rPr>
        <w:t>Financial</w:t>
      </w:r>
      <w:proofErr w:type="gramEnd"/>
      <w:r>
        <w:rPr>
          <w:sz w:val="16"/>
          <w:szCs w:val="16"/>
          <w:lang w:val="en-GB"/>
        </w:rPr>
        <w:t xml:space="preserve"> mechanisms of EEA/Norway/Switzerland. </w:t>
      </w:r>
      <w:r w:rsidRPr="00F137EC">
        <w:rPr>
          <w:sz w:val="16"/>
          <w:szCs w:val="16"/>
          <w:lang w:val="en-GB"/>
        </w:rPr>
        <w:t xml:space="preserve"> </w:t>
      </w:r>
    </w:p>
  </w:footnote>
  <w:footnote w:id="87">
    <w:p w14:paraId="78E022EF" w14:textId="1B062A31"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T</w:t>
      </w:r>
      <w:r>
        <w:rPr>
          <w:sz w:val="16"/>
          <w:szCs w:val="16"/>
          <w:lang w:val="en-GB"/>
        </w:rPr>
        <w:t xml:space="preserve">his levy </w:t>
      </w:r>
      <w:r w:rsidRPr="00F137EC">
        <w:rPr>
          <w:sz w:val="16"/>
          <w:szCs w:val="16"/>
          <w:lang w:val="en-GB"/>
        </w:rPr>
        <w:t>(</w:t>
      </w:r>
      <w:r>
        <w:rPr>
          <w:sz w:val="16"/>
          <w:szCs w:val="16"/>
          <w:lang w:val="en-GB"/>
        </w:rPr>
        <w:t xml:space="preserve">taxed by </w:t>
      </w:r>
      <w:r w:rsidRPr="00F137EC">
        <w:rPr>
          <w:sz w:val="16"/>
          <w:szCs w:val="16"/>
          <w:lang w:val="en-GB"/>
        </w:rPr>
        <w:t xml:space="preserve">90% </w:t>
      </w:r>
      <w:r>
        <w:rPr>
          <w:sz w:val="16"/>
          <w:szCs w:val="16"/>
          <w:lang w:val="en-GB"/>
        </w:rPr>
        <w:t>rate</w:t>
      </w:r>
      <w:r w:rsidRPr="00F137EC">
        <w:rPr>
          <w:sz w:val="16"/>
          <w:szCs w:val="16"/>
          <w:lang w:val="en-GB"/>
        </w:rPr>
        <w:t>)</w:t>
      </w:r>
      <w:r>
        <w:rPr>
          <w:sz w:val="16"/>
          <w:szCs w:val="16"/>
          <w:lang w:val="en-GB"/>
        </w:rPr>
        <w:t xml:space="preserve"> presents a difference between real income and ceiling of the market income from the sale of electricity above the given limit </w:t>
      </w:r>
      <w:r w:rsidRPr="00F137EC">
        <w:rPr>
          <w:sz w:val="16"/>
          <w:szCs w:val="16"/>
          <w:lang w:val="en-GB"/>
        </w:rPr>
        <w:t>(</w:t>
      </w:r>
      <w:r>
        <w:rPr>
          <w:sz w:val="16"/>
          <w:szCs w:val="16"/>
          <w:lang w:val="en-GB"/>
        </w:rPr>
        <w:t xml:space="preserve">for the time period from </w:t>
      </w:r>
      <w:r w:rsidRPr="00F137EC">
        <w:rPr>
          <w:sz w:val="16"/>
          <w:szCs w:val="16"/>
          <w:lang w:val="en-GB"/>
        </w:rPr>
        <w:t>1</w:t>
      </w:r>
      <w:r w:rsidRPr="005F3825">
        <w:rPr>
          <w:sz w:val="16"/>
          <w:szCs w:val="16"/>
          <w:vertAlign w:val="superscript"/>
          <w:lang w:val="en-GB"/>
        </w:rPr>
        <w:t>st</w:t>
      </w:r>
      <w:r>
        <w:rPr>
          <w:sz w:val="16"/>
          <w:szCs w:val="16"/>
          <w:lang w:val="en-GB"/>
        </w:rPr>
        <w:t xml:space="preserve"> December </w:t>
      </w:r>
      <w:r w:rsidRPr="00F137EC">
        <w:rPr>
          <w:sz w:val="16"/>
          <w:szCs w:val="16"/>
          <w:lang w:val="en-GB"/>
        </w:rPr>
        <w:t>2022</w:t>
      </w:r>
      <w:r>
        <w:rPr>
          <w:sz w:val="16"/>
          <w:szCs w:val="16"/>
          <w:lang w:val="en-GB"/>
        </w:rPr>
        <w:t xml:space="preserve"> till the end of year </w:t>
      </w:r>
      <w:r w:rsidRPr="00F137EC">
        <w:rPr>
          <w:sz w:val="16"/>
          <w:szCs w:val="16"/>
          <w:lang w:val="en-GB"/>
        </w:rPr>
        <w:t>2023).</w:t>
      </w:r>
    </w:p>
  </w:footnote>
  <w:footnote w:id="88">
    <w:p w14:paraId="49A93657" w14:textId="26A8E698"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 xml:space="preserve">It applies to energy, petrochemical and mining companies </w:t>
      </w:r>
      <w:r w:rsidRPr="00F137EC">
        <w:rPr>
          <w:sz w:val="16"/>
          <w:szCs w:val="16"/>
          <w:lang w:val="en-GB"/>
        </w:rPr>
        <w:t>a</w:t>
      </w:r>
      <w:r>
        <w:rPr>
          <w:sz w:val="16"/>
          <w:szCs w:val="16"/>
          <w:lang w:val="en-GB"/>
        </w:rPr>
        <w:t>nd also involves large banks.</w:t>
      </w:r>
    </w:p>
  </w:footnote>
  <w:footnote w:id="89">
    <w:p w14:paraId="7B9689D5" w14:textId="42077727"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sidRPr="00F137EC">
        <w:rPr>
          <w:spacing w:val="-4"/>
          <w:sz w:val="16"/>
          <w:szCs w:val="16"/>
          <w:lang w:val="en-GB"/>
        </w:rPr>
        <w:t>N</w:t>
      </w:r>
      <w:r>
        <w:rPr>
          <w:spacing w:val="-4"/>
          <w:sz w:val="16"/>
          <w:szCs w:val="16"/>
          <w:lang w:val="en-GB"/>
        </w:rPr>
        <w:t xml:space="preserve">evertheless the original budget estimate of this annual collection was already vigorously revised in April this year </w:t>
      </w:r>
      <w:r w:rsidRPr="00F137EC">
        <w:rPr>
          <w:spacing w:val="-4"/>
          <w:sz w:val="16"/>
          <w:szCs w:val="16"/>
          <w:lang w:val="en-GB"/>
        </w:rPr>
        <w:t>(</w:t>
      </w:r>
      <w:r>
        <w:rPr>
          <w:spacing w:val="-4"/>
          <w:sz w:val="16"/>
          <w:szCs w:val="16"/>
          <w:lang w:val="en-GB"/>
        </w:rPr>
        <w:t xml:space="preserve">from </w:t>
      </w:r>
      <w:r w:rsidRPr="00F137EC">
        <w:rPr>
          <w:spacing w:val="-4"/>
          <w:sz w:val="16"/>
          <w:szCs w:val="16"/>
          <w:lang w:val="en-GB"/>
        </w:rPr>
        <w:t>85</w:t>
      </w:r>
      <w:r>
        <w:rPr>
          <w:spacing w:val="-4"/>
          <w:sz w:val="16"/>
          <w:szCs w:val="16"/>
          <w:lang w:val="en-GB"/>
        </w:rPr>
        <w:t xml:space="preserve"> CZK bn to </w:t>
      </w:r>
      <w:r w:rsidRPr="00F137EC">
        <w:rPr>
          <w:spacing w:val="-4"/>
          <w:sz w:val="16"/>
          <w:szCs w:val="16"/>
          <w:lang w:val="en-GB"/>
        </w:rPr>
        <w:t>28</w:t>
      </w:r>
      <w:r>
        <w:rPr>
          <w:spacing w:val="-4"/>
          <w:sz w:val="16"/>
          <w:szCs w:val="16"/>
          <w:lang w:val="en-GB"/>
        </w:rPr>
        <w:t xml:space="preserve"> CZK bn</w:t>
      </w:r>
      <w:r w:rsidRPr="00F137EC">
        <w:rPr>
          <w:spacing w:val="-4"/>
          <w:sz w:val="16"/>
          <w:szCs w:val="16"/>
          <w:lang w:val="en-GB"/>
        </w:rPr>
        <w:t xml:space="preserve">), </w:t>
      </w:r>
      <w:r>
        <w:rPr>
          <w:spacing w:val="-4"/>
          <w:sz w:val="16"/>
          <w:szCs w:val="16"/>
          <w:lang w:val="en-GB"/>
        </w:rPr>
        <w:t xml:space="preserve">partial correction of the anticipated revenue upward was then performed in August </w:t>
      </w:r>
      <w:r w:rsidRPr="00F137EC">
        <w:rPr>
          <w:spacing w:val="-4"/>
          <w:sz w:val="16"/>
          <w:szCs w:val="16"/>
          <w:lang w:val="en-GB"/>
        </w:rPr>
        <w:t>(</w:t>
      </w:r>
      <w:r>
        <w:rPr>
          <w:spacing w:val="-4"/>
          <w:sz w:val="16"/>
          <w:szCs w:val="16"/>
          <w:lang w:val="en-GB"/>
        </w:rPr>
        <w:t xml:space="preserve">to </w:t>
      </w:r>
      <w:r w:rsidRPr="00F137EC">
        <w:rPr>
          <w:spacing w:val="-4"/>
          <w:sz w:val="16"/>
          <w:szCs w:val="16"/>
          <w:lang w:val="en-GB"/>
        </w:rPr>
        <w:t xml:space="preserve">46 </w:t>
      </w:r>
      <w:r>
        <w:rPr>
          <w:spacing w:val="-4"/>
          <w:sz w:val="16"/>
          <w:szCs w:val="16"/>
          <w:lang w:val="en-GB"/>
        </w:rPr>
        <w:t>CZK bn</w:t>
      </w:r>
      <w:r w:rsidRPr="00F137EC">
        <w:rPr>
          <w:spacing w:val="-4"/>
          <w:sz w:val="16"/>
          <w:szCs w:val="16"/>
          <w:lang w:val="en-GB"/>
        </w:rPr>
        <w:t>).</w:t>
      </w:r>
    </w:p>
  </w:footnote>
  <w:footnote w:id="90">
    <w:p w14:paraId="5932B59A" w14:textId="3444DAF8" w:rsidR="008C5AA7" w:rsidRPr="00F137EC" w:rsidRDefault="008C5AA7" w:rsidP="00F137EC">
      <w:pPr>
        <w:pStyle w:val="Textpoznpodarou"/>
        <w:jc w:val="both"/>
        <w:rPr>
          <w:sz w:val="16"/>
          <w:szCs w:val="16"/>
          <w:lang w:val="en-GB"/>
        </w:rPr>
      </w:pPr>
      <w:r w:rsidRPr="00F137EC">
        <w:rPr>
          <w:rStyle w:val="Znakapoznpodarou"/>
          <w:sz w:val="16"/>
          <w:szCs w:val="16"/>
          <w:lang w:val="en-GB"/>
        </w:rPr>
        <w:footnoteRef/>
      </w:r>
      <w:r w:rsidRPr="00F137EC">
        <w:rPr>
          <w:sz w:val="16"/>
          <w:szCs w:val="16"/>
          <w:lang w:val="en-GB"/>
        </w:rPr>
        <w:t xml:space="preserve"> </w:t>
      </w:r>
      <w:r>
        <w:rPr>
          <w:sz w:val="16"/>
          <w:szCs w:val="16"/>
          <w:lang w:val="en-GB"/>
        </w:rPr>
        <w:t>State-wide collection of ITNP from dependent activity (at the level of all public budgets</w:t>
      </w:r>
      <w:r w:rsidRPr="00F137EC">
        <w:rPr>
          <w:spacing w:val="-4"/>
          <w:sz w:val="16"/>
          <w:szCs w:val="16"/>
          <w:lang w:val="en-GB"/>
        </w:rPr>
        <w:t xml:space="preserve">) </w:t>
      </w:r>
      <w:r>
        <w:rPr>
          <w:spacing w:val="-4"/>
          <w:sz w:val="16"/>
          <w:szCs w:val="16"/>
          <w:lang w:val="en-GB"/>
        </w:rPr>
        <w:t>however still lagged by whole one fifth behind the level from H</w:t>
      </w:r>
      <w:r w:rsidRPr="00F137EC">
        <w:rPr>
          <w:spacing w:val="-4"/>
          <w:sz w:val="16"/>
          <w:szCs w:val="16"/>
          <w:lang w:val="en-GB"/>
        </w:rPr>
        <w:t>1</w:t>
      </w:r>
      <w:r>
        <w:rPr>
          <w:spacing w:val="-4"/>
          <w:sz w:val="16"/>
          <w:szCs w:val="16"/>
          <w:lang w:val="en-GB"/>
        </w:rPr>
        <w:t xml:space="preserve"> </w:t>
      </w:r>
      <w:r w:rsidRPr="00F137EC">
        <w:rPr>
          <w:spacing w:val="-4"/>
          <w:sz w:val="16"/>
          <w:szCs w:val="16"/>
          <w:lang w:val="en-GB"/>
        </w:rPr>
        <w:t>2019</w:t>
      </w:r>
      <w:r>
        <w:rPr>
          <w:spacing w:val="-4"/>
          <w:sz w:val="16"/>
          <w:szCs w:val="16"/>
          <w:lang w:val="en-GB"/>
        </w:rPr>
        <w:t xml:space="preserve"> this year</w:t>
      </w:r>
      <w:r w:rsidRPr="00F137EC">
        <w:rPr>
          <w:spacing w:val="-4"/>
          <w:sz w:val="16"/>
          <w:szCs w:val="16"/>
          <w:lang w:val="en-GB"/>
        </w:rPr>
        <w:t xml:space="preserve">. </w:t>
      </w:r>
      <w:r>
        <w:rPr>
          <w:spacing w:val="-4"/>
          <w:sz w:val="16"/>
          <w:szCs w:val="16"/>
          <w:lang w:val="en-GB"/>
        </w:rPr>
        <w:t xml:space="preserve">The shifting of the tax burden from labour since year </w:t>
      </w:r>
      <w:r w:rsidRPr="00F137EC">
        <w:rPr>
          <w:spacing w:val="-4"/>
          <w:sz w:val="16"/>
          <w:szCs w:val="16"/>
          <w:lang w:val="en-GB"/>
        </w:rPr>
        <w:t>2021 (</w:t>
      </w:r>
      <w:r>
        <w:rPr>
          <w:spacing w:val="-4"/>
          <w:sz w:val="16"/>
          <w:szCs w:val="16"/>
          <w:lang w:val="en-GB"/>
        </w:rPr>
        <w:t>in connection with the abolition of the so called super gross wage</w:t>
      </w:r>
      <w:r w:rsidRPr="00F137EC">
        <w:rPr>
          <w:spacing w:val="-4"/>
          <w:sz w:val="16"/>
          <w:szCs w:val="16"/>
          <w:lang w:val="en-GB"/>
        </w:rPr>
        <w:t>)</w:t>
      </w:r>
      <w:r>
        <w:rPr>
          <w:spacing w:val="-4"/>
          <w:sz w:val="16"/>
          <w:szCs w:val="16"/>
          <w:lang w:val="en-GB"/>
        </w:rPr>
        <w:t xml:space="preserve"> played a key role here</w:t>
      </w:r>
      <w:r w:rsidRPr="00F137EC">
        <w:rPr>
          <w:spacing w:val="-4"/>
          <w:sz w:val="16"/>
          <w:szCs w:val="16"/>
          <w:lang w:val="en-GB"/>
        </w:rPr>
        <w:t>.</w:t>
      </w:r>
    </w:p>
  </w:footnote>
  <w:footnote w:id="91">
    <w:p w14:paraId="096DAD4A" w14:textId="06CBAC74" w:rsidR="008C5AA7" w:rsidRPr="001763F9" w:rsidRDefault="008C5AA7" w:rsidP="00A620A9">
      <w:pPr>
        <w:pStyle w:val="Textpoznpodarou"/>
        <w:jc w:val="both"/>
        <w:rPr>
          <w:lang w:val="en-GB"/>
        </w:rPr>
      </w:pPr>
      <w:r w:rsidRPr="001763F9">
        <w:rPr>
          <w:rStyle w:val="Znakapoznpodarou"/>
          <w:sz w:val="16"/>
          <w:szCs w:val="16"/>
          <w:lang w:val="en-GB"/>
        </w:rPr>
        <w:footnoteRef/>
      </w:r>
      <w:r w:rsidRPr="001763F9">
        <w:rPr>
          <w:sz w:val="16"/>
          <w:szCs w:val="16"/>
          <w:lang w:val="en-GB"/>
        </w:rPr>
        <w:t xml:space="preserve"> </w:t>
      </w:r>
      <w:r>
        <w:rPr>
          <w:sz w:val="16"/>
          <w:szCs w:val="16"/>
          <w:lang w:val="en-GB"/>
        </w:rPr>
        <w:t xml:space="preserve">Payment of the compensation for the tax period of year </w:t>
      </w:r>
      <w:r w:rsidRPr="001763F9">
        <w:rPr>
          <w:spacing w:val="-4"/>
          <w:sz w:val="16"/>
          <w:szCs w:val="16"/>
          <w:lang w:val="en-GB"/>
        </w:rPr>
        <w:t>202</w:t>
      </w:r>
      <w:r w:rsidRPr="001763F9">
        <w:rPr>
          <w:sz w:val="16"/>
          <w:szCs w:val="16"/>
          <w:lang w:val="en-GB"/>
        </w:rPr>
        <w:t>2</w:t>
      </w:r>
      <w:r>
        <w:rPr>
          <w:sz w:val="16"/>
          <w:szCs w:val="16"/>
          <w:lang w:val="en-GB"/>
        </w:rPr>
        <w:t xml:space="preserve"> had a positive effect on the collection of this tax in July</w:t>
      </w:r>
      <w:r w:rsidRPr="001763F9">
        <w:rPr>
          <w:sz w:val="16"/>
          <w:szCs w:val="16"/>
          <w:lang w:val="en-GB"/>
        </w:rPr>
        <w:t xml:space="preserve">. Collection of tax lagged behind the last year’s level already only by 3% from January till July. The approved state budget counts with the annual decrease of the collection of this tax for this year. </w:t>
      </w:r>
    </w:p>
  </w:footnote>
  <w:footnote w:id="92">
    <w:p w14:paraId="4F9DA947" w14:textId="02693644" w:rsidR="008C5AA7" w:rsidRPr="00DE4882" w:rsidRDefault="008C5AA7" w:rsidP="00A620A9">
      <w:pPr>
        <w:pStyle w:val="Textpoznpodarou"/>
        <w:jc w:val="both"/>
        <w:rPr>
          <w:sz w:val="16"/>
          <w:szCs w:val="16"/>
          <w:lang w:val="en-GB"/>
        </w:rPr>
      </w:pPr>
      <w:r w:rsidRPr="00DE4882">
        <w:rPr>
          <w:rStyle w:val="Znakapoznpodarou"/>
          <w:sz w:val="16"/>
          <w:szCs w:val="16"/>
          <w:lang w:val="en-GB"/>
        </w:rPr>
        <w:footnoteRef/>
      </w:r>
      <w:r w:rsidRPr="00DE4882">
        <w:rPr>
          <w:sz w:val="16"/>
          <w:szCs w:val="16"/>
          <w:lang w:val="en-GB"/>
        </w:rPr>
        <w:t xml:space="preserve"> Quarter-on-quarter descend of the expenditures on final consumption of households however halted in Q2 2023 (+0.2%).</w:t>
      </w:r>
    </w:p>
  </w:footnote>
  <w:footnote w:id="93">
    <w:p w14:paraId="6E73E7E0" w14:textId="3B1A7E0E" w:rsidR="008C5AA7" w:rsidRPr="00DE4882" w:rsidRDefault="008C5AA7" w:rsidP="00A620A9">
      <w:pPr>
        <w:pStyle w:val="Textpoznpodarou"/>
        <w:jc w:val="both"/>
        <w:rPr>
          <w:sz w:val="16"/>
          <w:szCs w:val="16"/>
          <w:lang w:val="en-GB"/>
        </w:rPr>
      </w:pPr>
      <w:r w:rsidRPr="00DE4882">
        <w:rPr>
          <w:rStyle w:val="Znakapoznpodarou"/>
          <w:sz w:val="16"/>
          <w:szCs w:val="16"/>
          <w:lang w:val="en-GB"/>
        </w:rPr>
        <w:footnoteRef/>
      </w:r>
      <w:r w:rsidRPr="00DE4882">
        <w:rPr>
          <w:sz w:val="16"/>
          <w:szCs w:val="16"/>
          <w:lang w:val="en-GB"/>
        </w:rPr>
        <w:t xml:space="preserve"> </w:t>
      </w:r>
      <w:r>
        <w:rPr>
          <w:sz w:val="16"/>
          <w:szCs w:val="16"/>
          <w:lang w:val="en-GB"/>
        </w:rPr>
        <w:t xml:space="preserve">It relates to the increase from </w:t>
      </w:r>
      <w:r w:rsidRPr="00DE4882">
        <w:rPr>
          <w:sz w:val="16"/>
          <w:szCs w:val="16"/>
          <w:lang w:val="en-GB"/>
        </w:rPr>
        <w:t>1</w:t>
      </w:r>
      <w:r>
        <w:rPr>
          <w:sz w:val="16"/>
          <w:szCs w:val="16"/>
          <w:lang w:val="en-GB"/>
        </w:rPr>
        <w:t xml:space="preserve"> to </w:t>
      </w:r>
      <w:r w:rsidRPr="00DE4882">
        <w:rPr>
          <w:sz w:val="16"/>
          <w:szCs w:val="16"/>
          <w:lang w:val="en-GB"/>
        </w:rPr>
        <w:t>2</w:t>
      </w:r>
      <w:r>
        <w:rPr>
          <w:sz w:val="16"/>
          <w:szCs w:val="16"/>
          <w:lang w:val="en-GB"/>
        </w:rPr>
        <w:t xml:space="preserve"> CZK mil, which became effective as of January </w:t>
      </w:r>
      <w:r w:rsidRPr="00DE4882">
        <w:rPr>
          <w:sz w:val="16"/>
          <w:szCs w:val="16"/>
          <w:lang w:val="en-GB"/>
        </w:rPr>
        <w:t>2023.</w:t>
      </w:r>
    </w:p>
  </w:footnote>
  <w:footnote w:id="94">
    <w:p w14:paraId="0A514C06" w14:textId="77777777" w:rsidR="008C5AA7" w:rsidRPr="00DE4882" w:rsidRDefault="008C5AA7" w:rsidP="00A620A9">
      <w:pPr>
        <w:pStyle w:val="Textpoznpodarou"/>
        <w:jc w:val="both"/>
        <w:rPr>
          <w:lang w:val="en-GB"/>
        </w:rPr>
      </w:pPr>
      <w:r w:rsidRPr="00DE4882">
        <w:rPr>
          <w:rStyle w:val="Znakapoznpodarou"/>
          <w:sz w:val="16"/>
          <w:szCs w:val="16"/>
          <w:lang w:val="en-GB"/>
        </w:rPr>
        <w:footnoteRef/>
      </w:r>
      <w:r w:rsidRPr="00DE4882">
        <w:rPr>
          <w:sz w:val="16"/>
          <w:szCs w:val="16"/>
          <w:lang w:val="en-GB"/>
        </w:rPr>
        <w:t xml:space="preserve"> </w:t>
      </w:r>
      <w:r>
        <w:rPr>
          <w:sz w:val="16"/>
          <w:szCs w:val="16"/>
          <w:lang w:val="en-GB"/>
        </w:rPr>
        <w:t xml:space="preserve">The rate of the consumer tax on petrol and diesel by 1.5 CZK to 8.45 CZK per litre from June till the end of September </w:t>
      </w:r>
      <w:r w:rsidRPr="00DE4882">
        <w:rPr>
          <w:color w:val="0D0D0D" w:themeColor="text1" w:themeTint="F2"/>
          <w:spacing w:val="-4"/>
          <w:sz w:val="16"/>
          <w:szCs w:val="16"/>
          <w:lang w:val="en-GB"/>
        </w:rPr>
        <w:t>2022</w:t>
      </w:r>
      <w:r>
        <w:rPr>
          <w:color w:val="0D0D0D" w:themeColor="text1" w:themeTint="F2"/>
          <w:spacing w:val="-4"/>
          <w:sz w:val="16"/>
          <w:szCs w:val="16"/>
          <w:lang w:val="en-GB"/>
        </w:rPr>
        <w:t xml:space="preserve">. This measure was prolonged for diesel until the end of July </w:t>
      </w:r>
      <w:r w:rsidRPr="00DE4882">
        <w:rPr>
          <w:color w:val="0D0D0D" w:themeColor="text1" w:themeTint="F2"/>
          <w:spacing w:val="-4"/>
          <w:sz w:val="16"/>
          <w:szCs w:val="16"/>
          <w:lang w:val="en-GB"/>
        </w:rPr>
        <w:t>2023.</w:t>
      </w:r>
    </w:p>
  </w:footnote>
  <w:footnote w:id="95">
    <w:p w14:paraId="05420C6B" w14:textId="13CFE260" w:rsidR="008C5AA7" w:rsidRPr="00E744ED" w:rsidRDefault="008C5AA7" w:rsidP="001D4044">
      <w:pPr>
        <w:pStyle w:val="Textpoznpodarou"/>
        <w:jc w:val="both"/>
        <w:rPr>
          <w:sz w:val="16"/>
          <w:szCs w:val="16"/>
          <w:lang w:val="en-GB"/>
        </w:rPr>
      </w:pPr>
      <w:r w:rsidRPr="00E744ED">
        <w:rPr>
          <w:rStyle w:val="Znakapoznpodarou"/>
          <w:sz w:val="16"/>
          <w:szCs w:val="16"/>
          <w:lang w:val="en-GB"/>
        </w:rPr>
        <w:footnoteRef/>
      </w:r>
      <w:r w:rsidRPr="00E744ED">
        <w:rPr>
          <w:sz w:val="16"/>
          <w:szCs w:val="16"/>
          <w:lang w:val="en-GB"/>
        </w:rPr>
        <w:t xml:space="preserve"> In H1 2020 and 2021</w:t>
      </w:r>
      <w:r>
        <w:rPr>
          <w:sz w:val="16"/>
          <w:szCs w:val="16"/>
          <w:lang w:val="en-GB"/>
        </w:rPr>
        <w:t>,</w:t>
      </w:r>
      <w:r w:rsidRPr="00E744ED">
        <w:rPr>
          <w:sz w:val="16"/>
          <w:szCs w:val="16"/>
          <w:lang w:val="en-GB"/>
        </w:rPr>
        <w:t xml:space="preserve"> respectively, when the </w:t>
      </w:r>
      <w:r>
        <w:rPr>
          <w:sz w:val="16"/>
          <w:szCs w:val="16"/>
          <w:lang w:val="en-GB"/>
        </w:rPr>
        <w:t>current outlays of the SB were energetically raised by the transfers associated with the pandemics, their growth rate was “only”</w:t>
      </w:r>
      <w:r w:rsidRPr="00E744ED">
        <w:rPr>
          <w:sz w:val="16"/>
          <w:szCs w:val="16"/>
          <w:lang w:val="en-GB"/>
        </w:rPr>
        <w:t xml:space="preserve"> 15</w:t>
      </w:r>
      <w:r>
        <w:rPr>
          <w:sz w:val="16"/>
          <w:szCs w:val="16"/>
          <w:lang w:val="en-GB"/>
        </w:rPr>
        <w:t>.</w:t>
      </w:r>
      <w:r w:rsidRPr="00E744ED">
        <w:rPr>
          <w:sz w:val="16"/>
          <w:szCs w:val="16"/>
          <w:lang w:val="en-GB"/>
        </w:rPr>
        <w:t>5%</w:t>
      </w:r>
      <w:r>
        <w:rPr>
          <w:sz w:val="16"/>
          <w:szCs w:val="16"/>
          <w:lang w:val="en-GB"/>
        </w:rPr>
        <w:t xml:space="preserve"> and 10.6%, respectively</w:t>
      </w:r>
      <w:r w:rsidRPr="00E744ED">
        <w:rPr>
          <w:sz w:val="16"/>
          <w:szCs w:val="16"/>
          <w:lang w:val="en-GB"/>
        </w:rPr>
        <w:t>.</w:t>
      </w:r>
    </w:p>
  </w:footnote>
  <w:footnote w:id="96">
    <w:p w14:paraId="51E32708" w14:textId="1F89DB65" w:rsidR="008C5AA7" w:rsidRPr="001D4044" w:rsidRDefault="008C5AA7" w:rsidP="001D4044">
      <w:pPr>
        <w:pStyle w:val="Textpoznpodarou"/>
        <w:jc w:val="both"/>
        <w:rPr>
          <w:sz w:val="16"/>
          <w:szCs w:val="16"/>
          <w:lang w:val="en-GB"/>
        </w:rPr>
      </w:pPr>
      <w:r w:rsidRPr="00E744ED">
        <w:rPr>
          <w:rStyle w:val="Znakapoznpodarou"/>
          <w:sz w:val="16"/>
          <w:szCs w:val="16"/>
          <w:lang w:val="en-GB"/>
        </w:rPr>
        <w:footnoteRef/>
      </w:r>
      <w:r w:rsidRPr="00E744ED">
        <w:rPr>
          <w:sz w:val="16"/>
          <w:szCs w:val="16"/>
          <w:lang w:val="en-GB"/>
        </w:rPr>
        <w:t xml:space="preserve"> The average monthly retirement pension (without concurrence with other pensions) thus crossed the boundary of 20 CZK thousand for the first time in June this year. It reached 21 520 CZK for</w:t>
      </w:r>
      <w:r>
        <w:rPr>
          <w:sz w:val="16"/>
          <w:szCs w:val="16"/>
          <w:lang w:val="en-GB"/>
        </w:rPr>
        <w:t xml:space="preserve"> males</w:t>
      </w:r>
      <w:r w:rsidRPr="001D4044">
        <w:rPr>
          <w:sz w:val="16"/>
          <w:szCs w:val="16"/>
          <w:lang w:val="en-GB"/>
        </w:rPr>
        <w:t>,</w:t>
      </w:r>
      <w:r>
        <w:rPr>
          <w:sz w:val="16"/>
          <w:szCs w:val="16"/>
          <w:lang w:val="en-GB"/>
        </w:rPr>
        <w:t xml:space="preserve"> </w:t>
      </w:r>
      <w:r w:rsidRPr="001D4044">
        <w:rPr>
          <w:sz w:val="16"/>
          <w:szCs w:val="16"/>
          <w:lang w:val="en-GB"/>
        </w:rPr>
        <w:t>19</w:t>
      </w:r>
      <w:r>
        <w:rPr>
          <w:sz w:val="16"/>
          <w:szCs w:val="16"/>
          <w:lang w:val="en-GB"/>
        </w:rPr>
        <w:t> </w:t>
      </w:r>
      <w:r w:rsidRPr="001D4044">
        <w:rPr>
          <w:sz w:val="16"/>
          <w:szCs w:val="16"/>
          <w:lang w:val="en-GB"/>
        </w:rPr>
        <w:t>038</w:t>
      </w:r>
      <w:r>
        <w:rPr>
          <w:sz w:val="16"/>
          <w:szCs w:val="16"/>
          <w:lang w:val="en-GB"/>
        </w:rPr>
        <w:t xml:space="preserve"> CZK for females</w:t>
      </w:r>
      <w:r w:rsidRPr="001D4044">
        <w:rPr>
          <w:sz w:val="16"/>
          <w:szCs w:val="16"/>
          <w:lang w:val="en-GB"/>
        </w:rPr>
        <w:t xml:space="preserve">. </w:t>
      </w:r>
      <w:r>
        <w:rPr>
          <w:sz w:val="16"/>
          <w:szCs w:val="16"/>
          <w:lang w:val="en-GB"/>
        </w:rPr>
        <w:t xml:space="preserve">Thanks to the introduction of “child-raising” the difference in the level of pensions between males and females narrowed significantly. Solo retirement pension of females lagged behind the level of males by </w:t>
      </w:r>
      <w:r w:rsidRPr="001D4044">
        <w:rPr>
          <w:sz w:val="16"/>
          <w:szCs w:val="16"/>
          <w:lang w:val="en-GB"/>
        </w:rPr>
        <w:t>11</w:t>
      </w:r>
      <w:r>
        <w:rPr>
          <w:sz w:val="16"/>
          <w:szCs w:val="16"/>
          <w:lang w:val="en-GB"/>
        </w:rPr>
        <w:t>.</w:t>
      </w:r>
      <w:r w:rsidRPr="001D4044">
        <w:rPr>
          <w:sz w:val="16"/>
          <w:szCs w:val="16"/>
          <w:lang w:val="en-GB"/>
        </w:rPr>
        <w:t>5% (</w:t>
      </w:r>
      <w:r>
        <w:rPr>
          <w:sz w:val="16"/>
          <w:szCs w:val="16"/>
          <w:lang w:val="en-GB"/>
        </w:rPr>
        <w:t xml:space="preserve">by </w:t>
      </w:r>
      <w:r w:rsidRPr="001D4044">
        <w:rPr>
          <w:sz w:val="16"/>
          <w:szCs w:val="16"/>
          <w:lang w:val="en-GB"/>
        </w:rPr>
        <w:t>16</w:t>
      </w:r>
      <w:r>
        <w:rPr>
          <w:sz w:val="16"/>
          <w:szCs w:val="16"/>
          <w:lang w:val="en-GB"/>
        </w:rPr>
        <w:t>.</w:t>
      </w:r>
      <w:r w:rsidRPr="001D4044">
        <w:rPr>
          <w:sz w:val="16"/>
          <w:szCs w:val="16"/>
          <w:lang w:val="en-GB"/>
        </w:rPr>
        <w:t>5%</w:t>
      </w:r>
      <w:r>
        <w:rPr>
          <w:sz w:val="16"/>
          <w:szCs w:val="16"/>
          <w:lang w:val="en-GB"/>
        </w:rPr>
        <w:t xml:space="preserve"> one year ago</w:t>
      </w:r>
      <w:r w:rsidRPr="001D4044">
        <w:rPr>
          <w:sz w:val="16"/>
          <w:szCs w:val="16"/>
          <w:lang w:val="en-GB"/>
        </w:rPr>
        <w:t xml:space="preserve">). </w:t>
      </w:r>
      <w:r>
        <w:rPr>
          <w:sz w:val="16"/>
          <w:szCs w:val="16"/>
          <w:lang w:val="en-GB"/>
        </w:rPr>
        <w:t xml:space="preserve">The relative difference of pensions between gender was thus already slightly lower than in case of the average wages this year. </w:t>
      </w:r>
      <w:r w:rsidRPr="001D4044">
        <w:rPr>
          <w:sz w:val="16"/>
          <w:szCs w:val="16"/>
          <w:lang w:val="en-GB"/>
        </w:rPr>
        <w:t xml:space="preserve"> </w:t>
      </w:r>
    </w:p>
  </w:footnote>
  <w:footnote w:id="97">
    <w:p w14:paraId="38AD7DD5" w14:textId="3DAB1F9C" w:rsidR="008C5AA7" w:rsidRPr="001D4044" w:rsidRDefault="008C5AA7" w:rsidP="00993875">
      <w:pPr>
        <w:pStyle w:val="Textpoznpodarou"/>
        <w:jc w:val="both"/>
        <w:rPr>
          <w:sz w:val="16"/>
          <w:szCs w:val="16"/>
          <w:lang w:val="en-GB"/>
        </w:rPr>
      </w:pPr>
      <w:r w:rsidRPr="001D4044">
        <w:rPr>
          <w:rStyle w:val="Znakapoznpodarou"/>
          <w:sz w:val="16"/>
          <w:szCs w:val="16"/>
          <w:lang w:val="en-GB"/>
        </w:rPr>
        <w:footnoteRef/>
      </w:r>
      <w:r w:rsidRPr="001D4044">
        <w:rPr>
          <w:sz w:val="16"/>
          <w:szCs w:val="16"/>
          <w:lang w:val="en-GB"/>
        </w:rPr>
        <w:t xml:space="preserve"> </w:t>
      </w:r>
      <w:r>
        <w:rPr>
          <w:sz w:val="16"/>
          <w:szCs w:val="16"/>
          <w:lang w:val="en-GB"/>
        </w:rPr>
        <w:t xml:space="preserve">Growth of the number of all recipients of permanently reduced retirement pensions gained pace this year </w:t>
      </w:r>
      <w:r w:rsidRPr="001D4044">
        <w:rPr>
          <w:sz w:val="16"/>
          <w:szCs w:val="16"/>
          <w:lang w:val="en-GB"/>
        </w:rPr>
        <w:t>(</w:t>
      </w:r>
      <w:r>
        <w:rPr>
          <w:sz w:val="16"/>
          <w:szCs w:val="16"/>
          <w:lang w:val="en-GB"/>
        </w:rPr>
        <w:t xml:space="preserve">to </w:t>
      </w:r>
      <w:r w:rsidRPr="001D4044">
        <w:rPr>
          <w:sz w:val="16"/>
          <w:szCs w:val="16"/>
          <w:lang w:val="en-GB"/>
        </w:rPr>
        <w:t>3</w:t>
      </w:r>
      <w:r>
        <w:rPr>
          <w:sz w:val="16"/>
          <w:szCs w:val="16"/>
          <w:lang w:val="en-GB"/>
        </w:rPr>
        <w:t>.</w:t>
      </w:r>
      <w:r w:rsidRPr="001D4044">
        <w:rPr>
          <w:sz w:val="16"/>
          <w:szCs w:val="16"/>
          <w:lang w:val="en-GB"/>
        </w:rPr>
        <w:t>5%</w:t>
      </w:r>
      <w:r>
        <w:rPr>
          <w:sz w:val="16"/>
          <w:szCs w:val="16"/>
          <w:lang w:val="en-GB"/>
        </w:rPr>
        <w:t xml:space="preserve"> in Q2 year-on-year, the most in the last seven years</w:t>
      </w:r>
      <w:r w:rsidRPr="001D4044">
        <w:rPr>
          <w:sz w:val="16"/>
          <w:szCs w:val="16"/>
          <w:lang w:val="en-GB"/>
        </w:rPr>
        <w:t xml:space="preserve">). </w:t>
      </w:r>
      <w:r>
        <w:rPr>
          <w:sz w:val="16"/>
          <w:szCs w:val="16"/>
          <w:lang w:val="en-GB"/>
        </w:rPr>
        <w:t>This number does not include persons, which lodged an application for the early pension, but deferred the commencement of its payment. Heightened interest in early pensions primarily sprang from the advantageousness of the adjustment mechanism</w:t>
      </w:r>
      <w:r w:rsidRPr="001D4044">
        <w:rPr>
          <w:sz w:val="16"/>
          <w:szCs w:val="16"/>
          <w:lang w:val="en-GB"/>
        </w:rPr>
        <w:t>,</w:t>
      </w:r>
      <w:r>
        <w:rPr>
          <w:sz w:val="16"/>
          <w:szCs w:val="16"/>
          <w:lang w:val="en-GB"/>
        </w:rPr>
        <w:t xml:space="preserve"> in contrast the effect of possible worsened position of persons in the pre-retirement age on the labour market likely played only supplementary role. </w:t>
      </w:r>
    </w:p>
  </w:footnote>
  <w:footnote w:id="98">
    <w:p w14:paraId="1F6C7253" w14:textId="3A922F4B"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This year’s introduction of the </w:t>
      </w:r>
      <w:r>
        <w:rPr>
          <w:sz w:val="16"/>
          <w:szCs w:val="16"/>
          <w:lang w:val="en-GB"/>
        </w:rPr>
        <w:t xml:space="preserve">discount on levies for employers providing part-time jobs to parents of smaller children, persons caring for their relatives or persons above 55 years </w:t>
      </w:r>
      <w:r w:rsidRPr="00C873F3">
        <w:rPr>
          <w:sz w:val="16"/>
          <w:szCs w:val="16"/>
          <w:lang w:val="en-GB"/>
        </w:rPr>
        <w:t xml:space="preserve">had only marginal negative effect on the size of insurance collection. </w:t>
      </w:r>
      <w:r>
        <w:rPr>
          <w:sz w:val="16"/>
          <w:szCs w:val="16"/>
          <w:lang w:val="en-GB"/>
        </w:rPr>
        <w:t xml:space="preserve">From February till July, firms used these discounts for </w:t>
      </w:r>
      <w:r w:rsidRPr="00C873F3">
        <w:rPr>
          <w:sz w:val="16"/>
          <w:szCs w:val="16"/>
          <w:lang w:val="en-GB"/>
        </w:rPr>
        <w:t>86 t</w:t>
      </w:r>
      <w:r>
        <w:rPr>
          <w:sz w:val="16"/>
          <w:szCs w:val="16"/>
          <w:lang w:val="en-GB"/>
        </w:rPr>
        <w:t xml:space="preserve">housand employees, specifically in the total amount of </w:t>
      </w:r>
      <w:r w:rsidRPr="00C873F3">
        <w:rPr>
          <w:sz w:val="16"/>
          <w:szCs w:val="16"/>
          <w:lang w:val="en-GB"/>
        </w:rPr>
        <w:t>416</w:t>
      </w:r>
      <w:r>
        <w:rPr>
          <w:sz w:val="16"/>
          <w:szCs w:val="16"/>
          <w:lang w:val="en-GB"/>
        </w:rPr>
        <w:t xml:space="preserve"> CZK mil</w:t>
      </w:r>
      <w:r w:rsidRPr="00C873F3">
        <w:rPr>
          <w:sz w:val="16"/>
          <w:szCs w:val="16"/>
          <w:lang w:val="en-GB"/>
        </w:rPr>
        <w:t>.</w:t>
      </w:r>
    </w:p>
  </w:footnote>
  <w:footnote w:id="99">
    <w:p w14:paraId="1E6AA515" w14:textId="3F7C940B" w:rsidR="008C5AA7" w:rsidRPr="00C873F3" w:rsidRDefault="008C5AA7" w:rsidP="00371C3E">
      <w:pPr>
        <w:pStyle w:val="Textpoznpodarou"/>
        <w:jc w:val="both"/>
        <w:rPr>
          <w:rFonts w:cs="Arial"/>
          <w:color w:val="000000" w:themeColor="text1"/>
          <w:spacing w:val="-4"/>
          <w:sz w:val="16"/>
          <w:szCs w:val="16"/>
          <w:lang w:val="en-GB"/>
        </w:rPr>
      </w:pPr>
      <w:r w:rsidRPr="00C873F3">
        <w:rPr>
          <w:rStyle w:val="Znakapoznpodarou"/>
          <w:spacing w:val="-4"/>
          <w:sz w:val="16"/>
          <w:szCs w:val="16"/>
          <w:lang w:val="en-GB"/>
        </w:rPr>
        <w:footnoteRef/>
      </w:r>
      <w:r w:rsidRPr="00C873F3">
        <w:rPr>
          <w:spacing w:val="-4"/>
          <w:sz w:val="16"/>
          <w:szCs w:val="16"/>
          <w:lang w:val="en-GB"/>
        </w:rPr>
        <w:t xml:space="preserve"> </w:t>
      </w:r>
      <w:r>
        <w:rPr>
          <w:spacing w:val="-4"/>
          <w:sz w:val="16"/>
          <w:szCs w:val="16"/>
          <w:lang w:val="en-GB"/>
        </w:rPr>
        <w:t xml:space="preserve">It expresses the difference between the income from insurance on pensions and outlays on the pension insurance benefits </w:t>
      </w:r>
      <w:r w:rsidRPr="00C873F3">
        <w:rPr>
          <w:rFonts w:cs="Arial"/>
          <w:color w:val="000000" w:themeColor="text1"/>
          <w:spacing w:val="-4"/>
          <w:sz w:val="16"/>
          <w:szCs w:val="16"/>
          <w:lang w:val="en-GB"/>
        </w:rPr>
        <w:t>(</w:t>
      </w:r>
      <w:r>
        <w:rPr>
          <w:rFonts w:cs="Arial"/>
          <w:color w:val="000000" w:themeColor="text1"/>
          <w:spacing w:val="-4"/>
          <w:sz w:val="16"/>
          <w:szCs w:val="16"/>
          <w:lang w:val="en-GB"/>
        </w:rPr>
        <w:t>including the costs of its administration</w:t>
      </w:r>
      <w:r w:rsidRPr="00C873F3">
        <w:rPr>
          <w:rFonts w:cs="Arial"/>
          <w:color w:val="000000" w:themeColor="text1"/>
          <w:spacing w:val="-4"/>
          <w:sz w:val="16"/>
          <w:szCs w:val="16"/>
          <w:lang w:val="en-GB"/>
        </w:rPr>
        <w:t>).</w:t>
      </w:r>
    </w:p>
  </w:footnote>
  <w:footnote w:id="100">
    <w:p w14:paraId="7C4BE2AE" w14:textId="69E3C84C"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8</w:t>
      </w:r>
      <w:r>
        <w:rPr>
          <w:sz w:val="16"/>
          <w:szCs w:val="16"/>
          <w:lang w:val="en-GB"/>
        </w:rPr>
        <w:t>.</w:t>
      </w:r>
      <w:r w:rsidRPr="00C873F3">
        <w:rPr>
          <w:sz w:val="16"/>
          <w:szCs w:val="16"/>
          <w:lang w:val="en-GB"/>
        </w:rPr>
        <w:t>2</w:t>
      </w:r>
      <w:r>
        <w:rPr>
          <w:sz w:val="16"/>
          <w:szCs w:val="16"/>
          <w:lang w:val="en-GB"/>
        </w:rPr>
        <w:t xml:space="preserve"> CZK </w:t>
      </w:r>
      <w:proofErr w:type="spellStart"/>
      <w:r>
        <w:rPr>
          <w:sz w:val="16"/>
          <w:szCs w:val="16"/>
          <w:lang w:val="en-GB"/>
        </w:rPr>
        <w:t>bn</w:t>
      </w:r>
      <w:proofErr w:type="spellEnd"/>
      <w:r>
        <w:rPr>
          <w:sz w:val="16"/>
          <w:szCs w:val="16"/>
          <w:lang w:val="en-GB"/>
        </w:rPr>
        <w:t xml:space="preserve"> more was paid out on this benefit since the beginning of the year, the number of its recipients was also at a record level </w:t>
      </w:r>
      <w:r w:rsidRPr="00C873F3">
        <w:rPr>
          <w:sz w:val="16"/>
          <w:szCs w:val="16"/>
          <w:lang w:val="en-GB"/>
        </w:rPr>
        <w:t>(</w:t>
      </w:r>
      <w:r>
        <w:rPr>
          <w:sz w:val="16"/>
          <w:szCs w:val="16"/>
          <w:lang w:val="en-GB"/>
        </w:rPr>
        <w:t>it concerned 267 thousand households with average amount of the benefit of 6134 CZK only for this year</w:t>
      </w:r>
      <w:r>
        <w:rPr>
          <w:sz w:val="16"/>
          <w:szCs w:val="16"/>
          <w:lang w:val="en-US"/>
        </w:rPr>
        <w:t>’</w:t>
      </w:r>
      <w:r>
        <w:rPr>
          <w:sz w:val="16"/>
          <w:szCs w:val="16"/>
        </w:rPr>
        <w:t>s June</w:t>
      </w:r>
      <w:r w:rsidRPr="00C873F3">
        <w:rPr>
          <w:sz w:val="16"/>
          <w:szCs w:val="16"/>
          <w:lang w:val="en-GB"/>
        </w:rPr>
        <w:t xml:space="preserve">). </w:t>
      </w:r>
    </w:p>
  </w:footnote>
  <w:footnote w:id="101">
    <w:p w14:paraId="06441511" w14:textId="125C2D50" w:rsidR="008C5AA7" w:rsidRPr="00C873F3" w:rsidRDefault="008C5AA7" w:rsidP="00371C3E">
      <w:pPr>
        <w:pStyle w:val="Textpoznpodarou"/>
        <w:jc w:val="both"/>
        <w:rPr>
          <w:sz w:val="16"/>
          <w:szCs w:val="16"/>
          <w:lang w:val="en-GB"/>
        </w:rPr>
      </w:pPr>
      <w:r w:rsidRPr="00C873F3">
        <w:rPr>
          <w:rStyle w:val="Znakapoznpodarou"/>
          <w:sz w:val="16"/>
          <w:szCs w:val="16"/>
          <w:lang w:val="en-GB"/>
        </w:rPr>
        <w:footnoteRef/>
      </w:r>
      <w:r w:rsidRPr="00C873F3">
        <w:rPr>
          <w:sz w:val="16"/>
          <w:szCs w:val="16"/>
          <w:lang w:val="en-GB"/>
        </w:rPr>
        <w:t xml:space="preserve"> </w:t>
      </w:r>
      <w:r>
        <w:rPr>
          <w:sz w:val="16"/>
          <w:szCs w:val="16"/>
          <w:lang w:val="en-GB"/>
        </w:rPr>
        <w:t xml:space="preserve">70 thousand of registered job applicants (28% of their total number) were entitled to the unemployment benefit in June this year. </w:t>
      </w:r>
    </w:p>
  </w:footnote>
  <w:footnote w:id="102">
    <w:p w14:paraId="7CE8D75B" w14:textId="7A8D0DF2" w:rsidR="008C5AA7" w:rsidRPr="00C873F3" w:rsidRDefault="008C5AA7" w:rsidP="00371C3E">
      <w:pPr>
        <w:pStyle w:val="Textpoznpodarou"/>
        <w:jc w:val="both"/>
        <w:rPr>
          <w:lang w:val="en-GB"/>
        </w:rPr>
      </w:pPr>
      <w:r w:rsidRPr="00C873F3">
        <w:rPr>
          <w:rStyle w:val="Znakapoznpodarou"/>
          <w:sz w:val="16"/>
          <w:szCs w:val="16"/>
          <w:lang w:val="en-GB"/>
        </w:rPr>
        <w:footnoteRef/>
      </w:r>
      <w:r w:rsidRPr="00C873F3">
        <w:rPr>
          <w:sz w:val="16"/>
          <w:szCs w:val="16"/>
          <w:lang w:val="en-GB"/>
        </w:rPr>
        <w:t xml:space="preserve"> </w:t>
      </w:r>
      <w:r>
        <w:rPr>
          <w:sz w:val="16"/>
          <w:szCs w:val="16"/>
          <w:lang w:val="en-GB"/>
        </w:rPr>
        <w:t xml:space="preserve">The July data also prove, that the need for this extraordinary assistance gradually decreases during this year </w:t>
      </w:r>
      <w:r w:rsidRPr="00C873F3">
        <w:rPr>
          <w:sz w:val="16"/>
          <w:szCs w:val="16"/>
          <w:lang w:val="en-GB"/>
        </w:rPr>
        <w:t>(</w:t>
      </w:r>
      <w:r>
        <w:rPr>
          <w:sz w:val="16"/>
          <w:szCs w:val="16"/>
          <w:lang w:val="en-GB"/>
        </w:rPr>
        <w:t>in connection to the favourable trend of the development of prices of gas, electricity on the world markets)</w:t>
      </w:r>
      <w:r w:rsidRPr="00C873F3">
        <w:rPr>
          <w:sz w:val="16"/>
          <w:szCs w:val="16"/>
          <w:lang w:val="en-GB"/>
        </w:rPr>
        <w:t>. 36</w:t>
      </w:r>
      <w:r>
        <w:rPr>
          <w:sz w:val="16"/>
          <w:szCs w:val="16"/>
          <w:lang w:val="en-GB"/>
        </w:rPr>
        <w:t>.</w:t>
      </w:r>
      <w:r w:rsidRPr="00C873F3">
        <w:rPr>
          <w:sz w:val="16"/>
          <w:szCs w:val="16"/>
          <w:lang w:val="en-GB"/>
        </w:rPr>
        <w:t>4</w:t>
      </w:r>
      <w:r>
        <w:rPr>
          <w:sz w:val="16"/>
          <w:szCs w:val="16"/>
          <w:lang w:val="en-GB"/>
        </w:rPr>
        <w:t xml:space="preserve"> CZK bn was paid out on the compensation to businesses from the SB due to the capped prices since the beginning of the year</w:t>
      </w:r>
      <w:r w:rsidRPr="00C873F3">
        <w:rPr>
          <w:sz w:val="16"/>
          <w:szCs w:val="16"/>
          <w:lang w:val="en-GB"/>
        </w:rPr>
        <w:t xml:space="preserve">. </w:t>
      </w:r>
      <w:r>
        <w:rPr>
          <w:sz w:val="16"/>
          <w:szCs w:val="16"/>
          <w:lang w:val="en-GB"/>
        </w:rPr>
        <w:t>In addition the assistance payment to businesses in the energy intensive branches in fact halted in Q</w:t>
      </w:r>
      <w:r w:rsidRPr="00C873F3">
        <w:rPr>
          <w:sz w:val="16"/>
          <w:szCs w:val="16"/>
          <w:lang w:val="en-GB"/>
        </w:rPr>
        <w:t xml:space="preserve">2. </w:t>
      </w:r>
      <w:r>
        <w:rPr>
          <w:sz w:val="16"/>
          <w:szCs w:val="16"/>
          <w:lang w:val="en-GB"/>
        </w:rPr>
        <w:t xml:space="preserve">On the contrary subsidies to the operator of the transmission system were in the significant amount also paid out in July and in cumulation arrived at already </w:t>
      </w:r>
      <w:r w:rsidRPr="00C873F3">
        <w:rPr>
          <w:sz w:val="16"/>
          <w:szCs w:val="16"/>
          <w:lang w:val="en-GB"/>
        </w:rPr>
        <w:t>10</w:t>
      </w:r>
      <w:r>
        <w:rPr>
          <w:sz w:val="16"/>
          <w:szCs w:val="16"/>
          <w:lang w:val="en-GB"/>
        </w:rPr>
        <w:t>.</w:t>
      </w:r>
      <w:r w:rsidRPr="00C873F3">
        <w:rPr>
          <w:sz w:val="16"/>
          <w:szCs w:val="16"/>
          <w:lang w:val="en-GB"/>
        </w:rPr>
        <w:t>1</w:t>
      </w:r>
      <w:r>
        <w:rPr>
          <w:sz w:val="16"/>
          <w:szCs w:val="16"/>
          <w:lang w:val="en-GB"/>
        </w:rPr>
        <w:t xml:space="preserve"> CZK bn since January</w:t>
      </w:r>
      <w:r w:rsidRPr="00C873F3">
        <w:rPr>
          <w:sz w:val="16"/>
          <w:szCs w:val="16"/>
          <w:lang w:val="en-GB"/>
        </w:rPr>
        <w:t>.</w:t>
      </w:r>
    </w:p>
  </w:footnote>
  <w:footnote w:id="103">
    <w:p w14:paraId="0B9AC861" w14:textId="040752E5" w:rsidR="008C5AA7" w:rsidRPr="000B7BBB" w:rsidRDefault="008C5AA7" w:rsidP="000B7BBB">
      <w:pPr>
        <w:pStyle w:val="Textpoznpodarou"/>
        <w:jc w:val="both"/>
        <w:rPr>
          <w:spacing w:val="-2"/>
          <w:sz w:val="16"/>
          <w:szCs w:val="16"/>
          <w:lang w:val="en-GB"/>
        </w:rPr>
      </w:pPr>
      <w:r w:rsidRPr="00614788">
        <w:rPr>
          <w:rStyle w:val="Znakapoznpodarou"/>
          <w:spacing w:val="-2"/>
          <w:sz w:val="16"/>
          <w:szCs w:val="16"/>
        </w:rPr>
        <w:footnoteRef/>
      </w:r>
      <w:r w:rsidRPr="00614788">
        <w:rPr>
          <w:spacing w:val="-2"/>
          <w:sz w:val="16"/>
          <w:szCs w:val="16"/>
        </w:rPr>
        <w:t xml:space="preserve"> </w:t>
      </w:r>
      <w:r w:rsidRPr="000B7BBB">
        <w:rPr>
          <w:spacing w:val="-2"/>
          <w:sz w:val="16"/>
          <w:szCs w:val="16"/>
          <w:lang w:val="en-GB"/>
        </w:rPr>
        <w:t xml:space="preserve">Net outlays correspond to the balance of the budget chapter State debt (No. 396). </w:t>
      </w:r>
      <w:r w:rsidRPr="000B7BBB">
        <w:rPr>
          <w:sz w:val="16"/>
          <w:szCs w:val="16"/>
          <w:lang w:val="en-GB"/>
        </w:rPr>
        <w:t xml:space="preserve"> </w:t>
      </w:r>
    </w:p>
  </w:footnote>
  <w:footnote w:id="104">
    <w:p w14:paraId="4C05F0B4" w14:textId="41B31029" w:rsidR="008C5AA7" w:rsidRPr="000B7BBB" w:rsidRDefault="008C5AA7" w:rsidP="000B7BBB">
      <w:pPr>
        <w:pStyle w:val="Textpoznpodarou"/>
        <w:jc w:val="both"/>
        <w:rPr>
          <w:sz w:val="16"/>
          <w:szCs w:val="16"/>
          <w:lang w:val="en-GB"/>
        </w:rPr>
      </w:pPr>
      <w:r w:rsidRPr="000B7BBB">
        <w:rPr>
          <w:rStyle w:val="Znakapoznpodarou"/>
          <w:sz w:val="16"/>
          <w:szCs w:val="16"/>
          <w:lang w:val="en-GB"/>
        </w:rPr>
        <w:footnoteRef/>
      </w:r>
      <w:r w:rsidRPr="000B7BBB">
        <w:rPr>
          <w:sz w:val="16"/>
          <w:szCs w:val="16"/>
          <w:lang w:val="en-GB"/>
        </w:rPr>
        <w:t xml:space="preserve"> </w:t>
      </w:r>
      <w:r>
        <w:rPr>
          <w:sz w:val="16"/>
          <w:szCs w:val="16"/>
          <w:lang w:val="en-GB"/>
        </w:rPr>
        <w:t>Total of the monthly outlays in all central government institutions thus could have attained maximum of one twelfth of the total SB outlays determined in accordance with the approved Act on SB from year 2</w:t>
      </w:r>
      <w:r w:rsidRPr="000B7BBB">
        <w:rPr>
          <w:sz w:val="16"/>
          <w:szCs w:val="16"/>
          <w:lang w:val="en-GB"/>
        </w:rPr>
        <w:t xml:space="preserve">021. </w:t>
      </w:r>
      <w:r>
        <w:rPr>
          <w:sz w:val="16"/>
          <w:szCs w:val="16"/>
          <w:lang w:val="en-GB"/>
        </w:rPr>
        <w:t xml:space="preserve">It led among other things to the postponement of the non-essential operational outlays as well as investment at the beginning of the year. </w:t>
      </w:r>
    </w:p>
  </w:footnote>
  <w:footnote w:id="105">
    <w:p w14:paraId="1AEFFD76" w14:textId="5451BDEE" w:rsidR="008C5AA7" w:rsidRPr="000666B4" w:rsidRDefault="008C5AA7" w:rsidP="0020044C">
      <w:pPr>
        <w:pStyle w:val="Textpoznpodarou"/>
        <w:jc w:val="both"/>
        <w:rPr>
          <w:sz w:val="16"/>
          <w:szCs w:val="16"/>
          <w:lang w:val="en-GB"/>
        </w:rPr>
      </w:pPr>
      <w:r w:rsidRPr="00CA2DF7">
        <w:rPr>
          <w:rStyle w:val="Znakapoznpodarou"/>
          <w:sz w:val="16"/>
          <w:szCs w:val="16"/>
        </w:rPr>
        <w:footnoteRef/>
      </w:r>
      <w:r w:rsidRPr="00CA2DF7">
        <w:rPr>
          <w:sz w:val="16"/>
          <w:szCs w:val="16"/>
        </w:rPr>
        <w:t xml:space="preserve"> </w:t>
      </w:r>
      <w:r w:rsidRPr="000666B4">
        <w:rPr>
          <w:sz w:val="16"/>
          <w:szCs w:val="16"/>
          <w:lang w:val="en-GB"/>
        </w:rPr>
        <w:t>Korun</w:t>
      </w:r>
      <w:r>
        <w:rPr>
          <w:sz w:val="16"/>
          <w:szCs w:val="16"/>
          <w:lang w:val="en-GB"/>
        </w:rPr>
        <w:t>a</w:t>
      </w:r>
      <w:r w:rsidRPr="000666B4">
        <w:rPr>
          <w:sz w:val="16"/>
          <w:szCs w:val="16"/>
          <w:lang w:val="en-GB"/>
        </w:rPr>
        <w:t xml:space="preserve"> state debts were issued during H1 2023 (with maturity above 1 year) in the size of 287 CZK </w:t>
      </w:r>
      <w:proofErr w:type="spellStart"/>
      <w:r w:rsidRPr="000666B4">
        <w:rPr>
          <w:sz w:val="16"/>
          <w:szCs w:val="16"/>
          <w:lang w:val="en-GB"/>
        </w:rPr>
        <w:t>bn</w:t>
      </w:r>
      <w:proofErr w:type="spellEnd"/>
      <w:r w:rsidRPr="000666B4">
        <w:rPr>
          <w:sz w:val="16"/>
          <w:szCs w:val="16"/>
          <w:lang w:val="en-GB"/>
        </w:rPr>
        <w:t xml:space="preserve"> (approximately by one tenth more year-on-year, but notably less compared to both years 2020 and 2021). </w:t>
      </w:r>
      <w:r>
        <w:rPr>
          <w:sz w:val="16"/>
          <w:szCs w:val="16"/>
          <w:lang w:val="en-GB"/>
        </w:rPr>
        <w:t xml:space="preserve">In that </w:t>
      </w:r>
      <w:r w:rsidRPr="000666B4">
        <w:rPr>
          <w:sz w:val="16"/>
          <w:szCs w:val="16"/>
          <w:lang w:val="en-GB"/>
        </w:rPr>
        <w:t xml:space="preserve">253 </w:t>
      </w:r>
      <w:r>
        <w:rPr>
          <w:sz w:val="16"/>
          <w:szCs w:val="16"/>
          <w:lang w:val="en-GB"/>
        </w:rPr>
        <w:t xml:space="preserve">CZK bn formed bonds with fixed interest </w:t>
      </w:r>
      <w:r w:rsidRPr="000666B4">
        <w:rPr>
          <w:sz w:val="16"/>
          <w:szCs w:val="16"/>
          <w:lang w:val="en-GB"/>
        </w:rPr>
        <w:t>(</w:t>
      </w:r>
      <w:r>
        <w:rPr>
          <w:sz w:val="16"/>
          <w:szCs w:val="16"/>
          <w:lang w:val="en-GB"/>
        </w:rPr>
        <w:t xml:space="preserve">with average residual time of the maturity of </w:t>
      </w:r>
      <w:r w:rsidRPr="000666B4">
        <w:rPr>
          <w:sz w:val="16"/>
          <w:szCs w:val="16"/>
          <w:lang w:val="en-GB"/>
        </w:rPr>
        <w:t>8</w:t>
      </w:r>
      <w:r>
        <w:rPr>
          <w:sz w:val="16"/>
          <w:szCs w:val="16"/>
          <w:lang w:val="en-GB"/>
        </w:rPr>
        <w:t>.</w:t>
      </w:r>
      <w:r w:rsidRPr="000666B4">
        <w:rPr>
          <w:sz w:val="16"/>
          <w:szCs w:val="16"/>
          <w:lang w:val="en-GB"/>
        </w:rPr>
        <w:t>7</w:t>
      </w:r>
      <w:r>
        <w:rPr>
          <w:sz w:val="16"/>
          <w:szCs w:val="16"/>
          <w:lang w:val="en-GB"/>
        </w:rPr>
        <w:t xml:space="preserve"> years and the average yield 4.6</w:t>
      </w:r>
      <w:r w:rsidRPr="000666B4">
        <w:rPr>
          <w:sz w:val="16"/>
          <w:szCs w:val="16"/>
          <w:lang w:val="en-GB"/>
        </w:rPr>
        <w:t xml:space="preserve">% p. </w:t>
      </w:r>
      <w:r>
        <w:rPr>
          <w:sz w:val="16"/>
          <w:szCs w:val="16"/>
          <w:lang w:val="en-GB"/>
        </w:rPr>
        <w:t>p</w:t>
      </w:r>
      <w:r w:rsidRPr="000666B4">
        <w:rPr>
          <w:sz w:val="16"/>
          <w:szCs w:val="16"/>
          <w:lang w:val="en-GB"/>
        </w:rPr>
        <w:t xml:space="preserve">.). </w:t>
      </w:r>
      <w:r>
        <w:rPr>
          <w:sz w:val="16"/>
          <w:szCs w:val="16"/>
          <w:lang w:val="en-GB"/>
        </w:rPr>
        <w:t xml:space="preserve">Net issue of medium term and long term bonds </w:t>
      </w:r>
      <w:r w:rsidRPr="000666B4">
        <w:rPr>
          <w:sz w:val="16"/>
          <w:szCs w:val="16"/>
          <w:lang w:val="en-GB"/>
        </w:rPr>
        <w:t>(</w:t>
      </w:r>
      <w:r>
        <w:rPr>
          <w:sz w:val="16"/>
          <w:szCs w:val="16"/>
          <w:lang w:val="en-GB"/>
        </w:rPr>
        <w:t>after deduction of realised repayments</w:t>
      </w:r>
      <w:r w:rsidRPr="000666B4">
        <w:rPr>
          <w:sz w:val="16"/>
          <w:szCs w:val="16"/>
          <w:lang w:val="en-GB"/>
        </w:rPr>
        <w:t>)</w:t>
      </w:r>
      <w:r>
        <w:rPr>
          <w:sz w:val="16"/>
          <w:szCs w:val="16"/>
          <w:lang w:val="en-GB"/>
        </w:rPr>
        <w:t xml:space="preserve"> totalled </w:t>
      </w:r>
      <w:r w:rsidRPr="000666B4">
        <w:rPr>
          <w:sz w:val="16"/>
          <w:szCs w:val="16"/>
          <w:lang w:val="en-GB"/>
        </w:rPr>
        <w:t>142</w:t>
      </w:r>
      <w:r>
        <w:rPr>
          <w:sz w:val="16"/>
          <w:szCs w:val="16"/>
          <w:lang w:val="en-GB"/>
        </w:rPr>
        <w:t xml:space="preserve"> CZK bn so far this year</w:t>
      </w:r>
      <w:r w:rsidRPr="000666B4">
        <w:rPr>
          <w:sz w:val="16"/>
          <w:szCs w:val="16"/>
          <w:lang w:val="en-GB"/>
        </w:rPr>
        <w:t>.</w:t>
      </w:r>
      <w:r>
        <w:rPr>
          <w:sz w:val="16"/>
          <w:szCs w:val="16"/>
          <w:lang w:val="en-GB"/>
        </w:rPr>
        <w:t xml:space="preserve"> The value of all domestic state bonds in circulation </w:t>
      </w:r>
      <w:r w:rsidRPr="000666B4">
        <w:rPr>
          <w:spacing w:val="-4"/>
          <w:sz w:val="16"/>
          <w:szCs w:val="16"/>
          <w:lang w:val="en-GB"/>
        </w:rPr>
        <w:t>(</w:t>
      </w:r>
      <w:r>
        <w:rPr>
          <w:spacing w:val="-4"/>
          <w:sz w:val="16"/>
          <w:szCs w:val="16"/>
          <w:lang w:val="en-GB"/>
        </w:rPr>
        <w:t>also including state treasury bills</w:t>
      </w:r>
      <w:r w:rsidRPr="000666B4">
        <w:rPr>
          <w:spacing w:val="-4"/>
          <w:sz w:val="16"/>
          <w:szCs w:val="16"/>
          <w:lang w:val="en-GB"/>
        </w:rPr>
        <w:t>)</w:t>
      </w:r>
      <w:r>
        <w:rPr>
          <w:spacing w:val="-4"/>
          <w:sz w:val="16"/>
          <w:szCs w:val="16"/>
          <w:lang w:val="en-GB"/>
        </w:rPr>
        <w:t xml:space="preserve"> climbed up to </w:t>
      </w:r>
      <w:r w:rsidRPr="000666B4">
        <w:rPr>
          <w:spacing w:val="-4"/>
          <w:sz w:val="16"/>
          <w:szCs w:val="16"/>
          <w:lang w:val="en-GB"/>
        </w:rPr>
        <w:t>2</w:t>
      </w:r>
      <w:r>
        <w:rPr>
          <w:spacing w:val="-4"/>
          <w:sz w:val="16"/>
          <w:szCs w:val="16"/>
          <w:lang w:val="en-GB"/>
        </w:rPr>
        <w:t> </w:t>
      </w:r>
      <w:r w:rsidRPr="000666B4">
        <w:rPr>
          <w:spacing w:val="-4"/>
          <w:sz w:val="16"/>
          <w:szCs w:val="16"/>
          <w:lang w:val="en-GB"/>
        </w:rPr>
        <w:t>868</w:t>
      </w:r>
      <w:r>
        <w:rPr>
          <w:spacing w:val="-4"/>
          <w:sz w:val="16"/>
          <w:szCs w:val="16"/>
          <w:lang w:val="en-GB"/>
        </w:rPr>
        <w:t xml:space="preserve"> CZK bn this year at the end of June</w:t>
      </w:r>
      <w:r w:rsidRPr="000666B4">
        <w:rPr>
          <w:spacing w:val="-4"/>
          <w:sz w:val="16"/>
          <w:szCs w:val="16"/>
          <w:lang w:val="en-GB"/>
        </w:rPr>
        <w:t>.</w:t>
      </w:r>
      <w:r>
        <w:rPr>
          <w:spacing w:val="-4"/>
          <w:sz w:val="16"/>
          <w:szCs w:val="16"/>
          <w:lang w:val="en-GB"/>
        </w:rPr>
        <w:t xml:space="preserve"> In that </w:t>
      </w:r>
      <w:r w:rsidRPr="000666B4">
        <w:rPr>
          <w:spacing w:val="-4"/>
          <w:sz w:val="16"/>
          <w:szCs w:val="16"/>
          <w:lang w:val="en-GB"/>
        </w:rPr>
        <w:t>27</w:t>
      </w:r>
      <w:r>
        <w:rPr>
          <w:spacing w:val="-4"/>
          <w:sz w:val="16"/>
          <w:szCs w:val="16"/>
          <w:lang w:val="en-GB"/>
        </w:rPr>
        <w:t>.</w:t>
      </w:r>
      <w:r w:rsidRPr="000666B4">
        <w:rPr>
          <w:spacing w:val="-4"/>
          <w:sz w:val="16"/>
          <w:szCs w:val="16"/>
          <w:lang w:val="en-GB"/>
        </w:rPr>
        <w:t>9%</w:t>
      </w:r>
      <w:r>
        <w:rPr>
          <w:spacing w:val="-4"/>
          <w:sz w:val="16"/>
          <w:szCs w:val="16"/>
          <w:lang w:val="en-GB"/>
        </w:rPr>
        <w:t xml:space="preserve"> was held by non-residents, 6</w:t>
      </w:r>
      <w:r w:rsidRPr="000666B4">
        <w:rPr>
          <w:spacing w:val="-4"/>
          <w:sz w:val="16"/>
          <w:szCs w:val="16"/>
          <w:lang w:val="en-GB"/>
        </w:rPr>
        <w:t>5</w:t>
      </w:r>
      <w:r>
        <w:rPr>
          <w:spacing w:val="-4"/>
          <w:sz w:val="16"/>
          <w:szCs w:val="16"/>
          <w:lang w:val="en-GB"/>
        </w:rPr>
        <w:t>.</w:t>
      </w:r>
      <w:r w:rsidRPr="000666B4">
        <w:rPr>
          <w:spacing w:val="-4"/>
          <w:sz w:val="16"/>
          <w:szCs w:val="16"/>
          <w:lang w:val="en-GB"/>
        </w:rPr>
        <w:t xml:space="preserve">9% </w:t>
      </w:r>
      <w:r>
        <w:rPr>
          <w:spacing w:val="-4"/>
          <w:sz w:val="16"/>
          <w:szCs w:val="16"/>
          <w:lang w:val="en-GB"/>
        </w:rPr>
        <w:t xml:space="preserve">belonged to domestic financial institutions </w:t>
      </w:r>
      <w:r w:rsidRPr="000666B4">
        <w:rPr>
          <w:spacing w:val="-4"/>
          <w:sz w:val="16"/>
          <w:szCs w:val="16"/>
          <w:lang w:val="en-GB"/>
        </w:rPr>
        <w:t>(</w:t>
      </w:r>
      <w:r>
        <w:rPr>
          <w:spacing w:val="-4"/>
          <w:sz w:val="16"/>
          <w:szCs w:val="16"/>
          <w:lang w:val="en-GB"/>
        </w:rPr>
        <w:t>mainly banks and pension funds</w:t>
      </w:r>
      <w:r w:rsidRPr="000666B4">
        <w:rPr>
          <w:spacing w:val="-4"/>
          <w:sz w:val="16"/>
          <w:szCs w:val="16"/>
          <w:lang w:val="en-GB"/>
        </w:rPr>
        <w:t xml:space="preserve">), </w:t>
      </w:r>
      <w:r>
        <w:rPr>
          <w:spacing w:val="-4"/>
          <w:sz w:val="16"/>
          <w:szCs w:val="16"/>
          <w:lang w:val="en-GB"/>
        </w:rPr>
        <w:t xml:space="preserve">households further owned more significant share </w:t>
      </w:r>
      <w:r w:rsidRPr="000666B4">
        <w:rPr>
          <w:spacing w:val="-4"/>
          <w:sz w:val="16"/>
          <w:szCs w:val="16"/>
          <w:lang w:val="en-GB"/>
        </w:rPr>
        <w:t>(3</w:t>
      </w:r>
      <w:r>
        <w:rPr>
          <w:spacing w:val="-4"/>
          <w:sz w:val="16"/>
          <w:szCs w:val="16"/>
          <w:lang w:val="en-GB"/>
        </w:rPr>
        <w:t>.</w:t>
      </w:r>
      <w:r w:rsidRPr="000666B4">
        <w:rPr>
          <w:spacing w:val="-4"/>
          <w:sz w:val="16"/>
          <w:szCs w:val="16"/>
          <w:lang w:val="en-GB"/>
        </w:rPr>
        <w:t>7%).</w:t>
      </w:r>
    </w:p>
  </w:footnote>
  <w:footnote w:id="106">
    <w:p w14:paraId="03DB6A11" w14:textId="200D003C" w:rsidR="008C5AA7" w:rsidRPr="000666B4" w:rsidRDefault="008C5AA7" w:rsidP="0020044C">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The external indebtedness shared on the total state debt from only 5.9% at the end of this year’s June. </w:t>
      </w:r>
    </w:p>
  </w:footnote>
  <w:footnote w:id="107">
    <w:p w14:paraId="654D19C9" w14:textId="77777777" w:rsidR="008C5AA7" w:rsidRPr="000666B4" w:rsidRDefault="008C5AA7" w:rsidP="00230EF0">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Unless stated otherwise, data given below regarding the budget of sector VI are expressed without seasonal adjustment. </w:t>
      </w:r>
    </w:p>
  </w:footnote>
  <w:footnote w:id="108">
    <w:p w14:paraId="23E8AD25" w14:textId="77777777" w:rsidR="008C5AA7" w:rsidRPr="000666B4" w:rsidRDefault="008C5AA7" w:rsidP="0088588B">
      <w:pPr>
        <w:pStyle w:val="Textpoznpodarou"/>
        <w:jc w:val="both"/>
        <w:rPr>
          <w:sz w:val="16"/>
          <w:szCs w:val="16"/>
          <w:lang w:val="en-GB"/>
        </w:rPr>
      </w:pPr>
      <w:r w:rsidRPr="000666B4">
        <w:rPr>
          <w:rStyle w:val="Znakapoznpodarou"/>
          <w:sz w:val="16"/>
          <w:szCs w:val="16"/>
          <w:lang w:val="en-GB"/>
        </w:rPr>
        <w:footnoteRef/>
      </w:r>
      <w:r w:rsidRPr="000666B4">
        <w:rPr>
          <w:sz w:val="16"/>
          <w:szCs w:val="16"/>
          <w:lang w:val="en-GB"/>
        </w:rPr>
        <w:t xml:space="preserve"> Data regarding the budget of government institutions for Q2 2023 will be published by the CZSO on 2</w:t>
      </w:r>
      <w:r w:rsidRPr="000666B4">
        <w:rPr>
          <w:sz w:val="16"/>
          <w:szCs w:val="16"/>
          <w:vertAlign w:val="superscript"/>
          <w:lang w:val="en-GB"/>
        </w:rPr>
        <w:t>nd</w:t>
      </w:r>
      <w:r w:rsidRPr="000666B4">
        <w:rPr>
          <w:sz w:val="16"/>
          <w:szCs w:val="16"/>
          <w:lang w:val="en-GB"/>
        </w:rPr>
        <w:t xml:space="preserve"> October 2023, Eurostat then on 23</w:t>
      </w:r>
      <w:r w:rsidRPr="000666B4">
        <w:rPr>
          <w:sz w:val="16"/>
          <w:szCs w:val="16"/>
          <w:vertAlign w:val="superscript"/>
          <w:lang w:val="en-GB"/>
        </w:rPr>
        <w:t>rd</w:t>
      </w:r>
      <w:r w:rsidRPr="000666B4">
        <w:rPr>
          <w:sz w:val="16"/>
          <w:szCs w:val="16"/>
          <w:lang w:val="en-GB"/>
        </w:rPr>
        <w:t xml:space="preserve"> October 2023. More detailed assessment of the domestic development for Q1 2023 is contained in the publication </w:t>
      </w:r>
      <w:r w:rsidRPr="000666B4">
        <w:rPr>
          <w:i/>
          <w:iCs/>
          <w:sz w:val="16"/>
          <w:szCs w:val="16"/>
          <w:lang w:val="en-GB"/>
        </w:rPr>
        <w:t xml:space="preserve">Analysis of the sector accounts: </w:t>
      </w:r>
      <w:r w:rsidRPr="000666B4">
        <w:rPr>
          <w:rStyle w:val="Hypertextovodkaz"/>
          <w:sz w:val="16"/>
          <w:szCs w:val="16"/>
          <w:lang w:val="en-GB"/>
        </w:rPr>
        <w:t>https://www.czso.cz/csu/czso/cri/analyza-ctvrtletnich-sektorovych-uctu-1-ctvrtleti-2023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8C5AA7" w14:paraId="3D57519A" w14:textId="77777777" w:rsidTr="7059F910">
      <w:trPr>
        <w:trHeight w:val="300"/>
      </w:trPr>
      <w:tc>
        <w:tcPr>
          <w:tcW w:w="3210" w:type="dxa"/>
        </w:tcPr>
        <w:p w14:paraId="7811EB53" w14:textId="4DDFCD4B" w:rsidR="008C5AA7" w:rsidRDefault="008C5AA7" w:rsidP="7059F910">
          <w:pPr>
            <w:pStyle w:val="Zhlav"/>
            <w:ind w:left="-115"/>
          </w:pPr>
        </w:p>
      </w:tc>
      <w:tc>
        <w:tcPr>
          <w:tcW w:w="3210" w:type="dxa"/>
        </w:tcPr>
        <w:p w14:paraId="5B18E2FB" w14:textId="699852E7" w:rsidR="008C5AA7" w:rsidRDefault="008C5AA7" w:rsidP="7059F910">
          <w:pPr>
            <w:pStyle w:val="Zhlav"/>
            <w:jc w:val="center"/>
          </w:pPr>
        </w:p>
      </w:tc>
      <w:tc>
        <w:tcPr>
          <w:tcW w:w="3210" w:type="dxa"/>
        </w:tcPr>
        <w:p w14:paraId="1759E02E" w14:textId="10B800EB" w:rsidR="008C5AA7" w:rsidRDefault="008C5AA7" w:rsidP="7059F910">
          <w:pPr>
            <w:pStyle w:val="Zhlav"/>
            <w:ind w:right="-115"/>
            <w:jc w:val="right"/>
          </w:pPr>
        </w:p>
      </w:tc>
    </w:tr>
  </w:tbl>
  <w:p w14:paraId="757EF678" w14:textId="58C73B80" w:rsidR="008C5AA7" w:rsidRDefault="008C5AA7"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8C5AA7" w14:paraId="0DBEFC73" w14:textId="77777777" w:rsidTr="7059F910">
      <w:trPr>
        <w:trHeight w:val="300"/>
      </w:trPr>
      <w:tc>
        <w:tcPr>
          <w:tcW w:w="3210" w:type="dxa"/>
        </w:tcPr>
        <w:p w14:paraId="2A6581A2" w14:textId="561A369A" w:rsidR="008C5AA7" w:rsidRDefault="008C5AA7" w:rsidP="7059F910">
          <w:pPr>
            <w:pStyle w:val="Zhlav"/>
            <w:ind w:left="-115"/>
          </w:pPr>
        </w:p>
      </w:tc>
      <w:tc>
        <w:tcPr>
          <w:tcW w:w="3210" w:type="dxa"/>
        </w:tcPr>
        <w:p w14:paraId="3D3E0A0E" w14:textId="2B32CF54" w:rsidR="008C5AA7" w:rsidRDefault="008C5AA7" w:rsidP="7059F910">
          <w:pPr>
            <w:pStyle w:val="Zhlav"/>
            <w:jc w:val="center"/>
          </w:pPr>
        </w:p>
      </w:tc>
      <w:tc>
        <w:tcPr>
          <w:tcW w:w="3210" w:type="dxa"/>
        </w:tcPr>
        <w:p w14:paraId="64BF241E" w14:textId="61DF3F23" w:rsidR="008C5AA7" w:rsidRDefault="008C5AA7" w:rsidP="7059F910">
          <w:pPr>
            <w:pStyle w:val="Zhlav"/>
            <w:ind w:right="-115"/>
            <w:jc w:val="right"/>
          </w:pPr>
        </w:p>
      </w:tc>
    </w:tr>
  </w:tbl>
  <w:p w14:paraId="7626C104" w14:textId="012EE53B" w:rsidR="008C5AA7" w:rsidRDefault="008C5AA7"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1D2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methodological-note-to-consumer-price-index-imputed-rentals"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D:\Anal&#253;za\Q\2023Q2\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st&#225;tn&#237;%20rozpo&#269;et-2q-2023-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Odv&#283;tv&#237;_grafy-2q-2023-akt-ENG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1'!$C$29:$C$50</c:f>
              <c:numCache>
                <c:formatCode>0.0</c:formatCode>
                <c:ptCount val="22"/>
                <c:pt idx="0">
                  <c:v>4.7409690869492067</c:v>
                </c:pt>
                <c:pt idx="1">
                  <c:v>2.8084745992628513</c:v>
                </c:pt>
                <c:pt idx="2">
                  <c:v>2.6946757492296172</c:v>
                </c:pt>
                <c:pt idx="3">
                  <c:v>2.6327282626460686</c:v>
                </c:pt>
                <c:pt idx="4">
                  <c:v>2.9925598229108203</c:v>
                </c:pt>
                <c:pt idx="5">
                  <c:v>3.0577797411869341</c:v>
                </c:pt>
                <c:pt idx="6">
                  <c:v>3.022282133028483</c:v>
                </c:pt>
                <c:pt idx="7">
                  <c:v>2.7919398416799623</c:v>
                </c:pt>
                <c:pt idx="8">
                  <c:v>-1.4737630559722419</c:v>
                </c:pt>
                <c:pt idx="9">
                  <c:v>-10.802828827516109</c:v>
                </c:pt>
                <c:pt idx="10">
                  <c:v>-5.2166971565464166</c:v>
                </c:pt>
                <c:pt idx="11">
                  <c:v>-4.5664791785978451</c:v>
                </c:pt>
                <c:pt idx="12">
                  <c:v>-1.9186413648622107</c:v>
                </c:pt>
                <c:pt idx="13">
                  <c:v>9.1792884100474765</c:v>
                </c:pt>
                <c:pt idx="14">
                  <c:v>3.8208995035486311</c:v>
                </c:pt>
                <c:pt idx="15">
                  <c:v>3.4133294018282072</c:v>
                </c:pt>
                <c:pt idx="16">
                  <c:v>4.6827760503125972</c:v>
                </c:pt>
                <c:pt idx="17">
                  <c:v>3.3595353964859953</c:v>
                </c:pt>
                <c:pt idx="18">
                  <c:v>1.3500170189121974</c:v>
                </c:pt>
                <c:pt idx="19">
                  <c:v>0.12011038697296783</c:v>
                </c:pt>
                <c:pt idx="20">
                  <c:v>-0.42287981073889114</c:v>
                </c:pt>
                <c:pt idx="21">
                  <c:v>-0.43494743667122293</c:v>
                </c:pt>
              </c:numCache>
            </c:numRef>
          </c:val>
          <c:extLst>
            <c:ext xmlns:c16="http://schemas.microsoft.com/office/drawing/2014/chart" uri="{C3380CC4-5D6E-409C-BE32-E72D297353CC}">
              <c16:uniqueId val="{00000000-B335-496C-B733-A5D435B936F4}"/>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1'!$D$29:$D$50</c:f>
              <c:numCache>
                <c:formatCode>0.0</c:formatCode>
                <c:ptCount val="22"/>
                <c:pt idx="0">
                  <c:v>2.6</c:v>
                </c:pt>
                <c:pt idx="1">
                  <c:v>2.4</c:v>
                </c:pt>
                <c:pt idx="2">
                  <c:v>1.7</c:v>
                </c:pt>
                <c:pt idx="3">
                  <c:v>1.6</c:v>
                </c:pt>
                <c:pt idx="4">
                  <c:v>2.1</c:v>
                </c:pt>
                <c:pt idx="5">
                  <c:v>1.8</c:v>
                </c:pt>
                <c:pt idx="6">
                  <c:v>2</c:v>
                </c:pt>
                <c:pt idx="7">
                  <c:v>1.4</c:v>
                </c:pt>
                <c:pt idx="8">
                  <c:v>-2.2000000000000002</c:v>
                </c:pt>
                <c:pt idx="9">
                  <c:v>-13.3</c:v>
                </c:pt>
                <c:pt idx="10">
                  <c:v>-3.8</c:v>
                </c:pt>
                <c:pt idx="11">
                  <c:v>-3.8</c:v>
                </c:pt>
                <c:pt idx="12">
                  <c:v>-0.6</c:v>
                </c:pt>
                <c:pt idx="13">
                  <c:v>13.9</c:v>
                </c:pt>
                <c:pt idx="14">
                  <c:v>4.5</c:v>
                </c:pt>
                <c:pt idx="15">
                  <c:v>5.2</c:v>
                </c:pt>
                <c:pt idx="16">
                  <c:v>5.6</c:v>
                </c:pt>
                <c:pt idx="17">
                  <c:v>4.3</c:v>
                </c:pt>
                <c:pt idx="18">
                  <c:v>2.5</c:v>
                </c:pt>
                <c:pt idx="19">
                  <c:v>1.6</c:v>
                </c:pt>
                <c:pt idx="20">
                  <c:v>1.1000000000000001</c:v>
                </c:pt>
                <c:pt idx="21">
                  <c:v>0.5</c:v>
                </c:pt>
              </c:numCache>
            </c:numRef>
          </c:val>
          <c:extLst>
            <c:ext xmlns:c16="http://schemas.microsoft.com/office/drawing/2014/chart" uri="{C3380CC4-5D6E-409C-BE32-E72D297353CC}">
              <c16:uniqueId val="{00000001-B335-496C-B733-A5D435B936F4}"/>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1'!$E$29:$E$50</c:f>
              <c:numCache>
                <c:formatCode>0.0</c:formatCode>
                <c:ptCount val="22"/>
                <c:pt idx="0">
                  <c:v>0.51859772519729574</c:v>
                </c:pt>
                <c:pt idx="1">
                  <c:v>0.5912374750303826</c:v>
                </c:pt>
                <c:pt idx="2">
                  <c:v>0.73257343037091971</c:v>
                </c:pt>
                <c:pt idx="3">
                  <c:v>0.76492186562109055</c:v>
                </c:pt>
                <c:pt idx="4">
                  <c:v>0.87101711877043897</c:v>
                </c:pt>
                <c:pt idx="5">
                  <c:v>0.65493675873298685</c:v>
                </c:pt>
                <c:pt idx="6">
                  <c:v>0.69787672499455766</c:v>
                </c:pt>
                <c:pt idx="7">
                  <c:v>0.53962669151388809</c:v>
                </c:pt>
                <c:pt idx="8">
                  <c:v>-3.3149705245738517</c:v>
                </c:pt>
                <c:pt idx="9">
                  <c:v>-8.8756873103285301</c:v>
                </c:pt>
                <c:pt idx="10">
                  <c:v>7.0042605595799046</c:v>
                </c:pt>
                <c:pt idx="11">
                  <c:v>1.2293333255930037</c:v>
                </c:pt>
                <c:pt idx="12">
                  <c:v>-0.63240914714887708</c:v>
                </c:pt>
                <c:pt idx="13">
                  <c:v>1.4350510102822795</c:v>
                </c:pt>
                <c:pt idx="14">
                  <c:v>1.7526194188431674</c:v>
                </c:pt>
                <c:pt idx="15">
                  <c:v>0.83193694511574279</c:v>
                </c:pt>
                <c:pt idx="16">
                  <c:v>0.58737418161310018</c:v>
                </c:pt>
                <c:pt idx="17">
                  <c:v>0.15286316349390461</c:v>
                </c:pt>
                <c:pt idx="18">
                  <c:v>-0.22565726268484809</c:v>
                </c:pt>
                <c:pt idx="19">
                  <c:v>-0.39168266154831599</c:v>
                </c:pt>
                <c:pt idx="20">
                  <c:v>4.1849831079645128E-2</c:v>
                </c:pt>
                <c:pt idx="21">
                  <c:v>0.14072576399479431</c:v>
                </c:pt>
              </c:numCache>
            </c:numRef>
          </c:val>
          <c:smooth val="0"/>
          <c:extLst>
            <c:ext xmlns:c16="http://schemas.microsoft.com/office/drawing/2014/chart" uri="{C3380CC4-5D6E-409C-BE32-E72D297353CC}">
              <c16:uniqueId val="{00000002-B335-496C-B733-A5D435B936F4}"/>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1'!$A$29:$B$50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1'!$F$29:$F$50</c:f>
              <c:numCache>
                <c:formatCode>0.0</c:formatCode>
                <c:ptCount val="22"/>
                <c:pt idx="0">
                  <c:v>0.2</c:v>
                </c:pt>
                <c:pt idx="1">
                  <c:v>0.6</c:v>
                </c:pt>
                <c:pt idx="2">
                  <c:v>0.1</c:v>
                </c:pt>
                <c:pt idx="3">
                  <c:v>0.7</c:v>
                </c:pt>
                <c:pt idx="4">
                  <c:v>0.7</c:v>
                </c:pt>
                <c:pt idx="5">
                  <c:v>0.4</c:v>
                </c:pt>
                <c:pt idx="6">
                  <c:v>0.3</c:v>
                </c:pt>
                <c:pt idx="7">
                  <c:v>0.1</c:v>
                </c:pt>
                <c:pt idx="8">
                  <c:v>-2.9</c:v>
                </c:pt>
                <c:pt idx="9">
                  <c:v>-11</c:v>
                </c:pt>
                <c:pt idx="10">
                  <c:v>11.3</c:v>
                </c:pt>
                <c:pt idx="11">
                  <c:v>0.1</c:v>
                </c:pt>
                <c:pt idx="12">
                  <c:v>0.4</c:v>
                </c:pt>
                <c:pt idx="13">
                  <c:v>1.9</c:v>
                </c:pt>
                <c:pt idx="14">
                  <c:v>2.1</c:v>
                </c:pt>
                <c:pt idx="15">
                  <c:v>0.7</c:v>
                </c:pt>
                <c:pt idx="16">
                  <c:v>0.7</c:v>
                </c:pt>
                <c:pt idx="17">
                  <c:v>0.6</c:v>
                </c:pt>
                <c:pt idx="18">
                  <c:v>0.4</c:v>
                </c:pt>
                <c:pt idx="19">
                  <c:v>-0.1</c:v>
                </c:pt>
                <c:pt idx="20">
                  <c:v>0.2</c:v>
                </c:pt>
                <c:pt idx="21">
                  <c:v>0</c:v>
                </c:pt>
              </c:numCache>
            </c:numRef>
          </c:val>
          <c:smooth val="0"/>
          <c:extLst>
            <c:ext xmlns:c16="http://schemas.microsoft.com/office/drawing/2014/chart" uri="{C3380CC4-5D6E-409C-BE32-E72D297353CC}">
              <c16:uniqueId val="{00000003-B335-496C-B733-A5D435B936F4}"/>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2'!$C$30:$C$51</c:f>
              <c:numCache>
                <c:formatCode>0.0</c:formatCode>
                <c:ptCount val="22"/>
                <c:pt idx="0">
                  <c:v>1.9</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numCache>
            </c:numRef>
          </c:val>
          <c:extLst>
            <c:ext xmlns:c16="http://schemas.microsoft.com/office/drawing/2014/chart" uri="{C3380CC4-5D6E-409C-BE32-E72D297353CC}">
              <c16:uniqueId val="{00000000-817A-45B1-813E-13386F5CC09C}"/>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2'!$D$30:$D$51</c:f>
              <c:numCache>
                <c:formatCode>#\ ##0.0_ ;\-#\ ##0.0\ </c:formatCode>
                <c:ptCount val="22"/>
                <c:pt idx="0" formatCode="0.0">
                  <c:v>2.9</c:v>
                </c:pt>
                <c:pt idx="1">
                  <c:v>2.2999999999999998</c:v>
                </c:pt>
                <c:pt idx="2" formatCode="0.0">
                  <c:v>0.6</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c:v>
                </c:pt>
                <c:pt idx="12" formatCode="0.0">
                  <c:v>0.3</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numCache>
            </c:numRef>
          </c:val>
          <c:smooth val="0"/>
          <c:extLst>
            <c:ext xmlns:c16="http://schemas.microsoft.com/office/drawing/2014/chart" uri="{C3380CC4-5D6E-409C-BE32-E72D297353CC}">
              <c16:uniqueId val="{00000001-817A-45B1-813E-13386F5CC09C}"/>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2'!$F$30:$F$51</c:f>
              <c:numCache>
                <c:formatCode>0.0</c:formatCode>
                <c:ptCount val="22"/>
                <c:pt idx="0">
                  <c:v>2.2999999999999998</c:v>
                </c:pt>
                <c:pt idx="1">
                  <c:v>2.6</c:v>
                </c:pt>
                <c:pt idx="2">
                  <c:v>3.2</c:v>
                </c:pt>
                <c:pt idx="3">
                  <c:v>3.8</c:v>
                </c:pt>
                <c:pt idx="4">
                  <c:v>5.4</c:v>
                </c:pt>
                <c:pt idx="5">
                  <c:v>5.7</c:v>
                </c:pt>
                <c:pt idx="6">
                  <c:v>5.2</c:v>
                </c:pt>
                <c:pt idx="7">
                  <c:v>5</c:v>
                </c:pt>
                <c:pt idx="8">
                  <c:v>4.2</c:v>
                </c:pt>
                <c:pt idx="9">
                  <c:v>3.2</c:v>
                </c:pt>
                <c:pt idx="10">
                  <c:v>2.7</c:v>
                </c:pt>
                <c:pt idx="11">
                  <c:v>1.4</c:v>
                </c:pt>
                <c:pt idx="12">
                  <c:v>0.6</c:v>
                </c:pt>
                <c:pt idx="13">
                  <c:v>1.3</c:v>
                </c:pt>
                <c:pt idx="14">
                  <c:v>3.6</c:v>
                </c:pt>
                <c:pt idx="15">
                  <c:v>5.6</c:v>
                </c:pt>
                <c:pt idx="16">
                  <c:v>16</c:v>
                </c:pt>
                <c:pt idx="17">
                  <c:v>21.4</c:v>
                </c:pt>
                <c:pt idx="18">
                  <c:v>23.6</c:v>
                </c:pt>
                <c:pt idx="19">
                  <c:v>14.9</c:v>
                </c:pt>
                <c:pt idx="20">
                  <c:v>22.2</c:v>
                </c:pt>
                <c:pt idx="21">
                  <c:v>16</c:v>
                </c:pt>
              </c:numCache>
            </c:numRef>
          </c:val>
          <c:smooth val="0"/>
          <c:extLst>
            <c:ext xmlns:c16="http://schemas.microsoft.com/office/drawing/2014/chart" uri="{C3380CC4-5D6E-409C-BE32-E72D297353CC}">
              <c16:uniqueId val="{00000002-817A-45B1-813E-13386F5CC09C}"/>
            </c:ext>
          </c:extLst>
        </c:ser>
        <c:ser>
          <c:idx val="4"/>
          <c:order val="3"/>
          <c:tx>
            <c:strRef>
              <c:f>'Ceny 2'!$G$5</c:f>
              <c:strCache>
                <c:ptCount val="1"/>
                <c:pt idx="0">
                  <c:v>Transportation</c:v>
                </c:pt>
              </c:strCache>
            </c:strRef>
          </c:tx>
          <c:spPr>
            <a:ln w="19050">
              <a:solidFill>
                <a:srgbClr val="FFC00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2'!$G$30:$G$51</c:f>
              <c:numCache>
                <c:formatCode>0.0</c:formatCode>
                <c:ptCount val="22"/>
                <c:pt idx="0">
                  <c:v>1</c:v>
                </c:pt>
                <c:pt idx="1">
                  <c:v>3</c:v>
                </c:pt>
                <c:pt idx="2">
                  <c:v>4.5</c:v>
                </c:pt>
                <c:pt idx="3">
                  <c:v>2.6</c:v>
                </c:pt>
                <c:pt idx="4">
                  <c:v>0.6</c:v>
                </c:pt>
                <c:pt idx="5">
                  <c:v>0.8</c:v>
                </c:pt>
                <c:pt idx="6">
                  <c:v>-0.2</c:v>
                </c:pt>
                <c:pt idx="7">
                  <c:v>0.5</c:v>
                </c:pt>
                <c:pt idx="8" formatCode="General">
                  <c:v>1.7</c:v>
                </c:pt>
                <c:pt idx="9">
                  <c:v>-3.4</c:v>
                </c:pt>
                <c:pt idx="10">
                  <c:v>-0.2</c:v>
                </c:pt>
                <c:pt idx="11">
                  <c:v>0.6</c:v>
                </c:pt>
                <c:pt idx="12">
                  <c:v>2.4</c:v>
                </c:pt>
                <c:pt idx="13">
                  <c:v>9.1</c:v>
                </c:pt>
                <c:pt idx="14">
                  <c:v>8.8000000000000007</c:v>
                </c:pt>
                <c:pt idx="15">
                  <c:v>13.1</c:v>
                </c:pt>
                <c:pt idx="16">
                  <c:v>17.2</c:v>
                </c:pt>
                <c:pt idx="17">
                  <c:v>22.7</c:v>
                </c:pt>
                <c:pt idx="18">
                  <c:v>19.7</c:v>
                </c:pt>
                <c:pt idx="19">
                  <c:v>13.1</c:v>
                </c:pt>
                <c:pt idx="20">
                  <c:v>4.5</c:v>
                </c:pt>
                <c:pt idx="21">
                  <c:v>-4</c:v>
                </c:pt>
              </c:numCache>
            </c:numRef>
          </c:val>
          <c:smooth val="0"/>
          <c:extLst>
            <c:ext xmlns:c16="http://schemas.microsoft.com/office/drawing/2014/chart" uri="{C3380CC4-5D6E-409C-BE32-E72D297353CC}">
              <c16:uniqueId val="{00000003-817A-45B1-813E-13386F5CC09C}"/>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2'!$H$30:$H$51</c:f>
              <c:numCache>
                <c:formatCode>0.0</c:formatCode>
                <c:ptCount val="22"/>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numCache>
            </c:numRef>
          </c:val>
          <c:smooth val="0"/>
          <c:extLst xmlns:c15="http://schemas.microsoft.com/office/drawing/2012/chart">
            <c:ext xmlns:c16="http://schemas.microsoft.com/office/drawing/2014/chart" uri="{C3380CC4-5D6E-409C-BE32-E72D297353CC}">
              <c16:uniqueId val="{00000004-817A-45B1-813E-13386F5CC09C}"/>
            </c:ext>
          </c:extLst>
        </c:ser>
        <c:ser>
          <c:idx val="6"/>
          <c:order val="6"/>
          <c:tx>
            <c:strRef>
              <c:f>'Ceny 2'!$I$5</c:f>
              <c:strCache>
                <c:ptCount val="1"/>
                <c:pt idx="0">
                  <c:v>Recreation and culture</c:v>
                </c:pt>
              </c:strCache>
            </c:strRef>
          </c:tx>
          <c:spPr>
            <a:ln w="22225">
              <a:solidFill>
                <a:srgbClr val="FF0000"/>
              </a:solidFill>
            </a:ln>
          </c:spPr>
          <c:marker>
            <c:symbol val="none"/>
          </c:marker>
          <c:cat>
            <c:multiLvlStrRef>
              <c:f>'Ceny 2'!$A$30:$B$51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2'!$I$30:$I$51</c:f>
              <c:numCache>
                <c:formatCode>General</c:formatCode>
                <c:ptCount val="22"/>
                <c:pt idx="0">
                  <c:v>0.5</c:v>
                </c:pt>
                <c:pt idx="1">
                  <c:v>0.59999999999999432</c:v>
                </c:pt>
                <c:pt idx="2">
                  <c:v>2.2000000000000028</c:v>
                </c:pt>
                <c:pt idx="3">
                  <c:v>0.5</c:v>
                </c:pt>
                <c:pt idx="4">
                  <c:v>1.7000000000000028</c:v>
                </c:pt>
                <c:pt idx="5">
                  <c:v>1</c:v>
                </c:pt>
                <c:pt idx="6">
                  <c:v>1.7000000000000028</c:v>
                </c:pt>
                <c:pt idx="7">
                  <c:v>2.0999999999999943</c:v>
                </c:pt>
                <c:pt idx="8">
                  <c:v>2.0999999999999943</c:v>
                </c:pt>
                <c:pt idx="9">
                  <c:v>2</c:v>
                </c:pt>
                <c:pt idx="10">
                  <c:v>2.2000000000000028</c:v>
                </c:pt>
                <c:pt idx="11">
                  <c:v>2.5</c:v>
                </c:pt>
                <c:pt idx="12">
                  <c:v>1.4000000000000057</c:v>
                </c:pt>
                <c:pt idx="13">
                  <c:v>2</c:v>
                </c:pt>
                <c:pt idx="14">
                  <c:v>3.0999999999999943</c:v>
                </c:pt>
                <c:pt idx="15">
                  <c:v>5.2999999999999972</c:v>
                </c:pt>
                <c:pt idx="16">
                  <c:v>8.5</c:v>
                </c:pt>
                <c:pt idx="17">
                  <c:v>11.299999999999997</c:v>
                </c:pt>
                <c:pt idx="18">
                  <c:v>12.599999999999994</c:v>
                </c:pt>
                <c:pt idx="19" formatCode="0.0">
                  <c:v>13.2</c:v>
                </c:pt>
                <c:pt idx="20" formatCode="0.0">
                  <c:v>14</c:v>
                </c:pt>
                <c:pt idx="21" formatCode="0.0">
                  <c:v>11.7</c:v>
                </c:pt>
              </c:numCache>
            </c:numRef>
          </c:val>
          <c:smooth val="0"/>
          <c:extLst>
            <c:ext xmlns:c16="http://schemas.microsoft.com/office/drawing/2014/chart" uri="{C3380CC4-5D6E-409C-BE32-E72D297353CC}">
              <c16:uniqueId val="{00000005-817A-45B1-813E-13386F5CC09C}"/>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5"/>
                <c:order val="4"/>
                <c:tx>
                  <c:strRef>
                    <c:extLst>
                      <c:ext uri="{02D57815-91ED-43cb-92C2-25804820EDAC}">
                        <c15:formulaRef>
                          <c15:sqref>'Ceny 2'!$E$5</c15:sqref>
                        </c15:formulaRef>
                      </c:ext>
                    </c:extLst>
                    <c:strCache>
                      <c:ptCount val="1"/>
                      <c:pt idx="0">
                        <c:v>Alcoholic beverages and tobacco</c:v>
                      </c:pt>
                    </c:strCache>
                  </c:strRef>
                </c:tx>
                <c:spPr>
                  <a:ln w="22225">
                    <a:solidFill>
                      <a:schemeClr val="accent2"/>
                    </a:solidFill>
                  </a:ln>
                </c:spPr>
                <c:marker>
                  <c:symbol val="none"/>
                </c:marker>
                <c:cat>
                  <c:multiLvlStrRef>
                    <c:extLst>
                      <c:ext uri="{02D57815-91ED-43cb-92C2-25804820EDAC}">
                        <c15:formulaRef>
                          <c15:sqref>'Ceny 2'!$A$30:$B$51</c15:sqref>
                        </c15:formulaRef>
                      </c:ext>
                    </c:extLst>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2'!$E$26:$E$49</c15:sqref>
                        </c15:formulaRef>
                      </c:ext>
                    </c:extLst>
                    <c:numCache>
                      <c:formatCode>General</c:formatCode>
                      <c:ptCount val="24"/>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pt idx="23" formatCode="0.0">
                        <c:v>6</c:v>
                      </c:pt>
                    </c:numCache>
                  </c:numRef>
                </c:val>
                <c:smooth val="0"/>
                <c:extLst>
                  <c:ext xmlns:c16="http://schemas.microsoft.com/office/drawing/2014/chart" uri="{C3380CC4-5D6E-409C-BE32-E72D297353CC}">
                    <c16:uniqueId val="{00000006-817A-45B1-813E-13386F5CC09C}"/>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71700861195542"/>
          <c:h val="0.105771324327717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1'!$C$30:$C$51</c:f>
              <c:numCache>
                <c:formatCode>General</c:formatCode>
                <c:ptCount val="22"/>
                <c:pt idx="0">
                  <c:v>9.2000000000000028</c:v>
                </c:pt>
                <c:pt idx="1">
                  <c:v>8</c:v>
                </c:pt>
                <c:pt idx="2">
                  <c:v>9.4000000000000057</c:v>
                </c:pt>
                <c:pt idx="3">
                  <c:v>11.400000000000006</c:v>
                </c:pt>
                <c:pt idx="4">
                  <c:v>11.299999999999997</c:v>
                </c:pt>
                <c:pt idx="5">
                  <c:v>10.599999999999994</c:v>
                </c:pt>
                <c:pt idx="6">
                  <c:v>9.5</c:v>
                </c:pt>
                <c:pt idx="7">
                  <c:v>9.4000000000000057</c:v>
                </c:pt>
                <c:pt idx="8">
                  <c:v>10.599999999999994</c:v>
                </c:pt>
                <c:pt idx="9">
                  <c:v>10.200000000000003</c:v>
                </c:pt>
                <c:pt idx="10">
                  <c:v>11.200000000000003</c:v>
                </c:pt>
                <c:pt idx="11">
                  <c:v>13.299999999999997</c:v>
                </c:pt>
                <c:pt idx="12">
                  <c:v>15.200000000000003</c:v>
                </c:pt>
                <c:pt idx="13">
                  <c:v>17.900000000000006</c:v>
                </c:pt>
                <c:pt idx="14">
                  <c:v>21.299999999999997</c:v>
                </c:pt>
                <c:pt idx="15">
                  <c:v>25.200000000000003</c:v>
                </c:pt>
                <c:pt idx="16">
                  <c:v>27.299999999999997</c:v>
                </c:pt>
                <c:pt idx="17">
                  <c:v>27.599999999999994</c:v>
                </c:pt>
                <c:pt idx="18">
                  <c:v>23.400000000000006</c:v>
                </c:pt>
                <c:pt idx="19">
                  <c:v>13.799999999999997</c:v>
                </c:pt>
                <c:pt idx="20">
                  <c:v>3.7000000000000028</c:v>
                </c:pt>
                <c:pt idx="21">
                  <c:v>-4.0999999999999943</c:v>
                </c:pt>
              </c:numCache>
            </c:numRef>
          </c:val>
          <c:extLst>
            <c:ext xmlns:c16="http://schemas.microsoft.com/office/drawing/2014/chart" uri="{C3380CC4-5D6E-409C-BE32-E72D297353CC}">
              <c16:uniqueId val="{00000000-CFE8-47B0-9055-56125EEC3259}"/>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1'!$D$30:$D$51</c:f>
              <c:numCache>
                <c:formatCode>General</c:formatCode>
                <c:ptCount val="22"/>
                <c:pt idx="0">
                  <c:v>8.2999999999999972</c:v>
                </c:pt>
                <c:pt idx="1">
                  <c:v>4</c:v>
                </c:pt>
                <c:pt idx="2">
                  <c:v>6</c:v>
                </c:pt>
                <c:pt idx="3">
                  <c:v>8.7000000000000028</c:v>
                </c:pt>
                <c:pt idx="4">
                  <c:v>9.4000000000000057</c:v>
                </c:pt>
                <c:pt idx="5">
                  <c:v>8.7000000000000028</c:v>
                </c:pt>
                <c:pt idx="6">
                  <c:v>6.5</c:v>
                </c:pt>
                <c:pt idx="7">
                  <c:v>7.0999999999999943</c:v>
                </c:pt>
                <c:pt idx="8">
                  <c:v>6.2000000000000028</c:v>
                </c:pt>
                <c:pt idx="9">
                  <c:v>8</c:v>
                </c:pt>
                <c:pt idx="10">
                  <c:v>9.4000000000000057</c:v>
                </c:pt>
                <c:pt idx="11">
                  <c:v>10.599999999999994</c:v>
                </c:pt>
                <c:pt idx="12">
                  <c:v>14.299999999999997</c:v>
                </c:pt>
                <c:pt idx="13">
                  <c:v>15.799999999999997</c:v>
                </c:pt>
                <c:pt idx="14">
                  <c:v>16.599999999999994</c:v>
                </c:pt>
                <c:pt idx="15">
                  <c:v>20</c:v>
                </c:pt>
                <c:pt idx="16">
                  <c:v>19</c:v>
                </c:pt>
                <c:pt idx="17">
                  <c:v>16.700000000000003</c:v>
                </c:pt>
                <c:pt idx="18">
                  <c:v>15.599999999999994</c:v>
                </c:pt>
                <c:pt idx="19">
                  <c:v>8.4000000000000057</c:v>
                </c:pt>
                <c:pt idx="20">
                  <c:v>1.2000000000000028</c:v>
                </c:pt>
                <c:pt idx="21">
                  <c:v>-3.5999999999999943</c:v>
                </c:pt>
              </c:numCache>
            </c:numRef>
          </c:val>
          <c:extLst>
            <c:ext xmlns:c16="http://schemas.microsoft.com/office/drawing/2014/chart" uri="{C3380CC4-5D6E-409C-BE32-E72D297353CC}">
              <c16:uniqueId val="{00000001-CFE8-47B0-9055-56125EEC3259}"/>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1'!$E$30:$E$51</c:f>
              <c:numCache>
                <c:formatCode>0.0</c:formatCode>
                <c:ptCount val="22"/>
                <c:pt idx="0">
                  <c:v>12.801932367149746</c:v>
                </c:pt>
                <c:pt idx="1">
                  <c:v>12.225705329153584</c:v>
                </c:pt>
                <c:pt idx="2">
                  <c:v>9.498878085265531</c:v>
                </c:pt>
                <c:pt idx="3">
                  <c:v>8.4609773887673185</c:v>
                </c:pt>
                <c:pt idx="4">
                  <c:v>7.4232690935046435</c:v>
                </c:pt>
                <c:pt idx="5">
                  <c:v>5.7262569832402335</c:v>
                </c:pt>
                <c:pt idx="6">
                  <c:v>5.1912568306010911</c:v>
                </c:pt>
                <c:pt idx="7">
                  <c:v>5.5144586415601964</c:v>
                </c:pt>
                <c:pt idx="8">
                  <c:v>6.0465116279069662</c:v>
                </c:pt>
                <c:pt idx="9">
                  <c:v>7.1334214002641829</c:v>
                </c:pt>
                <c:pt idx="10">
                  <c:v>7.9870129870129887</c:v>
                </c:pt>
                <c:pt idx="11">
                  <c:v>7.6481835564053569</c:v>
                </c:pt>
                <c:pt idx="12">
                  <c:v>7.6441102756892292</c:v>
                </c:pt>
                <c:pt idx="13">
                  <c:v>7.9531442663378584</c:v>
                </c:pt>
                <c:pt idx="14">
                  <c:v>9.3205051112447421</c:v>
                </c:pt>
                <c:pt idx="15">
                  <c:v>12.433392539964473</c:v>
                </c:pt>
                <c:pt idx="16">
                  <c:v>16.880093131548307</c:v>
                </c:pt>
                <c:pt idx="17">
                  <c:v>24.671616219303274</c:v>
                </c:pt>
                <c:pt idx="18">
                  <c:v>22.937293729372925</c:v>
                </c:pt>
                <c:pt idx="19">
                  <c:v>18.325434439178508</c:v>
                </c:pt>
                <c:pt idx="20">
                  <c:v>9.8107569721115624</c:v>
                </c:pt>
                <c:pt idx="21" formatCode="General">
                  <c:v>-0.73293632615667548</c:v>
                </c:pt>
              </c:numCache>
            </c:numRef>
          </c:val>
          <c:smooth val="0"/>
          <c:extLst>
            <c:ext xmlns:c16="http://schemas.microsoft.com/office/drawing/2014/chart" uri="{C3380CC4-5D6E-409C-BE32-E72D297353CC}">
              <c16:uniqueId val="{00000002-CFE8-47B0-9055-56125EEC3259}"/>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1'!$F$30:$F$51</c:f>
              <c:numCache>
                <c:formatCode>0.0</c:formatCode>
                <c:ptCount val="22"/>
                <c:pt idx="0">
                  <c:v>15.071428571428555</c:v>
                </c:pt>
                <c:pt idx="1">
                  <c:v>14.24638678596007</c:v>
                </c:pt>
                <c:pt idx="2">
                  <c:v>10.732984293193695</c:v>
                </c:pt>
                <c:pt idx="3">
                  <c:v>8.7531486146095574</c:v>
                </c:pt>
                <c:pt idx="4">
                  <c:v>8.3178150217256359</c:v>
                </c:pt>
                <c:pt idx="5">
                  <c:v>4.9397590361445651</c:v>
                </c:pt>
                <c:pt idx="6">
                  <c:v>3.3096926713947994</c:v>
                </c:pt>
                <c:pt idx="7">
                  <c:v>2.9530978575564575</c:v>
                </c:pt>
                <c:pt idx="8">
                  <c:v>3.5530085959885298</c:v>
                </c:pt>
                <c:pt idx="9">
                  <c:v>5.2812858783008068</c:v>
                </c:pt>
                <c:pt idx="10">
                  <c:v>6.2356979405034281</c:v>
                </c:pt>
                <c:pt idx="11">
                  <c:v>5.1743532058492718</c:v>
                </c:pt>
                <c:pt idx="12">
                  <c:v>4.759269507470961</c:v>
                </c:pt>
                <c:pt idx="13">
                  <c:v>4.5256270447110012</c:v>
                </c:pt>
                <c:pt idx="14">
                  <c:v>6.2466343564889826</c:v>
                </c:pt>
                <c:pt idx="15">
                  <c:v>9.1443850267379503</c:v>
                </c:pt>
                <c:pt idx="16">
                  <c:v>12.255678816693077</c:v>
                </c:pt>
                <c:pt idx="17">
                  <c:v>19.718309859154942</c:v>
                </c:pt>
                <c:pt idx="18">
                  <c:v>18.499746578813998</c:v>
                </c:pt>
                <c:pt idx="19">
                  <c:v>16.903478686918177</c:v>
                </c:pt>
                <c:pt idx="20">
                  <c:v>10.305882352941182</c:v>
                </c:pt>
                <c:pt idx="21" formatCode="General">
                  <c:v>0.30501089324617681</c:v>
                </c:pt>
              </c:numCache>
            </c:numRef>
          </c:val>
          <c:smooth val="0"/>
          <c:extLst>
            <c:ext xmlns:c16="http://schemas.microsoft.com/office/drawing/2014/chart" uri="{C3380CC4-5D6E-409C-BE32-E72D297353CC}">
              <c16:uniqueId val="{00000003-CFE8-47B0-9055-56125EEC3259}"/>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ax val="30"/>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5"/>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536533717322946E-2"/>
          <c:y val="2.0784574468085106E-2"/>
          <c:w val="0.93242262856416824"/>
          <c:h val="0.66772044917257678"/>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a:noFill/>
            </a:ln>
            <a:effectLst/>
          </c:spPr>
          <c:invertIfNegative val="0"/>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4'!$C$6:$C$27</c:f>
              <c:numCache>
                <c:formatCode>General</c:formatCode>
                <c:ptCount val="22"/>
                <c:pt idx="0">
                  <c:v>9.9999999999994316E-2</c:v>
                </c:pt>
                <c:pt idx="1">
                  <c:v>1.5</c:v>
                </c:pt>
                <c:pt idx="2">
                  <c:v>3.2999999999999972</c:v>
                </c:pt>
                <c:pt idx="3">
                  <c:v>3.4000000000000057</c:v>
                </c:pt>
                <c:pt idx="4">
                  <c:v>3.5</c:v>
                </c:pt>
                <c:pt idx="5">
                  <c:v>3.5</c:v>
                </c:pt>
                <c:pt idx="6">
                  <c:v>2</c:v>
                </c:pt>
                <c:pt idx="7">
                  <c:v>1.2999999999999972</c:v>
                </c:pt>
                <c:pt idx="8">
                  <c:v>1.4000000000000057</c:v>
                </c:pt>
                <c:pt idx="9">
                  <c:v>-0.59999999999999432</c:v>
                </c:pt>
                <c:pt idx="10">
                  <c:v>-0.29999999999999716</c:v>
                </c:pt>
                <c:pt idx="11">
                  <c:v>9.9999999999994316E-2</c:v>
                </c:pt>
                <c:pt idx="12">
                  <c:v>1.5</c:v>
                </c:pt>
                <c:pt idx="13">
                  <c:v>5.2999999999999972</c:v>
                </c:pt>
                <c:pt idx="14">
                  <c:v>9</c:v>
                </c:pt>
                <c:pt idx="15">
                  <c:v>12.799999999999997</c:v>
                </c:pt>
                <c:pt idx="16">
                  <c:v>21.799999999999997</c:v>
                </c:pt>
                <c:pt idx="17">
                  <c:v>27.700000000000003</c:v>
                </c:pt>
                <c:pt idx="18">
                  <c:v>25.900000000000006</c:v>
                </c:pt>
                <c:pt idx="19">
                  <c:v>21.799999999999997</c:v>
                </c:pt>
                <c:pt idx="20">
                  <c:v>15</c:v>
                </c:pt>
                <c:pt idx="21">
                  <c:v>3.9000000000000057</c:v>
                </c:pt>
              </c:numCache>
            </c:numRef>
          </c:val>
          <c:extLst>
            <c:ext xmlns:c16="http://schemas.microsoft.com/office/drawing/2014/chart" uri="{C3380CC4-5D6E-409C-BE32-E72D297353CC}">
              <c16:uniqueId val="{00000000-918F-441C-943E-96FC0213B003}"/>
            </c:ext>
          </c:extLst>
        </c:ser>
        <c:dLbls>
          <c:showLegendKey val="0"/>
          <c:showVal val="0"/>
          <c:showCatName val="0"/>
          <c:showSerName val="0"/>
          <c:showPercent val="0"/>
          <c:showBubbleSize val="0"/>
        </c:dLbls>
        <c:gapWidth val="90"/>
        <c:axId val="1717494240"/>
        <c:axId val="1718275936"/>
      </c:barChart>
      <c:lineChart>
        <c:grouping val="standard"/>
        <c:varyColors val="0"/>
        <c:ser>
          <c:idx val="1"/>
          <c:order val="1"/>
          <c:tx>
            <c:strRef>
              <c:f>'Ceny 4'!$D$5</c:f>
              <c:strCache>
                <c:ptCount val="1"/>
                <c:pt idx="0">
                  <c:v>Mining and quarrying</c:v>
                </c:pt>
              </c:strCache>
            </c:strRef>
          </c:tx>
          <c:spPr>
            <a:ln w="22225" cap="rnd">
              <a:solidFill>
                <a:srgbClr val="7DBB2D"/>
              </a:solidFill>
              <a:round/>
            </a:ln>
            <a:effectLst/>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4'!$D$6:$D$27</c:f>
              <c:numCache>
                <c:formatCode>General</c:formatCode>
                <c:ptCount val="22"/>
                <c:pt idx="0">
                  <c:v>5.4000000000000057</c:v>
                </c:pt>
                <c:pt idx="1">
                  <c:v>6.7000000000000028</c:v>
                </c:pt>
                <c:pt idx="2">
                  <c:v>9.4000000000000057</c:v>
                </c:pt>
                <c:pt idx="3">
                  <c:v>8.7999999999999972</c:v>
                </c:pt>
                <c:pt idx="4">
                  <c:v>7.7000000000000028</c:v>
                </c:pt>
                <c:pt idx="5">
                  <c:v>7.7000000000000028</c:v>
                </c:pt>
                <c:pt idx="6">
                  <c:v>6.7000000000000028</c:v>
                </c:pt>
                <c:pt idx="7">
                  <c:v>3.7000000000000028</c:v>
                </c:pt>
                <c:pt idx="8">
                  <c:v>-2.0999999999999943</c:v>
                </c:pt>
                <c:pt idx="9">
                  <c:v>-3.5</c:v>
                </c:pt>
                <c:pt idx="10">
                  <c:v>-3.5999999999999943</c:v>
                </c:pt>
                <c:pt idx="11">
                  <c:v>-2</c:v>
                </c:pt>
                <c:pt idx="12">
                  <c:v>-0.5</c:v>
                </c:pt>
                <c:pt idx="13">
                  <c:v>0.79999999999999716</c:v>
                </c:pt>
                <c:pt idx="14">
                  <c:v>3.2999999999999972</c:v>
                </c:pt>
                <c:pt idx="15">
                  <c:v>13.799999999999997</c:v>
                </c:pt>
                <c:pt idx="16">
                  <c:v>25.200000000000003</c:v>
                </c:pt>
                <c:pt idx="17">
                  <c:v>31.900000000000006</c:v>
                </c:pt>
                <c:pt idx="18">
                  <c:v>30.199999999999989</c:v>
                </c:pt>
                <c:pt idx="19">
                  <c:v>23.299999999999997</c:v>
                </c:pt>
                <c:pt idx="20">
                  <c:v>54</c:v>
                </c:pt>
                <c:pt idx="21">
                  <c:v>47.599999999999994</c:v>
                </c:pt>
              </c:numCache>
            </c:numRef>
          </c:val>
          <c:smooth val="0"/>
          <c:extLst>
            <c:ext xmlns:c16="http://schemas.microsoft.com/office/drawing/2014/chart" uri="{C3380CC4-5D6E-409C-BE32-E72D297353CC}">
              <c16:uniqueId val="{00000001-918F-441C-943E-96FC0213B003}"/>
            </c:ext>
          </c:extLst>
        </c:ser>
        <c:ser>
          <c:idx val="2"/>
          <c:order val="2"/>
          <c:tx>
            <c:strRef>
              <c:f>'Ceny 4'!$E$5</c:f>
              <c:strCache>
                <c:ptCount val="1"/>
                <c:pt idx="0">
                  <c:v>Manufacturing</c:v>
                </c:pt>
              </c:strCache>
            </c:strRef>
          </c:tx>
          <c:spPr>
            <a:ln w="22225" cap="rnd">
              <a:solidFill>
                <a:srgbClr val="BD1B21"/>
              </a:solidFill>
              <a:round/>
            </a:ln>
            <a:effectLst/>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4'!$E$6:$E$27</c:f>
              <c:numCache>
                <c:formatCode>General</c:formatCode>
                <c:ptCount val="22"/>
                <c:pt idx="0">
                  <c:v>-0.40000000000000568</c:v>
                </c:pt>
                <c:pt idx="1">
                  <c:v>1.2000000000000028</c:v>
                </c:pt>
                <c:pt idx="2">
                  <c:v>3.2000000000000028</c:v>
                </c:pt>
                <c:pt idx="3">
                  <c:v>3.2999999999999972</c:v>
                </c:pt>
                <c:pt idx="4">
                  <c:v>2.5999999999999943</c:v>
                </c:pt>
                <c:pt idx="5">
                  <c:v>2.5999999999999943</c:v>
                </c:pt>
                <c:pt idx="6">
                  <c:v>0.79999999999999716</c:v>
                </c:pt>
                <c:pt idx="7">
                  <c:v>-9.9999999999994316E-2</c:v>
                </c:pt>
                <c:pt idx="8">
                  <c:v>0</c:v>
                </c:pt>
                <c:pt idx="9">
                  <c:v>-2.2999999999999972</c:v>
                </c:pt>
                <c:pt idx="10">
                  <c:v>-1.7999999999999972</c:v>
                </c:pt>
                <c:pt idx="11">
                  <c:v>-1.2000000000000028</c:v>
                </c:pt>
                <c:pt idx="12">
                  <c:v>1.7999999999999972</c:v>
                </c:pt>
                <c:pt idx="13">
                  <c:v>6.5</c:v>
                </c:pt>
                <c:pt idx="14">
                  <c:v>11</c:v>
                </c:pt>
                <c:pt idx="15">
                  <c:v>14.5</c:v>
                </c:pt>
                <c:pt idx="16">
                  <c:v>17.5</c:v>
                </c:pt>
                <c:pt idx="17">
                  <c:v>24.200000000000003</c:v>
                </c:pt>
                <c:pt idx="18">
                  <c:v>20.5</c:v>
                </c:pt>
                <c:pt idx="19">
                  <c:v>16</c:v>
                </c:pt>
                <c:pt idx="20">
                  <c:v>10.299999999999997</c:v>
                </c:pt>
                <c:pt idx="21">
                  <c:v>-0.90000000000000568</c:v>
                </c:pt>
              </c:numCache>
            </c:numRef>
          </c:val>
          <c:smooth val="0"/>
          <c:extLst>
            <c:ext xmlns:c16="http://schemas.microsoft.com/office/drawing/2014/chart" uri="{C3380CC4-5D6E-409C-BE32-E72D297353CC}">
              <c16:uniqueId val="{00000002-918F-441C-943E-96FC0213B003}"/>
            </c:ext>
          </c:extLst>
        </c:ser>
        <c:ser>
          <c:idx val="3"/>
          <c:order val="3"/>
          <c:tx>
            <c:strRef>
              <c:f>'Ceny 4'!$F$5</c:f>
              <c:strCache>
                <c:ptCount val="1"/>
                <c:pt idx="0">
                  <c:v>Electricity, gas, steam and air conditioning supply</c:v>
                </c:pt>
              </c:strCache>
            </c:strRef>
          </c:tx>
          <c:spPr>
            <a:ln w="22225" cap="rnd">
              <a:solidFill>
                <a:srgbClr val="FFC000"/>
              </a:solidFill>
              <a:round/>
            </a:ln>
            <a:effectLst/>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4'!$F$6:$F$27</c:f>
              <c:numCache>
                <c:formatCode>General</c:formatCode>
                <c:ptCount val="22"/>
                <c:pt idx="0">
                  <c:v>1.5</c:v>
                </c:pt>
                <c:pt idx="1">
                  <c:v>1.9000000000000057</c:v>
                </c:pt>
                <c:pt idx="2">
                  <c:v>2.5999999999999943</c:v>
                </c:pt>
                <c:pt idx="3">
                  <c:v>2.7999999999999972</c:v>
                </c:pt>
                <c:pt idx="4">
                  <c:v>7.7000000000000028</c:v>
                </c:pt>
                <c:pt idx="5">
                  <c:v>8.2999999999999972</c:v>
                </c:pt>
                <c:pt idx="6">
                  <c:v>7.7999999999999972</c:v>
                </c:pt>
                <c:pt idx="7">
                  <c:v>8.2999999999999972</c:v>
                </c:pt>
                <c:pt idx="8">
                  <c:v>8.9000000000000057</c:v>
                </c:pt>
                <c:pt idx="9">
                  <c:v>8.2000000000000028</c:v>
                </c:pt>
                <c:pt idx="10">
                  <c:v>7.7999999999999972</c:v>
                </c:pt>
                <c:pt idx="11">
                  <c:v>6.0999999999999943</c:v>
                </c:pt>
                <c:pt idx="12">
                  <c:v>0.29999999999999716</c:v>
                </c:pt>
                <c:pt idx="13">
                  <c:v>9.9999999999994316E-2</c:v>
                </c:pt>
                <c:pt idx="14">
                  <c:v>0.79999999999999716</c:v>
                </c:pt>
                <c:pt idx="15">
                  <c:v>5.5</c:v>
                </c:pt>
                <c:pt idx="16">
                  <c:v>45</c:v>
                </c:pt>
                <c:pt idx="17">
                  <c:v>47.199999999999989</c:v>
                </c:pt>
                <c:pt idx="18">
                  <c:v>56</c:v>
                </c:pt>
                <c:pt idx="19">
                  <c:v>54.300000000000011</c:v>
                </c:pt>
                <c:pt idx="20">
                  <c:v>28.400000000000006</c:v>
                </c:pt>
                <c:pt idx="21">
                  <c:v>18.400000000000006</c:v>
                </c:pt>
              </c:numCache>
            </c:numRef>
          </c:val>
          <c:smooth val="0"/>
          <c:extLst>
            <c:ext xmlns:c16="http://schemas.microsoft.com/office/drawing/2014/chart" uri="{C3380CC4-5D6E-409C-BE32-E72D297353CC}">
              <c16:uniqueId val="{00000003-918F-441C-943E-96FC0213B003}"/>
            </c:ext>
          </c:extLst>
        </c:ser>
        <c:ser>
          <c:idx val="4"/>
          <c:order val="4"/>
          <c:tx>
            <c:strRef>
              <c:f>'Ceny 4'!$G$5</c:f>
              <c:strCache>
                <c:ptCount val="1"/>
                <c:pt idx="0">
                  <c:v>Water supply, sewerage</c:v>
                </c:pt>
              </c:strCache>
            </c:strRef>
          </c:tx>
          <c:spPr>
            <a:ln w="22225" cap="rnd">
              <a:solidFill>
                <a:srgbClr val="0071BC"/>
              </a:solidFill>
              <a:round/>
            </a:ln>
            <a:effectLst/>
          </c:spPr>
          <c:marker>
            <c:symbol val="none"/>
          </c:marker>
          <c:cat>
            <c:multiLvlStrRef>
              <c:f>'Ceny 4'!$A$6:$B$27</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'Ceny 4'!$G$6:$G$27</c:f>
              <c:numCache>
                <c:formatCode>General</c:formatCode>
                <c:ptCount val="22"/>
                <c:pt idx="0">
                  <c:v>1.9000000000000057</c:v>
                </c:pt>
                <c:pt idx="1">
                  <c:v>1.9000000000000057</c:v>
                </c:pt>
                <c:pt idx="2">
                  <c:v>1.9000000000000057</c:v>
                </c:pt>
                <c:pt idx="3">
                  <c:v>1.9000000000000057</c:v>
                </c:pt>
                <c:pt idx="4">
                  <c:v>2.9000000000000057</c:v>
                </c:pt>
                <c:pt idx="5">
                  <c:v>2.9000000000000057</c:v>
                </c:pt>
                <c:pt idx="6">
                  <c:v>2.9000000000000057</c:v>
                </c:pt>
                <c:pt idx="7">
                  <c:v>2.9000000000000057</c:v>
                </c:pt>
                <c:pt idx="8">
                  <c:v>5.4000000000000057</c:v>
                </c:pt>
                <c:pt idx="9">
                  <c:v>6.0999999999999943</c:v>
                </c:pt>
                <c:pt idx="10">
                  <c:v>6.4000000000000057</c:v>
                </c:pt>
                <c:pt idx="11">
                  <c:v>6.4000000000000057</c:v>
                </c:pt>
                <c:pt idx="12">
                  <c:v>6.9000000000000057</c:v>
                </c:pt>
                <c:pt idx="13">
                  <c:v>6.2000000000000028</c:v>
                </c:pt>
                <c:pt idx="14">
                  <c:v>5.9000000000000057</c:v>
                </c:pt>
                <c:pt idx="15">
                  <c:v>5.9000000000000057</c:v>
                </c:pt>
                <c:pt idx="16">
                  <c:v>5.2999999999999972</c:v>
                </c:pt>
                <c:pt idx="17">
                  <c:v>5.2999999999999972</c:v>
                </c:pt>
                <c:pt idx="18">
                  <c:v>5.2999999999999972</c:v>
                </c:pt>
                <c:pt idx="19">
                  <c:v>5.2999999999999972</c:v>
                </c:pt>
                <c:pt idx="20">
                  <c:v>16.299999999999997</c:v>
                </c:pt>
                <c:pt idx="21">
                  <c:v>16.299999999999997</c:v>
                </c:pt>
              </c:numCache>
            </c:numRef>
          </c:val>
          <c:smooth val="0"/>
          <c:extLst>
            <c:ext xmlns:c16="http://schemas.microsoft.com/office/drawing/2014/chart" uri="{C3380CC4-5D6E-409C-BE32-E72D297353CC}">
              <c16:uniqueId val="{00000004-918F-441C-943E-96FC0213B003}"/>
            </c:ext>
          </c:extLst>
        </c:ser>
        <c:dLbls>
          <c:showLegendKey val="0"/>
          <c:showVal val="0"/>
          <c:showCatName val="0"/>
          <c:showSerName val="0"/>
          <c:showPercent val="0"/>
          <c:showBubbleSize val="0"/>
        </c:dLbls>
        <c:marker val="1"/>
        <c:smooth val="0"/>
        <c:axId val="1717494240"/>
        <c:axId val="1718275936"/>
      </c:lineChart>
      <c:catAx>
        <c:axId val="171749424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8275936"/>
        <c:crosses val="autoZero"/>
        <c:auto val="1"/>
        <c:lblAlgn val="ctr"/>
        <c:lblOffset val="100"/>
        <c:noMultiLvlLbl val="0"/>
      </c:catAx>
      <c:valAx>
        <c:axId val="1718275936"/>
        <c:scaling>
          <c:orientation val="minMax"/>
          <c:max val="60"/>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717494240"/>
        <c:crosses val="autoZero"/>
        <c:crossBetween val="between"/>
        <c:majorUnit val="5"/>
      </c:valAx>
      <c:spPr>
        <a:noFill/>
        <a:ln>
          <a:solidFill>
            <a:schemeClr val="tx1"/>
          </a:solidFill>
        </a:ln>
        <a:effectLst/>
      </c:spPr>
    </c:plotArea>
    <c:legend>
      <c:legendPos val="b"/>
      <c:layout>
        <c:manualLayout>
          <c:xMode val="edge"/>
          <c:yMode val="edge"/>
          <c:x val="5.4913125880123238E-2"/>
          <c:y val="0.80408628841607566"/>
          <c:w val="0.93175198788738656"/>
          <c:h val="0.18321187943262413"/>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1-SNÚ'!$AC$28:$AC$62</c:f>
              <c:numCache>
                <c:formatCode>#\ ##0.0</c:formatCode>
                <c:ptCount val="35"/>
                <c:pt idx="0">
                  <c:v>-5.6828505791380539E-2</c:v>
                </c:pt>
                <c:pt idx="1">
                  <c:v>-5.3414002474862214E-2</c:v>
                </c:pt>
                <c:pt idx="2">
                  <c:v>-6.9742710596297441E-2</c:v>
                </c:pt>
                <c:pt idx="3">
                  <c:v>-0.13971969588081989</c:v>
                </c:pt>
                <c:pt idx="4">
                  <c:v>-0.12487960810120247</c:v>
                </c:pt>
                <c:pt idx="5">
                  <c:v>-3.2190093204688595E-2</c:v>
                </c:pt>
                <c:pt idx="6">
                  <c:v>-4.495117850766725E-2</c:v>
                </c:pt>
                <c:pt idx="7">
                  <c:v>5.8087184963969855E-2</c:v>
                </c:pt>
                <c:pt idx="8">
                  <c:v>9.846996933516737E-2</c:v>
                </c:pt>
                <c:pt idx="9">
                  <c:v>3.525689638197721E-2</c:v>
                </c:pt>
                <c:pt idx="10">
                  <c:v>1.9943614652896617E-2</c:v>
                </c:pt>
                <c:pt idx="11">
                  <c:v>-9.3018884588644837E-2</c:v>
                </c:pt>
                <c:pt idx="12">
                  <c:v>2.8401707115870683E-2</c:v>
                </c:pt>
                <c:pt idx="13">
                  <c:v>3.0424969757692683E-2</c:v>
                </c:pt>
                <c:pt idx="14">
                  <c:v>1.7213942100793991E-2</c:v>
                </c:pt>
                <c:pt idx="15">
                  <c:v>8.3528120512972523E-2</c:v>
                </c:pt>
                <c:pt idx="16">
                  <c:v>-3.1494865390982861E-2</c:v>
                </c:pt>
                <c:pt idx="17">
                  <c:v>-9.3480094872355937E-2</c:v>
                </c:pt>
                <c:pt idx="18">
                  <c:v>-0.12508397994816237</c:v>
                </c:pt>
                <c:pt idx="19">
                  <c:v>-0.13226896814548539</c:v>
                </c:pt>
                <c:pt idx="20">
                  <c:v>-7.8919822387198829E-2</c:v>
                </c:pt>
                <c:pt idx="21">
                  <c:v>-1.5977001932115302E-3</c:v>
                </c:pt>
                <c:pt idx="22">
                  <c:v>9.3748963565408835E-2</c:v>
                </c:pt>
                <c:pt idx="23">
                  <c:v>7.7721007097125969E-2</c:v>
                </c:pt>
                <c:pt idx="24">
                  <c:v>4.0304610198826883E-2</c:v>
                </c:pt>
                <c:pt idx="25">
                  <c:v>-4.2078229095876003E-2</c:v>
                </c:pt>
                <c:pt idx="26">
                  <c:v>-6.3204140368347303E-2</c:v>
                </c:pt>
                <c:pt idx="27">
                  <c:v>-1.9871976866903434E-2</c:v>
                </c:pt>
                <c:pt idx="28">
                  <c:v>-6.7914600586185744E-2</c:v>
                </c:pt>
                <c:pt idx="29">
                  <c:v>3.2113631816370808E-2</c:v>
                </c:pt>
                <c:pt idx="30">
                  <c:v>-1.5508012938219833E-2</c:v>
                </c:pt>
                <c:pt idx="31">
                  <c:v>-0.10816507912439968</c:v>
                </c:pt>
                <c:pt idx="32">
                  <c:v>4.5996374884010836E-2</c:v>
                </c:pt>
                <c:pt idx="33">
                  <c:v>2.1780607651521889E-2</c:v>
                </c:pt>
              </c:numCache>
            </c:numRef>
          </c:val>
          <c:extLst>
            <c:ext xmlns:c16="http://schemas.microsoft.com/office/drawing/2014/chart" uri="{C3380CC4-5D6E-409C-BE32-E72D297353CC}">
              <c16:uniqueId val="{00000000-A3B7-4CCD-97F6-6AD9864A894D}"/>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1-SNÚ'!$AD$28:$AD$62</c:f>
              <c:numCache>
                <c:formatCode>#\ ##0.0</c:formatCode>
                <c:ptCount val="35"/>
                <c:pt idx="0">
                  <c:v>0.89949329716318915</c:v>
                </c:pt>
                <c:pt idx="1">
                  <c:v>0.93127175953417007</c:v>
                </c:pt>
                <c:pt idx="2">
                  <c:v>0.7843757558148764</c:v>
                </c:pt>
                <c:pt idx="3">
                  <c:v>0.92631003282458235</c:v>
                </c:pt>
                <c:pt idx="4">
                  <c:v>0.87287644021507171</c:v>
                </c:pt>
                <c:pt idx="5">
                  <c:v>0.63654993177204455</c:v>
                </c:pt>
                <c:pt idx="6">
                  <c:v>0.6687331481290798</c:v>
                </c:pt>
                <c:pt idx="7">
                  <c:v>0.51800010991025447</c:v>
                </c:pt>
                <c:pt idx="8">
                  <c:v>0.25448906088853906</c:v>
                </c:pt>
                <c:pt idx="9">
                  <c:v>0.40500765768385577</c:v>
                </c:pt>
                <c:pt idx="10">
                  <c:v>0.49291118462601913</c:v>
                </c:pt>
                <c:pt idx="11">
                  <c:v>0.47964454670419909</c:v>
                </c:pt>
                <c:pt idx="12">
                  <c:v>0.34488863442030765</c:v>
                </c:pt>
                <c:pt idx="13">
                  <c:v>0.2913603015219437</c:v>
                </c:pt>
                <c:pt idx="14">
                  <c:v>9.8868388234755092E-2</c:v>
                </c:pt>
                <c:pt idx="15">
                  <c:v>9.0550890680990051E-2</c:v>
                </c:pt>
                <c:pt idx="16">
                  <c:v>0.14484299401542119</c:v>
                </c:pt>
                <c:pt idx="17">
                  <c:v>-1.8858080604667548E-2</c:v>
                </c:pt>
                <c:pt idx="18">
                  <c:v>-0.16365938471305239</c:v>
                </c:pt>
                <c:pt idx="19">
                  <c:v>-0.54941077591471077</c:v>
                </c:pt>
                <c:pt idx="20">
                  <c:v>-0.82546861976528974</c:v>
                </c:pt>
                <c:pt idx="21">
                  <c:v>-1.0955999520322608</c:v>
                </c:pt>
                <c:pt idx="22">
                  <c:v>-1.0803978434790316</c:v>
                </c:pt>
                <c:pt idx="23">
                  <c:v>-0.90789746373281621</c:v>
                </c:pt>
                <c:pt idx="24">
                  <c:v>-0.49316165113626664</c:v>
                </c:pt>
                <c:pt idx="25">
                  <c:v>-7.4509620655944575E-2</c:v>
                </c:pt>
                <c:pt idx="26">
                  <c:v>0.18158292508911653</c:v>
                </c:pt>
                <c:pt idx="27">
                  <c:v>0.32233404301981006</c:v>
                </c:pt>
                <c:pt idx="28">
                  <c:v>3.8187860960837004E-2</c:v>
                </c:pt>
                <c:pt idx="29">
                  <c:v>0.35388512361693553</c:v>
                </c:pt>
                <c:pt idx="30">
                  <c:v>0.17345173223946594</c:v>
                </c:pt>
                <c:pt idx="31">
                  <c:v>8.8579785635803696E-2</c:v>
                </c:pt>
                <c:pt idx="32">
                  <c:v>4.8503242308048575E-2</c:v>
                </c:pt>
                <c:pt idx="33">
                  <c:v>-0.20014019323111298</c:v>
                </c:pt>
              </c:numCache>
            </c:numRef>
          </c:val>
          <c:extLst>
            <c:ext xmlns:c16="http://schemas.microsoft.com/office/drawing/2014/chart" uri="{C3380CC4-5D6E-409C-BE32-E72D297353CC}">
              <c16:uniqueId val="{00000001-A3B7-4CCD-97F6-6AD9864A894D}"/>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1-SNÚ'!$AE$28:$AE$62</c:f>
              <c:numCache>
                <c:formatCode>#\ ##0.0</c:formatCode>
                <c:ptCount val="35"/>
                <c:pt idx="0">
                  <c:v>-0.11446239310279102</c:v>
                </c:pt>
                <c:pt idx="1">
                  <c:v>-0.10158864467757592</c:v>
                </c:pt>
                <c:pt idx="2">
                  <c:v>-0.15723882215178694</c:v>
                </c:pt>
                <c:pt idx="3">
                  <c:v>-0.18194332296049892</c:v>
                </c:pt>
                <c:pt idx="4">
                  <c:v>-0.11325522810856531</c:v>
                </c:pt>
                <c:pt idx="5">
                  <c:v>-0.12563587006311655</c:v>
                </c:pt>
                <c:pt idx="6">
                  <c:v>-2.3912252831191503E-2</c:v>
                </c:pt>
                <c:pt idx="7">
                  <c:v>9.7996904835013655E-3</c:v>
                </c:pt>
                <c:pt idx="8">
                  <c:v>-1.3015925682695844E-2</c:v>
                </c:pt>
                <c:pt idx="9">
                  <c:v>1.663061150093265E-2</c:v>
                </c:pt>
                <c:pt idx="10">
                  <c:v>7.5842717437158272E-2</c:v>
                </c:pt>
                <c:pt idx="11">
                  <c:v>-7.0108572985760911E-2</c:v>
                </c:pt>
                <c:pt idx="12">
                  <c:v>0.10624272535850564</c:v>
                </c:pt>
                <c:pt idx="13">
                  <c:v>6.6114358543656077E-2</c:v>
                </c:pt>
                <c:pt idx="14">
                  <c:v>6.2149037714554926E-2</c:v>
                </c:pt>
                <c:pt idx="15">
                  <c:v>0.11396633392024218</c:v>
                </c:pt>
                <c:pt idx="16">
                  <c:v>4.0824616446144449E-2</c:v>
                </c:pt>
                <c:pt idx="17">
                  <c:v>7.0404728663714888E-2</c:v>
                </c:pt>
                <c:pt idx="18">
                  <c:v>9.9779252707653199E-2</c:v>
                </c:pt>
                <c:pt idx="19">
                  <c:v>0.13486608895157276</c:v>
                </c:pt>
                <c:pt idx="20">
                  <c:v>2.933986408804317E-2</c:v>
                </c:pt>
                <c:pt idx="21">
                  <c:v>-0.22182322567588592</c:v>
                </c:pt>
                <c:pt idx="22">
                  <c:v>-0.10380928866499871</c:v>
                </c:pt>
                <c:pt idx="23">
                  <c:v>-5.7292436011891865E-2</c:v>
                </c:pt>
                <c:pt idx="24">
                  <c:v>-7.0787867107824684E-2</c:v>
                </c:pt>
                <c:pt idx="25">
                  <c:v>0.1427694418966676</c:v>
                </c:pt>
                <c:pt idx="26">
                  <c:v>-1.9848613983292209E-2</c:v>
                </c:pt>
                <c:pt idx="27">
                  <c:v>5.8388099330416852E-2</c:v>
                </c:pt>
                <c:pt idx="28">
                  <c:v>0.23211676197022788</c:v>
                </c:pt>
                <c:pt idx="29">
                  <c:v>0.27758956088391729</c:v>
                </c:pt>
                <c:pt idx="30">
                  <c:v>0.27910704340848885</c:v>
                </c:pt>
                <c:pt idx="31">
                  <c:v>0.25014916598053055</c:v>
                </c:pt>
                <c:pt idx="32">
                  <c:v>0.25347215065270406</c:v>
                </c:pt>
                <c:pt idx="33">
                  <c:v>0.20527902677441914</c:v>
                </c:pt>
              </c:numCache>
            </c:numRef>
          </c:val>
          <c:extLst>
            <c:ext xmlns:c16="http://schemas.microsoft.com/office/drawing/2014/chart" uri="{C3380CC4-5D6E-409C-BE32-E72D297353CC}">
              <c16:uniqueId val="{00000002-A3B7-4CCD-97F6-6AD9864A894D}"/>
            </c:ext>
          </c:extLst>
        </c:ser>
        <c:ser>
          <c:idx val="3"/>
          <c:order val="3"/>
          <c:tx>
            <c:strRef>
              <c:f>'Trh práce 1-SNÚ'!$AF$7</c:f>
              <c:strCache>
                <c:ptCount val="1"/>
                <c:pt idx="0">
                  <c:v>Trade, transport., accommod.&amp; food service</c:v>
                </c:pt>
              </c:strCache>
            </c:strRef>
          </c:tx>
          <c:spPr>
            <a:solidFill>
              <a:srgbClr val="FDDEB3"/>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1-SNÚ'!$AF$28:$AF$62</c:f>
              <c:numCache>
                <c:formatCode>#\ ##0.0</c:formatCode>
                <c:ptCount val="35"/>
                <c:pt idx="0">
                  <c:v>0.22921943798120273</c:v>
                </c:pt>
                <c:pt idx="1">
                  <c:v>0.48955640475490908</c:v>
                </c:pt>
                <c:pt idx="2">
                  <c:v>0.32927866250413385</c:v>
                </c:pt>
                <c:pt idx="3">
                  <c:v>0.1661289386483682</c:v>
                </c:pt>
                <c:pt idx="4">
                  <c:v>8.1370659948460294E-2</c:v>
                </c:pt>
                <c:pt idx="5">
                  <c:v>0.2325054365383589</c:v>
                </c:pt>
                <c:pt idx="6">
                  <c:v>-6.9229828761272171E-3</c:v>
                </c:pt>
                <c:pt idx="7">
                  <c:v>7.0307975449277429E-2</c:v>
                </c:pt>
                <c:pt idx="8">
                  <c:v>0.16752509340503532</c:v>
                </c:pt>
                <c:pt idx="9">
                  <c:v>4.884648177988218E-3</c:v>
                </c:pt>
                <c:pt idx="10">
                  <c:v>0.35735158674247325</c:v>
                </c:pt>
                <c:pt idx="11">
                  <c:v>0.18418833710391025</c:v>
                </c:pt>
                <c:pt idx="12">
                  <c:v>0.15244258448001147</c:v>
                </c:pt>
                <c:pt idx="13">
                  <c:v>0.40230652744870238</c:v>
                </c:pt>
                <c:pt idx="14">
                  <c:v>0.21159735322599366</c:v>
                </c:pt>
                <c:pt idx="15">
                  <c:v>0.22968370337309346</c:v>
                </c:pt>
                <c:pt idx="16">
                  <c:v>0.43610558013709599</c:v>
                </c:pt>
                <c:pt idx="17">
                  <c:v>0.11493484477903337</c:v>
                </c:pt>
                <c:pt idx="18">
                  <c:v>-1.6666789714208444E-2</c:v>
                </c:pt>
                <c:pt idx="19">
                  <c:v>-4.3580055512076089E-2</c:v>
                </c:pt>
                <c:pt idx="20">
                  <c:v>-0.11338864767860295</c:v>
                </c:pt>
                <c:pt idx="21">
                  <c:v>-0.57012186779599949</c:v>
                </c:pt>
                <c:pt idx="22">
                  <c:v>-0.41759561915220639</c:v>
                </c:pt>
                <c:pt idx="23">
                  <c:v>-0.99268065558519958</c:v>
                </c:pt>
                <c:pt idx="24">
                  <c:v>-0.85371650200457683</c:v>
                </c:pt>
                <c:pt idx="25">
                  <c:v>-0.15752122069655991</c:v>
                </c:pt>
                <c:pt idx="26">
                  <c:v>0.24002189726109685</c:v>
                </c:pt>
                <c:pt idx="27">
                  <c:v>0.74079782964767293</c:v>
                </c:pt>
                <c:pt idx="28">
                  <c:v>0.53464885594357459</c:v>
                </c:pt>
                <c:pt idx="29">
                  <c:v>0.98634993172818253</c:v>
                </c:pt>
                <c:pt idx="30">
                  <c:v>0.46427346168042299</c:v>
                </c:pt>
                <c:pt idx="31">
                  <c:v>0.26116821630191334</c:v>
                </c:pt>
                <c:pt idx="32">
                  <c:v>8.5753435290416666E-2</c:v>
                </c:pt>
                <c:pt idx="33">
                  <c:v>5.1479773752337629E-2</c:v>
                </c:pt>
              </c:numCache>
            </c:numRef>
          </c:val>
          <c:extLst>
            <c:ext xmlns:c16="http://schemas.microsoft.com/office/drawing/2014/chart" uri="{C3380CC4-5D6E-409C-BE32-E72D297353CC}">
              <c16:uniqueId val="{00000003-A3B7-4CCD-97F6-6AD9864A894D}"/>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1-SNÚ'!$AG$28:$AG$62</c:f>
              <c:numCache>
                <c:formatCode>#\ ##0.0</c:formatCode>
                <c:ptCount val="35"/>
                <c:pt idx="0">
                  <c:v>1.6421925627927457E-2</c:v>
                </c:pt>
                <c:pt idx="1">
                  <c:v>5.8810347324453359E-2</c:v>
                </c:pt>
                <c:pt idx="2">
                  <c:v>6.8432712948427551E-2</c:v>
                </c:pt>
                <c:pt idx="3">
                  <c:v>9.7009172732417576E-2</c:v>
                </c:pt>
                <c:pt idx="4">
                  <c:v>0.12024149989045076</c:v>
                </c:pt>
                <c:pt idx="5">
                  <c:v>0.11261710858129222</c:v>
                </c:pt>
                <c:pt idx="6">
                  <c:v>0.12964683530975846</c:v>
                </c:pt>
                <c:pt idx="7">
                  <c:v>0.16713276044214681</c:v>
                </c:pt>
                <c:pt idx="8">
                  <c:v>0.12903159219365584</c:v>
                </c:pt>
                <c:pt idx="9">
                  <c:v>0.13380514853321812</c:v>
                </c:pt>
                <c:pt idx="10">
                  <c:v>0.13863661271570704</c:v>
                </c:pt>
                <c:pt idx="11">
                  <c:v>0.12829019627380961</c:v>
                </c:pt>
                <c:pt idx="12">
                  <c:v>0.11921936740282588</c:v>
                </c:pt>
                <c:pt idx="13">
                  <c:v>0.14348820404813314</c:v>
                </c:pt>
                <c:pt idx="14">
                  <c:v>0.12461478215607252</c:v>
                </c:pt>
                <c:pt idx="15">
                  <c:v>0.14222506693054082</c:v>
                </c:pt>
                <c:pt idx="16">
                  <c:v>0.15100100067608449</c:v>
                </c:pt>
                <c:pt idx="17">
                  <c:v>8.7586944683397339E-2</c:v>
                </c:pt>
                <c:pt idx="18">
                  <c:v>0.13348197476539919</c:v>
                </c:pt>
                <c:pt idx="19">
                  <c:v>0.13584231166591765</c:v>
                </c:pt>
                <c:pt idx="20">
                  <c:v>0.12945571610776943</c:v>
                </c:pt>
                <c:pt idx="21">
                  <c:v>8.7230757675342163E-2</c:v>
                </c:pt>
                <c:pt idx="22">
                  <c:v>0.10732855989947061</c:v>
                </c:pt>
                <c:pt idx="23">
                  <c:v>7.3173108013897384E-2</c:v>
                </c:pt>
                <c:pt idx="24">
                  <c:v>6.8471510199846125E-2</c:v>
                </c:pt>
                <c:pt idx="25">
                  <c:v>0.13165868738071818</c:v>
                </c:pt>
                <c:pt idx="26">
                  <c:v>0.1041208011410886</c:v>
                </c:pt>
                <c:pt idx="27">
                  <c:v>3.910170353088413E-2</c:v>
                </c:pt>
                <c:pt idx="28">
                  <c:v>9.9089132084495796E-2</c:v>
                </c:pt>
                <c:pt idx="29">
                  <c:v>0.10416847644449308</c:v>
                </c:pt>
                <c:pt idx="30">
                  <c:v>0.11043415928068055</c:v>
                </c:pt>
                <c:pt idx="31">
                  <c:v>0.19349303709369078</c:v>
                </c:pt>
                <c:pt idx="32">
                  <c:v>0.16942709908829828</c:v>
                </c:pt>
                <c:pt idx="33">
                  <c:v>8.6994416959101276E-2</c:v>
                </c:pt>
              </c:numCache>
            </c:numRef>
          </c:val>
          <c:extLst>
            <c:ext xmlns:c16="http://schemas.microsoft.com/office/drawing/2014/chart" uri="{C3380CC4-5D6E-409C-BE32-E72D297353CC}">
              <c16:uniqueId val="{00000004-A3B7-4CCD-97F6-6AD9864A894D}"/>
            </c:ext>
          </c:extLst>
        </c:ser>
        <c:ser>
          <c:idx val="5"/>
          <c:order val="5"/>
          <c:tx>
            <c:strRef>
              <c:f>'Trh práce 1-SNÚ'!$AH$7</c:f>
              <c:strCache>
                <c:ptCount val="1"/>
                <c:pt idx="0">
                  <c:v>Professional, scientific, technic.&amp; admin.act.</c:v>
                </c:pt>
              </c:strCache>
            </c:strRef>
          </c:tx>
          <c:spPr>
            <a:solidFill>
              <a:srgbClr val="E8C0BE"/>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1-SNÚ'!$AH$28:$AH$62</c:f>
              <c:numCache>
                <c:formatCode>#\ ##0.0</c:formatCode>
                <c:ptCount val="35"/>
                <c:pt idx="0">
                  <c:v>0.10308883456383169</c:v>
                </c:pt>
                <c:pt idx="1">
                  <c:v>0.12282080877669456</c:v>
                </c:pt>
                <c:pt idx="2">
                  <c:v>0.25097208668743315</c:v>
                </c:pt>
                <c:pt idx="3">
                  <c:v>0.35868659590703367</c:v>
                </c:pt>
                <c:pt idx="4">
                  <c:v>0.23811542989926252</c:v>
                </c:pt>
                <c:pt idx="5">
                  <c:v>0.24004667467079344</c:v>
                </c:pt>
                <c:pt idx="6">
                  <c:v>0.25800163760363798</c:v>
                </c:pt>
                <c:pt idx="7">
                  <c:v>0.2636501041649455</c:v>
                </c:pt>
                <c:pt idx="8">
                  <c:v>0.41654784776603992</c:v>
                </c:pt>
                <c:pt idx="9">
                  <c:v>0.35593309894624653</c:v>
                </c:pt>
                <c:pt idx="10">
                  <c:v>0.30977182035627709</c:v>
                </c:pt>
                <c:pt idx="11">
                  <c:v>0.13772607419921484</c:v>
                </c:pt>
                <c:pt idx="12">
                  <c:v>0.14343992134911879</c:v>
                </c:pt>
                <c:pt idx="13">
                  <c:v>0.13539486233919026</c:v>
                </c:pt>
                <c:pt idx="14">
                  <c:v>0.10628305160717502</c:v>
                </c:pt>
                <c:pt idx="15">
                  <c:v>0.21824608829839115</c:v>
                </c:pt>
                <c:pt idx="16">
                  <c:v>-9.1442689268283577E-3</c:v>
                </c:pt>
                <c:pt idx="17">
                  <c:v>-3.3296298567616144E-2</c:v>
                </c:pt>
                <c:pt idx="18">
                  <c:v>-2.6633640706093892E-2</c:v>
                </c:pt>
                <c:pt idx="19">
                  <c:v>-0.20614876639524751</c:v>
                </c:pt>
                <c:pt idx="20">
                  <c:v>-0.13657008164791523</c:v>
                </c:pt>
                <c:pt idx="21">
                  <c:v>-0.27353729169983609</c:v>
                </c:pt>
                <c:pt idx="22">
                  <c:v>-0.43694239818987912</c:v>
                </c:pt>
                <c:pt idx="23">
                  <c:v>-0.20909243346063147</c:v>
                </c:pt>
                <c:pt idx="24">
                  <c:v>-0.17139188033514938</c:v>
                </c:pt>
                <c:pt idx="25">
                  <c:v>0.10134809862521428</c:v>
                </c:pt>
                <c:pt idx="26">
                  <c:v>0.19100069845358972</c:v>
                </c:pt>
                <c:pt idx="27">
                  <c:v>7.1176434253319529E-2</c:v>
                </c:pt>
                <c:pt idx="28">
                  <c:v>-1.6170142996710891E-3</c:v>
                </c:pt>
                <c:pt idx="29">
                  <c:v>-4.5041283484159401E-2</c:v>
                </c:pt>
                <c:pt idx="30">
                  <c:v>1.7925329103649783E-2</c:v>
                </c:pt>
                <c:pt idx="31">
                  <c:v>5.9183263530529634E-2</c:v>
                </c:pt>
                <c:pt idx="32">
                  <c:v>0.17239820122049118</c:v>
                </c:pt>
                <c:pt idx="33">
                  <c:v>0.13830960173674228</c:v>
                </c:pt>
              </c:numCache>
            </c:numRef>
          </c:val>
          <c:extLst>
            <c:ext xmlns:c16="http://schemas.microsoft.com/office/drawing/2014/chart" uri="{C3380CC4-5D6E-409C-BE32-E72D297353CC}">
              <c16:uniqueId val="{00000005-A3B7-4CCD-97F6-6AD9864A894D}"/>
            </c:ext>
          </c:extLst>
        </c:ser>
        <c:ser>
          <c:idx val="6"/>
          <c:order val="6"/>
          <c:tx>
            <c:strRef>
              <c:f>'Trh práce 1-SNÚ'!$AI$7</c:f>
              <c:strCache>
                <c:ptCount val="1"/>
                <c:pt idx="0">
                  <c:v>Public admin, education, health &amp; soc.work</c:v>
                </c:pt>
              </c:strCache>
            </c:strRef>
          </c:tx>
          <c:spPr>
            <a:solidFill>
              <a:srgbClr val="D58D8B"/>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1-SNÚ'!$AI$28:$AI$62</c:f>
              <c:numCache>
                <c:formatCode>#\ ##0.0</c:formatCode>
                <c:ptCount val="35"/>
                <c:pt idx="0">
                  <c:v>0.2031525775646241</c:v>
                </c:pt>
                <c:pt idx="1">
                  <c:v>0.21991576992497461</c:v>
                </c:pt>
                <c:pt idx="2">
                  <c:v>0.13142991326837999</c:v>
                </c:pt>
                <c:pt idx="3">
                  <c:v>0.14149199757097244</c:v>
                </c:pt>
                <c:pt idx="4">
                  <c:v>0.325463233483336</c:v>
                </c:pt>
                <c:pt idx="5">
                  <c:v>0.34066723563476009</c:v>
                </c:pt>
                <c:pt idx="6">
                  <c:v>0.44607921975090475</c:v>
                </c:pt>
                <c:pt idx="7">
                  <c:v>0.55251039247568279</c:v>
                </c:pt>
                <c:pt idx="8">
                  <c:v>0.46255274221280779</c:v>
                </c:pt>
                <c:pt idx="9">
                  <c:v>0.49230411325389428</c:v>
                </c:pt>
                <c:pt idx="10">
                  <c:v>0.5262645058931491</c:v>
                </c:pt>
                <c:pt idx="11">
                  <c:v>0.51878456833877995</c:v>
                </c:pt>
                <c:pt idx="12">
                  <c:v>0.44244887504378921</c:v>
                </c:pt>
                <c:pt idx="13">
                  <c:v>0.45935334574437608</c:v>
                </c:pt>
                <c:pt idx="14">
                  <c:v>0.30172836175807299</c:v>
                </c:pt>
                <c:pt idx="15">
                  <c:v>0.24009677638084359</c:v>
                </c:pt>
                <c:pt idx="16">
                  <c:v>0.20061747000522417</c:v>
                </c:pt>
                <c:pt idx="17">
                  <c:v>0.13283528847799517</c:v>
                </c:pt>
                <c:pt idx="18">
                  <c:v>0.15144076368225945</c:v>
                </c:pt>
                <c:pt idx="19">
                  <c:v>0.17428338345531022</c:v>
                </c:pt>
                <c:pt idx="20">
                  <c:v>0.34198589701119492</c:v>
                </c:pt>
                <c:pt idx="21">
                  <c:v>0.27678778519636987</c:v>
                </c:pt>
                <c:pt idx="22">
                  <c:v>0.37818346642688999</c:v>
                </c:pt>
                <c:pt idx="23">
                  <c:v>0.32123696939097551</c:v>
                </c:pt>
                <c:pt idx="24">
                  <c:v>0.17763677855905954</c:v>
                </c:pt>
                <c:pt idx="25">
                  <c:v>0.30954336863438126</c:v>
                </c:pt>
                <c:pt idx="26">
                  <c:v>0.28418412534868653</c:v>
                </c:pt>
                <c:pt idx="27">
                  <c:v>0.35355873670896537</c:v>
                </c:pt>
                <c:pt idx="28">
                  <c:v>0.43905698734441401</c:v>
                </c:pt>
                <c:pt idx="29">
                  <c:v>0.41338594812836138</c:v>
                </c:pt>
                <c:pt idx="30">
                  <c:v>0.41596432785129217</c:v>
                </c:pt>
                <c:pt idx="31">
                  <c:v>0.5027325572428506</c:v>
                </c:pt>
                <c:pt idx="32">
                  <c:v>0.52272828138268268</c:v>
                </c:pt>
                <c:pt idx="33">
                  <c:v>0.41937270752703609</c:v>
                </c:pt>
              </c:numCache>
            </c:numRef>
          </c:val>
          <c:extLst>
            <c:ext xmlns:c16="http://schemas.microsoft.com/office/drawing/2014/chart" uri="{C3380CC4-5D6E-409C-BE32-E72D297353CC}">
              <c16:uniqueId val="{00000006-A3B7-4CCD-97F6-6AD9864A894D}"/>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1-SNÚ'!$AJ$28:$AJ$62</c:f>
              <c:numCache>
                <c:formatCode>#\ ##0.0</c:formatCode>
                <c:ptCount val="35"/>
                <c:pt idx="0">
                  <c:v>-5.8105330152403607E-2</c:v>
                </c:pt>
                <c:pt idx="1">
                  <c:v>7.4822774223603811E-2</c:v>
                </c:pt>
                <c:pt idx="2">
                  <c:v>5.2908263210984269E-2</c:v>
                </c:pt>
                <c:pt idx="3">
                  <c:v>-1.0886996096651561E-2</c:v>
                </c:pt>
                <c:pt idx="4">
                  <c:v>0.13489326432190499</c:v>
                </c:pt>
                <c:pt idx="5">
                  <c:v>7.1998572758000312E-2</c:v>
                </c:pt>
                <c:pt idx="6">
                  <c:v>0.10095213191232864</c:v>
                </c:pt>
                <c:pt idx="7">
                  <c:v>0.17975706759442206</c:v>
                </c:pt>
                <c:pt idx="8">
                  <c:v>-3.4575344434650185E-2</c:v>
                </c:pt>
                <c:pt idx="9">
                  <c:v>7.1083985158272162E-3</c:v>
                </c:pt>
                <c:pt idx="10">
                  <c:v>3.3733199641470847E-2</c:v>
                </c:pt>
                <c:pt idx="11">
                  <c:v>2.2834824579480675E-2</c:v>
                </c:pt>
                <c:pt idx="12">
                  <c:v>0.20382180000527356</c:v>
                </c:pt>
                <c:pt idx="13">
                  <c:v>0.20098465243874819</c:v>
                </c:pt>
                <c:pt idx="14">
                  <c:v>1.3096754650279416E-2</c:v>
                </c:pt>
                <c:pt idx="15">
                  <c:v>1.4976942215082494E-2</c:v>
                </c:pt>
                <c:pt idx="16">
                  <c:v>-3.6076273960813698E-2</c:v>
                </c:pt>
                <c:pt idx="17">
                  <c:v>2.1528414284039416E-2</c:v>
                </c:pt>
                <c:pt idx="18">
                  <c:v>0.11899312656423239</c:v>
                </c:pt>
                <c:pt idx="19">
                  <c:v>0.11806769054624167</c:v>
                </c:pt>
                <c:pt idx="20">
                  <c:v>-0.14230569417640487</c:v>
                </c:pt>
                <c:pt idx="21">
                  <c:v>-0.35283464151923138</c:v>
                </c:pt>
                <c:pt idx="22">
                  <c:v>-0.32618669457516364</c:v>
                </c:pt>
                <c:pt idx="23">
                  <c:v>-0.43498990865563203</c:v>
                </c:pt>
                <c:pt idx="24">
                  <c:v>-0.14203900559724511</c:v>
                </c:pt>
                <c:pt idx="25">
                  <c:v>5.2288111624045716E-2</c:v>
                </c:pt>
                <c:pt idx="26">
                  <c:v>-2.6396030127119215E-2</c:v>
                </c:pt>
                <c:pt idx="27">
                  <c:v>9.1180639103177627E-2</c:v>
                </c:pt>
                <c:pt idx="28">
                  <c:v>-1.8257219592797962E-2</c:v>
                </c:pt>
                <c:pt idx="29">
                  <c:v>3.1534502912177964E-2</c:v>
                </c:pt>
                <c:pt idx="30">
                  <c:v>-8.1389175816053011E-2</c:v>
                </c:pt>
                <c:pt idx="31">
                  <c:v>-4.9706508616692853E-2</c:v>
                </c:pt>
                <c:pt idx="32">
                  <c:v>3.0156686641757607E-2</c:v>
                </c:pt>
                <c:pt idx="33">
                  <c:v>0.10460543725164165</c:v>
                </c:pt>
              </c:numCache>
            </c:numRef>
          </c:val>
          <c:extLst>
            <c:ext xmlns:c16="http://schemas.microsoft.com/office/drawing/2014/chart" uri="{C3380CC4-5D6E-409C-BE32-E72D297353CC}">
              <c16:uniqueId val="{00000007-A3B7-4CCD-97F6-6AD9864A894D}"/>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1-SNÚ'!$AK$28:$AK$62</c:f>
              <c:numCache>
                <c:formatCode>#\ ##0.0</c:formatCode>
                <c:ptCount val="35"/>
                <c:pt idx="0">
                  <c:v>1.2219798438542</c:v>
                </c:pt>
                <c:pt idx="1">
                  <c:v>1.7421952173863673</c:v>
                </c:pt>
                <c:pt idx="2">
                  <c:v>1.3904158616861508</c:v>
                </c:pt>
                <c:pt idx="3">
                  <c:v>1.3570767227454041</c:v>
                </c:pt>
                <c:pt idx="4">
                  <c:v>1.5348256915487184</c:v>
                </c:pt>
                <c:pt idx="5">
                  <c:v>1.4765589966874444</c:v>
                </c:pt>
                <c:pt idx="6">
                  <c:v>1.5276265584907236</c:v>
                </c:pt>
                <c:pt idx="7">
                  <c:v>1.8192452854842003</c:v>
                </c:pt>
                <c:pt idx="8">
                  <c:v>1.4810250356838992</c:v>
                </c:pt>
                <c:pt idx="9">
                  <c:v>1.4509305729939399</c:v>
                </c:pt>
                <c:pt idx="10">
                  <c:v>1.9544552420651513</c:v>
                </c:pt>
                <c:pt idx="11">
                  <c:v>1.3083410896249887</c:v>
                </c:pt>
                <c:pt idx="12">
                  <c:v>1.5409056151757028</c:v>
                </c:pt>
                <c:pt idx="13">
                  <c:v>1.7294272218424425</c:v>
                </c:pt>
                <c:pt idx="14">
                  <c:v>0.93555167144769769</c:v>
                </c:pt>
                <c:pt idx="15">
                  <c:v>1.1332739223121564</c:v>
                </c:pt>
                <c:pt idx="16">
                  <c:v>0.89667625300134546</c:v>
                </c:pt>
                <c:pt idx="17">
                  <c:v>0.28165574684354056</c:v>
                </c:pt>
                <c:pt idx="18">
                  <c:v>0.17165132263802718</c:v>
                </c:pt>
                <c:pt idx="19">
                  <c:v>-0.36834909134847749</c:v>
                </c:pt>
                <c:pt idx="20">
                  <c:v>-0.7958713884484041</c:v>
                </c:pt>
                <c:pt idx="21">
                  <c:v>-2.1514961360447131</c:v>
                </c:pt>
                <c:pt idx="22">
                  <c:v>-1.7856708541695099</c:v>
                </c:pt>
                <c:pt idx="23">
                  <c:v>-2.1298218129441722</c:v>
                </c:pt>
                <c:pt idx="24">
                  <c:v>-1.44468400722333</c:v>
                </c:pt>
                <c:pt idx="25">
                  <c:v>0.46349863771264666</c:v>
                </c:pt>
                <c:pt idx="26">
                  <c:v>0.89146166281481953</c:v>
                </c:pt>
                <c:pt idx="27">
                  <c:v>1.6566655087273432</c:v>
                </c:pt>
                <c:pt idx="28">
                  <c:v>1.2553107638248946</c:v>
                </c:pt>
                <c:pt idx="29">
                  <c:v>2.1539858920462791</c:v>
                </c:pt>
                <c:pt idx="30">
                  <c:v>1.3642588648097274</c:v>
                </c:pt>
                <c:pt idx="31">
                  <c:v>1.1974344380442261</c:v>
                </c:pt>
                <c:pt idx="32">
                  <c:v>1.3284354714684099</c:v>
                </c:pt>
                <c:pt idx="33">
                  <c:v>0.82768137842168699</c:v>
                </c:pt>
              </c:numCache>
            </c:numRef>
          </c:val>
          <c:smooth val="0"/>
          <c:extLst>
            <c:ext xmlns:c16="http://schemas.microsoft.com/office/drawing/2014/chart" uri="{C3380CC4-5D6E-409C-BE32-E72D297353CC}">
              <c16:uniqueId val="{00000008-A3B7-4CCD-97F6-6AD9864A894D}"/>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1-SNÚ'!$AL$28:$AL$62</c:f>
              <c:numCache>
                <c:formatCode>General</c:formatCode>
                <c:ptCount val="35"/>
              </c:numCache>
            </c:numRef>
          </c:val>
          <c:smooth val="0"/>
          <c:extLst>
            <c:ext xmlns:c16="http://schemas.microsoft.com/office/drawing/2014/chart" uri="{C3380CC4-5D6E-409C-BE32-E72D297353CC}">
              <c16:uniqueId val="{00000009-A3B7-4CCD-97F6-6AD9864A894D}"/>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1-SNÚ'!$AM$28:$AM$62</c:f>
              <c:numCache>
                <c:formatCode>#\ ##0.0</c:formatCode>
                <c:ptCount val="35"/>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numCache>
            </c:numRef>
          </c:val>
          <c:smooth val="0"/>
          <c:extLst>
            <c:ext xmlns:c16="http://schemas.microsoft.com/office/drawing/2014/chart" uri="{C3380CC4-5D6E-409C-BE32-E72D297353CC}">
              <c16:uniqueId val="{0000000A-A3B7-4CCD-97F6-6AD9864A894D}"/>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1-SNÚ'!$AN$28:$AN$62</c:f>
              <c:numCache>
                <c:formatCode>#\ ##0.0</c:formatCode>
                <c:ptCount val="35"/>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10.1</c:v>
                </c:pt>
                <c:pt idx="29">
                  <c:v>7.8</c:v>
                </c:pt>
                <c:pt idx="30">
                  <c:v>0.6</c:v>
                </c:pt>
                <c:pt idx="31">
                  <c:v>-0.3</c:v>
                </c:pt>
                <c:pt idx="32">
                  <c:v>-11.6</c:v>
                </c:pt>
                <c:pt idx="33">
                  <c:v>-13.7</c:v>
                </c:pt>
                <c:pt idx="34">
                  <c:v>-9.5</c:v>
                </c:pt>
              </c:numCache>
            </c:numRef>
          </c:val>
          <c:smooth val="0"/>
          <c:extLst>
            <c:ext xmlns:c16="http://schemas.microsoft.com/office/drawing/2014/chart" uri="{C3380CC4-5D6E-409C-BE32-E72D297353CC}">
              <c16:uniqueId val="{0000000B-A3B7-4CCD-97F6-6AD9864A894D}"/>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1-SNÚ'!$AO$28:$AO$62</c:f>
              <c:numCache>
                <c:formatCode>#\ ##0.0</c:formatCode>
                <c:ptCount val="35"/>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5.3</c:v>
                </c:pt>
                <c:pt idx="25">
                  <c:v>13.1</c:v>
                </c:pt>
                <c:pt idx="26">
                  <c:v>10.8</c:v>
                </c:pt>
                <c:pt idx="27">
                  <c:v>8.5</c:v>
                </c:pt>
                <c:pt idx="28">
                  <c:v>9.6999999999999993</c:v>
                </c:pt>
                <c:pt idx="29">
                  <c:v>3.2</c:v>
                </c:pt>
                <c:pt idx="30">
                  <c:v>5.0999999999999996</c:v>
                </c:pt>
                <c:pt idx="31">
                  <c:v>12.6</c:v>
                </c:pt>
                <c:pt idx="32">
                  <c:v>10.3</c:v>
                </c:pt>
                <c:pt idx="33">
                  <c:v>9.1999999999999993</c:v>
                </c:pt>
                <c:pt idx="34">
                  <c:v>10.7</c:v>
                </c:pt>
              </c:numCache>
            </c:numRef>
          </c:val>
          <c:smooth val="0"/>
          <c:extLst>
            <c:ext xmlns:c16="http://schemas.microsoft.com/office/drawing/2014/chart" uri="{C3380CC4-5D6E-409C-BE32-E72D297353CC}">
              <c16:uniqueId val="{0000000C-A3B7-4CCD-97F6-6AD9864A894D}"/>
            </c:ext>
          </c:extLst>
        </c:ser>
        <c:ser>
          <c:idx val="13"/>
          <c:order val="13"/>
          <c:tx>
            <c:strRef>
              <c:f>'Trh práce 1-SNÚ'!$AP$7</c:f>
              <c:strCache>
                <c:ptCount val="1"/>
                <c:pt idx="0">
                  <c:v>Employment expectations (select.services)</c:v>
                </c:pt>
              </c:strCache>
            </c:strRef>
          </c:tx>
          <c:spPr>
            <a:ln w="15875">
              <a:solidFill>
                <a:srgbClr val="C00000"/>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1-SNÚ'!$AP$28:$AP$62</c:f>
              <c:numCache>
                <c:formatCode>#\ ##0.0</c:formatCode>
                <c:ptCount val="35"/>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numCache>
            </c:numRef>
          </c:val>
          <c:smooth val="0"/>
          <c:extLst>
            <c:ext xmlns:c16="http://schemas.microsoft.com/office/drawing/2014/chart" uri="{C3380CC4-5D6E-409C-BE32-E72D297353CC}">
              <c16:uniqueId val="{0000000D-A3B7-4CCD-97F6-6AD9864A894D}"/>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2773337912519967E-2"/>
          <c:y val="0.77992823117070742"/>
          <c:w val="0.97895033481051774"/>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práce-2b'!$A$32</c:f>
              <c:strCache>
                <c:ptCount val="1"/>
                <c:pt idx="0">
                  <c:v>Male unemployment rate</c:v>
                </c:pt>
              </c:strCache>
            </c:strRef>
          </c:tx>
          <c:spPr>
            <a:solidFill>
              <a:srgbClr val="BCBCBC"/>
            </a:solidFill>
          </c:spPr>
          <c:invertIfNegative val="0"/>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práce-2b'!$B$32:$AJ$32</c:f>
              <c:numCache>
                <c:formatCode>0.0</c:formatCode>
                <c:ptCount val="35"/>
                <c:pt idx="0">
                  <c:v>5.0179703567993279</c:v>
                </c:pt>
                <c:pt idx="1">
                  <c:v>4.3397037857057308</c:v>
                </c:pt>
                <c:pt idx="2">
                  <c:v>4.078363791425363</c:v>
                </c:pt>
                <c:pt idx="3">
                  <c:v>3.7766265778372001</c:v>
                </c:pt>
                <c:pt idx="4">
                  <c:v>3.6410218058510355</c:v>
                </c:pt>
                <c:pt idx="5">
                  <c:v>3.5617055995244464</c:v>
                </c:pt>
                <c:pt idx="6">
                  <c:v>3.3832737899339094</c:v>
                </c:pt>
                <c:pt idx="7">
                  <c:v>3.1624830152469721</c:v>
                </c:pt>
                <c:pt idx="8">
                  <c:v>2.7030133381290344</c:v>
                </c:pt>
                <c:pt idx="9">
                  <c:v>2.4612076398961951</c:v>
                </c:pt>
                <c:pt idx="10">
                  <c:v>2.2569337257329649</c:v>
                </c:pt>
                <c:pt idx="11">
                  <c:v>2.0533565705585919</c:v>
                </c:pt>
                <c:pt idx="12">
                  <c:v>1.8939606859689577</c:v>
                </c:pt>
                <c:pt idx="13">
                  <c:v>1.8444391535153297</c:v>
                </c:pt>
                <c:pt idx="14">
                  <c:v>1.8906657579743846</c:v>
                </c:pt>
                <c:pt idx="15">
                  <c:v>1.6613164713888826</c:v>
                </c:pt>
                <c:pt idx="16">
                  <c:v>1.8002424728293283</c:v>
                </c:pt>
                <c:pt idx="17">
                  <c:v>1.68370477728885</c:v>
                </c:pt>
                <c:pt idx="18">
                  <c:v>1.7665785210090019</c:v>
                </c:pt>
                <c:pt idx="19">
                  <c:v>1.8635330355029034</c:v>
                </c:pt>
                <c:pt idx="20">
                  <c:v>1.8345903586695378</c:v>
                </c:pt>
                <c:pt idx="21">
                  <c:v>2.2579728634053908</c:v>
                </c:pt>
                <c:pt idx="22">
                  <c:v>2.5264092526326714</c:v>
                </c:pt>
                <c:pt idx="23">
                  <c:v>2.532875325520068</c:v>
                </c:pt>
                <c:pt idx="24">
                  <c:v>2.6687894843566364</c:v>
                </c:pt>
                <c:pt idx="25">
                  <c:v>2.5658471946484771</c:v>
                </c:pt>
                <c:pt idx="26">
                  <c:v>2.2750405964284734</c:v>
                </c:pt>
                <c:pt idx="27">
                  <c:v>1.9616597792922665</c:v>
                </c:pt>
                <c:pt idx="28">
                  <c:v>1.9699114886182214</c:v>
                </c:pt>
                <c:pt idx="29">
                  <c:v>1.9099497776191254</c:v>
                </c:pt>
                <c:pt idx="30">
                  <c:v>1.924287629304005</c:v>
                </c:pt>
                <c:pt idx="31">
                  <c:v>2.0833254788649742</c:v>
                </c:pt>
                <c:pt idx="32">
                  <c:v>2.157527231950231</c:v>
                </c:pt>
                <c:pt idx="33">
                  <c:v>2.2590238099041651</c:v>
                </c:pt>
              </c:numCache>
            </c:numRef>
          </c:val>
          <c:extLst>
            <c:ext xmlns:c16="http://schemas.microsoft.com/office/drawing/2014/chart" uri="{C3380CC4-5D6E-409C-BE32-E72D297353CC}">
              <c16:uniqueId val="{00000000-EE7E-43A5-890F-700611CAED27}"/>
            </c:ext>
          </c:extLst>
        </c:ser>
        <c:ser>
          <c:idx val="1"/>
          <c:order val="1"/>
          <c:tx>
            <c:strRef>
              <c:f>'Trh práce-2b'!$A$33</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práce-2b'!$B$33:$AJ$33</c:f>
              <c:numCache>
                <c:formatCode>0.0</c:formatCode>
                <c:ptCount val="35"/>
                <c:pt idx="0">
                  <c:v>6.9247844222757093</c:v>
                </c:pt>
                <c:pt idx="1">
                  <c:v>6.1548239649972336</c:v>
                </c:pt>
                <c:pt idx="2">
                  <c:v>5.9772351628082871</c:v>
                </c:pt>
                <c:pt idx="3">
                  <c:v>5.6631509856934299</c:v>
                </c:pt>
                <c:pt idx="4">
                  <c:v>5.0702807689938432</c:v>
                </c:pt>
                <c:pt idx="5">
                  <c:v>4.8011933347794091</c:v>
                </c:pt>
                <c:pt idx="6">
                  <c:v>4.8094480130904822</c:v>
                </c:pt>
                <c:pt idx="7">
                  <c:v>4.3666253677207658</c:v>
                </c:pt>
                <c:pt idx="8">
                  <c:v>4.2695537029006578</c:v>
                </c:pt>
                <c:pt idx="9">
                  <c:v>3.892380756609807</c:v>
                </c:pt>
                <c:pt idx="10">
                  <c:v>3.4090462990584385</c:v>
                </c:pt>
                <c:pt idx="11">
                  <c:v>3.0268766213583489</c:v>
                </c:pt>
                <c:pt idx="12">
                  <c:v>2.9413108440125382</c:v>
                </c:pt>
                <c:pt idx="13">
                  <c:v>2.8900483618547952</c:v>
                </c:pt>
                <c:pt idx="14">
                  <c:v>2.8576069830594331</c:v>
                </c:pt>
                <c:pt idx="15">
                  <c:v>2.6813009357194431</c:v>
                </c:pt>
                <c:pt idx="16">
                  <c:v>2.2468451775037979</c:v>
                </c:pt>
                <c:pt idx="17">
                  <c:v>2.4700676446938119</c:v>
                </c:pt>
                <c:pt idx="18">
                  <c:v>2.5650647654236116</c:v>
                </c:pt>
                <c:pt idx="19">
                  <c:v>2.4357961684995288</c:v>
                </c:pt>
                <c:pt idx="20">
                  <c:v>2.0459633496495324</c:v>
                </c:pt>
                <c:pt idx="21">
                  <c:v>2.8097346782288031</c:v>
                </c:pt>
                <c:pt idx="22">
                  <c:v>3.3694736693486296</c:v>
                </c:pt>
                <c:pt idx="23">
                  <c:v>3.8967034720032188</c:v>
                </c:pt>
                <c:pt idx="24">
                  <c:v>4.1524898825665657</c:v>
                </c:pt>
                <c:pt idx="25">
                  <c:v>3.9048818536061245</c:v>
                </c:pt>
                <c:pt idx="26">
                  <c:v>3.2609428473346518</c:v>
                </c:pt>
                <c:pt idx="27">
                  <c:v>2.7351509961910576</c:v>
                </c:pt>
                <c:pt idx="28">
                  <c:v>2.9959040802138648</c:v>
                </c:pt>
                <c:pt idx="29">
                  <c:v>3.2096578909940594</c:v>
                </c:pt>
                <c:pt idx="30">
                  <c:v>2.8962648073926567</c:v>
                </c:pt>
                <c:pt idx="31">
                  <c:v>2.7939457161105916</c:v>
                </c:pt>
                <c:pt idx="32">
                  <c:v>3.0275232069435951</c:v>
                </c:pt>
                <c:pt idx="33">
                  <c:v>3.1718716331444265</c:v>
                </c:pt>
              </c:numCache>
            </c:numRef>
          </c:val>
          <c:extLst>
            <c:ext xmlns:c16="http://schemas.microsoft.com/office/drawing/2014/chart" uri="{C3380CC4-5D6E-409C-BE32-E72D297353CC}">
              <c16:uniqueId val="{00000001-EE7E-43A5-890F-700611CAED27}"/>
            </c:ext>
          </c:extLst>
        </c:ser>
        <c:dLbls>
          <c:showLegendKey val="0"/>
          <c:showVal val="0"/>
          <c:showCatName val="0"/>
          <c:showSerName val="0"/>
          <c:showPercent val="0"/>
          <c:showBubbleSize val="0"/>
        </c:dLbls>
        <c:gapWidth val="68"/>
        <c:axId val="100654464"/>
        <c:axId val="101647488"/>
      </c:barChart>
      <c:lineChart>
        <c:grouping val="standard"/>
        <c:varyColors val="0"/>
        <c:ser>
          <c:idx val="4"/>
          <c:order val="2"/>
          <c:tx>
            <c:strRef>
              <c:f>'Trh práce-2b'!$A$36</c:f>
              <c:strCache>
                <c:ptCount val="1"/>
                <c:pt idx="0">
                  <c:v>Economically inactive seeking empl.</c:v>
                </c:pt>
              </c:strCache>
            </c:strRef>
          </c:tx>
          <c:spPr>
            <a:ln w="19050">
              <a:solidFill>
                <a:schemeClr val="bg2">
                  <a:lumMod val="75000"/>
                </a:schemeClr>
              </a:solidFill>
              <a:prstDash val="sysDash"/>
            </a:ln>
          </c:spPr>
          <c:marker>
            <c:symbol val="none"/>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práce-2b'!$B$36:$AJ$36</c:f>
              <c:numCache>
                <c:formatCode>0.0</c:formatCode>
                <c:ptCount val="35"/>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pt idx="32">
                  <c:v>74</c:v>
                </c:pt>
                <c:pt idx="33">
                  <c:v>87.4</c:v>
                </c:pt>
              </c:numCache>
            </c:numRef>
          </c:val>
          <c:smooth val="0"/>
          <c:extLst>
            <c:ext xmlns:c16="http://schemas.microsoft.com/office/drawing/2014/chart" uri="{C3380CC4-5D6E-409C-BE32-E72D297353CC}">
              <c16:uniqueId val="{00000002-EE7E-43A5-890F-700611CAED27}"/>
            </c:ext>
          </c:extLst>
        </c:ser>
        <c:ser>
          <c:idx val="5"/>
          <c:order val="3"/>
          <c:tx>
            <c:strRef>
              <c:f>'Trh práce-2b'!$A$37</c:f>
              <c:strCache>
                <c:ptCount val="1"/>
                <c:pt idx="0">
                  <c:v>Unemployment expectations</c:v>
                </c:pt>
              </c:strCache>
            </c:strRef>
          </c:tx>
          <c:spPr>
            <a:ln w="19050">
              <a:solidFill>
                <a:schemeClr val="accent6">
                  <a:lumMod val="75000"/>
                </a:schemeClr>
              </a:solidFill>
              <a:prstDash val="dash"/>
            </a:ln>
          </c:spPr>
          <c:marker>
            <c:symbol val="none"/>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práce-2b'!$B$37:$AJ$37</c:f>
              <c:numCache>
                <c:formatCode>0.0</c:formatCode>
                <c:ptCount val="35"/>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numCache>
            </c:numRef>
          </c:val>
          <c:smooth val="0"/>
          <c:extLst>
            <c:ext xmlns:c16="http://schemas.microsoft.com/office/drawing/2014/chart" uri="{C3380CC4-5D6E-409C-BE32-E72D297353CC}">
              <c16:uniqueId val="{00000003-EE7E-43A5-890F-700611CAED27}"/>
            </c:ext>
          </c:extLst>
        </c:ser>
        <c:ser>
          <c:idx val="6"/>
          <c:order val="4"/>
          <c:tx>
            <c:strRef>
              <c:f>'Trh práce-2b'!$A$38</c:f>
              <c:strCache>
                <c:ptCount val="1"/>
                <c:pt idx="0">
                  <c:v>Vacancies for lower qualifications</c:v>
                </c:pt>
              </c:strCache>
            </c:strRef>
          </c:tx>
          <c:spPr>
            <a:ln>
              <a:noFill/>
            </a:ln>
          </c:spPr>
          <c:marker>
            <c:symbol val="circle"/>
            <c:size val="4"/>
            <c:spPr>
              <a:solidFill>
                <a:srgbClr val="8EB149"/>
              </a:solidFill>
              <a:ln>
                <a:noFill/>
              </a:ln>
            </c:spPr>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práce-2b'!$B$38:$AJ$38</c:f>
              <c:numCache>
                <c:formatCode>0.0</c:formatCode>
                <c:ptCount val="35"/>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pt idx="32">
                  <c:v>43.122</c:v>
                </c:pt>
                <c:pt idx="33">
                  <c:v>42.853999999999999</c:v>
                </c:pt>
              </c:numCache>
            </c:numRef>
          </c:val>
          <c:smooth val="0"/>
          <c:extLst>
            <c:ext xmlns:c16="http://schemas.microsoft.com/office/drawing/2014/chart" uri="{C3380CC4-5D6E-409C-BE32-E72D297353CC}">
              <c16:uniqueId val="{00000004-EE7E-43A5-890F-700611CAED27}"/>
            </c:ext>
          </c:extLst>
        </c:ser>
        <c:ser>
          <c:idx val="7"/>
          <c:order val="5"/>
          <c:tx>
            <c:strRef>
              <c:f>'Trh práce-2b'!$A$39</c:f>
              <c:strCache>
                <c:ptCount val="1"/>
                <c:pt idx="0">
                  <c:v>Vacancies for higher qualifications </c:v>
                </c:pt>
              </c:strCache>
            </c:strRef>
          </c:tx>
          <c:spPr>
            <a:ln>
              <a:noFill/>
            </a:ln>
          </c:spPr>
          <c:marker>
            <c:symbol val="diamond"/>
            <c:size val="5"/>
            <c:spPr>
              <a:solidFill>
                <a:srgbClr val="00B050"/>
              </a:solidFill>
              <a:ln>
                <a:noFill/>
              </a:ln>
            </c:spPr>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práce-2b'!$B$39:$AJ$39</c:f>
              <c:numCache>
                <c:formatCode>0.0</c:formatCode>
                <c:ptCount val="35"/>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pt idx="32">
                  <c:v>37.613</c:v>
                </c:pt>
                <c:pt idx="33">
                  <c:v>38.130000000000003</c:v>
                </c:pt>
              </c:numCache>
            </c:numRef>
          </c:val>
          <c:smooth val="0"/>
          <c:extLst>
            <c:ext xmlns:c16="http://schemas.microsoft.com/office/drawing/2014/chart" uri="{C3380CC4-5D6E-409C-BE32-E72D297353CC}">
              <c16:uniqueId val="{00000005-EE7E-43A5-890F-700611CAED27}"/>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Rate of ec.</a:t>
                </a:r>
                <a:r>
                  <a:rPr lang="cs-CZ" sz="700" b="0" i="1" baseline="0"/>
                  <a:t> </a:t>
                </a:r>
                <a:r>
                  <a:rPr lang="cs-CZ" sz="700" b="0" i="1"/>
                  <a:t>activity, Ec. inactive, Unempl.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6344941601778169"/>
          <c:w val="0.87725909810586777"/>
          <c:h val="0.1260438016561871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1.6620151538667759E-2"/>
          <c:w val="0.94100987714831696"/>
          <c:h val="0.76753601512564729"/>
        </c:manualLayout>
      </c:layout>
      <c:barChart>
        <c:barDir val="col"/>
        <c:grouping val="clustered"/>
        <c:varyColors val="0"/>
        <c:ser>
          <c:idx val="4"/>
          <c:order val="1"/>
          <c:tx>
            <c:strRef>
              <c:f>'Trh práce 3'!$D$93</c:f>
              <c:strCache>
                <c:ptCount val="1"/>
                <c:pt idx="0">
                  <c:v>Total wage (real growth)</c:v>
                </c:pt>
              </c:strCache>
            </c:strRef>
          </c:tx>
          <c:spPr>
            <a:solidFill>
              <a:srgbClr val="DBDBDB"/>
            </a:solidFill>
            <a:ln w="19050">
              <a:noFill/>
            </a:ln>
          </c:spPr>
          <c:invertIfNegative val="0"/>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3'!$D$94:$D$125</c:f>
              <c:numCache>
                <c:formatCode>0.0</c:formatCode>
                <c:ptCount val="32"/>
                <c:pt idx="0">
                  <c:v>1.3999999999999986</c:v>
                </c:pt>
                <c:pt idx="1">
                  <c:v>1.5</c:v>
                </c:pt>
                <c:pt idx="2">
                  <c:v>0.59999999999999432</c:v>
                </c:pt>
                <c:pt idx="3">
                  <c:v>4.1000000000000014</c:v>
                </c:pt>
                <c:pt idx="4">
                  <c:v>2</c:v>
                </c:pt>
                <c:pt idx="5">
                  <c:v>-0.55000000000000426</c:v>
                </c:pt>
                <c:pt idx="6">
                  <c:v>0.94999999999999574</c:v>
                </c:pt>
                <c:pt idx="7">
                  <c:v>0.14999999999999858</c:v>
                </c:pt>
                <c:pt idx="8">
                  <c:v>-0.89999999999999858</c:v>
                </c:pt>
                <c:pt idx="9">
                  <c:v>-0.69999999999999574</c:v>
                </c:pt>
                <c:pt idx="10">
                  <c:v>-1.4500000000000028</c:v>
                </c:pt>
                <c:pt idx="11">
                  <c:v>-1.5499999999999972</c:v>
                </c:pt>
                <c:pt idx="12">
                  <c:v>3.1499999999999986</c:v>
                </c:pt>
                <c:pt idx="13">
                  <c:v>1.9499999999999957</c:v>
                </c:pt>
                <c:pt idx="14">
                  <c:v>2.4000000000000057</c:v>
                </c:pt>
                <c:pt idx="15">
                  <c:v>3.3499999999999943</c:v>
                </c:pt>
                <c:pt idx="16">
                  <c:v>4</c:v>
                </c:pt>
                <c:pt idx="17">
                  <c:v>3.5999999999999943</c:v>
                </c:pt>
                <c:pt idx="18">
                  <c:v>3.75</c:v>
                </c:pt>
                <c:pt idx="19">
                  <c:v>4.5999999999999943</c:v>
                </c:pt>
                <c:pt idx="20">
                  <c:v>6.4000000000000057</c:v>
                </c:pt>
                <c:pt idx="21">
                  <c:v>5.4000000000000057</c:v>
                </c:pt>
                <c:pt idx="22">
                  <c:v>5.2999999999999972</c:v>
                </c:pt>
                <c:pt idx="23">
                  <c:v>4.6500000000000057</c:v>
                </c:pt>
                <c:pt idx="24">
                  <c:v>-0.15000000000000568</c:v>
                </c:pt>
                <c:pt idx="25">
                  <c:v>3</c:v>
                </c:pt>
                <c:pt idx="26">
                  <c:v>4.4499999999999886</c:v>
                </c:pt>
                <c:pt idx="27">
                  <c:v>-0.44999999999998863</c:v>
                </c:pt>
                <c:pt idx="28">
                  <c:v>-7.6500000000000057</c:v>
                </c:pt>
                <c:pt idx="29">
                  <c:v>-9.2000000000000028</c:v>
                </c:pt>
                <c:pt idx="30" formatCode="General">
                  <c:v>-4.7999999999999972</c:v>
                </c:pt>
              </c:numCache>
            </c:numRef>
          </c:val>
          <c:extLst>
            <c:ext xmlns:c16="http://schemas.microsoft.com/office/drawing/2014/chart" uri="{C3380CC4-5D6E-409C-BE32-E72D297353CC}">
              <c16:uniqueId val="{00000000-D20D-4B0D-99FF-119C17C6D8D2}"/>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3'!$C$93</c:f>
              <c:strCache>
                <c:ptCount val="1"/>
                <c:pt idx="0">
                  <c:v>Total wage (nominal growth)</c:v>
                </c:pt>
              </c:strCache>
            </c:strRef>
          </c:tx>
          <c:spPr>
            <a:ln w="19050">
              <a:solidFill>
                <a:schemeClr val="tx1">
                  <a:lumMod val="95000"/>
                  <a:lumOff val="5000"/>
                </a:schemeClr>
              </a:solidFill>
              <a:prstDash val="sysDash"/>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3'!$C$94:$C$125</c:f>
              <c:numCache>
                <c:formatCode>0.0</c:formatCode>
                <c:ptCount val="32"/>
                <c:pt idx="0">
                  <c:v>8.6000000000000014</c:v>
                </c:pt>
                <c:pt idx="1">
                  <c:v>7.2000000000000028</c:v>
                </c:pt>
                <c:pt idx="2">
                  <c:v>2.3500000000000014</c:v>
                </c:pt>
                <c:pt idx="3">
                  <c:v>4.3499999999999943</c:v>
                </c:pt>
                <c:pt idx="4">
                  <c:v>2.9499999999999957</c:v>
                </c:pt>
                <c:pt idx="5">
                  <c:v>1.4500000000000028</c:v>
                </c:pt>
                <c:pt idx="6">
                  <c:v>2.6999999999999957</c:v>
                </c:pt>
                <c:pt idx="7">
                  <c:v>2.25</c:v>
                </c:pt>
                <c:pt idx="8">
                  <c:v>2.6499999999999986</c:v>
                </c:pt>
                <c:pt idx="9">
                  <c:v>2.3000000000000043</c:v>
                </c:pt>
                <c:pt idx="10">
                  <c:v>0.20000000000000284</c:v>
                </c:pt>
                <c:pt idx="11">
                  <c:v>-0.39999999999999858</c:v>
                </c:pt>
                <c:pt idx="12">
                  <c:v>3.3500000000000014</c:v>
                </c:pt>
                <c:pt idx="13">
                  <c:v>2.5</c:v>
                </c:pt>
                <c:pt idx="14">
                  <c:v>2.7999999999999972</c:v>
                </c:pt>
                <c:pt idx="15">
                  <c:v>3.5999999999999943</c:v>
                </c:pt>
                <c:pt idx="16">
                  <c:v>4.3499999999999943</c:v>
                </c:pt>
                <c:pt idx="17">
                  <c:v>4.5500000000000114</c:v>
                </c:pt>
                <c:pt idx="18">
                  <c:v>6.1500000000000057</c:v>
                </c:pt>
                <c:pt idx="19">
                  <c:v>7.25</c:v>
                </c:pt>
                <c:pt idx="20">
                  <c:v>8.5999999999999943</c:v>
                </c:pt>
                <c:pt idx="21">
                  <c:v>7.75</c:v>
                </c:pt>
                <c:pt idx="22">
                  <c:v>8.1500000000000057</c:v>
                </c:pt>
                <c:pt idx="23">
                  <c:v>7.6500000000000057</c:v>
                </c:pt>
                <c:pt idx="24">
                  <c:v>3.2000000000000028</c:v>
                </c:pt>
                <c:pt idx="25">
                  <c:v>6.0500000000000114</c:v>
                </c:pt>
                <c:pt idx="26">
                  <c:v>7.0999999999999943</c:v>
                </c:pt>
                <c:pt idx="27">
                  <c:v>4.5999999999999943</c:v>
                </c:pt>
                <c:pt idx="28">
                  <c:v>4.75</c:v>
                </c:pt>
                <c:pt idx="29">
                  <c:v>5.9000000000000057</c:v>
                </c:pt>
                <c:pt idx="30" formatCode="General">
                  <c:v>8.2000000000000028</c:v>
                </c:pt>
              </c:numCache>
            </c:numRef>
          </c:val>
          <c:smooth val="0"/>
          <c:extLst>
            <c:ext xmlns:c16="http://schemas.microsoft.com/office/drawing/2014/chart" uri="{C3380CC4-5D6E-409C-BE32-E72D297353CC}">
              <c16:uniqueId val="{00000001-D20D-4B0D-99FF-119C17C6D8D2}"/>
            </c:ext>
          </c:extLst>
        </c:ser>
        <c:ser>
          <c:idx val="5"/>
          <c:order val="2"/>
          <c:tx>
            <c:strRef>
              <c:f>'Trh práce 3'!$E$93</c:f>
              <c:strCache>
                <c:ptCount val="1"/>
                <c:pt idx="0">
                  <c:v>Wage in industry (nominal growth)</c:v>
                </c:pt>
              </c:strCache>
            </c:strRef>
          </c:tx>
          <c:spPr>
            <a:ln w="9525">
              <a:solidFill>
                <a:srgbClr val="C0000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3'!$E$94:$E$125</c:f>
              <c:numCache>
                <c:formatCode>0.0</c:formatCode>
                <c:ptCount val="32"/>
                <c:pt idx="0">
                  <c:v>10.965779626599343</c:v>
                </c:pt>
                <c:pt idx="1">
                  <c:v>7.2045848058037194</c:v>
                </c:pt>
                <c:pt idx="2">
                  <c:v>-0.10207158875207512</c:v>
                </c:pt>
                <c:pt idx="3">
                  <c:v>4.775678798547176</c:v>
                </c:pt>
                <c:pt idx="4" formatCode="#\ ##0.0">
                  <c:v>5.293197091042984</c:v>
                </c:pt>
                <c:pt idx="5" formatCode="#\ ##0.0">
                  <c:v>3.4322578877170642</c:v>
                </c:pt>
                <c:pt idx="6" formatCode="#\ ##0.0">
                  <c:v>4.078510229061024</c:v>
                </c:pt>
                <c:pt idx="7" formatCode="#\ ##0.0">
                  <c:v>2.4423868557449282</c:v>
                </c:pt>
                <c:pt idx="8" formatCode="#\ ##0.0">
                  <c:v>3.3306732748120425</c:v>
                </c:pt>
                <c:pt idx="9" formatCode="#\ ##0.0">
                  <c:v>2.7243464773580328</c:v>
                </c:pt>
                <c:pt idx="10" formatCode="#\ ##0.0">
                  <c:v>0.83733029834974104</c:v>
                </c:pt>
                <c:pt idx="11" formatCode="#\ ##0.0">
                  <c:v>0.83258081439371523</c:v>
                </c:pt>
                <c:pt idx="12" formatCode="#\ ##0.0">
                  <c:v>3.8052241212512143</c:v>
                </c:pt>
                <c:pt idx="13" formatCode="#\ ##0.0">
                  <c:v>2.8172030641298562</c:v>
                </c:pt>
                <c:pt idx="14" formatCode="#\ ##0.0">
                  <c:v>2.1784715750232948</c:v>
                </c:pt>
                <c:pt idx="15" formatCode="#\ ##0.0">
                  <c:v>2.9944452782884241</c:v>
                </c:pt>
                <c:pt idx="16" formatCode="#\ ##0.0">
                  <c:v>4.2868544065670875</c:v>
                </c:pt>
                <c:pt idx="17" formatCode="#\ ##0.0">
                  <c:v>4.275871439841552</c:v>
                </c:pt>
                <c:pt idx="18" formatCode="#\ ##0.0">
                  <c:v>6.654276447651327</c:v>
                </c:pt>
                <c:pt idx="19" formatCode="#\ ##0.0">
                  <c:v>6.957870030534707</c:v>
                </c:pt>
                <c:pt idx="20" formatCode="#\ ##0.0">
                  <c:v>8.0500222093142355</c:v>
                </c:pt>
                <c:pt idx="21" formatCode="#\ ##0.0">
                  <c:v>7.4868067232467439</c:v>
                </c:pt>
                <c:pt idx="22" formatCode="#\ ##0.0">
                  <c:v>7.1340480030357583</c:v>
                </c:pt>
                <c:pt idx="23" formatCode="#\ ##0.0">
                  <c:v>6.1891260339134462</c:v>
                </c:pt>
                <c:pt idx="24" formatCode="#\ ##0.0">
                  <c:v>0.54310930074676378</c:v>
                </c:pt>
                <c:pt idx="25" formatCode="#\ ##0.0">
                  <c:v>3.4815846936054058</c:v>
                </c:pt>
                <c:pt idx="26" formatCode="#\ ##0.0">
                  <c:v>6.0094530722484762</c:v>
                </c:pt>
                <c:pt idx="27" formatCode="#\ ##0.0">
                  <c:v>4.2384595160887315</c:v>
                </c:pt>
                <c:pt idx="28" formatCode="#\ ##0.0">
                  <c:v>6.1617280531708616</c:v>
                </c:pt>
                <c:pt idx="29" formatCode="#\ ##0.0">
                  <c:v>7.298350972611118</c:v>
                </c:pt>
                <c:pt idx="30" formatCode="#\ ##0.0">
                  <c:v>9.9047867484022447</c:v>
                </c:pt>
              </c:numCache>
            </c:numRef>
          </c:val>
          <c:smooth val="0"/>
          <c:extLst>
            <c:ext xmlns:c16="http://schemas.microsoft.com/office/drawing/2014/chart" uri="{C3380CC4-5D6E-409C-BE32-E72D297353CC}">
              <c16:uniqueId val="{00000002-D20D-4B0D-99FF-119C17C6D8D2}"/>
            </c:ext>
          </c:extLst>
        </c:ser>
        <c:ser>
          <c:idx val="1"/>
          <c:order val="3"/>
          <c:tx>
            <c:strRef>
              <c:f>'Trh práce 3'!$F$93</c:f>
              <c:strCache>
                <c:ptCount val="1"/>
                <c:pt idx="0">
                  <c:v>Wage in trade (nominal growth)</c:v>
                </c:pt>
              </c:strCache>
            </c:strRef>
          </c:tx>
          <c:spPr>
            <a:ln w="9525">
              <a:solidFill>
                <a:srgbClr val="0070C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3'!$F$94:$F$125</c:f>
              <c:numCache>
                <c:formatCode>0.0</c:formatCode>
                <c:ptCount val="32"/>
                <c:pt idx="0">
                  <c:v>9.5236281670593428</c:v>
                </c:pt>
                <c:pt idx="1">
                  <c:v>6.1173932151438422</c:v>
                </c:pt>
                <c:pt idx="2">
                  <c:v>-0.56987922579376971</c:v>
                </c:pt>
                <c:pt idx="3">
                  <c:v>0.86090696307550729</c:v>
                </c:pt>
                <c:pt idx="4" formatCode="#\ ##0.0">
                  <c:v>3.1352815947358152</c:v>
                </c:pt>
                <c:pt idx="5" formatCode="#\ ##0.0">
                  <c:v>3.1449702537917474</c:v>
                </c:pt>
                <c:pt idx="6" formatCode="#\ ##0.0">
                  <c:v>3.5044098329892961</c:v>
                </c:pt>
                <c:pt idx="7" formatCode="#\ ##0.0">
                  <c:v>3.5017847929104704</c:v>
                </c:pt>
                <c:pt idx="8" formatCode="#\ ##0.0">
                  <c:v>2.3750169967819517</c:v>
                </c:pt>
                <c:pt idx="9" formatCode="#\ ##0.0">
                  <c:v>2.0776709847314265</c:v>
                </c:pt>
                <c:pt idx="10" formatCode="#\ ##0.0">
                  <c:v>0.23464824899276948</c:v>
                </c:pt>
                <c:pt idx="11" formatCode="#\ ##0.0">
                  <c:v>-1.6674125328935219</c:v>
                </c:pt>
                <c:pt idx="12" formatCode="#\ ##0.0">
                  <c:v>3.8206713780918733</c:v>
                </c:pt>
                <c:pt idx="13" formatCode="#\ ##0.0">
                  <c:v>2.8255381000689113</c:v>
                </c:pt>
                <c:pt idx="14" formatCode="#\ ##0.0">
                  <c:v>3.5184003403531108</c:v>
                </c:pt>
                <c:pt idx="15" formatCode="#\ ##0.0">
                  <c:v>4.8703883325637847</c:v>
                </c:pt>
                <c:pt idx="16" formatCode="#\ ##0.0">
                  <c:v>4.783823771165558</c:v>
                </c:pt>
                <c:pt idx="17" formatCode="#\ ##0.0">
                  <c:v>4.7464148837768363</c:v>
                </c:pt>
                <c:pt idx="18" formatCode="#\ ##0.0">
                  <c:v>6.7893002823972353</c:v>
                </c:pt>
                <c:pt idx="19" formatCode="#\ ##0.0">
                  <c:v>8.0429381053703324</c:v>
                </c:pt>
                <c:pt idx="20" formatCode="#\ ##0.0">
                  <c:v>7.1362985271972548</c:v>
                </c:pt>
                <c:pt idx="21" formatCode="#\ ##0.0">
                  <c:v>6.7676237129747037</c:v>
                </c:pt>
                <c:pt idx="22" formatCode="#\ ##0.0">
                  <c:v>8.4573191635241756</c:v>
                </c:pt>
                <c:pt idx="23" formatCode="#\ ##0.0">
                  <c:v>7.232378367973638</c:v>
                </c:pt>
                <c:pt idx="24" formatCode="#\ ##0.0">
                  <c:v>3.634984353762988</c:v>
                </c:pt>
                <c:pt idx="25" formatCode="#\ ##0.0">
                  <c:v>3.5929532276403506</c:v>
                </c:pt>
                <c:pt idx="26" formatCode="#\ ##0.0">
                  <c:v>5.974929087748194</c:v>
                </c:pt>
                <c:pt idx="27" formatCode="#\ ##0.0">
                  <c:v>7.6602746826361425</c:v>
                </c:pt>
                <c:pt idx="28" formatCode="#\ ##0.0">
                  <c:v>6.6540033385137747</c:v>
                </c:pt>
                <c:pt idx="29" formatCode="#\ ##0.0">
                  <c:v>4.8825560638771464</c:v>
                </c:pt>
                <c:pt idx="30" formatCode="#\ ##0.0">
                  <c:v>8.2573263532840429</c:v>
                </c:pt>
              </c:numCache>
            </c:numRef>
          </c:val>
          <c:smooth val="0"/>
          <c:extLst>
            <c:ext xmlns:c16="http://schemas.microsoft.com/office/drawing/2014/chart" uri="{C3380CC4-5D6E-409C-BE32-E72D297353CC}">
              <c16:uniqueId val="{00000003-D20D-4B0D-99FF-119C17C6D8D2}"/>
            </c:ext>
          </c:extLst>
        </c:ser>
        <c:ser>
          <c:idx val="2"/>
          <c:order val="4"/>
          <c:tx>
            <c:strRef>
              <c:f>'Trh práce 3'!$G$93</c:f>
              <c:strCache>
                <c:ptCount val="1"/>
                <c:pt idx="0">
                  <c:v>Wage in public services (nominal growth)*</c:v>
                </c:pt>
              </c:strCache>
            </c:strRef>
          </c:tx>
          <c:spPr>
            <a:ln w="9525">
              <a:solidFill>
                <a:srgbClr val="00B05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3'!$G$94:$G$125</c:f>
              <c:numCache>
                <c:formatCode>0.0</c:formatCode>
                <c:ptCount val="32"/>
                <c:pt idx="0">
                  <c:v>3.5657045736146955</c:v>
                </c:pt>
                <c:pt idx="1">
                  <c:v>5.270641590760583</c:v>
                </c:pt>
                <c:pt idx="2">
                  <c:v>4.9793477923024483</c:v>
                </c:pt>
                <c:pt idx="3">
                  <c:v>6.1469428778748991</c:v>
                </c:pt>
                <c:pt idx="4" formatCode="#\ ##0.0">
                  <c:v>2.7914399976036748</c:v>
                </c:pt>
                <c:pt idx="5" formatCode="#\ ##0.0">
                  <c:v>-2.1753764637075363</c:v>
                </c:pt>
                <c:pt idx="6" formatCode="#\ ##0.0">
                  <c:v>0.19673255957748381</c:v>
                </c:pt>
                <c:pt idx="7" formatCode="#\ ##0.0">
                  <c:v>2.4787428508100575</c:v>
                </c:pt>
                <c:pt idx="8" formatCode="#\ ##0.0">
                  <c:v>2.4724260713358603</c:v>
                </c:pt>
                <c:pt idx="9" formatCode="#\ ##0.0">
                  <c:v>1.4759480783641123</c:v>
                </c:pt>
                <c:pt idx="10" formatCode="#\ ##0.0">
                  <c:v>0.83401298066449669</c:v>
                </c:pt>
                <c:pt idx="11" formatCode="#\ ##0.0">
                  <c:v>0.40922312282597773</c:v>
                </c:pt>
                <c:pt idx="12" formatCode="#\ ##0.0">
                  <c:v>2.0215921131322432</c:v>
                </c:pt>
                <c:pt idx="13" formatCode="#\ ##0.0">
                  <c:v>3.0167538052527476</c:v>
                </c:pt>
                <c:pt idx="14" formatCode="#\ ##0.0">
                  <c:v>3.8195496456968812</c:v>
                </c:pt>
                <c:pt idx="15" formatCode="#\ ##0.0">
                  <c:v>3.7263593007908256</c:v>
                </c:pt>
                <c:pt idx="16" formatCode="#\ ##0.0">
                  <c:v>4.2075654139398324</c:v>
                </c:pt>
                <c:pt idx="17" formatCode="#\ ##0.0">
                  <c:v>5.4939178255430079</c:v>
                </c:pt>
                <c:pt idx="18" formatCode="#\ ##0.0">
                  <c:v>6.4136990396482787</c:v>
                </c:pt>
                <c:pt idx="19" formatCode="#\ ##0.0">
                  <c:v>9.2411219451734112</c:v>
                </c:pt>
                <c:pt idx="20" formatCode="#\ ##0.0">
                  <c:v>12.026170361451321</c:v>
                </c:pt>
                <c:pt idx="21" formatCode="#\ ##0.0">
                  <c:v>8.7447651066878649</c:v>
                </c:pt>
                <c:pt idx="22" formatCode="#\ ##0.0">
                  <c:v>9.3592560812861194</c:v>
                </c:pt>
                <c:pt idx="23" formatCode="#\ ##0.0">
                  <c:v>9.7167924346275427</c:v>
                </c:pt>
                <c:pt idx="24" formatCode="#\ ##0.0">
                  <c:v>5.0911039087648788</c:v>
                </c:pt>
                <c:pt idx="25" formatCode="#\ ##0.0">
                  <c:v>11.379812548838132</c:v>
                </c:pt>
                <c:pt idx="26" formatCode="#\ ##0.0">
                  <c:v>11.376746357961196</c:v>
                </c:pt>
                <c:pt idx="27" formatCode="#\ ##0.0">
                  <c:v>2.5296257137618738</c:v>
                </c:pt>
                <c:pt idx="28" formatCode="#\ ##0.0">
                  <c:v>-2.7747780527849812</c:v>
                </c:pt>
                <c:pt idx="29" formatCode="#\ ##0.0">
                  <c:v>1.868067696383136</c:v>
                </c:pt>
                <c:pt idx="30" formatCode="#\ ##0.0">
                  <c:v>6.6803827680378447</c:v>
                </c:pt>
              </c:numCache>
            </c:numRef>
          </c:val>
          <c:smooth val="0"/>
          <c:extLst>
            <c:ext xmlns:c16="http://schemas.microsoft.com/office/drawing/2014/chart" uri="{C3380CC4-5D6E-409C-BE32-E72D297353CC}">
              <c16:uniqueId val="{00000004-D20D-4B0D-99FF-119C17C6D8D2}"/>
            </c:ext>
          </c:extLst>
        </c:ser>
        <c:ser>
          <c:idx val="3"/>
          <c:order val="5"/>
          <c:tx>
            <c:strRef>
              <c:f>'Trh práce 3'!$H$93</c:f>
              <c:strCache>
                <c:ptCount val="1"/>
                <c:pt idx="0">
                  <c:v>Labour productivity (real growth)**</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3'!$H$94:$H$125</c:f>
              <c:numCache>
                <c:formatCode>0.0</c:formatCode>
                <c:ptCount val="32"/>
                <c:pt idx="0">
                  <c:v>1.8694416733975743</c:v>
                </c:pt>
                <c:pt idx="1">
                  <c:v>-0.7811451849546529</c:v>
                </c:pt>
                <c:pt idx="2">
                  <c:v>-4.2843066737200672</c:v>
                </c:pt>
                <c:pt idx="3">
                  <c:v>-1.524806145072219</c:v>
                </c:pt>
                <c:pt idx="4">
                  <c:v>4.0615369196965219</c:v>
                </c:pt>
                <c:pt idx="5">
                  <c:v>2.9277605590762903</c:v>
                </c:pt>
                <c:pt idx="6">
                  <c:v>2.6280581110593459</c:v>
                </c:pt>
                <c:pt idx="7">
                  <c:v>1.4974051448464394</c:v>
                </c:pt>
                <c:pt idx="8">
                  <c:v>-0.572557166375816</c:v>
                </c:pt>
                <c:pt idx="9">
                  <c:v>-1.8085245571257502</c:v>
                </c:pt>
                <c:pt idx="10">
                  <c:v>-1.843026567799555</c:v>
                </c:pt>
                <c:pt idx="11">
                  <c:v>1.065425731716644</c:v>
                </c:pt>
                <c:pt idx="12">
                  <c:v>1.8529618448319951</c:v>
                </c:pt>
                <c:pt idx="13">
                  <c:v>1.546835366498641</c:v>
                </c:pt>
                <c:pt idx="14">
                  <c:v>3.9405022601187483</c:v>
                </c:pt>
                <c:pt idx="15">
                  <c:v>3.8758077448309791</c:v>
                </c:pt>
                <c:pt idx="16">
                  <c:v>1.664068357249505</c:v>
                </c:pt>
                <c:pt idx="17">
                  <c:v>0.24266923535105889</c:v>
                </c:pt>
                <c:pt idx="18">
                  <c:v>3.1792497209527397</c:v>
                </c:pt>
                <c:pt idx="19">
                  <c:v>3.9256607298481043</c:v>
                </c:pt>
                <c:pt idx="20">
                  <c:v>1.9900064909268593</c:v>
                </c:pt>
                <c:pt idx="21">
                  <c:v>1.7520848172692496</c:v>
                </c:pt>
                <c:pt idx="22">
                  <c:v>2.2734760457503285</c:v>
                </c:pt>
                <c:pt idx="23">
                  <c:v>3.2766293291678323</c:v>
                </c:pt>
                <c:pt idx="24">
                  <c:v>-4.6336037619941095</c:v>
                </c:pt>
                <c:pt idx="25">
                  <c:v>-3.0998190811865811</c:v>
                </c:pt>
                <c:pt idx="26">
                  <c:v>4.0714801300102152</c:v>
                </c:pt>
                <c:pt idx="27">
                  <c:v>2.2591335568000375</c:v>
                </c:pt>
                <c:pt idx="28">
                  <c:v>2.3600043511901987</c:v>
                </c:pt>
                <c:pt idx="29">
                  <c:v>-0.56579316382624256</c:v>
                </c:pt>
                <c:pt idx="30">
                  <c:v>-1.6421901641920442</c:v>
                </c:pt>
              </c:numCache>
            </c:numRef>
          </c:val>
          <c:smooth val="0"/>
          <c:extLst>
            <c:ext xmlns:c16="http://schemas.microsoft.com/office/drawing/2014/chart" uri="{C3380CC4-5D6E-409C-BE32-E72D297353CC}">
              <c16:uniqueId val="{00000005-D20D-4B0D-99FF-119C17C6D8D2}"/>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none"/>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1"/>
        <c:noMultiLvlLbl val="0"/>
      </c:catAx>
      <c:valAx>
        <c:axId val="100690560"/>
        <c:scaling>
          <c:orientation val="minMax"/>
          <c:max val="14"/>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midCat"/>
        <c:majorUnit val="2"/>
      </c:valAx>
      <c:spPr>
        <a:ln>
          <a:solidFill>
            <a:schemeClr val="tx1"/>
          </a:solidFill>
        </a:ln>
      </c:spPr>
    </c:plotArea>
    <c:legend>
      <c:legendPos val="b"/>
      <c:layout>
        <c:manualLayout>
          <c:xMode val="edge"/>
          <c:yMode val="edge"/>
          <c:x val="1.6219167864768586E-2"/>
          <c:y val="0.87578175045503925"/>
          <c:w val="0.97293440311163737"/>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1'!$C$78:$C$143</c:f>
              <c:numCache>
                <c:formatCode>General</c:formatCode>
                <c:ptCount val="66"/>
                <c:pt idx="0">
                  <c:v>0.5</c:v>
                </c:pt>
                <c:pt idx="1">
                  <c:v>0.75</c:v>
                </c:pt>
                <c:pt idx="2">
                  <c:v>0.75</c:v>
                </c:pt>
                <c:pt idx="3">
                  <c:v>0.75</c:v>
                </c:pt>
                <c:pt idx="4">
                  <c:v>0.75</c:v>
                </c:pt>
                <c:pt idx="5">
                  <c:v>1</c:v>
                </c:pt>
                <c:pt idx="6">
                  <c:v>1</c:v>
                </c:pt>
                <c:pt idx="7">
                  <c:v>1.25</c:v>
                </c:pt>
                <c:pt idx="8">
                  <c:v>1.5</c:v>
                </c:pt>
                <c:pt idx="9">
                  <c:v>1.5</c:v>
                </c:pt>
                <c:pt idx="10">
                  <c:v>1.75</c:v>
                </c:pt>
                <c:pt idx="11">
                  <c:v>1.75</c:v>
                </c:pt>
                <c:pt idx="12">
                  <c:v>1.75</c:v>
                </c:pt>
                <c:pt idx="13">
                  <c:v>1.75</c:v>
                </c:pt>
                <c:pt idx="14">
                  <c:v>1.75</c:v>
                </c:pt>
                <c:pt idx="15">
                  <c:v>1.75</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c:v>
                </c:pt>
                <c:pt idx="44">
                  <c:v>0.75</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numCache>
            </c:numRef>
          </c:val>
          <c:extLst>
            <c:ext xmlns:c16="http://schemas.microsoft.com/office/drawing/2014/chart" uri="{C3380CC4-5D6E-409C-BE32-E72D297353CC}">
              <c16:uniqueId val="{00000000-6426-4BED-AB29-6C0B3E3A4207}"/>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1'!$F$78:$F$143</c:f>
              <c:numCache>
                <c:formatCode>General</c:formatCode>
                <c:ptCount val="66"/>
                <c:pt idx="0">
                  <c:v>0.46</c:v>
                </c:pt>
                <c:pt idx="1">
                  <c:v>0.55000000000000004</c:v>
                </c:pt>
                <c:pt idx="2">
                  <c:v>0.62</c:v>
                </c:pt>
                <c:pt idx="3">
                  <c:v>0.6</c:v>
                </c:pt>
                <c:pt idx="4">
                  <c:v>0.7</c:v>
                </c:pt>
                <c:pt idx="5">
                  <c:v>0.89</c:v>
                </c:pt>
                <c:pt idx="6">
                  <c:v>1.0900000000000001</c:v>
                </c:pt>
                <c:pt idx="7">
                  <c:v>1.26</c:v>
                </c:pt>
                <c:pt idx="8">
                  <c:v>1.34</c:v>
                </c:pt>
                <c:pt idx="9">
                  <c:v>1.44</c:v>
                </c:pt>
                <c:pt idx="10">
                  <c:v>1.49</c:v>
                </c:pt>
                <c:pt idx="11">
                  <c:v>1.52</c:v>
                </c:pt>
                <c:pt idx="12">
                  <c:v>1.66</c:v>
                </c:pt>
                <c:pt idx="13">
                  <c:v>1.74</c:v>
                </c:pt>
                <c:pt idx="14">
                  <c:v>1.71</c:v>
                </c:pt>
                <c:pt idx="15">
                  <c:v>1.63</c:v>
                </c:pt>
                <c:pt idx="16">
                  <c:v>1.62</c:v>
                </c:pt>
                <c:pt idx="17">
                  <c:v>1.52</c:v>
                </c:pt>
                <c:pt idx="18">
                  <c:v>1.35</c:v>
                </c:pt>
                <c:pt idx="19">
                  <c:v>0.85</c:v>
                </c:pt>
                <c:pt idx="20">
                  <c:v>1.07</c:v>
                </c:pt>
                <c:pt idx="21">
                  <c:v>1.17</c:v>
                </c:pt>
                <c:pt idx="22">
                  <c:v>1.33</c:v>
                </c:pt>
                <c:pt idx="23">
                  <c:v>1.36</c:v>
                </c:pt>
                <c:pt idx="24">
                  <c:v>1.55</c:v>
                </c:pt>
                <c:pt idx="25">
                  <c:v>1.57</c:v>
                </c:pt>
                <c:pt idx="26">
                  <c:v>1.27</c:v>
                </c:pt>
                <c:pt idx="27">
                  <c:v>0.71</c:v>
                </c:pt>
                <c:pt idx="28">
                  <c:v>0.13</c:v>
                </c:pt>
                <c:pt idx="29">
                  <c:v>0.08</c:v>
                </c:pt>
                <c:pt idx="30">
                  <c:v>0.02</c:v>
                </c:pt>
                <c:pt idx="31">
                  <c:v>0.04</c:v>
                </c:pt>
                <c:pt idx="32">
                  <c:v>0.05</c:v>
                </c:pt>
                <c:pt idx="33">
                  <c:v>0</c:v>
                </c:pt>
                <c:pt idx="34">
                  <c:v>0.06</c:v>
                </c:pt>
                <c:pt idx="35">
                  <c:v>0.16</c:v>
                </c:pt>
                <c:pt idx="36">
                  <c:v>0.26</c:v>
                </c:pt>
                <c:pt idx="37">
                  <c:v>0.45</c:v>
                </c:pt>
                <c:pt idx="38">
                  <c:v>0.75</c:v>
                </c:pt>
                <c:pt idx="39">
                  <c:v>0.76</c:v>
                </c:pt>
                <c:pt idx="40">
                  <c:v>0.76</c:v>
                </c:pt>
                <c:pt idx="41">
                  <c:v>0.69</c:v>
                </c:pt>
                <c:pt idx="42">
                  <c:v>0.84</c:v>
                </c:pt>
                <c:pt idx="43">
                  <c:v>1.24</c:v>
                </c:pt>
                <c:pt idx="44">
                  <c:v>1.6</c:v>
                </c:pt>
                <c:pt idx="45">
                  <c:v>2.29</c:v>
                </c:pt>
                <c:pt idx="46">
                  <c:v>3</c:v>
                </c:pt>
                <c:pt idx="47">
                  <c:v>3.07</c:v>
                </c:pt>
                <c:pt idx="48">
                  <c:v>3.81</c:v>
                </c:pt>
                <c:pt idx="49">
                  <c:v>3.77</c:v>
                </c:pt>
                <c:pt idx="50">
                  <c:v>4.54</c:v>
                </c:pt>
                <c:pt idx="51">
                  <c:v>5.13</c:v>
                </c:pt>
                <c:pt idx="52">
                  <c:v>5.65</c:v>
                </c:pt>
                <c:pt idx="53">
                  <c:v>6.26</c:v>
                </c:pt>
                <c:pt idx="54">
                  <c:v>6.38</c:v>
                </c:pt>
                <c:pt idx="55">
                  <c:v>5.86</c:v>
                </c:pt>
                <c:pt idx="56">
                  <c:v>5.9</c:v>
                </c:pt>
                <c:pt idx="57">
                  <c:v>6.18</c:v>
                </c:pt>
                <c:pt idx="58">
                  <c:v>5.68</c:v>
                </c:pt>
                <c:pt idx="59">
                  <c:v>5.19</c:v>
                </c:pt>
                <c:pt idx="60" formatCode="###\ ###\ ###\ ###\ ##0.00;\-###\ ###\ ###\ ###\ ##0.00">
                  <c:v>5.3820143358172814</c:v>
                </c:pt>
                <c:pt idx="61" formatCode="###\ ###\ ###\ ###\ ##0.00;\-###\ ###\ ###\ ###\ ##0.00">
                  <c:v>5.5102623550618501</c:v>
                </c:pt>
                <c:pt idx="62" formatCode="###\ ###\ ###\ ###\ ##0.00;\-###\ ###\ ###\ ###\ ##0.00">
                  <c:v>5.2897725027111999</c:v>
                </c:pt>
                <c:pt idx="63" formatCode="###\ ###\ ###\ ###\ ##0.00;\-###\ ###\ ###\ ###\ ##0.00">
                  <c:v>5.4232360381175866</c:v>
                </c:pt>
                <c:pt idx="64" formatCode="###\ ###\ ###\ ###\ ##0.00;\-###\ ###\ ###\ ###\ ##0.00">
                  <c:v>5.4162815888395777</c:v>
                </c:pt>
                <c:pt idx="65" formatCode="###\ ###\ ###\ ###\ ##0.00;\-###\ ###\ ###\ ###\ ##0.00">
                  <c:v>5.3664752553650841</c:v>
                </c:pt>
              </c:numCache>
            </c:numRef>
          </c:val>
          <c:smooth val="0"/>
          <c:extLst>
            <c:ext xmlns:c16="http://schemas.microsoft.com/office/drawing/2014/chart" uri="{C3380CC4-5D6E-409C-BE32-E72D297353CC}">
              <c16:uniqueId val="{00000001-6426-4BED-AB29-6C0B3E3A4207}"/>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1'!$D$78:$D$143</c:f>
              <c:numCache>
                <c:formatCode>General</c:formatCode>
                <c:ptCount val="66"/>
                <c:pt idx="0">
                  <c:v>0.77</c:v>
                </c:pt>
                <c:pt idx="1">
                  <c:v>0.9</c:v>
                </c:pt>
                <c:pt idx="2">
                  <c:v>0.9</c:v>
                </c:pt>
                <c:pt idx="3">
                  <c:v>0.9</c:v>
                </c:pt>
                <c:pt idx="4">
                  <c:v>0.9</c:v>
                </c:pt>
                <c:pt idx="5">
                  <c:v>0.93</c:v>
                </c:pt>
                <c:pt idx="6">
                  <c:v>1.18</c:v>
                </c:pt>
                <c:pt idx="7">
                  <c:v>1.45</c:v>
                </c:pt>
                <c:pt idx="8">
                  <c:v>1.54</c:v>
                </c:pt>
                <c:pt idx="9">
                  <c:v>1.76</c:v>
                </c:pt>
                <c:pt idx="10">
                  <c:v>1.99</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c:v>
                </c:pt>
                <c:pt idx="28">
                  <c:v>0.46</c:v>
                </c:pt>
                <c:pt idx="29">
                  <c:v>0.34</c:v>
                </c:pt>
                <c:pt idx="30">
                  <c:v>0.34</c:v>
                </c:pt>
                <c:pt idx="31">
                  <c:v>0.34</c:v>
                </c:pt>
                <c:pt idx="32">
                  <c:v>0.34</c:v>
                </c:pt>
                <c:pt idx="33">
                  <c:v>0.35</c:v>
                </c:pt>
                <c:pt idx="34">
                  <c:v>0.35</c:v>
                </c:pt>
                <c:pt idx="35">
                  <c:v>0.35</c:v>
                </c:pt>
                <c:pt idx="36">
                  <c:v>0.36</c:v>
                </c:pt>
                <c:pt idx="37">
                  <c:v>0.36</c:v>
                </c:pt>
                <c:pt idx="38">
                  <c:v>0.36</c:v>
                </c:pt>
                <c:pt idx="39">
                  <c:v>0.36</c:v>
                </c:pt>
                <c:pt idx="40">
                  <c:v>0.37</c:v>
                </c:pt>
                <c:pt idx="41">
                  <c:v>0.48</c:v>
                </c:pt>
                <c:pt idx="42">
                  <c:v>0.69</c:v>
                </c:pt>
                <c:pt idx="43">
                  <c:v>0.94</c:v>
                </c:pt>
                <c:pt idx="44">
                  <c:v>1.1100000000000001</c:v>
                </c:pt>
                <c:pt idx="45">
                  <c:v>2.02</c:v>
                </c:pt>
                <c:pt idx="46">
                  <c:v>2.97</c:v>
                </c:pt>
                <c:pt idx="47">
                  <c:v>3.5</c:v>
                </c:pt>
                <c:pt idx="48">
                  <c:v>4.21</c:v>
                </c:pt>
                <c:pt idx="49">
                  <c:v>4.6900000000000004</c:v>
                </c:pt>
                <c:pt idx="50">
                  <c:v>4.8600000000000003</c:v>
                </c:pt>
                <c:pt idx="51">
                  <c:v>5.36</c:v>
                </c:pt>
                <c:pt idx="52">
                  <c:v>5.97</c:v>
                </c:pt>
                <c:pt idx="53">
                  <c:v>6.64</c:v>
                </c:pt>
                <c:pt idx="54">
                  <c:v>7.3</c:v>
                </c:pt>
                <c:pt idx="55">
                  <c:v>7.27</c:v>
                </c:pt>
                <c:pt idx="56">
                  <c:v>7.25</c:v>
                </c:pt>
                <c:pt idx="57">
                  <c:v>7.28</c:v>
                </c:pt>
                <c:pt idx="58">
                  <c:v>7.27</c:v>
                </c:pt>
                <c:pt idx="59">
                  <c:v>7.26</c:v>
                </c:pt>
                <c:pt idx="60" formatCode="###\ ###\ ###\ ###\ ##0.00;\-###\ ###\ ###\ ###\ ##0.00">
                  <c:v>7.2161904761904765</c:v>
                </c:pt>
                <c:pt idx="61" formatCode="###\ ###\ ###\ ###\ ##0.00;\-###\ ###\ ###\ ###\ ##0.00">
                  <c:v>7.2010526315789471</c:v>
                </c:pt>
                <c:pt idx="62" formatCode="###\ ###\ ###\ ###\ ##0.00;\-###\ ###\ ###\ ###\ ##0.00">
                  <c:v>7.1931818181818183</c:v>
                </c:pt>
                <c:pt idx="63" formatCode="###\ ###\ ###\ ###\ ##0.00;\-###\ ###\ ###\ ###\ ##0.00">
                  <c:v>7.1788888888888893</c:v>
                </c:pt>
                <c:pt idx="64" formatCode="###\ ###\ ###\ ###\ ##0.00;\-###\ ###\ ###\ ###\ ##0.00">
                  <c:v>7.1790476190476191</c:v>
                </c:pt>
                <c:pt idx="65" formatCode="###\ ###\ ###\ ###\ ##0.00;\-###\ ###\ ###\ ###\ ##0.00">
                  <c:v>7.1472727272727274</c:v>
                </c:pt>
              </c:numCache>
            </c:numRef>
          </c:val>
          <c:smooth val="0"/>
          <c:extLst>
            <c:ext xmlns:c16="http://schemas.microsoft.com/office/drawing/2014/chart" uri="{C3380CC4-5D6E-409C-BE32-E72D297353CC}">
              <c16:uniqueId val="{00000002-6426-4BED-AB29-6C0B3E3A4207}"/>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1'!$G$78:$G$143</c:f>
              <c:numCache>
                <c:formatCode>General</c:formatCode>
                <c:ptCount val="66"/>
                <c:pt idx="0">
                  <c:v>0.99</c:v>
                </c:pt>
                <c:pt idx="1">
                  <c:v>1.07</c:v>
                </c:pt>
                <c:pt idx="2">
                  <c:v>1.0900000000000001</c:v>
                </c:pt>
                <c:pt idx="3">
                  <c:v>1.05</c:v>
                </c:pt>
                <c:pt idx="4">
                  <c:v>1.21</c:v>
                </c:pt>
                <c:pt idx="5">
                  <c:v>1.41</c:v>
                </c:pt>
                <c:pt idx="6">
                  <c:v>1.44</c:v>
                </c:pt>
                <c:pt idx="7">
                  <c:v>1.55</c:v>
                </c:pt>
                <c:pt idx="8">
                  <c:v>1.7</c:v>
                </c:pt>
                <c:pt idx="9">
                  <c:v>1.81</c:v>
                </c:pt>
                <c:pt idx="10">
                  <c:v>1.79</c:v>
                </c:pt>
                <c:pt idx="11">
                  <c:v>1.71</c:v>
                </c:pt>
                <c:pt idx="12">
                  <c:v>1.6</c:v>
                </c:pt>
                <c:pt idx="13">
                  <c:v>1.61</c:v>
                </c:pt>
                <c:pt idx="14">
                  <c:v>1.7</c:v>
                </c:pt>
                <c:pt idx="15">
                  <c:v>1.63</c:v>
                </c:pt>
                <c:pt idx="16">
                  <c:v>1.57</c:v>
                </c:pt>
                <c:pt idx="17">
                  <c:v>1.43</c:v>
                </c:pt>
                <c:pt idx="18">
                  <c:v>1.31</c:v>
                </c:pt>
                <c:pt idx="19">
                  <c:v>0.89</c:v>
                </c:pt>
                <c:pt idx="20">
                  <c:v>1.1299999999999999</c:v>
                </c:pt>
                <c:pt idx="21">
                  <c:v>1.23</c:v>
                </c:pt>
                <c:pt idx="22">
                  <c:v>1.32</c:v>
                </c:pt>
                <c:pt idx="23">
                  <c:v>1.31</c:v>
                </c:pt>
                <c:pt idx="24">
                  <c:v>1.51</c:v>
                </c:pt>
                <c:pt idx="25">
                  <c:v>1.52</c:v>
                </c:pt>
                <c:pt idx="26">
                  <c:v>1.23</c:v>
                </c:pt>
                <c:pt idx="27">
                  <c:v>1.06</c:v>
                </c:pt>
                <c:pt idx="28">
                  <c:v>0.56999999999999995</c:v>
                </c:pt>
                <c:pt idx="29">
                  <c:v>0.52</c:v>
                </c:pt>
                <c:pt idx="30">
                  <c:v>0.52</c:v>
                </c:pt>
                <c:pt idx="31">
                  <c:v>0.57999999999999996</c:v>
                </c:pt>
                <c:pt idx="32">
                  <c:v>0.57999999999999996</c:v>
                </c:pt>
                <c:pt idx="33">
                  <c:v>0.54</c:v>
                </c:pt>
                <c:pt idx="34">
                  <c:v>0.66</c:v>
                </c:pt>
                <c:pt idx="35">
                  <c:v>0.8</c:v>
                </c:pt>
                <c:pt idx="36">
                  <c:v>0.82</c:v>
                </c:pt>
                <c:pt idx="37">
                  <c:v>1.06</c:v>
                </c:pt>
                <c:pt idx="38">
                  <c:v>1.4</c:v>
                </c:pt>
                <c:pt idx="39">
                  <c:v>1.43</c:v>
                </c:pt>
                <c:pt idx="40">
                  <c:v>1.47</c:v>
                </c:pt>
                <c:pt idx="41">
                  <c:v>1.55</c:v>
                </c:pt>
                <c:pt idx="42">
                  <c:v>1.63</c:v>
                </c:pt>
                <c:pt idx="43">
                  <c:v>1.68</c:v>
                </c:pt>
                <c:pt idx="44">
                  <c:v>1.87</c:v>
                </c:pt>
                <c:pt idx="45">
                  <c:v>2.37</c:v>
                </c:pt>
                <c:pt idx="46">
                  <c:v>2.84</c:v>
                </c:pt>
                <c:pt idx="47">
                  <c:v>2.84</c:v>
                </c:pt>
                <c:pt idx="48">
                  <c:v>3.36</c:v>
                </c:pt>
                <c:pt idx="49">
                  <c:v>3.2</c:v>
                </c:pt>
                <c:pt idx="50">
                  <c:v>3.85</c:v>
                </c:pt>
                <c:pt idx="51">
                  <c:v>4.54</c:v>
                </c:pt>
                <c:pt idx="52">
                  <c:v>4.99</c:v>
                </c:pt>
                <c:pt idx="53">
                  <c:v>5.49</c:v>
                </c:pt>
                <c:pt idx="54">
                  <c:v>5.12</c:v>
                </c:pt>
                <c:pt idx="55">
                  <c:v>4.67</c:v>
                </c:pt>
                <c:pt idx="56">
                  <c:v>5.0599999999999996</c:v>
                </c:pt>
                <c:pt idx="57">
                  <c:v>5.69</c:v>
                </c:pt>
                <c:pt idx="58">
                  <c:v>5.31</c:v>
                </c:pt>
                <c:pt idx="59">
                  <c:v>4.9000000000000004</c:v>
                </c:pt>
                <c:pt idx="60" formatCode="###\ ###\ ###\ ###\ ##0.00;\-###\ ###\ ###\ ###\ ##0.00">
                  <c:v>4.7307064721228871</c:v>
                </c:pt>
                <c:pt idx="61" formatCode="###\ ###\ ###\ ###\ ##0.00;\-###\ ###\ ###\ ###\ ##0.00">
                  <c:v>4.869274267276765</c:v>
                </c:pt>
                <c:pt idx="62" formatCode="###\ ###\ ###\ ###\ ##0.00;\-###\ ###\ ###\ ###\ ##0.00">
                  <c:v>4.8901662581800389</c:v>
                </c:pt>
                <c:pt idx="63" formatCode="###\ ###\ ###\ ###\ ##0.00;\-###\ ###\ ###\ ###\ ##0.00">
                  <c:v>4.9165403661897455</c:v>
                </c:pt>
                <c:pt idx="64" formatCode="###\ ###\ ###\ ###\ ##0.00;\-###\ ###\ ###\ ###\ ##0.00">
                  <c:v>4.8278684891401031</c:v>
                </c:pt>
                <c:pt idx="65" formatCode="###\ ###\ ###\ ###\ ##0.00;\-###\ ###\ ###\ ###\ ##0.00">
                  <c:v>4.641252073600076</c:v>
                </c:pt>
              </c:numCache>
            </c:numRef>
          </c:val>
          <c:smooth val="0"/>
          <c:extLst>
            <c:ext xmlns:c16="http://schemas.microsoft.com/office/drawing/2014/chart" uri="{C3380CC4-5D6E-409C-BE32-E72D297353CC}">
              <c16:uniqueId val="{00000003-6426-4BED-AB29-6C0B3E3A4207}"/>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1'!$E$78:$E$143</c:f>
              <c:numCache>
                <c:formatCode>General</c:formatCode>
                <c:ptCount val="66"/>
                <c:pt idx="0">
                  <c:v>0.98</c:v>
                </c:pt>
                <c:pt idx="1">
                  <c:v>1.1100000000000001</c:v>
                </c:pt>
                <c:pt idx="2">
                  <c:v>1.1200000000000001</c:v>
                </c:pt>
                <c:pt idx="3">
                  <c:v>1.1200000000000001</c:v>
                </c:pt>
                <c:pt idx="4">
                  <c:v>1.1200000000000001</c:v>
                </c:pt>
                <c:pt idx="5">
                  <c:v>1.1499999999999999</c:v>
                </c:pt>
                <c:pt idx="6">
                  <c:v>1.39</c:v>
                </c:pt>
                <c:pt idx="7">
                  <c:v>1.67</c:v>
                </c:pt>
                <c:pt idx="8">
                  <c:v>1.79</c:v>
                </c:pt>
                <c:pt idx="9">
                  <c:v>1.95</c:v>
                </c:pt>
                <c:pt idx="10">
                  <c:v>2.1800000000000002</c:v>
                </c:pt>
                <c:pt idx="11">
                  <c:v>2.21</c:v>
                </c:pt>
                <c:pt idx="12">
                  <c:v>2.21</c:v>
                </c:pt>
                <c:pt idx="13">
                  <c:v>2.2000000000000002</c:v>
                </c:pt>
                <c:pt idx="14">
                  <c:v>2.2000000000000002</c:v>
                </c:pt>
                <c:pt idx="15">
                  <c:v>2.21</c:v>
                </c:pt>
                <c:pt idx="16">
                  <c:v>2.3199999999999998</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c:v>
                </c:pt>
                <c:pt idx="30">
                  <c:v>0.43</c:v>
                </c:pt>
                <c:pt idx="31">
                  <c:v>0.43</c:v>
                </c:pt>
                <c:pt idx="32">
                  <c:v>0.44</c:v>
                </c:pt>
                <c:pt idx="33">
                  <c:v>0.43</c:v>
                </c:pt>
                <c:pt idx="34">
                  <c:v>0.44</c:v>
                </c:pt>
                <c:pt idx="35">
                  <c:v>0.49</c:v>
                </c:pt>
                <c:pt idx="36">
                  <c:v>0.49</c:v>
                </c:pt>
                <c:pt idx="37">
                  <c:v>0.54</c:v>
                </c:pt>
                <c:pt idx="38">
                  <c:v>0.56000000000000005</c:v>
                </c:pt>
                <c:pt idx="39">
                  <c:v>0.56000000000000005</c:v>
                </c:pt>
                <c:pt idx="40">
                  <c:v>0.67</c:v>
                </c:pt>
                <c:pt idx="41">
                  <c:v>0.78</c:v>
                </c:pt>
                <c:pt idx="42">
                  <c:v>1</c:v>
                </c:pt>
                <c:pt idx="43">
                  <c:v>1.3</c:v>
                </c:pt>
                <c:pt idx="44">
                  <c:v>1.52</c:v>
                </c:pt>
                <c:pt idx="45">
                  <c:v>2.44</c:v>
                </c:pt>
                <c:pt idx="46">
                  <c:v>3.5</c:v>
                </c:pt>
                <c:pt idx="47">
                  <c:v>3.96</c:v>
                </c:pt>
                <c:pt idx="48">
                  <c:v>4.55</c:v>
                </c:pt>
                <c:pt idx="49">
                  <c:v>4.87</c:v>
                </c:pt>
                <c:pt idx="50">
                  <c:v>5.12</c:v>
                </c:pt>
                <c:pt idx="51">
                  <c:v>5.74</c:v>
                </c:pt>
                <c:pt idx="52">
                  <c:v>6.33</c:v>
                </c:pt>
                <c:pt idx="53">
                  <c:v>7.02</c:v>
                </c:pt>
                <c:pt idx="54">
                  <c:v>7.55</c:v>
                </c:pt>
                <c:pt idx="55">
                  <c:v>7.48</c:v>
                </c:pt>
                <c:pt idx="56">
                  <c:v>7.44</c:v>
                </c:pt>
                <c:pt idx="57">
                  <c:v>7.45</c:v>
                </c:pt>
                <c:pt idx="58">
                  <c:v>7.39</c:v>
                </c:pt>
                <c:pt idx="59">
                  <c:v>7.28</c:v>
                </c:pt>
                <c:pt idx="60" formatCode="###\ ###\ ###\ ###\ ##0.00;\-###\ ###\ ###\ ###\ ##0.00">
                  <c:v>7.2480952380952379</c:v>
                </c:pt>
                <c:pt idx="61" formatCode="###\ ###\ ###\ ###\ ##0.00;\-###\ ###\ ###\ ###\ ##0.00">
                  <c:v>7.2326315789473687</c:v>
                </c:pt>
                <c:pt idx="62" formatCode="###\ ###\ ###\ ###\ ##0.00;\-###\ ###\ ###\ ###\ ##0.00">
                  <c:v>7.2263636363636365</c:v>
                </c:pt>
                <c:pt idx="63" formatCode="###\ ###\ ###\ ###\ ##0.00;\-###\ ###\ ###\ ###\ ##0.00">
                  <c:v>7.2088888888888887</c:v>
                </c:pt>
                <c:pt idx="64" formatCode="###\ ###\ ###\ ###\ ##0.00;\-###\ ###\ ###\ ###\ ##0.00">
                  <c:v>7.196190476190476</c:v>
                </c:pt>
                <c:pt idx="65" formatCode="###\ ###\ ###\ ###\ ##0.00;\-###\ ###\ ###\ ###\ ##0.00">
                  <c:v>7.1377272727272727</c:v>
                </c:pt>
              </c:numCache>
            </c:numRef>
          </c:val>
          <c:smooth val="0"/>
          <c:extLst>
            <c:ext xmlns:c16="http://schemas.microsoft.com/office/drawing/2014/chart" uri="{C3380CC4-5D6E-409C-BE32-E72D297353CC}">
              <c16:uniqueId val="{00000004-6426-4BED-AB29-6C0B3E3A4207}"/>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1'!$A$78:$B$143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2018</c:v>
                  </c:pt>
                  <c:pt idx="12">
                    <c:v>2019</c:v>
                  </c:pt>
                  <c:pt idx="24">
                    <c:v>2020</c:v>
                  </c:pt>
                  <c:pt idx="36">
                    <c:v>2021</c:v>
                  </c:pt>
                  <c:pt idx="48">
                    <c:v>2022</c:v>
                  </c:pt>
                  <c:pt idx="60">
                    <c:v>2023</c:v>
                  </c:pt>
                </c:lvl>
              </c:multiLvlStrCache>
            </c:multiLvlStrRef>
          </c:cat>
          <c:val>
            <c:numRef>
              <c:f>'Měnové podmínky 1'!$H$78:$H$143</c:f>
              <c:numCache>
                <c:formatCode>General</c:formatCode>
                <c:ptCount val="66"/>
                <c:pt idx="0">
                  <c:v>1.77</c:v>
                </c:pt>
                <c:pt idx="1">
                  <c:v>1.82</c:v>
                </c:pt>
                <c:pt idx="2">
                  <c:v>1.81</c:v>
                </c:pt>
                <c:pt idx="3">
                  <c:v>1.74</c:v>
                </c:pt>
                <c:pt idx="4">
                  <c:v>1.89</c:v>
                </c:pt>
                <c:pt idx="5">
                  <c:v>2.14</c:v>
                </c:pt>
                <c:pt idx="6">
                  <c:v>2.11</c:v>
                </c:pt>
                <c:pt idx="7">
                  <c:v>2.14</c:v>
                </c:pt>
                <c:pt idx="8">
                  <c:v>2.14</c:v>
                </c:pt>
                <c:pt idx="9">
                  <c:v>2.14</c:v>
                </c:pt>
                <c:pt idx="10">
                  <c:v>2.0699999999999998</c:v>
                </c:pt>
                <c:pt idx="11">
                  <c:v>2.0099999999999998</c:v>
                </c:pt>
                <c:pt idx="12">
                  <c:v>1.85</c:v>
                </c:pt>
                <c:pt idx="13">
                  <c:v>1.76</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c:v>
                </c:pt>
                <c:pt idx="30">
                  <c:v>0.86</c:v>
                </c:pt>
                <c:pt idx="31">
                  <c:v>0.95</c:v>
                </c:pt>
                <c:pt idx="32">
                  <c:v>0.98</c:v>
                </c:pt>
                <c:pt idx="33">
                  <c:v>0.94</c:v>
                </c:pt>
                <c:pt idx="34">
                  <c:v>1.1200000000000001</c:v>
                </c:pt>
                <c:pt idx="35">
                  <c:v>1.26</c:v>
                </c:pt>
                <c:pt idx="36">
                  <c:v>1.28</c:v>
                </c:pt>
                <c:pt idx="37">
                  <c:v>1.49</c:v>
                </c:pt>
                <c:pt idx="38">
                  <c:v>1.87</c:v>
                </c:pt>
                <c:pt idx="39">
                  <c:v>1.86</c:v>
                </c:pt>
                <c:pt idx="40">
                  <c:v>1.74</c:v>
                </c:pt>
                <c:pt idx="41">
                  <c:v>1.67</c:v>
                </c:pt>
                <c:pt idx="42">
                  <c:v>1.72</c:v>
                </c:pt>
                <c:pt idx="43">
                  <c:v>1.74</c:v>
                </c:pt>
                <c:pt idx="44">
                  <c:v>1.9</c:v>
                </c:pt>
                <c:pt idx="45">
                  <c:v>2.34</c:v>
                </c:pt>
                <c:pt idx="46">
                  <c:v>2.62</c:v>
                </c:pt>
                <c:pt idx="47">
                  <c:v>2.62</c:v>
                </c:pt>
                <c:pt idx="48">
                  <c:v>3.12</c:v>
                </c:pt>
                <c:pt idx="49">
                  <c:v>3.03</c:v>
                </c:pt>
                <c:pt idx="50">
                  <c:v>3.53</c:v>
                </c:pt>
                <c:pt idx="51">
                  <c:v>4.01</c:v>
                </c:pt>
                <c:pt idx="52">
                  <c:v>4.6100000000000003</c:v>
                </c:pt>
                <c:pt idx="53">
                  <c:v>5.12</c:v>
                </c:pt>
                <c:pt idx="54">
                  <c:v>4.4000000000000004</c:v>
                </c:pt>
                <c:pt idx="55">
                  <c:v>4.1100000000000003</c:v>
                </c:pt>
                <c:pt idx="56">
                  <c:v>4.72</c:v>
                </c:pt>
                <c:pt idx="57">
                  <c:v>5.52</c:v>
                </c:pt>
                <c:pt idx="58">
                  <c:v>5.1100000000000003</c:v>
                </c:pt>
                <c:pt idx="59">
                  <c:v>4.71</c:v>
                </c:pt>
                <c:pt idx="60" formatCode="###\ ###\ ###\ ###\ ##0.00;\-###\ ###\ ###\ ###\ ##0.00">
                  <c:v>4.4683071740930735</c:v>
                </c:pt>
                <c:pt idx="61" formatCode="###\ ###\ ###\ ###\ ##0.00;\-###\ ###\ ###\ ###\ ##0.00">
                  <c:v>4.6124456250457779</c:v>
                </c:pt>
                <c:pt idx="62" formatCode="###\ ###\ ###\ ###\ ##0.00;\-###\ ###\ ###\ ###\ ##0.00">
                  <c:v>4.6664316498532505</c:v>
                </c:pt>
                <c:pt idx="63" formatCode="###\ ###\ ###\ ###\ ##0.00;\-###\ ###\ ###\ ###\ ##0.00">
                  <c:v>4.6464031535593682</c:v>
                </c:pt>
                <c:pt idx="64" formatCode="###\ ###\ ###\ ###\ ##0.00;\-###\ ###\ ###\ ###\ ##0.00">
                  <c:v>4.4999821517871696</c:v>
                </c:pt>
                <c:pt idx="65" formatCode="###\ ###\ ###\ ###\ ##0.00;\-###\ ###\ ###\ ###\ ##0.00">
                  <c:v>4.3475817201909166</c:v>
                </c:pt>
              </c:numCache>
            </c:numRef>
          </c:val>
          <c:smooth val="0"/>
          <c:extLst>
            <c:ext xmlns:c16="http://schemas.microsoft.com/office/drawing/2014/chart" uri="{C3380CC4-5D6E-409C-BE32-E72D297353CC}">
              <c16:uniqueId val="{00000005-6426-4BED-AB29-6C0B3E3A4207}"/>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4230585710151329"/>
          <c:h val="0.68275935911781527"/>
        </c:manualLayout>
      </c:layout>
      <c:barChart>
        <c:barDir val="col"/>
        <c:grouping val="stacked"/>
        <c:varyColors val="0"/>
        <c:ser>
          <c:idx val="1"/>
          <c:order val="1"/>
          <c:tx>
            <c:strRef>
              <c:f>'G1-SR-příjmy-příspěvky'!$A$31</c:f>
              <c:strCache>
                <c:ptCount val="1"/>
                <c:pt idx="0">
                  <c:v>Other taxes and fees*</c:v>
                </c:pt>
              </c:strCache>
            </c:strRef>
          </c:tx>
          <c:spPr>
            <a:solidFill>
              <a:schemeClr val="bg1">
                <a:lumMod val="75000"/>
              </a:schemeClr>
            </a:solidFill>
            <a:ln w="12700">
              <a:noFill/>
              <a:prstDash val="solid"/>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0.32332107581403785</c:v>
                </c:pt>
                <c:pt idx="12">
                  <c:v>0.37604522895516257</c:v>
                </c:pt>
                <c:pt idx="13">
                  <c:v>-0.57557094156431787</c:v>
                </c:pt>
                <c:pt idx="14">
                  <c:v>0.78502585428938398</c:v>
                </c:pt>
                <c:pt idx="15">
                  <c:v>2.1808038994090819</c:v>
                </c:pt>
              </c:numCache>
            </c:numRef>
          </c:val>
          <c:extLst>
            <c:ext xmlns:c16="http://schemas.microsoft.com/office/drawing/2014/chart" uri="{C3380CC4-5D6E-409C-BE32-E72D297353CC}">
              <c16:uniqueId val="{00000000-ED26-4BC1-AD8D-4B4E9BBBD630}"/>
            </c:ext>
          </c:extLst>
        </c:ser>
        <c:ser>
          <c:idx val="3"/>
          <c:order val="2"/>
          <c:tx>
            <c:strRef>
              <c:f>'G1-SR-příjmy-příspěvky'!$A$32</c:f>
              <c:strCache>
                <c:ptCount val="1"/>
                <c:pt idx="0">
                  <c:v>Income tax of natural persons (from employment)</c:v>
                </c:pt>
              </c:strCache>
            </c:strRef>
          </c:tx>
          <c:spPr>
            <a:solidFill>
              <a:srgbClr val="EA6C75"/>
            </a:solidFill>
            <a:ln w="19050">
              <a:noFill/>
              <a:prstDash val="sysDot"/>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2.8717758032576448</c:v>
                </c:pt>
                <c:pt idx="12">
                  <c:v>-3.7310659863948712</c:v>
                </c:pt>
                <c:pt idx="13">
                  <c:v>-4.8292639350837501</c:v>
                </c:pt>
                <c:pt idx="14">
                  <c:v>2.498181077988765</c:v>
                </c:pt>
                <c:pt idx="15">
                  <c:v>3.6561447845365653</c:v>
                </c:pt>
              </c:numCache>
            </c:numRef>
          </c:val>
          <c:extLst>
            <c:ext xmlns:c16="http://schemas.microsoft.com/office/drawing/2014/chart" uri="{C3380CC4-5D6E-409C-BE32-E72D297353CC}">
              <c16:uniqueId val="{00000001-ED26-4BC1-AD8D-4B4E9BBBD630}"/>
            </c:ext>
          </c:extLst>
        </c:ser>
        <c:ser>
          <c:idx val="4"/>
          <c:order val="3"/>
          <c:tx>
            <c:strRef>
              <c:f>'G1-SR-příjmy-příspěvky'!$A$33</c:f>
              <c:strCache>
                <c:ptCount val="1"/>
                <c:pt idx="0">
                  <c:v>Income tax of legal persons (corporate tax)</c:v>
                </c:pt>
              </c:strCache>
            </c:strRef>
          </c:tx>
          <c:spPr>
            <a:solidFill>
              <a:schemeClr val="accent6">
                <a:lumMod val="60000"/>
                <a:lumOff val="40000"/>
              </a:schemeClr>
            </a:solidFill>
            <a:ln w="19050">
              <a:noFill/>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1.1964034041960498</c:v>
                </c:pt>
                <c:pt idx="12">
                  <c:v>-4.7390510722411285</c:v>
                </c:pt>
                <c:pt idx="13">
                  <c:v>8.0545419061014698</c:v>
                </c:pt>
                <c:pt idx="14">
                  <c:v>3.4196071209305705</c:v>
                </c:pt>
                <c:pt idx="15">
                  <c:v>5.0089986951406464</c:v>
                </c:pt>
              </c:numCache>
            </c:numRef>
          </c:val>
          <c:extLst>
            <c:ext xmlns:c16="http://schemas.microsoft.com/office/drawing/2014/chart" uri="{C3380CC4-5D6E-409C-BE32-E72D297353CC}">
              <c16:uniqueId val="{00000002-ED26-4BC1-AD8D-4B4E9BBBD630}"/>
            </c:ext>
          </c:extLst>
        </c:ser>
        <c:ser>
          <c:idx val="2"/>
          <c:order val="4"/>
          <c:tx>
            <c:strRef>
              <c:f>'G1-SR-příjmy-příspěvky'!$A$34</c:f>
              <c:strCache>
                <c:ptCount val="1"/>
                <c:pt idx="0">
                  <c:v>Consumption tax</c:v>
                </c:pt>
              </c:strCache>
            </c:strRef>
          </c:tx>
          <c:spPr>
            <a:solidFill>
              <a:schemeClr val="accent5">
                <a:lumMod val="40000"/>
                <a:lumOff val="60000"/>
              </a:schemeClr>
            </a:solidFill>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0.59514445319462628</c:v>
                </c:pt>
                <c:pt idx="12">
                  <c:v>-1.0191471511484198</c:v>
                </c:pt>
                <c:pt idx="13">
                  <c:v>-1.71432256636205</c:v>
                </c:pt>
                <c:pt idx="14">
                  <c:v>2.2001267292613349</c:v>
                </c:pt>
                <c:pt idx="15">
                  <c:v>-1.0170175871507843</c:v>
                </c:pt>
              </c:numCache>
            </c:numRef>
          </c:val>
          <c:extLst>
            <c:ext xmlns:c16="http://schemas.microsoft.com/office/drawing/2014/chart" uri="{C3380CC4-5D6E-409C-BE32-E72D297353CC}">
              <c16:uniqueId val="{00000003-ED26-4BC1-AD8D-4B4E9BBBD630}"/>
            </c:ext>
          </c:extLst>
        </c:ser>
        <c:ser>
          <c:idx val="5"/>
          <c:order val="5"/>
          <c:tx>
            <c:strRef>
              <c:f>'G1-SR-příjmy-příspěvky'!$A$35</c:f>
              <c:strCache>
                <c:ptCount val="1"/>
                <c:pt idx="0">
                  <c:v>VAT</c:v>
                </c:pt>
              </c:strCache>
            </c:strRef>
          </c:tx>
          <c:spPr>
            <a:solidFill>
              <a:srgbClr val="92D050"/>
            </a:solidFill>
            <a:ln>
              <a:noFill/>
            </a:ln>
          </c:spPr>
          <c:invertIfNegative val="0"/>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1.1536019195484921</c:v>
                </c:pt>
                <c:pt idx="12">
                  <c:v>-2.336937549422708</c:v>
                </c:pt>
                <c:pt idx="13">
                  <c:v>3.7083912152981675</c:v>
                </c:pt>
                <c:pt idx="14">
                  <c:v>9.7528438385958296</c:v>
                </c:pt>
                <c:pt idx="15">
                  <c:v>2.6897010351263311</c:v>
                </c:pt>
              </c:numCache>
            </c:numRef>
          </c:val>
          <c:extLst>
            <c:ext xmlns:c16="http://schemas.microsoft.com/office/drawing/2014/chart" uri="{C3380CC4-5D6E-409C-BE32-E72D297353CC}">
              <c16:uniqueId val="{00000004-ED26-4BC1-AD8D-4B4E9BBBD630}"/>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'G1-SR-příjmy-příspěvky'!$A$30</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6.1402466560108504</c:v>
                </c:pt>
                <c:pt idx="12">
                  <c:v>-11.450156530251965</c:v>
                </c:pt>
                <c:pt idx="13">
                  <c:v>4.6437756783895194</c:v>
                </c:pt>
                <c:pt idx="14">
                  <c:v>18.655784621065884</c:v>
                </c:pt>
                <c:pt idx="15">
                  <c:v>12.518630827061839</c:v>
                </c:pt>
              </c:numCache>
            </c:numRef>
          </c:val>
          <c:smooth val="0"/>
          <c:extLst>
            <c:ext xmlns:c16="http://schemas.microsoft.com/office/drawing/2014/chart" uri="{C3380CC4-5D6E-409C-BE32-E72D297353CC}">
              <c16:uniqueId val="{00000005-ED26-4BC1-AD8D-4B4E9BBBD630}"/>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'G1-SR-příjmy-příspěvky'!$A$36</c:f>
              <c:strCache>
                <c:ptCount val="1"/>
                <c:pt idx="0">
                  <c:v>State budget balance (SB, right axis)</c:v>
                </c:pt>
              </c:strCache>
            </c:strRef>
          </c:tx>
          <c:spPr>
            <a:ln w="19050">
              <a:solidFill>
                <a:schemeClr val="tx1">
                  <a:lumMod val="65000"/>
                  <a:lumOff val="35000"/>
                </a:schemeClr>
              </a:solidFill>
            </a:ln>
          </c:spPr>
          <c:marker>
            <c:symbol val="none"/>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 ##0.0</c:formatCode>
                <c:ptCount val="16"/>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pt idx="14">
                  <c:v>-182.95611616665974</c:v>
                </c:pt>
                <c:pt idx="15">
                  <c:v>-215.35088808858006</c:v>
                </c:pt>
              </c:numCache>
            </c:numRef>
          </c:val>
          <c:smooth val="0"/>
          <c:extLst>
            <c:ext xmlns:c16="http://schemas.microsoft.com/office/drawing/2014/chart" uri="{C3380CC4-5D6E-409C-BE32-E72D297353CC}">
              <c16:uniqueId val="{00000006-ED26-4BC1-AD8D-4B4E9BBBD630}"/>
            </c:ext>
          </c:extLst>
        </c:ser>
        <c:ser>
          <c:idx val="7"/>
          <c:order val="7"/>
          <c:tx>
            <c:strRef>
              <c:f>'G1-SR-příjmy-příspěvky'!$A$37</c:f>
              <c:strCache>
                <c:ptCount val="1"/>
                <c:pt idx="0">
                  <c:v>SB balance adjusted for effect of the EU and FM** (right axis)</c:v>
                </c:pt>
              </c:strCache>
            </c:strRef>
          </c:tx>
          <c:spPr>
            <a:ln w="19050">
              <a:solidFill>
                <a:schemeClr val="bg1">
                  <a:lumMod val="50000"/>
                </a:schemeClr>
              </a:solidFill>
              <a:prstDash val="sysDash"/>
            </a:ln>
          </c:spPr>
          <c:marker>
            <c:symbol val="none"/>
          </c:marker>
          <c:cat>
            <c:numRef>
              <c:f>'G1-SR-příjmy-příspěvky'!$E$29:$T$29</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General</c:formatCode>
                <c:ptCount val="16"/>
                <c:pt idx="5" formatCode="#\ ##0.0">
                  <c:v>-69.3</c:v>
                </c:pt>
                <c:pt idx="6" formatCode="#\ ##0.0">
                  <c:v>-42.6</c:v>
                </c:pt>
                <c:pt idx="7" formatCode="#\ ##0.0">
                  <c:v>-47.7</c:v>
                </c:pt>
                <c:pt idx="8" formatCode="#\ ##0.0">
                  <c:v>-30.8</c:v>
                </c:pt>
                <c:pt idx="9" formatCode="#\ ##0.0">
                  <c:v>-13.2</c:v>
                </c:pt>
                <c:pt idx="10" formatCode="#\ ##0.0">
                  <c:v>-28.4</c:v>
                </c:pt>
                <c:pt idx="11" formatCode="#\ ##0.0">
                  <c:v>-22.810324545670142</c:v>
                </c:pt>
                <c:pt idx="12" formatCode="#\ ##0.0">
                  <c:v>-195.76510804611019</c:v>
                </c:pt>
                <c:pt idx="13" formatCode="#\ ##0.0">
                  <c:v>-269.57233075196996</c:v>
                </c:pt>
                <c:pt idx="14" formatCode="#\ ##0.0">
                  <c:v>-182.84126075267977</c:v>
                </c:pt>
                <c:pt idx="15" formatCode="#\ ##0.0">
                  <c:v>-251.40769831259013</c:v>
                </c:pt>
              </c:numCache>
            </c:numRef>
          </c:val>
          <c:smooth val="0"/>
          <c:extLst>
            <c:ext xmlns:c16="http://schemas.microsoft.com/office/drawing/2014/chart" uri="{C3380CC4-5D6E-409C-BE32-E72D297353CC}">
              <c16:uniqueId val="{00000007-ED26-4BC1-AD8D-4B4E9BBBD630}"/>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94473984"/>
        <c:crosses val="autoZero"/>
        <c:auto val="1"/>
        <c:lblAlgn val="ctr"/>
        <c:lblOffset val="0"/>
        <c:noMultiLvlLbl val="0"/>
      </c:catAx>
      <c:valAx>
        <c:axId val="194473984"/>
        <c:scaling>
          <c:orientation val="minMax"/>
          <c:max val="20"/>
          <c:min val="-28"/>
        </c:scaling>
        <c:delete val="0"/>
        <c:axPos val="l"/>
        <c:majorGridlines>
          <c:spPr>
            <a:ln w="6350">
              <a:solidFill>
                <a:schemeClr val="bg1">
                  <a:lumMod val="75000"/>
                </a:schemeClr>
              </a:solidFill>
            </a:ln>
          </c:spPr>
        </c:majorGridlines>
        <c:title>
          <c:tx>
            <c:rich>
              <a:bodyPr/>
              <a:lstStyle/>
              <a:p>
                <a:pPr>
                  <a:defRPr b="0"/>
                </a:pPr>
                <a:r>
                  <a:rPr lang="cs-CZ" b="0"/>
                  <a:t>Contribution to the growth of total tax income</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4"/>
      </c:valAx>
      <c:valAx>
        <c:axId val="556140592"/>
        <c:scaling>
          <c:orientation val="minMax"/>
          <c:max val="200"/>
          <c:min val="-280"/>
        </c:scaling>
        <c:delete val="0"/>
        <c:axPos val="r"/>
        <c:title>
          <c:tx>
            <c:rich>
              <a:bodyPr/>
              <a:lstStyle/>
              <a:p>
                <a:pPr>
                  <a:defRPr b="0"/>
                </a:pPr>
                <a:r>
                  <a:rPr lang="cs-CZ" b="0"/>
                  <a:t>State budget balance</a:t>
                </a:r>
              </a:p>
            </c:rich>
          </c:tx>
          <c:layout>
            <c:manualLayout>
              <c:xMode val="edge"/>
              <c:yMode val="edge"/>
              <c:x val="0.97036646544776606"/>
              <c:y val="0.20963215506367217"/>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4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7.2243904074620724E-2"/>
          <c:y val="0.77373633332208702"/>
          <c:w val="0.84146408070246237"/>
          <c:h val="0.2152617312942421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532E-2"/>
          <c:y val="1.6748499743327625E-2"/>
          <c:w val="0.8431399757009802"/>
          <c:h val="0.69874367802214377"/>
        </c:manualLayout>
      </c:layout>
      <c:barChart>
        <c:barDir val="col"/>
        <c:grouping val="clustered"/>
        <c:varyColors val="0"/>
        <c:ser>
          <c:idx val="0"/>
          <c:order val="0"/>
          <c:tx>
            <c:strRef>
              <c:f>'G2-St.rozpočet-výdaje'!$B$31</c:f>
              <c:strCache>
                <c:ptCount val="1"/>
                <c:pt idx="0">
                  <c:v>Total current expenditures (right axis)</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918.12541435127969</c:v>
                </c:pt>
                <c:pt idx="14">
                  <c:v>901.89641601966002</c:v>
                </c:pt>
                <c:pt idx="15">
                  <c:v>1053.5517284800999</c:v>
                </c:pt>
              </c:numCache>
            </c:numRef>
          </c:val>
          <c:extLst>
            <c:ext xmlns:c16="http://schemas.microsoft.com/office/drawing/2014/chart" uri="{C3380CC4-5D6E-409C-BE32-E72D297353CC}">
              <c16:uniqueId val="{00000000-9E76-400F-8404-798B071C90BF}"/>
            </c:ext>
          </c:extLst>
        </c:ser>
        <c:ser>
          <c:idx val="1"/>
          <c:order val="1"/>
          <c:tx>
            <c:strRef>
              <c:f>'G2-St.rozpočet-výdaje'!$C$31</c:f>
              <c:strCache>
                <c:ptCount val="1"/>
                <c:pt idx="0">
                  <c:v>Expenditures on pensions (right axis)</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0.0</c:formatCode>
                <c:ptCount val="16"/>
                <c:pt idx="0">
                  <c:v>147.84299999999999</c:v>
                </c:pt>
                <c:pt idx="1">
                  <c:v>165.148</c:v>
                </c:pt>
                <c:pt idx="2">
                  <c:v>169.67400000000001</c:v>
                </c:pt>
                <c:pt idx="3">
                  <c:v>181.59700000000001</c:v>
                </c:pt>
                <c:pt idx="4">
                  <c:v>187.47399999999999</c:v>
                </c:pt>
                <c:pt idx="5">
                  <c:v>184.07900000000001</c:v>
                </c:pt>
                <c:pt idx="6">
                  <c:v>184.58799999999999</c:v>
                </c:pt>
                <c:pt idx="7">
                  <c:v>189.53800000000001</c:v>
                </c:pt>
                <c:pt idx="8">
                  <c:v>197.32599999999999</c:v>
                </c:pt>
                <c:pt idx="9">
                  <c:v>210.6</c:v>
                </c:pt>
                <c:pt idx="10">
                  <c:v>218.4</c:v>
                </c:pt>
                <c:pt idx="11">
                  <c:v>234.8</c:v>
                </c:pt>
                <c:pt idx="12">
                  <c:v>253.4</c:v>
                </c:pt>
                <c:pt idx="13">
                  <c:v>267.63183364664002</c:v>
                </c:pt>
                <c:pt idx="14">
                  <c:v>285.69003688876995</c:v>
                </c:pt>
                <c:pt idx="15">
                  <c:v>342.15011523328002</c:v>
                </c:pt>
              </c:numCache>
            </c:numRef>
          </c:val>
          <c:extLst>
            <c:ext xmlns:c16="http://schemas.microsoft.com/office/drawing/2014/chart" uri="{C3380CC4-5D6E-409C-BE32-E72D297353CC}">
              <c16:uniqueId val="{00000001-9E76-400F-8404-798B071C90BF}"/>
            </c:ext>
          </c:extLst>
        </c:ser>
        <c:dLbls>
          <c:showLegendKey val="0"/>
          <c:showVal val="0"/>
          <c:showCatName val="0"/>
          <c:showSerName val="0"/>
          <c:showPercent val="0"/>
          <c:showBubbleSize val="0"/>
        </c:dLbls>
        <c:gapWidth val="82"/>
        <c:overlap val="100"/>
        <c:axId val="72836608"/>
        <c:axId val="72835072"/>
      </c:barChart>
      <c:lineChart>
        <c:grouping val="standard"/>
        <c:varyColors val="0"/>
        <c:ser>
          <c:idx val="6"/>
          <c:order val="2"/>
          <c:tx>
            <c:strRef>
              <c:f>'G2-St.rozpočet-výdaje'!$D$31</c:f>
              <c:strCache>
                <c:ptCount val="1"/>
                <c:pt idx="0">
                  <c:v>Wages of employees in public admin.*</c:v>
                </c:pt>
              </c:strCache>
            </c:strRef>
          </c:tx>
          <c:spPr>
            <a:ln w="15875">
              <a:solidFill>
                <a:schemeClr val="accent6">
                  <a:lumMod val="60000"/>
                  <a:lumOff val="40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60.729182157669975</c:v>
                </c:pt>
                <c:pt idx="14">
                  <c:v>60.913936425969993</c:v>
                </c:pt>
                <c:pt idx="15">
                  <c:v>67.069920296660001</c:v>
                </c:pt>
              </c:numCache>
            </c:numRef>
          </c:val>
          <c:smooth val="0"/>
          <c:extLst>
            <c:ext xmlns:c16="http://schemas.microsoft.com/office/drawing/2014/chart" uri="{C3380CC4-5D6E-409C-BE32-E72D297353CC}">
              <c16:uniqueId val="{00000002-9E76-400F-8404-798B071C90BF}"/>
            </c:ext>
          </c:extLst>
        </c:ser>
        <c:ser>
          <c:idx val="7"/>
          <c:order val="3"/>
          <c:tx>
            <c:strRef>
              <c:f>'G2-St.rozpočet-výdaje'!$E$31</c:f>
              <c:strCache>
                <c:ptCount val="1"/>
                <c:pt idx="0">
                  <c:v>Unemployment benefits</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5.4746733001600001</c:v>
                </c:pt>
                <c:pt idx="14">
                  <c:v>5.0541544272099994</c:v>
                </c:pt>
                <c:pt idx="15">
                  <c:v>5.3917853745599995</c:v>
                </c:pt>
              </c:numCache>
            </c:numRef>
          </c:val>
          <c:smooth val="0"/>
          <c:extLst>
            <c:ext xmlns:c16="http://schemas.microsoft.com/office/drawing/2014/chart" uri="{C3380CC4-5D6E-409C-BE32-E72D297353CC}">
              <c16:uniqueId val="{00000003-9E76-400F-8404-798B071C90BF}"/>
            </c:ext>
          </c:extLst>
        </c:ser>
        <c:ser>
          <c:idx val="2"/>
          <c:order val="4"/>
          <c:tx>
            <c:strRef>
              <c:f>'G2-St.rozpočet-výdaje'!$F$31</c:f>
              <c:strCache>
                <c:ptCount val="1"/>
                <c:pt idx="0">
                  <c:v>State social support**</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24.53789922679</c:v>
                </c:pt>
                <c:pt idx="14">
                  <c:v>24.1571471902</c:v>
                </c:pt>
                <c:pt idx="15">
                  <c:v>29.487497482729999</c:v>
                </c:pt>
              </c:numCache>
            </c:numRef>
          </c:val>
          <c:smooth val="0"/>
          <c:extLst>
            <c:ext xmlns:c16="http://schemas.microsoft.com/office/drawing/2014/chart" uri="{C3380CC4-5D6E-409C-BE32-E72D297353CC}">
              <c16:uniqueId val="{00000004-9E76-400F-8404-798B071C90BF}"/>
            </c:ext>
          </c:extLst>
        </c:ser>
        <c:ser>
          <c:idx val="3"/>
          <c:order val="5"/>
          <c:tx>
            <c:strRef>
              <c:f>'G2-St.rozpočet-výdaje'!$G$31</c:f>
              <c:strCache>
                <c:ptCount val="1"/>
                <c:pt idx="0">
                  <c:v>Sickness benefits</c:v>
                </c:pt>
              </c:strCache>
            </c:strRef>
          </c:tx>
          <c:spPr>
            <a:ln w="15875">
              <a:solidFill>
                <a:srgbClr val="70BDD2"/>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0.00</c:formatCode>
                <c:ptCount val="16"/>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pt idx="14">
                  <c:v>25.56</c:v>
                </c:pt>
                <c:pt idx="15">
                  <c:v>24.3</c:v>
                </c:pt>
              </c:numCache>
            </c:numRef>
          </c:val>
          <c:smooth val="0"/>
          <c:extLst>
            <c:ext xmlns:c16="http://schemas.microsoft.com/office/drawing/2014/chart" uri="{C3380CC4-5D6E-409C-BE32-E72D297353CC}">
              <c16:uniqueId val="{00000005-9E76-400F-8404-798B071C90BF}"/>
            </c:ext>
          </c:extLst>
        </c:ser>
        <c:ser>
          <c:idx val="4"/>
          <c:order val="6"/>
          <c:tx>
            <c:strRef>
              <c:f>'G2-St.rozpočet-výdaje'!$H$31</c:f>
              <c:strCache>
                <c:ptCount val="1"/>
                <c:pt idx="0">
                  <c:v>Social care benefits***</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0.00</c:formatCode>
                <c:ptCount val="16"/>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pt idx="14">
                  <c:v>26.55</c:v>
                </c:pt>
                <c:pt idx="15">
                  <c:v>27.539400000000001</c:v>
                </c:pt>
              </c:numCache>
            </c:numRef>
          </c:val>
          <c:smooth val="0"/>
          <c:extLst>
            <c:ext xmlns:c16="http://schemas.microsoft.com/office/drawing/2014/chart" uri="{C3380CC4-5D6E-409C-BE32-E72D297353CC}">
              <c16:uniqueId val="{00000006-9E76-400F-8404-798B071C90BF}"/>
            </c:ext>
          </c:extLst>
        </c:ser>
        <c:ser>
          <c:idx val="5"/>
          <c:order val="7"/>
          <c:tx>
            <c:strRef>
              <c:f>'G2-St.rozpočet-výdaje'!$I$31</c:f>
              <c:strCache>
                <c:ptCount val="1"/>
                <c:pt idx="0">
                  <c:v>Non-investment purchases****</c:v>
                </c:pt>
              </c:strCache>
            </c:strRef>
          </c:tx>
          <c:spPr>
            <a:ln w="15875">
              <a:solidFill>
                <a:srgbClr val="EA6C75"/>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32.201508781230004</c:v>
                </c:pt>
                <c:pt idx="14">
                  <c:v>39.429741521560018</c:v>
                </c:pt>
                <c:pt idx="15">
                  <c:v>33.935016863069997</c:v>
                </c:pt>
              </c:numCache>
            </c:numRef>
          </c:val>
          <c:smooth val="0"/>
          <c:extLst>
            <c:ext xmlns:c16="http://schemas.microsoft.com/office/drawing/2014/chart" uri="{C3380CC4-5D6E-409C-BE32-E72D297353CC}">
              <c16:uniqueId val="{00000007-9E76-400F-8404-798B071C90BF}"/>
            </c:ext>
          </c:extLst>
        </c:ser>
        <c:ser>
          <c:idx val="9"/>
          <c:order val="8"/>
          <c:tx>
            <c:strRef>
              <c:f>'G2-St.rozpočet-výdaje'!$J$31</c:f>
              <c:strCache>
                <c:ptCount val="1"/>
                <c:pt idx="0">
                  <c:v>State debt (net expenditures) *****</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18.61619246826</c:v>
                </c:pt>
                <c:pt idx="14">
                  <c:v>23.0003230005</c:v>
                </c:pt>
                <c:pt idx="15">
                  <c:v>37.545198524830006</c:v>
                </c:pt>
              </c:numCache>
            </c:numRef>
          </c:val>
          <c:smooth val="0"/>
          <c:extLst>
            <c:ext xmlns:c16="http://schemas.microsoft.com/office/drawing/2014/chart" uri="{C3380CC4-5D6E-409C-BE32-E72D297353CC}">
              <c16:uniqueId val="{00000008-9E76-400F-8404-798B071C90BF}"/>
            </c:ext>
          </c:extLst>
        </c:ser>
        <c:ser>
          <c:idx val="8"/>
          <c:order val="9"/>
          <c:tx>
            <c:strRef>
              <c:f>'G2-St.rozpočet-výdaje'!$K$31</c:f>
              <c:strCache>
                <c:ptCount val="1"/>
                <c:pt idx="0">
                  <c:v>Non-invest. transfers to commercial ent.</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c:formatCode>
                <c:ptCount val="16"/>
                <c:pt idx="0">
                  <c:v>13.86</c:v>
                </c:pt>
                <c:pt idx="1">
                  <c:v>13.8</c:v>
                </c:pt>
                <c:pt idx="2">
                  <c:v>15.068</c:v>
                </c:pt>
                <c:pt idx="3">
                  <c:v>15.095000000000001</c:v>
                </c:pt>
                <c:pt idx="4">
                  <c:v>18.314</c:v>
                </c:pt>
                <c:pt idx="5">
                  <c:v>16.995000000000001</c:v>
                </c:pt>
                <c:pt idx="6">
                  <c:v>19.023</c:v>
                </c:pt>
                <c:pt idx="7">
                  <c:v>18.837</c:v>
                </c:pt>
                <c:pt idx="8">
                  <c:v>18.062000000000001</c:v>
                </c:pt>
                <c:pt idx="9">
                  <c:v>23.908000000000001</c:v>
                </c:pt>
                <c:pt idx="10">
                  <c:v>28.649000000000001</c:v>
                </c:pt>
                <c:pt idx="11">
                  <c:v>28.899000000000001</c:v>
                </c:pt>
                <c:pt idx="12">
                  <c:v>52.881999999999998</c:v>
                </c:pt>
                <c:pt idx="13">
                  <c:v>85.23259722775002</c:v>
                </c:pt>
                <c:pt idx="14">
                  <c:v>34.10096142143</c:v>
                </c:pt>
                <c:pt idx="15">
                  <c:v>77.829618817300002</c:v>
                </c:pt>
              </c:numCache>
            </c:numRef>
          </c:val>
          <c:smooth val="0"/>
          <c:extLst>
            <c:ext xmlns:c16="http://schemas.microsoft.com/office/drawing/2014/chart" uri="{C3380CC4-5D6E-409C-BE32-E72D297353CC}">
              <c16:uniqueId val="{00000009-9E76-400F-8404-798B071C90BF}"/>
            </c:ext>
          </c:extLst>
        </c:ser>
        <c:ser>
          <c:idx val="10"/>
          <c:order val="10"/>
          <c:tx>
            <c:strRef>
              <c:f>'G2-St.rozpočet-výdaje'!$L$31</c:f>
              <c:strCache>
                <c:ptCount val="1"/>
                <c:pt idx="0">
                  <c:v>Total capital expenditures</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59.7056835355</c:v>
                </c:pt>
                <c:pt idx="14">
                  <c:v>68.07113003696</c:v>
                </c:pt>
                <c:pt idx="15">
                  <c:v>79.024935165610003</c:v>
                </c:pt>
              </c:numCache>
            </c:numRef>
          </c:val>
          <c:smooth val="0"/>
          <c:extLst>
            <c:ext xmlns:c16="http://schemas.microsoft.com/office/drawing/2014/chart" uri="{C3380CC4-5D6E-409C-BE32-E72D297353CC}">
              <c16:uniqueId val="{0000000A-9E76-400F-8404-798B071C90BF}"/>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72829184"/>
        <c:crosses val="autoZero"/>
        <c:auto val="1"/>
        <c:lblAlgn val="ctr"/>
        <c:lblOffset val="0"/>
        <c:noMultiLvlLbl val="0"/>
      </c:catAx>
      <c:valAx>
        <c:axId val="72829184"/>
        <c:scaling>
          <c:orientation val="minMax"/>
          <c:max val="88"/>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8"/>
      </c:valAx>
      <c:valAx>
        <c:axId val="72835072"/>
        <c:scaling>
          <c:orientation val="minMax"/>
          <c:max val="1100"/>
          <c:min val="0"/>
        </c:scaling>
        <c:delete val="0"/>
        <c:axPos val="r"/>
        <c:title>
          <c:tx>
            <c:rich>
              <a:bodyPr/>
              <a:lstStyle/>
              <a:p>
                <a:pPr>
                  <a:defRPr sz="700" b="0" i="1"/>
                </a:pPr>
                <a:r>
                  <a:rPr lang="cs-CZ" sz="700" b="0" i="1"/>
                  <a:t>Total current expenditures, pensions</a:t>
                </a:r>
              </a:p>
            </c:rich>
          </c:tx>
          <c:layout>
            <c:manualLayout>
              <c:xMode val="edge"/>
              <c:yMode val="edge"/>
              <c:x val="0.96904914990503888"/>
              <c:y val="0.18297345985136199"/>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8258891545233356E-2"/>
          <c:y val="0.78994694453603698"/>
          <c:w val="0.95861688368777354"/>
          <c:h val="0.2027898112147393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63760458694316E-2"/>
          <c:y val="2.1433051007174339E-2"/>
          <c:w val="0.92385424401342719"/>
          <c:h val="0.7803745146125618"/>
        </c:manualLayout>
      </c:layout>
      <c:barChart>
        <c:barDir val="col"/>
        <c:grouping val="clustered"/>
        <c:varyColors val="0"/>
        <c:ser>
          <c:idx val="0"/>
          <c:order val="0"/>
          <c:tx>
            <c:strRef>
              <c:f>'G3-Sektor vlád.institucí'!$Z$104</c:f>
              <c:strCache>
                <c:ptCount val="1"/>
                <c:pt idx="0">
                  <c:v>EU27</c:v>
                </c:pt>
              </c:strCache>
            </c:strRef>
          </c:tx>
          <c:spPr>
            <a:solidFill>
              <a:schemeClr val="bg2">
                <a:lumMod val="90000"/>
              </a:schemeClr>
            </a:solidFill>
            <a:ln w="6350">
              <a:solidFill>
                <a:schemeClr val="bg2">
                  <a:lumMod val="50000"/>
                </a:schemeClr>
              </a:solid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vlád.institucí'!$AA$104:$BC$104</c:f>
              <c:numCache>
                <c:formatCode>#\ ##0.##########</c:formatCode>
                <c:ptCount val="29"/>
                <c:pt idx="0">
                  <c:v>-1.6</c:v>
                </c:pt>
                <c:pt idx="1">
                  <c:v>-1.4</c:v>
                </c:pt>
                <c:pt idx="2">
                  <c:v>-1.6</c:v>
                </c:pt>
                <c:pt idx="3">
                  <c:v>-0.8</c:v>
                </c:pt>
                <c:pt idx="4">
                  <c:v>-0.9</c:v>
                </c:pt>
                <c:pt idx="5">
                  <c:v>-1.2</c:v>
                </c:pt>
                <c:pt idx="6">
                  <c:v>-0.7</c:v>
                </c:pt>
                <c:pt idx="7">
                  <c:v>-0.3</c:v>
                </c:pt>
                <c:pt idx="8">
                  <c:v>-0.2</c:v>
                </c:pt>
                <c:pt idx="9">
                  <c:v>-0.1</c:v>
                </c:pt>
                <c:pt idx="10">
                  <c:v>-0.5</c:v>
                </c:pt>
                <c:pt idx="11">
                  <c:v>-0.7</c:v>
                </c:pt>
                <c:pt idx="12">
                  <c:v>-0.2</c:v>
                </c:pt>
                <c:pt idx="13">
                  <c:v>-0.2</c:v>
                </c:pt>
                <c:pt idx="14" formatCode="#\ ##0.0">
                  <c:v>-1</c:v>
                </c:pt>
                <c:pt idx="15">
                  <c:v>-0.8</c:v>
                </c:pt>
                <c:pt idx="16">
                  <c:v>-2.7</c:v>
                </c:pt>
                <c:pt idx="17">
                  <c:v>-11.7</c:v>
                </c:pt>
                <c:pt idx="18">
                  <c:v>-6.2</c:v>
                </c:pt>
                <c:pt idx="19">
                  <c:v>-6.8</c:v>
                </c:pt>
                <c:pt idx="20">
                  <c:v>-6.4</c:v>
                </c:pt>
                <c:pt idx="21" formatCode="#\ ##0.0">
                  <c:v>-6</c:v>
                </c:pt>
                <c:pt idx="22">
                  <c:v>-3.8</c:v>
                </c:pt>
                <c:pt idx="23">
                  <c:v>-3.1</c:v>
                </c:pt>
                <c:pt idx="24">
                  <c:v>-2.4</c:v>
                </c:pt>
                <c:pt idx="25">
                  <c:v>-2.2000000000000002</c:v>
                </c:pt>
                <c:pt idx="26">
                  <c:v>-4.3</c:v>
                </c:pt>
                <c:pt idx="27">
                  <c:v>-4.5</c:v>
                </c:pt>
                <c:pt idx="28" formatCode="#\ ##0.0">
                  <c:v>-3</c:v>
                </c:pt>
              </c:numCache>
            </c:numRef>
          </c:val>
          <c:extLst>
            <c:ext xmlns:c16="http://schemas.microsoft.com/office/drawing/2014/chart" uri="{C3380CC4-5D6E-409C-BE32-E72D297353CC}">
              <c16:uniqueId val="{00000000-CAD2-43BC-9FFE-C0863E4AB51D}"/>
            </c:ext>
          </c:extLst>
        </c:ser>
        <c:ser>
          <c:idx val="1"/>
          <c:order val="1"/>
          <c:tx>
            <c:strRef>
              <c:f>'G3-Sektor vlád.institucí'!$Z$105</c:f>
              <c:strCache>
                <c:ptCount val="1"/>
                <c:pt idx="0">
                  <c:v>CR</c:v>
                </c:pt>
              </c:strCache>
            </c:strRef>
          </c:tx>
          <c:spPr>
            <a:solidFill>
              <a:schemeClr val="bg2">
                <a:lumMod val="50000"/>
              </a:schemeClr>
            </a:solidFill>
            <a:ln w="6350">
              <a:no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vlád.institucí'!$AA$105:$BC$105</c:f>
              <c:numCache>
                <c:formatCode>#\ ##0.##########</c:formatCode>
                <c:ptCount val="29"/>
                <c:pt idx="0">
                  <c:v>0.7</c:v>
                </c:pt>
                <c:pt idx="1">
                  <c:v>0.8</c:v>
                </c:pt>
                <c:pt idx="2" formatCode="#\ ##0.0">
                  <c:v>1</c:v>
                </c:pt>
                <c:pt idx="3">
                  <c:v>0.4</c:v>
                </c:pt>
                <c:pt idx="4">
                  <c:v>0.9</c:v>
                </c:pt>
                <c:pt idx="5">
                  <c:v>1.7</c:v>
                </c:pt>
                <c:pt idx="6">
                  <c:v>1.7</c:v>
                </c:pt>
                <c:pt idx="7">
                  <c:v>1.7</c:v>
                </c:pt>
                <c:pt idx="8">
                  <c:v>1.1000000000000001</c:v>
                </c:pt>
                <c:pt idx="9">
                  <c:v>1.6</c:v>
                </c:pt>
                <c:pt idx="10">
                  <c:v>0.3</c:v>
                </c:pt>
                <c:pt idx="11">
                  <c:v>0.6</c:v>
                </c:pt>
                <c:pt idx="12">
                  <c:v>0.9</c:v>
                </c:pt>
                <c:pt idx="13">
                  <c:v>1.1000000000000001</c:v>
                </c:pt>
                <c:pt idx="14">
                  <c:v>-0.1</c:v>
                </c:pt>
                <c:pt idx="15">
                  <c:v>-0.7</c:v>
                </c:pt>
                <c:pt idx="16">
                  <c:v>-2.6</c:v>
                </c:pt>
                <c:pt idx="17">
                  <c:v>-8.5</c:v>
                </c:pt>
                <c:pt idx="18" formatCode="#\ ##0.0">
                  <c:v>-5</c:v>
                </c:pt>
                <c:pt idx="19">
                  <c:v>-7.2</c:v>
                </c:pt>
                <c:pt idx="20">
                  <c:v>-7.5</c:v>
                </c:pt>
                <c:pt idx="21">
                  <c:v>-4.9000000000000004</c:v>
                </c:pt>
                <c:pt idx="22">
                  <c:v>-4.0999999999999996</c:v>
                </c:pt>
                <c:pt idx="23" formatCode="#\ ##0.0">
                  <c:v>-4</c:v>
                </c:pt>
                <c:pt idx="24">
                  <c:v>-2.9</c:v>
                </c:pt>
                <c:pt idx="25">
                  <c:v>-2.8</c:v>
                </c:pt>
                <c:pt idx="26">
                  <c:v>-4.5999999999999996</c:v>
                </c:pt>
                <c:pt idx="27">
                  <c:v>-4.2</c:v>
                </c:pt>
                <c:pt idx="28">
                  <c:v>-4.2</c:v>
                </c:pt>
              </c:numCache>
            </c:numRef>
          </c:val>
          <c:extLst>
            <c:ext xmlns:c16="http://schemas.microsoft.com/office/drawing/2014/chart" uri="{C3380CC4-5D6E-409C-BE32-E72D297353CC}">
              <c16:uniqueId val="{00000001-CAD2-43BC-9FFE-C0863E4AB51D}"/>
            </c:ext>
          </c:extLst>
        </c:ser>
        <c:dLbls>
          <c:showLegendKey val="0"/>
          <c:showVal val="0"/>
          <c:showCatName val="0"/>
          <c:showSerName val="0"/>
          <c:showPercent val="0"/>
          <c:showBubbleSize val="0"/>
        </c:dLbls>
        <c:gapWidth val="120"/>
        <c:axId val="72827648"/>
        <c:axId val="72829184"/>
      </c:barChart>
      <c:lineChart>
        <c:grouping val="standard"/>
        <c:varyColors val="0"/>
        <c:ser>
          <c:idx val="6"/>
          <c:order val="2"/>
          <c:tx>
            <c:strRef>
              <c:f>'G3-Sektor vlád.institucí'!$Z$106</c:f>
              <c:strCache>
                <c:ptCount val="1"/>
                <c:pt idx="0">
                  <c:v>Slovakia</c:v>
                </c:pt>
              </c:strCache>
            </c:strRef>
          </c:tx>
          <c:spPr>
            <a:ln w="15875">
              <a:solidFill>
                <a:srgbClr val="00B05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vlád.institucí'!$AA$106:$BC$106</c:f>
              <c:numCache>
                <c:formatCode>#\ ##0.0</c:formatCode>
                <c:ptCount val="29"/>
                <c:pt idx="0" formatCode="#\ ##0.##########">
                  <c:v>-3.3</c:v>
                </c:pt>
                <c:pt idx="1">
                  <c:v>-3</c:v>
                </c:pt>
                <c:pt idx="2" formatCode="#\ ##0.##########">
                  <c:v>-2.2999999999999998</c:v>
                </c:pt>
                <c:pt idx="3" formatCode="#\ ##0.##########">
                  <c:v>-1.9</c:v>
                </c:pt>
                <c:pt idx="4" formatCode="#\ ##0.##########">
                  <c:v>-2.1</c:v>
                </c:pt>
                <c:pt idx="5" formatCode="#\ ##0.##########">
                  <c:v>-1.2</c:v>
                </c:pt>
                <c:pt idx="6" formatCode="#\ ##0.##########">
                  <c:v>-1.4</c:v>
                </c:pt>
                <c:pt idx="7" formatCode="#\ ##0.##########">
                  <c:v>0.5</c:v>
                </c:pt>
                <c:pt idx="8" formatCode="#\ ##0.##########">
                  <c:v>-1.2</c:v>
                </c:pt>
                <c:pt idx="9">
                  <c:v>-1</c:v>
                </c:pt>
                <c:pt idx="10" formatCode="#\ ##0.##########">
                  <c:v>-1.4</c:v>
                </c:pt>
                <c:pt idx="11" formatCode="#\ ##0.##########">
                  <c:v>-0.3</c:v>
                </c:pt>
                <c:pt idx="12" formatCode="#\ ##0.##########">
                  <c:v>-1.1000000000000001</c:v>
                </c:pt>
                <c:pt idx="13" formatCode="#\ ##0.##########">
                  <c:v>-1.2</c:v>
                </c:pt>
                <c:pt idx="14" formatCode="#\ ##0.##########">
                  <c:v>-1.9</c:v>
                </c:pt>
                <c:pt idx="15" formatCode="#\ ##0.##########">
                  <c:v>-0.5</c:v>
                </c:pt>
                <c:pt idx="16" formatCode="#\ ##0.##########">
                  <c:v>-2.9</c:v>
                </c:pt>
                <c:pt idx="17" formatCode="#\ ##0.##########">
                  <c:v>-7.4</c:v>
                </c:pt>
                <c:pt idx="18" formatCode="#\ ##0.##########">
                  <c:v>-5.2</c:v>
                </c:pt>
                <c:pt idx="19" formatCode="#\ ##0.##########">
                  <c:v>-5.7</c:v>
                </c:pt>
                <c:pt idx="20" formatCode="#\ ##0.##########">
                  <c:v>-6.1</c:v>
                </c:pt>
                <c:pt idx="21" formatCode="#\ ##0.##########">
                  <c:v>-6.9</c:v>
                </c:pt>
                <c:pt idx="22" formatCode="#\ ##0.##########">
                  <c:v>-3.6</c:v>
                </c:pt>
                <c:pt idx="23" formatCode="#\ ##0.##########">
                  <c:v>-5.2</c:v>
                </c:pt>
                <c:pt idx="24" formatCode="#\ ##0.##########">
                  <c:v>-1.9</c:v>
                </c:pt>
                <c:pt idx="25" formatCode="#\ ##0.##########">
                  <c:v>-1.9</c:v>
                </c:pt>
                <c:pt idx="26" formatCode="#\ ##0.##########">
                  <c:v>-1.7</c:v>
                </c:pt>
                <c:pt idx="27" formatCode="#\ ##0.##########">
                  <c:v>-2.7</c:v>
                </c:pt>
                <c:pt idx="28" formatCode="#\ ##0.##########">
                  <c:v>-3.8</c:v>
                </c:pt>
              </c:numCache>
            </c:numRef>
          </c:val>
          <c:smooth val="0"/>
          <c:extLst>
            <c:ext xmlns:c16="http://schemas.microsoft.com/office/drawing/2014/chart" uri="{C3380CC4-5D6E-409C-BE32-E72D297353CC}">
              <c16:uniqueId val="{00000002-CAD2-43BC-9FFE-C0863E4AB51D}"/>
            </c:ext>
          </c:extLst>
        </c:ser>
        <c:ser>
          <c:idx val="7"/>
          <c:order val="3"/>
          <c:tx>
            <c:strRef>
              <c:f>'G3-Sektor vlád.institucí'!$Z$107</c:f>
              <c:strCache>
                <c:ptCount val="1"/>
                <c:pt idx="0">
                  <c:v>Poland</c:v>
                </c:pt>
              </c:strCache>
            </c:strRef>
          </c:tx>
          <c:spPr>
            <a:ln w="15875">
              <a:solidFill>
                <a:schemeClr val="accent6">
                  <a:lumMod val="75000"/>
                </a:schemeClr>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vlád.institucí'!$AA$107:$BC$107</c:f>
              <c:numCache>
                <c:formatCode>#\ ##0.##########</c:formatCode>
                <c:ptCount val="29"/>
                <c:pt idx="0">
                  <c:v>-2.2999999999999998</c:v>
                </c:pt>
                <c:pt idx="1">
                  <c:v>-2.2000000000000002</c:v>
                </c:pt>
                <c:pt idx="2">
                  <c:v>-2.4</c:v>
                </c:pt>
                <c:pt idx="3">
                  <c:v>-2.2000000000000002</c:v>
                </c:pt>
                <c:pt idx="4" formatCode="#\ ##0.0">
                  <c:v>-2</c:v>
                </c:pt>
                <c:pt idx="5">
                  <c:v>-1.3</c:v>
                </c:pt>
                <c:pt idx="6">
                  <c:v>-1.4</c:v>
                </c:pt>
                <c:pt idx="7" formatCode="#\ ##0.0">
                  <c:v>-1</c:v>
                </c:pt>
                <c:pt idx="8">
                  <c:v>-0.9</c:v>
                </c:pt>
                <c:pt idx="9">
                  <c:v>0.1</c:v>
                </c:pt>
                <c:pt idx="10">
                  <c:v>-0.3</c:v>
                </c:pt>
                <c:pt idx="11">
                  <c:v>0.2</c:v>
                </c:pt>
                <c:pt idx="12">
                  <c:v>0.3</c:v>
                </c:pt>
                <c:pt idx="13" formatCode="#\ ##0.0">
                  <c:v>-1</c:v>
                </c:pt>
                <c:pt idx="14">
                  <c:v>-0.7</c:v>
                </c:pt>
                <c:pt idx="15">
                  <c:v>-1.6</c:v>
                </c:pt>
                <c:pt idx="16">
                  <c:v>-3.8</c:v>
                </c:pt>
                <c:pt idx="17">
                  <c:v>-16.899999999999999</c:v>
                </c:pt>
                <c:pt idx="18">
                  <c:v>-4.2</c:v>
                </c:pt>
                <c:pt idx="19">
                  <c:v>-2.9</c:v>
                </c:pt>
                <c:pt idx="20">
                  <c:v>-2.7</c:v>
                </c:pt>
                <c:pt idx="21">
                  <c:v>-1.5</c:v>
                </c:pt>
                <c:pt idx="22">
                  <c:v>-0.5</c:v>
                </c:pt>
                <c:pt idx="23">
                  <c:v>-2.8</c:v>
                </c:pt>
                <c:pt idx="24">
                  <c:v>-0.8</c:v>
                </c:pt>
                <c:pt idx="25">
                  <c:v>-1.3</c:v>
                </c:pt>
                <c:pt idx="26">
                  <c:v>-3.8</c:v>
                </c:pt>
                <c:pt idx="27">
                  <c:v>-8.4</c:v>
                </c:pt>
                <c:pt idx="28" formatCode="#\ ##0.0">
                  <c:v>-2</c:v>
                </c:pt>
              </c:numCache>
            </c:numRef>
          </c:val>
          <c:smooth val="0"/>
          <c:extLst>
            <c:ext xmlns:c16="http://schemas.microsoft.com/office/drawing/2014/chart" uri="{C3380CC4-5D6E-409C-BE32-E72D297353CC}">
              <c16:uniqueId val="{00000003-CAD2-43BC-9FFE-C0863E4AB51D}"/>
            </c:ext>
          </c:extLst>
        </c:ser>
        <c:ser>
          <c:idx val="2"/>
          <c:order val="4"/>
          <c:tx>
            <c:strRef>
              <c:f>'G3-Sektor vlád.institucí'!$Z$108</c:f>
              <c:strCache>
                <c:ptCount val="1"/>
                <c:pt idx="0">
                  <c:v>Hungary</c:v>
                </c:pt>
              </c:strCache>
            </c:strRef>
          </c:tx>
          <c:spPr>
            <a:ln w="15875">
              <a:solidFill>
                <a:srgbClr val="D5D00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vlád.institucí'!$AA$108:$BC$108</c:f>
              <c:numCache>
                <c:formatCode>#\ ##0.##########</c:formatCode>
                <c:ptCount val="29"/>
                <c:pt idx="0">
                  <c:v>-2.5</c:v>
                </c:pt>
                <c:pt idx="1">
                  <c:v>-2.1</c:v>
                </c:pt>
                <c:pt idx="2">
                  <c:v>-0.5</c:v>
                </c:pt>
                <c:pt idx="3">
                  <c:v>-2.1</c:v>
                </c:pt>
                <c:pt idx="4">
                  <c:v>-0.6</c:v>
                </c:pt>
                <c:pt idx="5">
                  <c:v>-2.7</c:v>
                </c:pt>
                <c:pt idx="6">
                  <c:v>-5.0999999999999996</c:v>
                </c:pt>
                <c:pt idx="7">
                  <c:v>-1.5</c:v>
                </c:pt>
                <c:pt idx="8">
                  <c:v>-3.5</c:v>
                </c:pt>
                <c:pt idx="9">
                  <c:v>-2.8</c:v>
                </c:pt>
                <c:pt idx="10">
                  <c:v>-1.7</c:v>
                </c:pt>
                <c:pt idx="11">
                  <c:v>-0.4</c:v>
                </c:pt>
                <c:pt idx="12">
                  <c:v>-1.5</c:v>
                </c:pt>
                <c:pt idx="13">
                  <c:v>-1.4</c:v>
                </c:pt>
                <c:pt idx="14">
                  <c:v>-4.5</c:v>
                </c:pt>
                <c:pt idx="15">
                  <c:v>-0.8</c:v>
                </c:pt>
                <c:pt idx="16">
                  <c:v>-3.3</c:v>
                </c:pt>
                <c:pt idx="17">
                  <c:v>-10.8</c:v>
                </c:pt>
                <c:pt idx="18">
                  <c:v>-5.6</c:v>
                </c:pt>
                <c:pt idx="19">
                  <c:v>-10.6</c:v>
                </c:pt>
                <c:pt idx="20">
                  <c:v>-8.9</c:v>
                </c:pt>
                <c:pt idx="21">
                  <c:v>-6.9</c:v>
                </c:pt>
                <c:pt idx="22">
                  <c:v>-6.4</c:v>
                </c:pt>
                <c:pt idx="23">
                  <c:v>-6.5</c:v>
                </c:pt>
                <c:pt idx="24">
                  <c:v>-4.5999999999999996</c:v>
                </c:pt>
                <c:pt idx="25">
                  <c:v>-3.6</c:v>
                </c:pt>
                <c:pt idx="26" formatCode="#\ ##0.0">
                  <c:v>-7</c:v>
                </c:pt>
                <c:pt idx="27">
                  <c:v>-9.4</c:v>
                </c:pt>
                <c:pt idx="28">
                  <c:v>-11.1</c:v>
                </c:pt>
              </c:numCache>
            </c:numRef>
          </c:val>
          <c:smooth val="0"/>
          <c:extLst>
            <c:ext xmlns:c16="http://schemas.microsoft.com/office/drawing/2014/chart" uri="{C3380CC4-5D6E-409C-BE32-E72D297353CC}">
              <c16:uniqueId val="{00000004-CAD2-43BC-9FFE-C0863E4AB51D}"/>
            </c:ext>
          </c:extLst>
        </c:ser>
        <c:ser>
          <c:idx val="3"/>
          <c:order val="5"/>
          <c:tx>
            <c:strRef>
              <c:f>'G3-Sektor vlád.institucí'!$Z$109</c:f>
              <c:strCache>
                <c:ptCount val="1"/>
                <c:pt idx="0">
                  <c:v>Germany</c:v>
                </c:pt>
              </c:strCache>
            </c:strRef>
          </c:tx>
          <c:spPr>
            <a:ln w="15875">
              <a:solidFill>
                <a:srgbClr val="7030A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vlád.institucí'!$AA$109:$BC$109</c:f>
              <c:numCache>
                <c:formatCode>#\ ##0.##########</c:formatCode>
                <c:ptCount val="29"/>
                <c:pt idx="0">
                  <c:v>1.1000000000000001</c:v>
                </c:pt>
                <c:pt idx="1">
                  <c:v>0.9</c:v>
                </c:pt>
                <c:pt idx="2">
                  <c:v>0.5</c:v>
                </c:pt>
                <c:pt idx="3">
                  <c:v>2.1</c:v>
                </c:pt>
                <c:pt idx="4">
                  <c:v>1.6</c:v>
                </c:pt>
                <c:pt idx="5">
                  <c:v>0.4</c:v>
                </c:pt>
                <c:pt idx="6">
                  <c:v>1.5</c:v>
                </c:pt>
                <c:pt idx="7">
                  <c:v>1.8</c:v>
                </c:pt>
                <c:pt idx="8">
                  <c:v>2.5</c:v>
                </c:pt>
                <c:pt idx="9">
                  <c:v>2.6</c:v>
                </c:pt>
                <c:pt idx="10">
                  <c:v>1.6</c:v>
                </c:pt>
                <c:pt idx="11">
                  <c:v>1.1000000000000001</c:v>
                </c:pt>
                <c:pt idx="12">
                  <c:v>2.4</c:v>
                </c:pt>
                <c:pt idx="13">
                  <c:v>2.1</c:v>
                </c:pt>
                <c:pt idx="14">
                  <c:v>0.6</c:v>
                </c:pt>
                <c:pt idx="15">
                  <c:v>1.1000000000000001</c:v>
                </c:pt>
                <c:pt idx="16">
                  <c:v>0.7</c:v>
                </c:pt>
                <c:pt idx="17">
                  <c:v>-8.3000000000000007</c:v>
                </c:pt>
                <c:pt idx="18">
                  <c:v>-5.9</c:v>
                </c:pt>
                <c:pt idx="19">
                  <c:v>-4.2</c:v>
                </c:pt>
                <c:pt idx="20">
                  <c:v>-4.5999999999999996</c:v>
                </c:pt>
                <c:pt idx="21">
                  <c:v>-5.5</c:v>
                </c:pt>
                <c:pt idx="22">
                  <c:v>-3.2</c:v>
                </c:pt>
                <c:pt idx="23">
                  <c:v>-1.8</c:v>
                </c:pt>
                <c:pt idx="24">
                  <c:v>-0.9</c:v>
                </c:pt>
                <c:pt idx="25">
                  <c:v>-1.1000000000000001</c:v>
                </c:pt>
                <c:pt idx="26">
                  <c:v>-5.4</c:v>
                </c:pt>
                <c:pt idx="27">
                  <c:v>-3.5</c:v>
                </c:pt>
                <c:pt idx="28">
                  <c:v>-2.2000000000000002</c:v>
                </c:pt>
              </c:numCache>
            </c:numRef>
          </c:val>
          <c:smooth val="0"/>
          <c:extLst>
            <c:ext xmlns:c16="http://schemas.microsoft.com/office/drawing/2014/chart" uri="{C3380CC4-5D6E-409C-BE32-E72D297353CC}">
              <c16:uniqueId val="{00000005-CAD2-43BC-9FFE-C0863E4AB51D}"/>
            </c:ext>
          </c:extLst>
        </c:ser>
        <c:ser>
          <c:idx val="4"/>
          <c:order val="6"/>
          <c:tx>
            <c:strRef>
              <c:f>'G3-Sektor vlád.institucí'!$Z$110</c:f>
              <c:strCache>
                <c:ptCount val="1"/>
                <c:pt idx="0">
                  <c:v>Austria</c:v>
                </c:pt>
              </c:strCache>
            </c:strRef>
          </c:tx>
          <c:spPr>
            <a:ln w="15875">
              <a:solidFill>
                <a:srgbClr val="00B0F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vlád.institucí'!$AA$110:$BC$110</c:f>
              <c:numCache>
                <c:formatCode>#\ ##0.##########</c:formatCode>
                <c:ptCount val="29"/>
                <c:pt idx="0">
                  <c:v>-1.6</c:v>
                </c:pt>
                <c:pt idx="1">
                  <c:v>-0.8</c:v>
                </c:pt>
                <c:pt idx="2">
                  <c:v>-1.2</c:v>
                </c:pt>
                <c:pt idx="3">
                  <c:v>-2.5</c:v>
                </c:pt>
                <c:pt idx="4">
                  <c:v>-0.2</c:v>
                </c:pt>
                <c:pt idx="5">
                  <c:v>-1.8</c:v>
                </c:pt>
                <c:pt idx="6">
                  <c:v>-0.5</c:v>
                </c:pt>
                <c:pt idx="7">
                  <c:v>-0.7</c:v>
                </c:pt>
                <c:pt idx="8">
                  <c:v>0.7</c:v>
                </c:pt>
                <c:pt idx="9">
                  <c:v>0.2</c:v>
                </c:pt>
                <c:pt idx="10" formatCode="#\ ##0.0">
                  <c:v>0</c:v>
                </c:pt>
                <c:pt idx="11">
                  <c:v>-0.2</c:v>
                </c:pt>
                <c:pt idx="12">
                  <c:v>-0.1</c:v>
                </c:pt>
                <c:pt idx="13">
                  <c:v>0.7</c:v>
                </c:pt>
                <c:pt idx="14">
                  <c:v>0.4</c:v>
                </c:pt>
                <c:pt idx="15">
                  <c:v>1.2</c:v>
                </c:pt>
                <c:pt idx="16">
                  <c:v>-0.2</c:v>
                </c:pt>
                <c:pt idx="17">
                  <c:v>-13.7</c:v>
                </c:pt>
                <c:pt idx="18">
                  <c:v>-7.6</c:v>
                </c:pt>
                <c:pt idx="19">
                  <c:v>-11.1</c:v>
                </c:pt>
                <c:pt idx="20">
                  <c:v>-11.7</c:v>
                </c:pt>
                <c:pt idx="21">
                  <c:v>-7.6</c:v>
                </c:pt>
                <c:pt idx="22">
                  <c:v>-2.5</c:v>
                </c:pt>
                <c:pt idx="23">
                  <c:v>-1.9</c:v>
                </c:pt>
                <c:pt idx="24">
                  <c:v>-2.4</c:v>
                </c:pt>
                <c:pt idx="25">
                  <c:v>-0.4</c:v>
                </c:pt>
                <c:pt idx="26">
                  <c:v>-5.2</c:v>
                </c:pt>
                <c:pt idx="27">
                  <c:v>-4.5999999999999996</c:v>
                </c:pt>
                <c:pt idx="28">
                  <c:v>-2.6</c:v>
                </c:pt>
              </c:numCache>
            </c:numRef>
          </c:val>
          <c:smooth val="0"/>
          <c:extLst>
            <c:ext xmlns:c16="http://schemas.microsoft.com/office/drawing/2014/chart" uri="{C3380CC4-5D6E-409C-BE32-E72D297353CC}">
              <c16:uniqueId val="{00000006-CAD2-43BC-9FFE-C0863E4AB51D}"/>
            </c:ext>
          </c:extLst>
        </c:ser>
        <c:ser>
          <c:idx val="5"/>
          <c:order val="7"/>
          <c:tx>
            <c:strRef>
              <c:f>'G3-Sektor vlád.institucí'!$Z$111</c:f>
              <c:strCache>
                <c:ptCount val="1"/>
                <c:pt idx="0">
                  <c:v>Denmark</c:v>
                </c:pt>
              </c:strCache>
            </c:strRef>
          </c:tx>
          <c:spPr>
            <a:ln w="15875">
              <a:solidFill>
                <a:srgbClr val="996633"/>
              </a:solidFill>
              <a:prstDash val="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vlád.institucí'!$AA$111:$BC$111</c:f>
              <c:numCache>
                <c:formatCode>#\ ##0.##########</c:formatCode>
                <c:ptCount val="29"/>
                <c:pt idx="0">
                  <c:v>-0.4</c:v>
                </c:pt>
                <c:pt idx="1">
                  <c:v>-0.6</c:v>
                </c:pt>
                <c:pt idx="2">
                  <c:v>-0.4</c:v>
                </c:pt>
                <c:pt idx="3">
                  <c:v>0.6</c:v>
                </c:pt>
                <c:pt idx="4">
                  <c:v>2.2000000000000002</c:v>
                </c:pt>
                <c:pt idx="5">
                  <c:v>1.3</c:v>
                </c:pt>
                <c:pt idx="6">
                  <c:v>1.7</c:v>
                </c:pt>
                <c:pt idx="7" formatCode="#\ ##0.0">
                  <c:v>2</c:v>
                </c:pt>
                <c:pt idx="8">
                  <c:v>1.1000000000000001</c:v>
                </c:pt>
                <c:pt idx="9">
                  <c:v>1.2</c:v>
                </c:pt>
                <c:pt idx="10">
                  <c:v>1.7</c:v>
                </c:pt>
                <c:pt idx="11">
                  <c:v>-0.1</c:v>
                </c:pt>
                <c:pt idx="12">
                  <c:v>5.5</c:v>
                </c:pt>
                <c:pt idx="13">
                  <c:v>4.9000000000000004</c:v>
                </c:pt>
                <c:pt idx="14">
                  <c:v>3.3</c:v>
                </c:pt>
                <c:pt idx="15">
                  <c:v>3.1</c:v>
                </c:pt>
                <c:pt idx="16">
                  <c:v>1.8</c:v>
                </c:pt>
                <c:pt idx="17">
                  <c:v>-1.5</c:v>
                </c:pt>
                <c:pt idx="18">
                  <c:v>0.2</c:v>
                </c:pt>
                <c:pt idx="19">
                  <c:v>1.7</c:v>
                </c:pt>
                <c:pt idx="20">
                  <c:v>3.9</c:v>
                </c:pt>
                <c:pt idx="21">
                  <c:v>4.7</c:v>
                </c:pt>
                <c:pt idx="22">
                  <c:v>4.7</c:v>
                </c:pt>
                <c:pt idx="23">
                  <c:v>3.4</c:v>
                </c:pt>
                <c:pt idx="24">
                  <c:v>3.7</c:v>
                </c:pt>
                <c:pt idx="25">
                  <c:v>3.6</c:v>
                </c:pt>
                <c:pt idx="26">
                  <c:v>2.8</c:v>
                </c:pt>
                <c:pt idx="27">
                  <c:v>3.4</c:v>
                </c:pt>
                <c:pt idx="28" formatCode="#\ ##0.0">
                  <c:v>3</c:v>
                </c:pt>
              </c:numCache>
            </c:numRef>
          </c:val>
          <c:smooth val="0"/>
          <c:extLst>
            <c:ext xmlns:c16="http://schemas.microsoft.com/office/drawing/2014/chart" uri="{C3380CC4-5D6E-409C-BE32-E72D297353CC}">
              <c16:uniqueId val="{00000007-CAD2-43BC-9FFE-C0863E4AB51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0"/>
          <a:lstStyle/>
          <a:p>
            <a:pPr>
              <a:defRPr/>
            </a:pPr>
            <a:endParaRPr lang="cs-CZ"/>
          </a:p>
        </c:txPr>
        <c:crossAx val="72829184"/>
        <c:crosses val="autoZero"/>
        <c:auto val="1"/>
        <c:lblAlgn val="ctr"/>
        <c:lblOffset val="0"/>
        <c:noMultiLvlLbl val="0"/>
      </c:catAx>
      <c:valAx>
        <c:axId val="72829184"/>
        <c:scaling>
          <c:orientation val="minMax"/>
          <c:max val="6"/>
          <c:min val="-18"/>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72827648"/>
        <c:crosses val="autoZero"/>
        <c:crossBetween val="between"/>
        <c:majorUnit val="3"/>
      </c:valAx>
      <c:spPr>
        <a:ln w="6350">
          <a:solidFill>
            <a:schemeClr val="tx1"/>
          </a:solidFill>
        </a:ln>
      </c:spPr>
    </c:plotArea>
    <c:legend>
      <c:legendPos val="b"/>
      <c:layout>
        <c:manualLayout>
          <c:xMode val="edge"/>
          <c:yMode val="edge"/>
          <c:x val="5.2473172038967411E-2"/>
          <c:y val="0.89790244414461118"/>
          <c:w val="0.92331254746729852"/>
          <c:h val="9.4064682258848412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1"/>
          <c:order val="0"/>
          <c:tx>
            <c:strRef>
              <c:f>'souhrnná výkonnost 3'!$F$5</c:f>
              <c:strCache>
                <c:ptCount val="1"/>
                <c:pt idx="0">
                  <c:v>Foreign trade balance</c:v>
                </c:pt>
              </c:strCache>
            </c:strRef>
          </c:tx>
          <c:spPr>
            <a:solidFill>
              <a:srgbClr val="7DBB2D"/>
            </a:solidFill>
            <a:ln>
              <a:noFill/>
            </a:ln>
          </c:spPr>
          <c:invertIfNegative val="0"/>
          <c:val>
            <c:numRef>
              <c:f>'souhrnná výkonnost 3'!$F$30:$F$51</c:f>
              <c:numCache>
                <c:formatCode>#\ ##0.0</c:formatCode>
                <c:ptCount val="22"/>
                <c:pt idx="0">
                  <c:v>-0.45416719953824236</c:v>
                </c:pt>
                <c:pt idx="1">
                  <c:v>-0.74378891592524266</c:v>
                </c:pt>
                <c:pt idx="2">
                  <c:v>-1.1266373010786319</c:v>
                </c:pt>
                <c:pt idx="3">
                  <c:v>0.26399371013949136</c:v>
                </c:pt>
                <c:pt idx="4">
                  <c:v>-0.10063574701283917</c:v>
                </c:pt>
                <c:pt idx="5">
                  <c:v>1.3529610725744319</c:v>
                </c:pt>
                <c:pt idx="6">
                  <c:v>1.4268251487477541</c:v>
                </c:pt>
                <c:pt idx="7">
                  <c:v>-1.1473798908006601</c:v>
                </c:pt>
                <c:pt idx="8">
                  <c:v>-2.0624772509655713</c:v>
                </c:pt>
                <c:pt idx="9">
                  <c:v>-9.0642749602481363</c:v>
                </c:pt>
                <c:pt idx="10">
                  <c:v>-1.0204260219992571</c:v>
                </c:pt>
                <c:pt idx="11">
                  <c:v>2.0095740720498343</c:v>
                </c:pt>
                <c:pt idx="12">
                  <c:v>-0.28507028363562315</c:v>
                </c:pt>
                <c:pt idx="13">
                  <c:v>4.4273326570028857</c:v>
                </c:pt>
                <c:pt idx="14">
                  <c:v>-5.8942461279131582</c:v>
                </c:pt>
                <c:pt idx="15">
                  <c:v>-6.4422946124320752</c:v>
                </c:pt>
                <c:pt idx="16">
                  <c:v>-1.8391101984644993</c:v>
                </c:pt>
                <c:pt idx="17">
                  <c:v>0.40419610251387095</c:v>
                </c:pt>
                <c:pt idx="18">
                  <c:v>4.1503989386715174</c:v>
                </c:pt>
                <c:pt idx="19">
                  <c:v>2.8839143571693651</c:v>
                </c:pt>
                <c:pt idx="20">
                  <c:v>2.683559220088791</c:v>
                </c:pt>
                <c:pt idx="21">
                  <c:v>2.515059894453425</c:v>
                </c:pt>
              </c:numCache>
            </c:numRef>
          </c:val>
          <c:extLst>
            <c:ext xmlns:c16="http://schemas.microsoft.com/office/drawing/2014/chart" uri="{C3380CC4-5D6E-409C-BE32-E72D297353CC}">
              <c16:uniqueId val="{00000000-F246-4BA6-B83D-D4C8D2AD70C3}"/>
            </c:ext>
          </c:extLst>
        </c:ser>
        <c:ser>
          <c:idx val="2"/>
          <c:order val="1"/>
          <c:tx>
            <c:strRef>
              <c:f>'souhrnná výkonnost 3'!$H$5</c:f>
              <c:strCache>
                <c:ptCount val="1"/>
                <c:pt idx="0">
                  <c:v>Change in inventories</c:v>
                </c:pt>
              </c:strCache>
            </c:strRef>
          </c:tx>
          <c:spPr>
            <a:solidFill>
              <a:srgbClr val="E8AFB2"/>
            </a:solidFill>
            <a:ln>
              <a:noFill/>
            </a:ln>
          </c:spPr>
          <c:invertIfNegative val="0"/>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3'!$H$30:$H$51</c:f>
              <c:numCache>
                <c:formatCode>#\ ##0.0</c:formatCode>
                <c:ptCount val="22"/>
                <c:pt idx="0">
                  <c:v>1.0524813582033086</c:v>
                </c:pt>
                <c:pt idx="1">
                  <c:v>-0.477776065152271</c:v>
                </c:pt>
                <c:pt idx="2">
                  <c:v>-0.35555734821242624</c:v>
                </c:pt>
                <c:pt idx="3">
                  <c:v>-1.4481535119733118</c:v>
                </c:pt>
                <c:pt idx="4">
                  <c:v>2.9922981882277922E-2</c:v>
                </c:pt>
                <c:pt idx="5">
                  <c:v>-1.2537553229299498</c:v>
                </c:pt>
                <c:pt idx="6">
                  <c:v>-0.57463433558824872</c:v>
                </c:pt>
                <c:pt idx="7">
                  <c:v>1.8085807340728093</c:v>
                </c:pt>
                <c:pt idx="8">
                  <c:v>0.91584880445412875</c:v>
                </c:pt>
                <c:pt idx="9">
                  <c:v>0.66860369572466505</c:v>
                </c:pt>
                <c:pt idx="10">
                  <c:v>-1.5736478906912497</c:v>
                </c:pt>
                <c:pt idx="11">
                  <c:v>-2.0771500306216089</c:v>
                </c:pt>
                <c:pt idx="12">
                  <c:v>2.4159623458993353</c:v>
                </c:pt>
                <c:pt idx="13">
                  <c:v>4.4035123965182708</c:v>
                </c:pt>
                <c:pt idx="14">
                  <c:v>6.5480200971506584</c:v>
                </c:pt>
                <c:pt idx="15">
                  <c:v>5.6378094597142576</c:v>
                </c:pt>
                <c:pt idx="16">
                  <c:v>1.7599138045171971</c:v>
                </c:pt>
                <c:pt idx="17">
                  <c:v>1.6830617792805977</c:v>
                </c:pt>
                <c:pt idx="18">
                  <c:v>-0.13522737694425829</c:v>
                </c:pt>
                <c:pt idx="19">
                  <c:v>6.801169123244423E-2</c:v>
                </c:pt>
                <c:pt idx="20">
                  <c:v>-1.0556412101943093</c:v>
                </c:pt>
                <c:pt idx="21">
                  <c:v>-2.5246196851242049</c:v>
                </c:pt>
              </c:numCache>
            </c:numRef>
          </c:val>
          <c:extLst>
            <c:ext xmlns:c16="http://schemas.microsoft.com/office/drawing/2014/chart" uri="{C3380CC4-5D6E-409C-BE32-E72D297353CC}">
              <c16:uniqueId val="{00000001-F246-4BA6-B83D-D4C8D2AD70C3}"/>
            </c:ext>
          </c:extLst>
        </c:ser>
        <c:ser>
          <c:idx val="3"/>
          <c:order val="2"/>
          <c:tx>
            <c:strRef>
              <c:f>'souhrnná výkonnost 3'!$G$5</c:f>
              <c:strCache>
                <c:ptCount val="1"/>
                <c:pt idx="0">
                  <c:v>Gross fixed capital formation</c:v>
                </c:pt>
              </c:strCache>
            </c:strRef>
          </c:tx>
          <c:spPr>
            <a:solidFill>
              <a:srgbClr val="BD1B21"/>
            </a:solidFill>
            <a:ln>
              <a:noFill/>
            </a:ln>
          </c:spPr>
          <c:invertIfNegative val="0"/>
          <c:val>
            <c:numRef>
              <c:f>'souhrnná výkonnost 3'!$G$30:$G$51</c:f>
              <c:numCache>
                <c:formatCode>#\ ##0.0</c:formatCode>
                <c:ptCount val="22"/>
                <c:pt idx="0">
                  <c:v>1.8848546995699593</c:v>
                </c:pt>
                <c:pt idx="1">
                  <c:v>2.053547364624257</c:v>
                </c:pt>
                <c:pt idx="2">
                  <c:v>2.2324390876929536</c:v>
                </c:pt>
                <c:pt idx="3">
                  <c:v>1.9592291913679716</c:v>
                </c:pt>
                <c:pt idx="4">
                  <c:v>1.6664742572861317</c:v>
                </c:pt>
                <c:pt idx="5">
                  <c:v>1.1031620490038367</c:v>
                </c:pt>
                <c:pt idx="6">
                  <c:v>0.60351051109238796</c:v>
                </c:pt>
                <c:pt idx="7">
                  <c:v>0.61015699901503462</c:v>
                </c:pt>
                <c:pt idx="8">
                  <c:v>-0.18505385313730383</c:v>
                </c:pt>
                <c:pt idx="9">
                  <c:v>0.26545371936590545</c:v>
                </c:pt>
                <c:pt idx="10">
                  <c:v>-1.1365453004257853</c:v>
                </c:pt>
                <c:pt idx="11">
                  <c:v>-1.5484962788918575</c:v>
                </c:pt>
                <c:pt idx="12">
                  <c:v>-1.1386301164844839</c:v>
                </c:pt>
                <c:pt idx="13">
                  <c:v>-1.6478950671691959</c:v>
                </c:pt>
                <c:pt idx="14">
                  <c:v>0.35561087195381563</c:v>
                </c:pt>
                <c:pt idx="15">
                  <c:v>0.78646457641002898</c:v>
                </c:pt>
                <c:pt idx="16">
                  <c:v>1.2056425074201889</c:v>
                </c:pt>
                <c:pt idx="17">
                  <c:v>0.94551509887167895</c:v>
                </c:pt>
                <c:pt idx="18">
                  <c:v>0.23606202143119678</c:v>
                </c:pt>
                <c:pt idx="19">
                  <c:v>-0.12541596439909738</c:v>
                </c:pt>
                <c:pt idx="20">
                  <c:v>-0.22886298711949785</c:v>
                </c:pt>
                <c:pt idx="21">
                  <c:v>0.80248259667338273</c:v>
                </c:pt>
              </c:numCache>
            </c:numRef>
          </c:val>
          <c:extLst>
            <c:ext xmlns:c16="http://schemas.microsoft.com/office/drawing/2014/chart" uri="{C3380CC4-5D6E-409C-BE32-E72D297353CC}">
              <c16:uniqueId val="{00000002-F246-4BA6-B83D-D4C8D2AD70C3}"/>
            </c:ext>
          </c:extLst>
        </c:ser>
        <c:ser>
          <c:idx val="5"/>
          <c:order val="4"/>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3'!$D$30:$D$51</c:f>
              <c:numCache>
                <c:formatCode>#\ ##0.0</c:formatCode>
                <c:ptCount val="22"/>
                <c:pt idx="0">
                  <c:v>1.540080312662943</c:v>
                </c:pt>
                <c:pt idx="1">
                  <c:v>1.2364606818393475</c:v>
                </c:pt>
                <c:pt idx="2">
                  <c:v>0.93963380194395907</c:v>
                </c:pt>
                <c:pt idx="3">
                  <c:v>0.9479187361797875</c:v>
                </c:pt>
                <c:pt idx="4">
                  <c:v>0.89975778114159266</c:v>
                </c:pt>
                <c:pt idx="5">
                  <c:v>1.2410325032352092</c:v>
                </c:pt>
                <c:pt idx="6">
                  <c:v>0.94788645941574889</c:v>
                </c:pt>
                <c:pt idx="7">
                  <c:v>1.3125840520821437</c:v>
                </c:pt>
                <c:pt idx="8">
                  <c:v>-1.0446704916645397</c:v>
                </c:pt>
                <c:pt idx="9">
                  <c:v>-3.3401453756905828</c:v>
                </c:pt>
                <c:pt idx="10">
                  <c:v>-1.8238505965980329</c:v>
                </c:pt>
                <c:pt idx="11">
                  <c:v>-4.3451439574225992</c:v>
                </c:pt>
                <c:pt idx="12">
                  <c:v>-2.8838668819945754</c:v>
                </c:pt>
                <c:pt idx="13">
                  <c:v>1.9930858902923905</c:v>
                </c:pt>
                <c:pt idx="14">
                  <c:v>1.7335129439561134</c:v>
                </c:pt>
                <c:pt idx="15">
                  <c:v>3.2860285615183655</c:v>
                </c:pt>
                <c:pt idx="16">
                  <c:v>3.1132919265413106</c:v>
                </c:pt>
                <c:pt idx="17">
                  <c:v>-0.20478152182535223</c:v>
                </c:pt>
                <c:pt idx="18">
                  <c:v>-2.6249574056935399</c:v>
                </c:pt>
                <c:pt idx="19">
                  <c:v>-2.9076885203083829</c:v>
                </c:pt>
                <c:pt idx="20">
                  <c:v>-2.5107364068622569</c:v>
                </c:pt>
                <c:pt idx="21">
                  <c:v>-1.8836388504096584</c:v>
                </c:pt>
              </c:numCache>
            </c:numRef>
          </c:val>
          <c:extLst>
            <c:ext xmlns:c16="http://schemas.microsoft.com/office/drawing/2014/chart" uri="{C3380CC4-5D6E-409C-BE32-E72D297353CC}">
              <c16:uniqueId val="{00000003-F246-4BA6-B83D-D4C8D2AD70C3}"/>
            </c:ext>
          </c:extLst>
        </c:ser>
        <c:ser>
          <c:idx val="4"/>
          <c:order val="5"/>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3'!$E$30:$E$51</c:f>
              <c:numCache>
                <c:formatCode>#\ ##0.0</c:formatCode>
                <c:ptCount val="22"/>
                <c:pt idx="0">
                  <c:v>0.59778499254771711</c:v>
                </c:pt>
                <c:pt idx="1">
                  <c:v>0.60746684411638396</c:v>
                </c:pt>
                <c:pt idx="2">
                  <c:v>0.87114555902277002</c:v>
                </c:pt>
                <c:pt idx="3">
                  <c:v>0.78687144586984825</c:v>
                </c:pt>
                <c:pt idx="4">
                  <c:v>0.42281243223978293</c:v>
                </c:pt>
                <c:pt idx="5">
                  <c:v>0.54406400829840962</c:v>
                </c:pt>
                <c:pt idx="6">
                  <c:v>0.56781285164264705</c:v>
                </c:pt>
                <c:pt idx="7">
                  <c:v>0.1803919620253871</c:v>
                </c:pt>
                <c:pt idx="8">
                  <c:v>0.86345208967516862</c:v>
                </c:pt>
                <c:pt idx="9">
                  <c:v>0.6351806117242722</c:v>
                </c:pt>
                <c:pt idx="10">
                  <c:v>0.3094590878382506</c:v>
                </c:pt>
                <c:pt idx="11">
                  <c:v>1.3407546216216208</c:v>
                </c:pt>
                <c:pt idx="12">
                  <c:v>-8.5095004004240429E-2</c:v>
                </c:pt>
                <c:pt idx="13">
                  <c:v>-5.328072108904397E-2</c:v>
                </c:pt>
                <c:pt idx="14">
                  <c:v>0.99915273207784439</c:v>
                </c:pt>
                <c:pt idx="15">
                  <c:v>6.8585362783250697E-2</c:v>
                </c:pt>
                <c:pt idx="16">
                  <c:v>0.32383662791128365</c:v>
                </c:pt>
                <c:pt idx="17">
                  <c:v>0.37450810976545279</c:v>
                </c:pt>
                <c:pt idx="18">
                  <c:v>-0.41396996520400314</c:v>
                </c:pt>
                <c:pt idx="19">
                  <c:v>8.6105307469658346E-2</c:v>
                </c:pt>
                <c:pt idx="20">
                  <c:v>0.67084488415714283</c:v>
                </c:pt>
                <c:pt idx="21">
                  <c:v>0.66982363300597136</c:v>
                </c:pt>
              </c:numCache>
            </c:numRef>
          </c:val>
          <c:extLst>
            <c:ext xmlns:c16="http://schemas.microsoft.com/office/drawing/2014/chart" uri="{C3380CC4-5D6E-409C-BE32-E72D297353CC}">
              <c16:uniqueId val="{00000004-F246-4BA6-B83D-D4C8D2AD70C3}"/>
            </c:ext>
          </c:extLst>
        </c:ser>
        <c:dLbls>
          <c:showLegendKey val="0"/>
          <c:showVal val="0"/>
          <c:showCatName val="0"/>
          <c:showSerName val="0"/>
          <c:showPercent val="0"/>
          <c:showBubbleSize val="0"/>
        </c:dLbls>
        <c:gapWidth val="90"/>
        <c:overlap val="100"/>
        <c:axId val="115206784"/>
        <c:axId val="115286400"/>
      </c:barChart>
      <c:lineChart>
        <c:grouping val="standard"/>
        <c:varyColors val="0"/>
        <c:ser>
          <c:idx val="0"/>
          <c:order val="3"/>
          <c:tx>
            <c:strRef>
              <c:f>'souhrnná výkonnost 3'!$C$5</c:f>
              <c:strCache>
                <c:ptCount val="1"/>
                <c:pt idx="0">
                  <c:v>GDP</c:v>
                </c:pt>
              </c:strCache>
            </c:strRef>
          </c:tx>
          <c:spPr>
            <a:ln>
              <a:solidFill>
                <a:prstClr val="black"/>
              </a:solidFill>
            </a:ln>
          </c:spPr>
          <c:marker>
            <c:symbol val="none"/>
          </c:marker>
          <c:cat>
            <c:multiLvlStrRef>
              <c:f>'souhrnná výkonnost 3'!$A$30:$B$51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3'!$C$30:$C$51</c:f>
              <c:numCache>
                <c:formatCode>#\ ##0.0</c:formatCode>
                <c:ptCount val="22"/>
                <c:pt idx="0">
                  <c:v>4.7410158709829062</c:v>
                </c:pt>
                <c:pt idx="1">
                  <c:v>2.8085121382809888</c:v>
                </c:pt>
                <c:pt idx="2">
                  <c:v>2.6946747602240038</c:v>
                </c:pt>
                <c:pt idx="3">
                  <c:v>2.632738011287671</c:v>
                </c:pt>
                <c:pt idx="4">
                  <c:v>2.9925808638806188</c:v>
                </c:pt>
                <c:pt idx="5">
                  <c:v>3.0577465249692608</c:v>
                </c:pt>
                <c:pt idx="6">
                  <c:v>3.0222812889930282</c:v>
                </c:pt>
                <c:pt idx="7">
                  <c:v>2.7919056462255583</c:v>
                </c:pt>
                <c:pt idx="8">
                  <c:v>-1.4738194413261567</c:v>
                </c:pt>
                <c:pt idx="9">
                  <c:v>-10.802865399708736</c:v>
                </c:pt>
                <c:pt idx="10">
                  <c:v>-5.2167494638705847</c:v>
                </c:pt>
                <c:pt idx="11">
                  <c:v>-4.5664750245340713</c:v>
                </c:pt>
                <c:pt idx="12">
                  <c:v>-1.9186323159540564</c:v>
                </c:pt>
                <c:pt idx="13">
                  <c:v>9.1792931219514742</c:v>
                </c:pt>
                <c:pt idx="14">
                  <c:v>3.8209037046074172</c:v>
                </c:pt>
                <c:pt idx="15">
                  <c:v>3.4133373401856772</c:v>
                </c:pt>
                <c:pt idx="16">
                  <c:v>4.6828065809266519</c:v>
                </c:pt>
                <c:pt idx="17">
                  <c:v>3.3595998605537005</c:v>
                </c:pt>
                <c:pt idx="18">
                  <c:v>1.3500706587594067</c:v>
                </c:pt>
                <c:pt idx="19">
                  <c:v>0.12009744011587031</c:v>
                </c:pt>
                <c:pt idx="20">
                  <c:v>-0.42288944612090518</c:v>
                </c:pt>
                <c:pt idx="21">
                  <c:v>-0.43493905219344242</c:v>
                </c:pt>
              </c:numCache>
            </c:numRef>
          </c:val>
          <c:smooth val="0"/>
          <c:extLst>
            <c:ext xmlns:c16="http://schemas.microsoft.com/office/drawing/2014/chart" uri="{C3380CC4-5D6E-409C-BE32-E72D297353CC}">
              <c16:uniqueId val="{00000005-F246-4BA6-B83D-D4C8D2AD70C3}"/>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2"/>
      </c:valAx>
      <c:spPr>
        <a:ln>
          <a:solidFill>
            <a:schemeClr val="tx1"/>
          </a:solidFill>
        </a:ln>
      </c:spPr>
    </c:plotArea>
    <c:legend>
      <c:legendPos val="b"/>
      <c:layout>
        <c:manualLayout>
          <c:xMode val="edge"/>
          <c:yMode val="edge"/>
          <c:x val="5.2922564529558701E-2"/>
          <c:y val="0.79687874638673362"/>
          <c:w val="0.93952929520758033"/>
          <c:h val="0.20312125361326638"/>
        </c:manualLayout>
      </c:layout>
      <c:overlay val="0"/>
      <c:spPr>
        <a:ln w="6350">
          <a:no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7DBB2D"/>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4'!$C$30:$C$51</c:f>
              <c:numCache>
                <c:formatCode>#\ ##0.0</c:formatCode>
                <c:ptCount val="22"/>
                <c:pt idx="0">
                  <c:v>3.2678809349882987E-2</c:v>
                </c:pt>
                <c:pt idx="1">
                  <c:v>7.1043352951455641E-2</c:v>
                </c:pt>
                <c:pt idx="2">
                  <c:v>0.13147416955081714</c:v>
                </c:pt>
                <c:pt idx="3">
                  <c:v>0.13557508385890887</c:v>
                </c:pt>
                <c:pt idx="4">
                  <c:v>7.3815312527439711E-2</c:v>
                </c:pt>
                <c:pt idx="5">
                  <c:v>8.6198359198018493E-2</c:v>
                </c:pt>
                <c:pt idx="6">
                  <c:v>0.109327705348608</c:v>
                </c:pt>
                <c:pt idx="7">
                  <c:v>0.13255154938774674</c:v>
                </c:pt>
                <c:pt idx="8">
                  <c:v>0.21545052259669253</c:v>
                </c:pt>
                <c:pt idx="9">
                  <c:v>0.2361993862853973</c:v>
                </c:pt>
                <c:pt idx="10">
                  <c:v>0.24181149955858286</c:v>
                </c:pt>
                <c:pt idx="11">
                  <c:v>0.21681429221385648</c:v>
                </c:pt>
                <c:pt idx="12">
                  <c:v>-0.19657363835640351</c:v>
                </c:pt>
                <c:pt idx="13">
                  <c:v>-0.34178536991297287</c:v>
                </c:pt>
                <c:pt idx="14">
                  <c:v>-0.37570182006417729</c:v>
                </c:pt>
                <c:pt idx="15">
                  <c:v>-0.37221295215760819</c:v>
                </c:pt>
                <c:pt idx="16">
                  <c:v>-0.16234638940102411</c:v>
                </c:pt>
                <c:pt idx="17">
                  <c:v>-0.13442866084554098</c:v>
                </c:pt>
                <c:pt idx="18">
                  <c:v>-0.14434356404006063</c:v>
                </c:pt>
                <c:pt idx="19">
                  <c:v>-0.2357601128797126</c:v>
                </c:pt>
                <c:pt idx="20">
                  <c:v>-5.1565071284767193E-2</c:v>
                </c:pt>
                <c:pt idx="21">
                  <c:v>-3.052007019091078E-2</c:v>
                </c:pt>
              </c:numCache>
            </c:numRef>
          </c:val>
          <c:extLst>
            <c:ext xmlns:c16="http://schemas.microsoft.com/office/drawing/2014/chart" uri="{C3380CC4-5D6E-409C-BE32-E72D297353CC}">
              <c16:uniqueId val="{00000000-46C1-46D0-80B7-5294314D8E15}"/>
            </c:ext>
          </c:extLst>
        </c:ser>
        <c:ser>
          <c:idx val="1"/>
          <c:order val="1"/>
          <c:tx>
            <c:strRef>
              <c:f>'souhrnná výkonnost 4'!$F$5</c:f>
              <c:strCache>
                <c:ptCount val="1"/>
                <c:pt idx="0">
                  <c:v>Construction</c:v>
                </c:pt>
              </c:strCache>
            </c:strRef>
          </c:tx>
          <c:spPr>
            <a:solidFill>
              <a:srgbClr val="7030A0"/>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4'!$F$30:$F$51</c:f>
              <c:numCache>
                <c:formatCode>#\ ##0.0</c:formatCode>
                <c:ptCount val="22"/>
                <c:pt idx="0">
                  <c:v>0.12203771789133691</c:v>
                </c:pt>
                <c:pt idx="1">
                  <c:v>2.721405326342801E-3</c:v>
                </c:pt>
                <c:pt idx="2">
                  <c:v>-1.6093365386526861E-2</c:v>
                </c:pt>
                <c:pt idx="3">
                  <c:v>-0.11938213609361673</c:v>
                </c:pt>
                <c:pt idx="4">
                  <c:v>-0.15414075128507621</c:v>
                </c:pt>
                <c:pt idx="5">
                  <c:v>-4.3532590886408484E-2</c:v>
                </c:pt>
                <c:pt idx="6">
                  <c:v>-0.10941238277351638</c:v>
                </c:pt>
                <c:pt idx="7">
                  <c:v>-9.85982071809543E-2</c:v>
                </c:pt>
                <c:pt idx="8">
                  <c:v>-0.33875372028708339</c:v>
                </c:pt>
                <c:pt idx="9">
                  <c:v>-0.70304287917967079</c:v>
                </c:pt>
                <c:pt idx="10">
                  <c:v>-0.63194153032185696</c:v>
                </c:pt>
                <c:pt idx="11">
                  <c:v>-0.61557506939559159</c:v>
                </c:pt>
                <c:pt idx="12">
                  <c:v>-0.50618553672420052</c:v>
                </c:pt>
                <c:pt idx="13">
                  <c:v>-8.0324212744330617E-2</c:v>
                </c:pt>
                <c:pt idx="14">
                  <c:v>-5.5314929764280841E-3</c:v>
                </c:pt>
                <c:pt idx="15">
                  <c:v>-4.514788295389504E-2</c:v>
                </c:pt>
                <c:pt idx="16">
                  <c:v>-7.962411739312307E-2</c:v>
                </c:pt>
                <c:pt idx="17">
                  <c:v>-0.27523677822990117</c:v>
                </c:pt>
                <c:pt idx="18">
                  <c:v>-0.50021356452078947</c:v>
                </c:pt>
                <c:pt idx="19">
                  <c:v>-0.5002872032383201</c:v>
                </c:pt>
                <c:pt idx="20">
                  <c:v>-0.28889790127219911</c:v>
                </c:pt>
                <c:pt idx="21">
                  <c:v>-0.15013455946663931</c:v>
                </c:pt>
              </c:numCache>
            </c:numRef>
          </c:val>
          <c:extLst>
            <c:ext xmlns:c16="http://schemas.microsoft.com/office/drawing/2014/chart" uri="{C3380CC4-5D6E-409C-BE32-E72D297353CC}">
              <c16:uniqueId val="{00000001-46C1-46D0-80B7-5294314D8E15}"/>
            </c:ext>
          </c:extLst>
        </c:ser>
        <c:ser>
          <c:idx val="2"/>
          <c:order val="2"/>
          <c:tx>
            <c:strRef>
              <c:f>'souhrnná výkonnost 4'!$E$5</c:f>
              <c:strCache>
                <c:ptCount val="1"/>
                <c:pt idx="0">
                  <c:v>Other industrial branches (CZ-NACE B,D,E)</c:v>
                </c:pt>
              </c:strCache>
            </c:strRef>
          </c:tx>
          <c:spPr>
            <a:solidFill>
              <a:srgbClr val="A6CDE8"/>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4'!$E$30:$E$51</c:f>
              <c:numCache>
                <c:formatCode>#\ ##0.0</c:formatCode>
                <c:ptCount val="22"/>
                <c:pt idx="0">
                  <c:v>-8.4827402194146195E-2</c:v>
                </c:pt>
                <c:pt idx="1">
                  <c:v>-2.6313910996506873E-3</c:v>
                </c:pt>
                <c:pt idx="2" formatCode="General">
                  <c:v>9.1594113054016615E-2</c:v>
                </c:pt>
                <c:pt idx="3" formatCode="General">
                  <c:v>-2.353224484028299E-2</c:v>
                </c:pt>
                <c:pt idx="4" formatCode="General">
                  <c:v>-0.22319978862492373</c:v>
                </c:pt>
                <c:pt idx="5" formatCode="General">
                  <c:v>-0.42608130827198054</c:v>
                </c:pt>
                <c:pt idx="6" formatCode="General">
                  <c:v>-0.63322416622310096</c:v>
                </c:pt>
                <c:pt idx="7" formatCode="General">
                  <c:v>-0.47005936665406045</c:v>
                </c:pt>
                <c:pt idx="8" formatCode="General">
                  <c:v>-0.39879519059346102</c:v>
                </c:pt>
                <c:pt idx="9" formatCode="General">
                  <c:v>-0.29594961815162701</c:v>
                </c:pt>
                <c:pt idx="10" formatCode="General">
                  <c:v>3.655842710272017E-2</c:v>
                </c:pt>
                <c:pt idx="11" formatCode="General">
                  <c:v>0.49474509851361503</c:v>
                </c:pt>
                <c:pt idx="12" formatCode="General">
                  <c:v>0.10268524637411161</c:v>
                </c:pt>
                <c:pt idx="13" formatCode="General">
                  <c:v>0.15208374901925303</c:v>
                </c:pt>
                <c:pt idx="14" formatCode="General">
                  <c:v>-8.3157118283756201E-2</c:v>
                </c:pt>
                <c:pt idx="15" formatCode="General">
                  <c:v>-0.23038326613496624</c:v>
                </c:pt>
                <c:pt idx="16" formatCode="General">
                  <c:v>-0.96496939035385698</c:v>
                </c:pt>
                <c:pt idx="17" formatCode="General">
                  <c:v>-1.028188536430038</c:v>
                </c:pt>
                <c:pt idx="18" formatCode="General">
                  <c:v>-1.0754299799558713</c:v>
                </c:pt>
                <c:pt idx="19" formatCode="General">
                  <c:v>-1.8164022619582574</c:v>
                </c:pt>
                <c:pt idx="20" formatCode="General">
                  <c:v>-0.3941579500422937</c:v>
                </c:pt>
                <c:pt idx="21" formatCode="General">
                  <c:v>-0.47940825133597675</c:v>
                </c:pt>
              </c:numCache>
            </c:numRef>
          </c:val>
          <c:extLst>
            <c:ext xmlns:c16="http://schemas.microsoft.com/office/drawing/2014/chart" uri="{C3380CC4-5D6E-409C-BE32-E72D297353CC}">
              <c16:uniqueId val="{00000002-46C1-46D0-80B7-5294314D8E15}"/>
            </c:ext>
          </c:extLst>
        </c:ser>
        <c:ser>
          <c:idx val="3"/>
          <c:order val="3"/>
          <c:tx>
            <c:strRef>
              <c:f>'souhrnná výkonnost 4'!$D$5</c:f>
              <c:strCache>
                <c:ptCount val="1"/>
                <c:pt idx="0">
                  <c:v>Manufacturing (CZ-NACE C)</c:v>
                </c:pt>
              </c:strCache>
            </c:strRef>
          </c:tx>
          <c:spPr>
            <a:solidFill>
              <a:srgbClr val="0071BC"/>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4'!$D$30:$D$51</c:f>
              <c:numCache>
                <c:formatCode>#\ ##0.0</c:formatCode>
                <c:ptCount val="22"/>
                <c:pt idx="0">
                  <c:v>1.4910459148201696</c:v>
                </c:pt>
                <c:pt idx="1">
                  <c:v>0.13833830178262252</c:v>
                </c:pt>
                <c:pt idx="2">
                  <c:v>1.1371114606629321E-2</c:v>
                </c:pt>
                <c:pt idx="3">
                  <c:v>0.33553515446267096</c:v>
                </c:pt>
                <c:pt idx="4">
                  <c:v>0.79394406110374971</c:v>
                </c:pt>
                <c:pt idx="5">
                  <c:v>1.3559231668786855</c:v>
                </c:pt>
                <c:pt idx="6">
                  <c:v>1.3631060989469754</c:v>
                </c:pt>
                <c:pt idx="7">
                  <c:v>0.99560862159706953</c:v>
                </c:pt>
                <c:pt idx="8">
                  <c:v>-1.1680575231725137</c:v>
                </c:pt>
                <c:pt idx="9">
                  <c:v>-5.889668293777361</c:v>
                </c:pt>
                <c:pt idx="10">
                  <c:v>-2.5137505183360016</c:v>
                </c:pt>
                <c:pt idx="11">
                  <c:v>-1.8978845716379917</c:v>
                </c:pt>
                <c:pt idx="12">
                  <c:v>0.17537901886028953</c:v>
                </c:pt>
                <c:pt idx="13">
                  <c:v>4.9740222929440279</c:v>
                </c:pt>
                <c:pt idx="14">
                  <c:v>0.20509799209873469</c:v>
                </c:pt>
                <c:pt idx="15">
                  <c:v>-0.48173040936348782</c:v>
                </c:pt>
                <c:pt idx="16">
                  <c:v>0.83288419096617161</c:v>
                </c:pt>
                <c:pt idx="17">
                  <c:v>1.2132518080186516</c:v>
                </c:pt>
                <c:pt idx="18">
                  <c:v>2.1267494750096816</c:v>
                </c:pt>
                <c:pt idx="19">
                  <c:v>2.7466658745830981</c:v>
                </c:pt>
                <c:pt idx="20">
                  <c:v>0.91069840352561748</c:v>
                </c:pt>
                <c:pt idx="21">
                  <c:v>0.87421092777172538</c:v>
                </c:pt>
              </c:numCache>
            </c:numRef>
          </c:val>
          <c:extLst>
            <c:ext xmlns:c16="http://schemas.microsoft.com/office/drawing/2014/chart" uri="{C3380CC4-5D6E-409C-BE32-E72D297353CC}">
              <c16:uniqueId val="{00000003-46C1-46D0-80B7-5294314D8E15}"/>
            </c:ext>
          </c:extLst>
        </c:ser>
        <c:ser>
          <c:idx val="0"/>
          <c:order val="4"/>
          <c:tx>
            <c:strRef>
              <c:f>'souhrnná výkonnost 4'!$G$5</c:f>
              <c:strCache>
                <c:ptCount val="1"/>
                <c:pt idx="0">
                  <c:v>Services (CZ-NACE G to U)</c:v>
                </c:pt>
              </c:strCache>
            </c:strRef>
          </c:tx>
          <c:spPr>
            <a:solidFill>
              <a:srgbClr val="BD1B21"/>
            </a:solidFill>
            <a:ln>
              <a:noFill/>
            </a:ln>
          </c:spPr>
          <c:invertIfNegative val="0"/>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4'!$G$30:$G$51</c:f>
              <c:numCache>
                <c:formatCode>#\ ##0.0</c:formatCode>
                <c:ptCount val="22"/>
                <c:pt idx="0">
                  <c:v>3.1237068943138615</c:v>
                </c:pt>
                <c:pt idx="1">
                  <c:v>2.7517321166092374</c:v>
                </c:pt>
                <c:pt idx="2" formatCode="General">
                  <c:v>2.7131816334348327</c:v>
                </c:pt>
                <c:pt idx="3" formatCode="General">
                  <c:v>2.6018048024583837</c:v>
                </c:pt>
                <c:pt idx="4" formatCode="General">
                  <c:v>2.4822220084523599</c:v>
                </c:pt>
                <c:pt idx="5" formatCode="General">
                  <c:v>2.1921234953504332</c:v>
                </c:pt>
                <c:pt idx="6" formatCode="General">
                  <c:v>2.1636986023312024</c:v>
                </c:pt>
                <c:pt idx="7" formatCode="General">
                  <c:v>2.1557420268059597</c:v>
                </c:pt>
                <c:pt idx="8" formatCode="General">
                  <c:v>0.58107492482466572</c:v>
                </c:pt>
                <c:pt idx="9" formatCode="General">
                  <c:v>-4.3400754756564188</c:v>
                </c:pt>
                <c:pt idx="10" formatCode="General">
                  <c:v>-1.9966606979356536</c:v>
                </c:pt>
                <c:pt idx="11" formatCode="General">
                  <c:v>-2.3417286799070345</c:v>
                </c:pt>
                <c:pt idx="12" formatCode="General">
                  <c:v>-1.4413683522936231</c:v>
                </c:pt>
                <c:pt idx="13" formatCode="General">
                  <c:v>4.6756952859719902</c:v>
                </c:pt>
                <c:pt idx="14" formatCode="General">
                  <c:v>3.758749287293734</c:v>
                </c:pt>
                <c:pt idx="15" formatCode="General">
                  <c:v>4.1104404660252252</c:v>
                </c:pt>
                <c:pt idx="16" formatCode="General">
                  <c:v>4.4078314303948014</c:v>
                </c:pt>
                <c:pt idx="17" formatCode="General">
                  <c:v>3.433776842192279</c:v>
                </c:pt>
                <c:pt idx="18" formatCode="General">
                  <c:v>0.99886480410734735</c:v>
                </c:pt>
                <c:pt idx="19" formatCode="General">
                  <c:v>0.62822985446220714</c:v>
                </c:pt>
                <c:pt idx="20" formatCode="General">
                  <c:v>0.88085528350362163</c:v>
                </c:pt>
                <c:pt idx="21" formatCode="General">
                  <c:v>0.33652509863648511</c:v>
                </c:pt>
              </c:numCache>
            </c:numRef>
          </c:val>
          <c:extLst>
            <c:ext xmlns:c16="http://schemas.microsoft.com/office/drawing/2014/chart" uri="{C3380CC4-5D6E-409C-BE32-E72D297353CC}">
              <c16:uniqueId val="{00000004-46C1-46D0-80B7-5294314D8E15}"/>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4'!$A$30:$B$51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2018</c:v>
                  </c:pt>
                  <c:pt idx="4">
                    <c:v>2019</c:v>
                  </c:pt>
                  <c:pt idx="8">
                    <c:v>2020</c:v>
                  </c:pt>
                  <c:pt idx="12">
                    <c:v>2021</c:v>
                  </c:pt>
                  <c:pt idx="16">
                    <c:v>2022</c:v>
                  </c:pt>
                  <c:pt idx="20">
                    <c:v>2023</c:v>
                  </c:pt>
                </c:lvl>
              </c:multiLvlStrCache>
            </c:multiLvlStrRef>
          </c:cat>
          <c:val>
            <c:numRef>
              <c:f>'souhrnná výkonnost 4'!$H$30:$H$51</c:f>
              <c:numCache>
                <c:formatCode>#\ ##0.0</c:formatCode>
                <c:ptCount val="22"/>
                <c:pt idx="0">
                  <c:v>4.7958884315215471</c:v>
                </c:pt>
                <c:pt idx="1">
                  <c:v>2.9611349370848927</c:v>
                </c:pt>
                <c:pt idx="2">
                  <c:v>2.9313757908427505</c:v>
                </c:pt>
                <c:pt idx="3">
                  <c:v>2.9300970074841501</c:v>
                </c:pt>
                <c:pt idx="4">
                  <c:v>2.9726357886500523</c:v>
                </c:pt>
                <c:pt idx="5">
                  <c:v>3.1648414337946065</c:v>
                </c:pt>
                <c:pt idx="6">
                  <c:v>2.8935535187896448</c:v>
                </c:pt>
                <c:pt idx="7">
                  <c:v>2.7150260301270777</c:v>
                </c:pt>
                <c:pt idx="8">
                  <c:v>-1.1091532796304051</c:v>
                </c:pt>
                <c:pt idx="9">
                  <c:v>-10.992463627261643</c:v>
                </c:pt>
                <c:pt idx="10">
                  <c:v>-4.8638909795719911</c:v>
                </c:pt>
                <c:pt idx="11">
                  <c:v>-4.1436644792680113</c:v>
                </c:pt>
                <c:pt idx="12">
                  <c:v>-1.8659927600573809</c:v>
                </c:pt>
                <c:pt idx="13">
                  <c:v>9.3795330142279596</c:v>
                </c:pt>
                <c:pt idx="14">
                  <c:v>3.4995046714904277</c:v>
                </c:pt>
                <c:pt idx="15">
                  <c:v>2.9809101848340589</c:v>
                </c:pt>
                <c:pt idx="16">
                  <c:v>4.033672517713228</c:v>
                </c:pt>
                <c:pt idx="17">
                  <c:v>3.2093274629342119</c:v>
                </c:pt>
                <c:pt idx="18">
                  <c:v>1.4055555931354888</c:v>
                </c:pt>
                <c:pt idx="19">
                  <c:v>0.82246982529750312</c:v>
                </c:pt>
                <c:pt idx="20">
                  <c:v>1.0568763024884049</c:v>
                </c:pt>
                <c:pt idx="21">
                  <c:v>0.55058034820891066</c:v>
                </c:pt>
              </c:numCache>
            </c:numRef>
          </c:val>
          <c:smooth val="0"/>
          <c:extLst>
            <c:ext xmlns:c16="http://schemas.microsoft.com/office/drawing/2014/chart" uri="{C3380CC4-5D6E-409C-BE32-E72D297353CC}">
              <c16:uniqueId val="{00000005-46C1-46D0-80B7-5294314D8E15}"/>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3"/>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69135712481071809"/>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IPP'!$R$27:$AY$27</c:f>
              <c:numCache>
                <c:formatCode>0.0</c:formatCode>
                <c:ptCount val="34"/>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-1.9134308617559559</c:v>
                </c:pt>
                <c:pt idx="29">
                  <c:v>6.7346726305186511E-2</c:v>
                </c:pt>
                <c:pt idx="30">
                  <c:v>5.6261275361156686</c:v>
                </c:pt>
                <c:pt idx="31">
                  <c:v>4.0481059565611357</c:v>
                </c:pt>
                <c:pt idx="32">
                  <c:v>4.8724307805941303</c:v>
                </c:pt>
                <c:pt idx="33">
                  <c:v>4.8421310753709612</c:v>
                </c:pt>
              </c:numCache>
            </c:numRef>
          </c:val>
          <c:extLst>
            <c:ext xmlns:c16="http://schemas.microsoft.com/office/drawing/2014/chart" uri="{C3380CC4-5D6E-409C-BE32-E72D297353CC}">
              <c16:uniqueId val="{00000000-3D19-4C70-85B8-BF6C4DC78FF4}"/>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IPP'!$R$28:$AY$28</c:f>
              <c:numCache>
                <c:formatCode>0.0</c:formatCode>
                <c:ptCount val="34"/>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9.4281733767757558E-2</c:v>
                </c:pt>
                <c:pt idx="29">
                  <c:v>0.14521370184093593</c:v>
                </c:pt>
                <c:pt idx="30">
                  <c:v>0.53336582814257549</c:v>
                </c:pt>
                <c:pt idx="31">
                  <c:v>0.60873804206286186</c:v>
                </c:pt>
                <c:pt idx="32">
                  <c:v>0.18587396804024281</c:v>
                </c:pt>
                <c:pt idx="33">
                  <c:v>7.4362013451117592E-2</c:v>
                </c:pt>
              </c:numCache>
            </c:numRef>
          </c:val>
          <c:extLst>
            <c:ext xmlns:c16="http://schemas.microsoft.com/office/drawing/2014/chart" uri="{C3380CC4-5D6E-409C-BE32-E72D297353CC}">
              <c16:uniqueId val="{00000001-3D19-4C70-85B8-BF6C4DC78FF4}"/>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IPP'!$R$29:$AY$29</c:f>
              <c:numCache>
                <c:formatCode>0.0</c:formatCode>
                <c:ptCount val="34"/>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0.38093703992586564</c:v>
                </c:pt>
                <c:pt idx="29">
                  <c:v>0.10479825284280025</c:v>
                </c:pt>
                <c:pt idx="30">
                  <c:v>0.49700568632045095</c:v>
                </c:pt>
                <c:pt idx="31">
                  <c:v>0.65908299677033788</c:v>
                </c:pt>
                <c:pt idx="32">
                  <c:v>0.33218182522755224</c:v>
                </c:pt>
                <c:pt idx="33">
                  <c:v>0.34822668483431446</c:v>
                </c:pt>
              </c:numCache>
            </c:numRef>
          </c:val>
          <c:extLst>
            <c:ext xmlns:c16="http://schemas.microsoft.com/office/drawing/2014/chart" uri="{C3380CC4-5D6E-409C-BE32-E72D297353CC}">
              <c16:uniqueId val="{00000002-3D19-4C70-85B8-BF6C4DC78FF4}"/>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IPP'!$R$30:$AY$30</c:f>
              <c:numCache>
                <c:formatCode>0.0</c:formatCode>
                <c:ptCount val="34"/>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0.14988190046361907</c:v>
                </c:pt>
                <c:pt idx="29">
                  <c:v>-0.43552695875331843</c:v>
                </c:pt>
                <c:pt idx="30">
                  <c:v>-0.39400819775201001</c:v>
                </c:pt>
                <c:pt idx="31">
                  <c:v>-0.25505671304535255</c:v>
                </c:pt>
                <c:pt idx="32">
                  <c:v>-0.35367147519159647</c:v>
                </c:pt>
                <c:pt idx="33">
                  <c:v>-0.15009408753219911</c:v>
                </c:pt>
              </c:numCache>
            </c:numRef>
          </c:val>
          <c:extLst>
            <c:ext xmlns:c16="http://schemas.microsoft.com/office/drawing/2014/chart" uri="{C3380CC4-5D6E-409C-BE32-E72D297353CC}">
              <c16:uniqueId val="{00000003-3D19-4C70-85B8-BF6C4DC78FF4}"/>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IPP'!$R$31:$AY$31</c:f>
              <c:numCache>
                <c:formatCode>0.0</c:formatCode>
                <c:ptCount val="34"/>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1.6785548675397836E-2</c:v>
                </c:pt>
                <c:pt idx="29">
                  <c:v>-1.1662751079334675E-2</c:v>
                </c:pt>
                <c:pt idx="30">
                  <c:v>6.608920861821449E-2</c:v>
                </c:pt>
                <c:pt idx="31">
                  <c:v>0.43636866713601108</c:v>
                </c:pt>
                <c:pt idx="32">
                  <c:v>0.15424282771829342</c:v>
                </c:pt>
                <c:pt idx="33">
                  <c:v>6.4644984673718306E-2</c:v>
                </c:pt>
              </c:numCache>
            </c:numRef>
          </c:val>
          <c:extLst>
            <c:ext xmlns:c16="http://schemas.microsoft.com/office/drawing/2014/chart" uri="{C3380CC4-5D6E-409C-BE32-E72D297353CC}">
              <c16:uniqueId val="{00000004-3D19-4C70-85B8-BF6C4DC78FF4}"/>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IPP'!$R$32:$AY$32</c:f>
              <c:numCache>
                <c:formatCode>0.0</c:formatCode>
                <c:ptCount val="34"/>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0.2517135468280205</c:v>
                </c:pt>
                <c:pt idx="29">
                  <c:v>0.17148055035811022</c:v>
                </c:pt>
                <c:pt idx="30">
                  <c:v>-8.8890710060444078E-2</c:v>
                </c:pt>
                <c:pt idx="31">
                  <c:v>-0.26763149558872612</c:v>
                </c:pt>
                <c:pt idx="32">
                  <c:v>-0.57253174056875167</c:v>
                </c:pt>
                <c:pt idx="33">
                  <c:v>-0.14472420150223325</c:v>
                </c:pt>
              </c:numCache>
            </c:numRef>
          </c:val>
          <c:extLst>
            <c:ext xmlns:c16="http://schemas.microsoft.com/office/drawing/2014/chart" uri="{C3380CC4-5D6E-409C-BE32-E72D297353CC}">
              <c16:uniqueId val="{00000005-3D19-4C70-85B8-BF6C4DC78FF4}"/>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IPP'!$R$33:$AY$33</c:f>
              <c:numCache>
                <c:formatCode>0.0</c:formatCode>
                <c:ptCount val="34"/>
                <c:pt idx="0">
                  <c:v>0.98358746940884245</c:v>
                </c:pt>
                <c:pt idx="1">
                  <c:v>0.89923246363091325</c:v>
                </c:pt>
                <c:pt idx="2">
                  <c:v>1.0053837817799574</c:v>
                </c:pt>
                <c:pt idx="3">
                  <c:v>-0.19974639261354676</c:v>
                </c:pt>
                <c:pt idx="4">
                  <c:v>0.24329990001740021</c:v>
                </c:pt>
                <c:pt idx="5">
                  <c:v>-0.35930073634947618</c:v>
                </c:pt>
                <c:pt idx="6">
                  <c:v>5.4611870755817526E-2</c:v>
                </c:pt>
                <c:pt idx="7">
                  <c:v>0.57938738739229823</c:v>
                </c:pt>
                <c:pt idx="8">
                  <c:v>0.10796722998385244</c:v>
                </c:pt>
                <c:pt idx="9">
                  <c:v>1.484966796227404</c:v>
                </c:pt>
                <c:pt idx="10">
                  <c:v>0.76494329225869084</c:v>
                </c:pt>
                <c:pt idx="11">
                  <c:v>0.9298110177603145</c:v>
                </c:pt>
                <c:pt idx="12">
                  <c:v>1.1595945228996394</c:v>
                </c:pt>
                <c:pt idx="13">
                  <c:v>0.67905455733759479</c:v>
                </c:pt>
                <c:pt idx="14">
                  <c:v>1.1071544502276871</c:v>
                </c:pt>
                <c:pt idx="15">
                  <c:v>0.4584448107077318</c:v>
                </c:pt>
                <c:pt idx="16">
                  <c:v>-4.2034374602800018E-2</c:v>
                </c:pt>
                <c:pt idx="17">
                  <c:v>4.7080538912348396E-2</c:v>
                </c:pt>
                <c:pt idx="18">
                  <c:v>-0.67715517865176933</c:v>
                </c:pt>
                <c:pt idx="19">
                  <c:v>-0.19783909206023381</c:v>
                </c:pt>
                <c:pt idx="20">
                  <c:v>7.5330777097780563E-2</c:v>
                </c:pt>
                <c:pt idx="21">
                  <c:v>-2.8438492263065807</c:v>
                </c:pt>
                <c:pt idx="22">
                  <c:v>8.8873578450232471E-2</c:v>
                </c:pt>
                <c:pt idx="23">
                  <c:v>0.13876281570829019</c:v>
                </c:pt>
                <c:pt idx="24">
                  <c:v>0.21014615403229484</c:v>
                </c:pt>
                <c:pt idx="25">
                  <c:v>5.1936386612240169</c:v>
                </c:pt>
                <c:pt idx="26">
                  <c:v>1.0321859362308032</c:v>
                </c:pt>
                <c:pt idx="27">
                  <c:v>0.89717493659966907</c:v>
                </c:pt>
                <c:pt idx="28">
                  <c:v>1.4486041643537613</c:v>
                </c:pt>
                <c:pt idx="29">
                  <c:v>0.43152950164995829</c:v>
                </c:pt>
                <c:pt idx="30">
                  <c:v>-0.55860056263710622</c:v>
                </c:pt>
                <c:pt idx="31">
                  <c:v>-0.67902760551175556</c:v>
                </c:pt>
                <c:pt idx="32">
                  <c:v>-2.249774013086582</c:v>
                </c:pt>
                <c:pt idx="33">
                  <c:v>-2.4285915196989674</c:v>
                </c:pt>
              </c:numCache>
            </c:numRef>
          </c:val>
          <c:extLst>
            <c:ext xmlns:c16="http://schemas.microsoft.com/office/drawing/2014/chart" uri="{C3380CC4-5D6E-409C-BE32-E72D297353CC}">
              <c16:uniqueId val="{00000006-3D19-4C70-85B8-BF6C4DC78FF4}"/>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IPP'!$R$34:$AY$34</c:f>
              <c:numCache>
                <c:formatCode>0.0</c:formatCode>
                <c:ptCount val="34"/>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-0.17516130075846131</c:v>
                </c:pt>
                <c:pt idx="29">
                  <c:v>0.27453065253565601</c:v>
                </c:pt>
                <c:pt idx="30">
                  <c:v>0.37988207575265759</c:v>
                </c:pt>
                <c:pt idx="31">
                  <c:v>-1.3729548731845103</c:v>
                </c:pt>
                <c:pt idx="32">
                  <c:v>-1.2157081226332949</c:v>
                </c:pt>
                <c:pt idx="33">
                  <c:v>-1.5181989153967126</c:v>
                </c:pt>
              </c:numCache>
            </c:numRef>
          </c:val>
          <c:extLst>
            <c:ext xmlns:c16="http://schemas.microsoft.com/office/drawing/2014/chart" uri="{C3380CC4-5D6E-409C-BE32-E72D297353CC}">
              <c16:uniqueId val="{00000007-3D19-4C70-85B8-BF6C4DC78FF4}"/>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IPP'!$R$35:$AY$35</c:f>
              <c:numCache>
                <c:formatCode>0.0</c:formatCode>
                <c:ptCount val="34"/>
                <c:pt idx="0">
                  <c:v>4.8516197114000059</c:v>
                </c:pt>
                <c:pt idx="1">
                  <c:v>5.3057646647000078</c:v>
                </c:pt>
                <c:pt idx="2">
                  <c:v>5.6509723288000364</c:v>
                </c:pt>
                <c:pt idx="3">
                  <c:v>2.4035243304999891</c:v>
                </c:pt>
                <c:pt idx="4">
                  <c:v>4.4795186778999661</c:v>
                </c:pt>
                <c:pt idx="5">
                  <c:v>2.5440704273000043</c:v>
                </c:pt>
                <c:pt idx="6">
                  <c:v>1.6941973048000005</c:v>
                </c:pt>
                <c:pt idx="7">
                  <c:v>3.512695594999983</c:v>
                </c:pt>
                <c:pt idx="8">
                  <c:v>4.7458417446999945</c:v>
                </c:pt>
                <c:pt idx="9">
                  <c:v>8.0826593817999992</c:v>
                </c:pt>
                <c:pt idx="10">
                  <c:v>6.5865810428999962</c:v>
                </c:pt>
                <c:pt idx="11">
                  <c:v>7.4885543312999943</c:v>
                </c:pt>
                <c:pt idx="12">
                  <c:v>4.2941434987999934</c:v>
                </c:pt>
                <c:pt idx="13">
                  <c:v>2.4045915341999926</c:v>
                </c:pt>
                <c:pt idx="14">
                  <c:v>3.7412027468000084</c:v>
                </c:pt>
                <c:pt idx="15">
                  <c:v>1.913126415899993</c:v>
                </c:pt>
                <c:pt idx="16">
                  <c:v>0.85990960209994793</c:v>
                </c:pt>
                <c:pt idx="17">
                  <c:v>0.98874527809999968</c:v>
                </c:pt>
                <c:pt idx="18">
                  <c:v>-1.2008161934000363</c:v>
                </c:pt>
                <c:pt idx="19">
                  <c:v>-2.0241899478999965</c:v>
                </c:pt>
                <c:pt idx="20">
                  <c:v>-4.408310722500012</c:v>
                </c:pt>
                <c:pt idx="21">
                  <c:v>-22.953075925300002</c:v>
                </c:pt>
                <c:pt idx="22">
                  <c:v>-2.7947559611999915</c:v>
                </c:pt>
                <c:pt idx="23">
                  <c:v>2.1023200511999836</c:v>
                </c:pt>
                <c:pt idx="24">
                  <c:v>4.2905022020000079</c:v>
                </c:pt>
                <c:pt idx="25">
                  <c:v>28.237467680700014</c:v>
                </c:pt>
                <c:pt idx="26">
                  <c:v>-8.5296171199999715E-2</c:v>
                </c:pt>
                <c:pt idx="27">
                  <c:v>-1.8829755502000003</c:v>
                </c:pt>
                <c:pt idx="28">
                  <c:v>0.25361177150000458</c:v>
                </c:pt>
                <c:pt idx="29">
                  <c:v>0.74770967569999414</c:v>
                </c:pt>
                <c:pt idx="30">
                  <c:v>6.0622390109000008</c:v>
                </c:pt>
                <c:pt idx="31">
                  <c:v>3.1781753375999955</c:v>
                </c:pt>
                <c:pt idx="32">
                  <c:v>1.153044050099993</c:v>
                </c:pt>
                <c:pt idx="33">
                  <c:v>1.0877560341999981</c:v>
                </c:pt>
              </c:numCache>
            </c:numRef>
          </c:val>
          <c:smooth val="0"/>
          <c:extLst>
            <c:ext xmlns:c16="http://schemas.microsoft.com/office/drawing/2014/chart" uri="{C3380CC4-5D6E-409C-BE32-E72D297353CC}">
              <c16:uniqueId val="{00000008-3D19-4C70-85B8-BF6C4DC78FF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IPP'!$R$36:$AY$36</c:f>
              <c:numCache>
                <c:formatCode>General</c:formatCode>
                <c:ptCount val="34"/>
              </c:numCache>
            </c:numRef>
          </c:val>
          <c:smooth val="0"/>
          <c:extLst>
            <c:ext xmlns:c16="http://schemas.microsoft.com/office/drawing/2014/chart" uri="{C3380CC4-5D6E-409C-BE32-E72D297353CC}">
              <c16:uniqueId val="{00000009-3D19-4C70-85B8-BF6C4DC78FF4}"/>
            </c:ext>
          </c:extLst>
        </c:ser>
        <c:ser>
          <c:idx val="10"/>
          <c:order val="10"/>
          <c:tx>
            <c:strRef>
              <c:f>'GRAF příspěvky IPP'!$A$37</c:f>
              <c:strCache>
                <c:ptCount val="1"/>
                <c:pt idx="0">
                  <c:v>Output, total industry CR (basis 2015=100)</c:v>
                </c:pt>
              </c:strCache>
            </c:strRef>
          </c:tx>
          <c:spPr>
            <a:ln w="15875">
              <a:solidFill>
                <a:schemeClr val="tx1">
                  <a:lumMod val="95000"/>
                  <a:lumOff val="5000"/>
                </a:schemeClr>
              </a:solidFill>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IPP'!$R$37:$AY$37</c:f>
              <c:numCache>
                <c:formatCode>##0.0</c:formatCode>
                <c:ptCount val="34"/>
                <c:pt idx="0">
                  <c:v>98.645602479999994</c:v>
                </c:pt>
                <c:pt idx="1">
                  <c:v>100.18242374</c:v>
                </c:pt>
                <c:pt idx="2">
                  <c:v>101.2850845633</c:v>
                </c:pt>
                <c:pt idx="3">
                  <c:v>100.52111345</c:v>
                </c:pt>
                <c:pt idx="4">
                  <c:v>103.0563593</c:v>
                </c:pt>
                <c:pt idx="5">
                  <c:v>102.5992794233</c:v>
                </c:pt>
                <c:pt idx="6">
                  <c:v>102.83954233670001</c:v>
                </c:pt>
                <c:pt idx="7">
                  <c:v>104.07328304329999</c:v>
                </c:pt>
                <c:pt idx="8">
                  <c:v>107.56794223670001</c:v>
                </c:pt>
                <c:pt idx="9">
                  <c:v>110.67653848</c:v>
                </c:pt>
                <c:pt idx="10">
                  <c:v>109.9586102967</c:v>
                </c:pt>
                <c:pt idx="11">
                  <c:v>112.16043972999999</c:v>
                </c:pt>
                <c:pt idx="12">
                  <c:v>112.4788675433</c:v>
                </c:pt>
                <c:pt idx="13">
                  <c:v>113.5077588267</c:v>
                </c:pt>
                <c:pt idx="14">
                  <c:v>114.2538401133</c:v>
                </c:pt>
                <c:pt idx="15">
                  <c:v>113.8813012367</c:v>
                </c:pt>
                <c:pt idx="16">
                  <c:v>113.3884428333</c:v>
                </c:pt>
                <c:pt idx="17">
                  <c:v>115.08486213330001</c:v>
                </c:pt>
                <c:pt idx="18">
                  <c:v>112.5355021167</c:v>
                </c:pt>
                <c:pt idx="19">
                  <c:v>111.4403992933</c:v>
                </c:pt>
                <c:pt idx="20">
                  <c:v>108.6749157867</c:v>
                </c:pt>
                <c:pt idx="21">
                  <c:v>88.9758235133</c:v>
                </c:pt>
                <c:pt idx="22">
                  <c:v>109.4050159767</c:v>
                </c:pt>
                <c:pt idx="23">
                  <c:v>113.95534517</c:v>
                </c:pt>
                <c:pt idx="24">
                  <c:v>112.2920782133</c:v>
                </c:pt>
                <c:pt idx="25">
                  <c:v>113.25779428</c:v>
                </c:pt>
                <c:pt idx="26">
                  <c:v>110.3519137733</c:v>
                </c:pt>
                <c:pt idx="27">
                  <c:v>111.22766090330001</c:v>
                </c:pt>
                <c:pt idx="28">
                  <c:v>113.38530769330001</c:v>
                </c:pt>
                <c:pt idx="29">
                  <c:v>114.35851683999999</c:v>
                </c:pt>
                <c:pt idx="30">
                  <c:v>116.57853470329999</c:v>
                </c:pt>
                <c:pt idx="31">
                  <c:v>115.05557292330001</c:v>
                </c:pt>
                <c:pt idx="32">
                  <c:v>114.4414711567</c:v>
                </c:pt>
                <c:pt idx="33">
                  <c:v>115.3566483</c:v>
                </c:pt>
              </c:numCache>
            </c:numRef>
          </c:val>
          <c:smooth val="0"/>
          <c:extLst>
            <c:ext xmlns:c16="http://schemas.microsoft.com/office/drawing/2014/chart" uri="{C3380CC4-5D6E-409C-BE32-E72D297353CC}">
              <c16:uniqueId val="{0000000A-3D19-4C70-85B8-BF6C4DC78FF4}"/>
            </c:ext>
          </c:extLst>
        </c:ser>
        <c:ser>
          <c:idx val="11"/>
          <c:order val="11"/>
          <c:tx>
            <c:strRef>
              <c:f>'GRAF příspěvky IPP'!$A$38</c:f>
              <c:strCache>
                <c:ptCount val="1"/>
                <c:pt idx="0">
                  <c:v>Output, total industry EU27 (2015=100)</c:v>
                </c:pt>
              </c:strCache>
            </c:strRef>
          </c:tx>
          <c:spPr>
            <a:ln w="15875">
              <a:solidFill>
                <a:schemeClr val="tx1">
                  <a:lumMod val="50000"/>
                  <a:lumOff val="50000"/>
                </a:schemeClr>
              </a:solidFill>
              <a:prstDash val="sys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IPP'!$R$38:$AY$38</c:f>
              <c:numCache>
                <c:formatCode>##0.0</c:formatCode>
                <c:ptCount val="34"/>
                <c:pt idx="0">
                  <c:v>99.3</c:v>
                </c:pt>
                <c:pt idx="1">
                  <c:v>100</c:v>
                </c:pt>
                <c:pt idx="2">
                  <c:v>100.4</c:v>
                </c:pt>
                <c:pt idx="3">
                  <c:v>100.4</c:v>
                </c:pt>
                <c:pt idx="4">
                  <c:v>101.5</c:v>
                </c:pt>
                <c:pt idx="5">
                  <c:v>101.2</c:v>
                </c:pt>
                <c:pt idx="6">
                  <c:v>101.4</c:v>
                </c:pt>
                <c:pt idx="7">
                  <c:v>102.9</c:v>
                </c:pt>
                <c:pt idx="8">
                  <c:v>102.9</c:v>
                </c:pt>
                <c:pt idx="9">
                  <c:v>104.1</c:v>
                </c:pt>
                <c:pt idx="10">
                  <c:v>105.6</c:v>
                </c:pt>
                <c:pt idx="11">
                  <c:v>107.8</c:v>
                </c:pt>
                <c:pt idx="12">
                  <c:v>106.1</c:v>
                </c:pt>
                <c:pt idx="13">
                  <c:v>106.7</c:v>
                </c:pt>
                <c:pt idx="14">
                  <c:v>106.4</c:v>
                </c:pt>
                <c:pt idx="15">
                  <c:v>106.5</c:v>
                </c:pt>
                <c:pt idx="16">
                  <c:v>107</c:v>
                </c:pt>
                <c:pt idx="17">
                  <c:v>106.7</c:v>
                </c:pt>
                <c:pt idx="18">
                  <c:v>105.9</c:v>
                </c:pt>
                <c:pt idx="19">
                  <c:v>105.1</c:v>
                </c:pt>
                <c:pt idx="20">
                  <c:v>102.3</c:v>
                </c:pt>
                <c:pt idx="21">
                  <c:v>86.5</c:v>
                </c:pt>
                <c:pt idx="22">
                  <c:v>100.5</c:v>
                </c:pt>
                <c:pt idx="23">
                  <c:v>105.5</c:v>
                </c:pt>
                <c:pt idx="24">
                  <c:v>107.2</c:v>
                </c:pt>
                <c:pt idx="25">
                  <c:v>107.2</c:v>
                </c:pt>
                <c:pt idx="26">
                  <c:v>107</c:v>
                </c:pt>
                <c:pt idx="27">
                  <c:v>108.9</c:v>
                </c:pt>
                <c:pt idx="28">
                  <c:v>110.2</c:v>
                </c:pt>
                <c:pt idx="29">
                  <c:v>110.7</c:v>
                </c:pt>
                <c:pt idx="30">
                  <c:v>111.5</c:v>
                </c:pt>
                <c:pt idx="31">
                  <c:v>110.9</c:v>
                </c:pt>
                <c:pt idx="32">
                  <c:v>110.6</c:v>
                </c:pt>
                <c:pt idx="33">
                  <c:v>109.5</c:v>
                </c:pt>
              </c:numCache>
            </c:numRef>
          </c:val>
          <c:smooth val="0"/>
          <c:extLst>
            <c:ext xmlns:c16="http://schemas.microsoft.com/office/drawing/2014/chart" uri="{C3380CC4-5D6E-409C-BE32-E72D297353CC}">
              <c16:uniqueId val="{0000000B-3D19-4C70-85B8-BF6C4DC78FF4}"/>
            </c:ext>
          </c:extLst>
        </c:ser>
        <c:ser>
          <c:idx val="12"/>
          <c:order val="12"/>
          <c:tx>
            <c:strRef>
              <c:f>'GRAF příspěvky IPP'!$A$39</c:f>
              <c:strCache>
                <c:ptCount val="1"/>
                <c:pt idx="0">
                  <c:v>Output, total industry Germany (2015=100)</c:v>
                </c:pt>
              </c:strCache>
            </c:strRef>
          </c:tx>
          <c:spPr>
            <a:ln w="15875">
              <a:solidFill>
                <a:srgbClr val="996633"/>
              </a:solidFill>
              <a:prstDash val="dash"/>
            </a:ln>
          </c:spPr>
          <c:marker>
            <c:symbol val="none"/>
          </c:marker>
          <c:cat>
            <c:multiLvlStrRef>
              <c:f>'GRAF příspěvky IPP'!$R$25:$AY$26</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IPP'!$R$39:$AY$39</c:f>
              <c:numCache>
                <c:formatCode>##0.0</c:formatCode>
                <c:ptCount val="34"/>
                <c:pt idx="0">
                  <c:v>99.1</c:v>
                </c:pt>
                <c:pt idx="1">
                  <c:v>100.3</c:v>
                </c:pt>
                <c:pt idx="2">
                  <c:v>100.1</c:v>
                </c:pt>
                <c:pt idx="3">
                  <c:v>99.6</c:v>
                </c:pt>
                <c:pt idx="4">
                  <c:v>100.7</c:v>
                </c:pt>
                <c:pt idx="5">
                  <c:v>100.3</c:v>
                </c:pt>
                <c:pt idx="6">
                  <c:v>100.6</c:v>
                </c:pt>
                <c:pt idx="7">
                  <c:v>100.7</c:v>
                </c:pt>
                <c:pt idx="8">
                  <c:v>101.2</c:v>
                </c:pt>
                <c:pt idx="9">
                  <c:v>103.2</c:v>
                </c:pt>
                <c:pt idx="10">
                  <c:v>104.9</c:v>
                </c:pt>
                <c:pt idx="11">
                  <c:v>105.7</c:v>
                </c:pt>
                <c:pt idx="12">
                  <c:v>105.1</c:v>
                </c:pt>
                <c:pt idx="13">
                  <c:v>105.9</c:v>
                </c:pt>
                <c:pt idx="14">
                  <c:v>104.8</c:v>
                </c:pt>
                <c:pt idx="15">
                  <c:v>103.3</c:v>
                </c:pt>
                <c:pt idx="16">
                  <c:v>103.2</c:v>
                </c:pt>
                <c:pt idx="17">
                  <c:v>102</c:v>
                </c:pt>
                <c:pt idx="18">
                  <c:v>100.8</c:v>
                </c:pt>
                <c:pt idx="19">
                  <c:v>99.2</c:v>
                </c:pt>
                <c:pt idx="20">
                  <c:v>97.7</c:v>
                </c:pt>
                <c:pt idx="21">
                  <c:v>80</c:v>
                </c:pt>
                <c:pt idx="22">
                  <c:v>91.4</c:v>
                </c:pt>
                <c:pt idx="23">
                  <c:v>97.3</c:v>
                </c:pt>
                <c:pt idx="24">
                  <c:v>97</c:v>
                </c:pt>
                <c:pt idx="25">
                  <c:v>96.4</c:v>
                </c:pt>
                <c:pt idx="26">
                  <c:v>93.8</c:v>
                </c:pt>
                <c:pt idx="27">
                  <c:v>96.1</c:v>
                </c:pt>
                <c:pt idx="28">
                  <c:v>95.8</c:v>
                </c:pt>
                <c:pt idx="29">
                  <c:v>95.2</c:v>
                </c:pt>
                <c:pt idx="30">
                  <c:v>95.7</c:v>
                </c:pt>
                <c:pt idx="31">
                  <c:v>95.3</c:v>
                </c:pt>
                <c:pt idx="32">
                  <c:v>96.2</c:v>
                </c:pt>
                <c:pt idx="33">
                  <c:v>95.1</c:v>
                </c:pt>
              </c:numCache>
            </c:numRef>
          </c:val>
          <c:smooth val="0"/>
          <c:extLst>
            <c:ext xmlns:c16="http://schemas.microsoft.com/office/drawing/2014/chart" uri="{C3380CC4-5D6E-409C-BE32-E72D297353CC}">
              <c16:uniqueId val="{0000000C-3D19-4C70-85B8-BF6C4DC78FF4}"/>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0"/>
          <c:min val="-25"/>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a:t>
                </a:r>
                <a:r>
                  <a:rPr lang="cs-CZ" sz="700" i="1">
                    <a:effectLst/>
                  </a:rPr>
                  <a:t>.</a:t>
                </a:r>
                <a:r>
                  <a:rPr lang="en-GB" sz="700" i="1">
                    <a:effectLst/>
                  </a:rPr>
                  <a:t> in sub-branches in the CR (contribution to growth)</a:t>
                </a:r>
                <a:endParaRPr lang="cs-CZ" sz="700">
                  <a:effectLst/>
                </a:endParaRPr>
              </a:p>
            </c:rich>
          </c:tx>
          <c:layout>
            <c:manualLayout>
              <c:xMode val="edge"/>
              <c:yMode val="edge"/>
              <c:x val="0"/>
              <c:y val="2.782649346962952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en-GB" sz="700" b="0" i="1" u="none" strike="noStrike" baseline="0">
                    <a:effectLst/>
                  </a:rPr>
                  <a:t>Output in industry (basis 2015=100)</a:t>
                </a:r>
                <a:endParaRPr lang="cs-CZ" sz="700" b="0" i="1">
                  <a:latin typeface="Arial" panose="020B0604020202020204" pitchFamily="34" charset="0"/>
                  <a:cs typeface="Arial" panose="020B0604020202020204" pitchFamily="34" charset="0"/>
                </a:endParaRPr>
              </a:p>
            </c:rich>
          </c:tx>
          <c:layout>
            <c:manualLayout>
              <c:xMode val="edge"/>
              <c:yMode val="edge"/>
              <c:x val="0.97040158454025283"/>
              <c:y val="0.1664992231222941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6"/>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6E-3"/>
          <c:y val="0.78956533796177808"/>
          <c:w val="0.98866589538224925"/>
          <c:h val="0.20327688625655532"/>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2'!$R$36:$AZ$36</c:f>
              <c:numCache>
                <c:formatCode>##0.0</c:formatCode>
                <c:ptCount val="35"/>
                <c:pt idx="0">
                  <c:v>8.5353894547999971</c:v>
                </c:pt>
                <c:pt idx="1">
                  <c:v>6.3740032441999972</c:v>
                </c:pt>
                <c:pt idx="2">
                  <c:v>6.0540271236999956</c:v>
                </c:pt>
                <c:pt idx="3">
                  <c:v>5.2610868973000038</c:v>
                </c:pt>
                <c:pt idx="4">
                  <c:v>2.6398924801000021</c:v>
                </c:pt>
                <c:pt idx="5">
                  <c:v>7.5233833736999998</c:v>
                </c:pt>
                <c:pt idx="6">
                  <c:v>2.3667401951999949</c:v>
                </c:pt>
                <c:pt idx="7">
                  <c:v>6.6372980220999978</c:v>
                </c:pt>
                <c:pt idx="8">
                  <c:v>7.264263741700006</c:v>
                </c:pt>
                <c:pt idx="9">
                  <c:v>8.2151073244999964</c:v>
                </c:pt>
                <c:pt idx="10">
                  <c:v>7.9541665196999958</c:v>
                </c:pt>
                <c:pt idx="11">
                  <c:v>7.3518853409999991</c:v>
                </c:pt>
                <c:pt idx="12">
                  <c:v>3.4479253911000001</c:v>
                </c:pt>
                <c:pt idx="13">
                  <c:v>3.7095478141000058</c:v>
                </c:pt>
                <c:pt idx="14">
                  <c:v>3.8047927777000012</c:v>
                </c:pt>
                <c:pt idx="15">
                  <c:v>3.0958525626000011</c:v>
                </c:pt>
                <c:pt idx="16">
                  <c:v>3.2186335616000008</c:v>
                </c:pt>
                <c:pt idx="17">
                  <c:v>1.4218114762000056</c:v>
                </c:pt>
                <c:pt idx="18">
                  <c:v>-0.25322037120000118</c:v>
                </c:pt>
                <c:pt idx="19">
                  <c:v>-3.8029715272000004</c:v>
                </c:pt>
                <c:pt idx="20">
                  <c:v>-2.0918519482000022</c:v>
                </c:pt>
                <c:pt idx="21">
                  <c:v>-27.667187618300005</c:v>
                </c:pt>
                <c:pt idx="22">
                  <c:v>-1.310591588500003</c:v>
                </c:pt>
                <c:pt idx="23">
                  <c:v>7.1560873369000007</c:v>
                </c:pt>
                <c:pt idx="24">
                  <c:v>8.4043556738999996</c:v>
                </c:pt>
                <c:pt idx="25">
                  <c:v>47.896596400899995</c:v>
                </c:pt>
                <c:pt idx="26">
                  <c:v>7.3132490553000054</c:v>
                </c:pt>
                <c:pt idx="27">
                  <c:v>3.5534586679000029</c:v>
                </c:pt>
                <c:pt idx="28">
                  <c:v>6.0307372501000032</c:v>
                </c:pt>
                <c:pt idx="29">
                  <c:v>9.7702291395000032</c:v>
                </c:pt>
                <c:pt idx="30">
                  <c:v>14.900137869199995</c:v>
                </c:pt>
                <c:pt idx="31">
                  <c:v>12.536924903200003</c:v>
                </c:pt>
                <c:pt idx="32">
                  <c:v>2.105044401699999</c:v>
                </c:pt>
                <c:pt idx="33">
                  <c:v>-2.5827554574999994</c:v>
                </c:pt>
              </c:numCache>
            </c:numRef>
          </c:val>
          <c:extLst>
            <c:ext xmlns:c16="http://schemas.microsoft.com/office/drawing/2014/chart" uri="{C3380CC4-5D6E-409C-BE32-E72D297353CC}">
              <c16:uniqueId val="{00000000-B796-47F9-A0F4-B6C9EDBC4B22}"/>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2'!$R$37:$AZ$37</c:f>
              <c:numCache>
                <c:formatCode>#\ ##0.0</c:formatCode>
                <c:ptCount val="35"/>
                <c:pt idx="0">
                  <c:v>4.3680291455000031</c:v>
                </c:pt>
                <c:pt idx="1">
                  <c:v>9.933767529299999</c:v>
                </c:pt>
                <c:pt idx="2">
                  <c:v>-2.8164715103000049</c:v>
                </c:pt>
                <c:pt idx="3">
                  <c:v>-0.26717379199999414</c:v>
                </c:pt>
                <c:pt idx="4">
                  <c:v>1.5962247260000026</c:v>
                </c:pt>
                <c:pt idx="5">
                  <c:v>1.3728557044999974</c:v>
                </c:pt>
                <c:pt idx="6">
                  <c:v>0.22425600770000642</c:v>
                </c:pt>
                <c:pt idx="7">
                  <c:v>2.8114611785999983</c:v>
                </c:pt>
                <c:pt idx="8">
                  <c:v>12.524366763299994</c:v>
                </c:pt>
                <c:pt idx="9">
                  <c:v>15.8456049001</c:v>
                </c:pt>
                <c:pt idx="10">
                  <c:v>15.9060172943</c:v>
                </c:pt>
                <c:pt idx="11">
                  <c:v>15.434615524600005</c:v>
                </c:pt>
                <c:pt idx="12">
                  <c:v>1.4469604142999941</c:v>
                </c:pt>
                <c:pt idx="13">
                  <c:v>2.4870435246999989</c:v>
                </c:pt>
                <c:pt idx="14">
                  <c:v>4.7255448690000037</c:v>
                </c:pt>
                <c:pt idx="15">
                  <c:v>3.4943150181999982</c:v>
                </c:pt>
                <c:pt idx="16">
                  <c:v>8.0495745223000057</c:v>
                </c:pt>
                <c:pt idx="17">
                  <c:v>5.3160296459000023</c:v>
                </c:pt>
                <c:pt idx="18">
                  <c:v>0.34661811540000542</c:v>
                </c:pt>
                <c:pt idx="19">
                  <c:v>-1.3207332955000055</c:v>
                </c:pt>
                <c:pt idx="20">
                  <c:v>5.5377026294000018</c:v>
                </c:pt>
                <c:pt idx="21">
                  <c:v>-25.895568979299995</c:v>
                </c:pt>
                <c:pt idx="22">
                  <c:v>-3.0276470073000041</c:v>
                </c:pt>
                <c:pt idx="23">
                  <c:v>6.9204263800999968</c:v>
                </c:pt>
                <c:pt idx="24">
                  <c:v>-2.8106372719999939</c:v>
                </c:pt>
                <c:pt idx="25">
                  <c:v>43.420786243099997</c:v>
                </c:pt>
                <c:pt idx="26">
                  <c:v>9.3034312719999974</c:v>
                </c:pt>
                <c:pt idx="27">
                  <c:v>5.3772359177000055</c:v>
                </c:pt>
                <c:pt idx="28">
                  <c:v>8.297580932200006</c:v>
                </c:pt>
                <c:pt idx="29">
                  <c:v>15.096545960499995</c:v>
                </c:pt>
                <c:pt idx="30">
                  <c:v>25.947982424900005</c:v>
                </c:pt>
                <c:pt idx="31">
                  <c:v>19.229193864400003</c:v>
                </c:pt>
                <c:pt idx="32">
                  <c:v>11.623446557099996</c:v>
                </c:pt>
                <c:pt idx="33">
                  <c:v>2.095125947300005</c:v>
                </c:pt>
              </c:numCache>
            </c:numRef>
          </c:val>
          <c:smooth val="0"/>
          <c:extLst>
            <c:ext xmlns:c16="http://schemas.microsoft.com/office/drawing/2014/chart" uri="{C3380CC4-5D6E-409C-BE32-E72D297353CC}">
              <c16:uniqueId val="{00000001-B796-47F9-A0F4-B6C9EDBC4B22}"/>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 capacities (all industry)</c:v>
                </c:pt>
              </c:strCache>
            </c:strRef>
          </c:tx>
          <c:spPr>
            <a:ln w="15875">
              <a:solidFill>
                <a:schemeClr val="accent6">
                  <a:lumMod val="75000"/>
                </a:schemeClr>
              </a:solidFill>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2'!$R$38:$AZ$38</c:f>
              <c:numCache>
                <c:formatCode>##0.0</c:formatCode>
                <c:ptCount val="35"/>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c:v>
                </c:pt>
                <c:pt idx="27">
                  <c:v>77.599999999999994</c:v>
                </c:pt>
                <c:pt idx="28">
                  <c:v>83.6</c:v>
                </c:pt>
                <c:pt idx="29">
                  <c:v>82.17</c:v>
                </c:pt>
                <c:pt idx="30">
                  <c:v>83.5</c:v>
                </c:pt>
                <c:pt idx="31">
                  <c:v>81.099999999999994</c:v>
                </c:pt>
                <c:pt idx="32">
                  <c:v>81.400000000000006</c:v>
                </c:pt>
                <c:pt idx="33">
                  <c:v>83.7</c:v>
                </c:pt>
                <c:pt idx="34">
                  <c:v>83.5</c:v>
                </c:pt>
              </c:numCache>
            </c:numRef>
          </c:val>
          <c:smooth val="0"/>
          <c:extLst>
            <c:ext xmlns:c16="http://schemas.microsoft.com/office/drawing/2014/chart" uri="{C3380CC4-5D6E-409C-BE32-E72D297353CC}">
              <c16:uniqueId val="{00000002-B796-47F9-A0F4-B6C9EDBC4B22}"/>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2'!$R$39:$AZ$39</c:f>
              <c:numCache>
                <c:formatCode>##0.0</c:formatCode>
                <c:ptCount val="35"/>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numCache>
            </c:numRef>
          </c:val>
          <c:smooth val="0"/>
          <c:extLst>
            <c:ext xmlns:c16="http://schemas.microsoft.com/office/drawing/2014/chart" uri="{C3380CC4-5D6E-409C-BE32-E72D297353CC}">
              <c16:uniqueId val="{00000003-B796-47F9-A0F4-B6C9EDBC4B22}"/>
            </c:ext>
          </c:extLst>
        </c:ser>
        <c:ser>
          <c:idx val="4"/>
          <c:order val="4"/>
          <c:tx>
            <c:strRef>
              <c:f>'výkonnost odvětví 2'!$A$40</c:f>
              <c:strCache>
                <c:ptCount val="1"/>
                <c:pt idx="0">
                  <c:v>Growth barrier: inadequate demand</c:v>
                </c:pt>
              </c:strCache>
            </c:strRef>
          </c:tx>
          <c:spPr>
            <a:ln w="15875">
              <a:solidFill>
                <a:srgbClr val="00B050"/>
              </a:solidFill>
              <a:prstDash val="solid"/>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2'!$R$40:$AZ$40</c:f>
              <c:numCache>
                <c:formatCode>#\ ##0.0</c:formatCode>
                <c:ptCount val="35"/>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numCache>
            </c:numRef>
          </c:val>
          <c:smooth val="0"/>
          <c:extLst>
            <c:ext xmlns:c16="http://schemas.microsoft.com/office/drawing/2014/chart" uri="{C3380CC4-5D6E-409C-BE32-E72D297353CC}">
              <c16:uniqueId val="{00000004-B796-47F9-A0F4-B6C9EDBC4B22}"/>
            </c:ext>
          </c:extLst>
        </c:ser>
        <c:ser>
          <c:idx val="5"/>
          <c:order val="5"/>
          <c:tx>
            <c:strRef>
              <c:f>'výkonnost odvětví 2'!$A$41</c:f>
              <c:strCache>
                <c:ptCount val="1"/>
                <c:pt idx="0">
                  <c:v>Growth barrier: lack of workers</c:v>
                </c:pt>
              </c:strCache>
            </c:strRef>
          </c:tx>
          <c:spPr>
            <a:ln w="15875">
              <a:solidFill>
                <a:schemeClr val="accent3">
                  <a:lumMod val="75000"/>
                </a:schemeClr>
              </a:solidFill>
              <a:prstDash val="sysDash"/>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2'!$R$41:$AZ$41</c:f>
              <c:numCache>
                <c:formatCode>#\ ##0.0</c:formatCode>
                <c:ptCount val="35"/>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numCache>
            </c:numRef>
          </c:val>
          <c:smooth val="0"/>
          <c:extLst>
            <c:ext xmlns:c16="http://schemas.microsoft.com/office/drawing/2014/chart" uri="{C3380CC4-5D6E-409C-BE32-E72D297353CC}">
              <c16:uniqueId val="{00000005-B796-47F9-A0F4-B6C9EDBC4B22}"/>
            </c:ext>
          </c:extLst>
        </c:ser>
        <c:ser>
          <c:idx val="6"/>
          <c:order val="6"/>
          <c:tx>
            <c:strRef>
              <c:f>'výkonnost odvětví 2'!$A$42</c:f>
              <c:strCache>
                <c:ptCount val="1"/>
                <c:pt idx="0">
                  <c:v>Growth barrier: shortage of material/equip.</c:v>
                </c:pt>
              </c:strCache>
            </c:strRef>
          </c:tx>
          <c:spPr>
            <a:ln w="15875">
              <a:solidFill>
                <a:srgbClr val="1EB222"/>
              </a:solidFill>
              <a:prstDash val="dashDot"/>
            </a:ln>
          </c:spPr>
          <c:marker>
            <c:symbol val="none"/>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2'!$R$42:$AZ$42</c:f>
              <c:numCache>
                <c:formatCode>#\ ##0.0</c:formatCode>
                <c:ptCount val="35"/>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pt idx="33">
                  <c:v>32.5</c:v>
                </c:pt>
                <c:pt idx="34">
                  <c:v>20.6</c:v>
                </c:pt>
              </c:numCache>
            </c:numRef>
          </c:val>
          <c:smooth val="0"/>
          <c:extLst>
            <c:ext xmlns:c16="http://schemas.microsoft.com/office/drawing/2014/chart" uri="{C3380CC4-5D6E-409C-BE32-E72D297353CC}">
              <c16:uniqueId val="{00000006-B796-47F9-A0F4-B6C9EDBC4B22}"/>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2'!$R$34:$AZ$35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2'!$R$43:$AZ$43</c:f>
              <c:numCache>
                <c:formatCode>#\ ##0.0</c:formatCode>
                <c:ptCount val="3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pt idx="33">
                  <c:v>-7</c:v>
                </c:pt>
                <c:pt idx="34">
                  <c:v>-7</c:v>
                </c:pt>
              </c:numCache>
            </c:numRef>
          </c:val>
          <c:smooth val="0"/>
          <c:extLst>
            <c:ext xmlns:c16="http://schemas.microsoft.com/office/drawing/2014/chart" uri="{C3380CC4-5D6E-409C-BE32-E72D297353CC}">
              <c16:uniqueId val="{00000007-B796-47F9-A0F4-B6C9EDBC4B22}"/>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Utilisation of prod</a:t>
                </a:r>
                <a:r>
                  <a:rPr lang="cs-CZ" sz="700" i="1">
                    <a:effectLst/>
                  </a:rPr>
                  <a:t>.</a:t>
                </a:r>
                <a:r>
                  <a:rPr lang="en-GB" sz="700" i="1">
                    <a:effectLst/>
                  </a:rPr>
                  <a:t> capacities, growth barriers, confidence</a:t>
                </a:r>
                <a:endParaRPr lang="cs-CZ" sz="700">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55E-2"/>
          <c:y val="0.85586448957034"/>
          <c:w val="0.98342327494608206"/>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chemeClr val="accent5">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3'!$Y$31:$Y$65</c:f>
              <c:numCache>
                <c:formatCode>0.0</c:formatCode>
                <c:ptCount val="35"/>
                <c:pt idx="0">
                  <c:v>6.1608280021117059</c:v>
                </c:pt>
                <c:pt idx="1">
                  <c:v>5.233145758167141</c:v>
                </c:pt>
                <c:pt idx="2">
                  <c:v>0.80759607612224849</c:v>
                </c:pt>
                <c:pt idx="3">
                  <c:v>-1.7801931736017562</c:v>
                </c:pt>
                <c:pt idx="4">
                  <c:v>-4.9260426394610795</c:v>
                </c:pt>
                <c:pt idx="5">
                  <c:v>-5.3893761554105222</c:v>
                </c:pt>
                <c:pt idx="6">
                  <c:v>0.86353074351830095</c:v>
                </c:pt>
                <c:pt idx="7">
                  <c:v>4.0249196212832841</c:v>
                </c:pt>
                <c:pt idx="8">
                  <c:v>1.9522274027606874</c:v>
                </c:pt>
                <c:pt idx="9">
                  <c:v>10.53618103638459</c:v>
                </c:pt>
                <c:pt idx="10">
                  <c:v>3.6081127397870372</c:v>
                </c:pt>
                <c:pt idx="11">
                  <c:v>2.5440603272321791</c:v>
                </c:pt>
                <c:pt idx="12">
                  <c:v>13.904954514953612</c:v>
                </c:pt>
                <c:pt idx="13">
                  <c:v>6.2181132474761158</c:v>
                </c:pt>
                <c:pt idx="14">
                  <c:v>7.7210558178298569</c:v>
                </c:pt>
                <c:pt idx="15">
                  <c:v>2.6259550657116648</c:v>
                </c:pt>
                <c:pt idx="16">
                  <c:v>2.9182336777181717</c:v>
                </c:pt>
                <c:pt idx="17">
                  <c:v>2.5364056565930473</c:v>
                </c:pt>
                <c:pt idx="18">
                  <c:v>-0.98563922125675008</c:v>
                </c:pt>
                <c:pt idx="19">
                  <c:v>2.5504281086949963</c:v>
                </c:pt>
                <c:pt idx="20">
                  <c:v>-0.49220764984023602</c:v>
                </c:pt>
                <c:pt idx="21">
                  <c:v>-7.4230457928670921</c:v>
                </c:pt>
                <c:pt idx="22">
                  <c:v>-7.0813271193038068</c:v>
                </c:pt>
                <c:pt idx="23">
                  <c:v>-8.6028814784154495</c:v>
                </c:pt>
                <c:pt idx="24">
                  <c:v>-5.1009695388914089</c:v>
                </c:pt>
                <c:pt idx="25">
                  <c:v>3.0560581093700785</c:v>
                </c:pt>
                <c:pt idx="26">
                  <c:v>3.0719025371360345</c:v>
                </c:pt>
                <c:pt idx="27">
                  <c:v>5.9460478744023355</c:v>
                </c:pt>
                <c:pt idx="28">
                  <c:v>7.6819685361320653</c:v>
                </c:pt>
                <c:pt idx="29">
                  <c:v>3.7814576445833739</c:v>
                </c:pt>
                <c:pt idx="30">
                  <c:v>-0.8532714293578485</c:v>
                </c:pt>
                <c:pt idx="31">
                  <c:v>-1.0455707862924815</c:v>
                </c:pt>
                <c:pt idx="32">
                  <c:v>1.2183773602147598</c:v>
                </c:pt>
                <c:pt idx="33">
                  <c:v>-1.442007466314668</c:v>
                </c:pt>
              </c:numCache>
            </c:numRef>
          </c:val>
          <c:extLst>
            <c:ext xmlns:c16="http://schemas.microsoft.com/office/drawing/2014/chart" uri="{C3380CC4-5D6E-409C-BE32-E72D297353CC}">
              <c16:uniqueId val="{00000000-12C0-4CBB-81B4-37CF6A8FB33E}"/>
            </c:ext>
          </c:extLst>
        </c:ser>
        <c:ser>
          <c:idx val="2"/>
          <c:order val="2"/>
          <c:tx>
            <c:strRef>
              <c:f>'výkonnost odvětví 3'!$Z$10</c:f>
              <c:strCache>
                <c:ptCount val="1"/>
                <c:pt idx="0">
                  <c:v>Civil engineering works (contribution)</c:v>
                </c:pt>
              </c:strCache>
            </c:strRef>
          </c:tx>
          <c:spPr>
            <a:solidFill>
              <a:schemeClr val="accent2">
                <a:lumMod val="60000"/>
                <a:lumOff val="40000"/>
              </a:schemeClr>
            </a:solidFill>
            <a:ln>
              <a:noFill/>
            </a:ln>
          </c:spPr>
          <c:invertIfNegative val="0"/>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3'!$Z$31:$Z$65</c:f>
              <c:numCache>
                <c:formatCode>0.0</c:formatCode>
                <c:ptCount val="35"/>
                <c:pt idx="0">
                  <c:v>3.0705403267338025</c:v>
                </c:pt>
                <c:pt idx="1">
                  <c:v>6.8741631874170235</c:v>
                </c:pt>
                <c:pt idx="2">
                  <c:v>6.9999177914089747</c:v>
                </c:pt>
                <c:pt idx="3">
                  <c:v>2.7886022034567057</c:v>
                </c:pt>
                <c:pt idx="4">
                  <c:v>-1.1526078736731089</c:v>
                </c:pt>
                <c:pt idx="5">
                  <c:v>-5.3513808653344856</c:v>
                </c:pt>
                <c:pt idx="6">
                  <c:v>-6.6686113975825858</c:v>
                </c:pt>
                <c:pt idx="7">
                  <c:v>-5.6971134882260328</c:v>
                </c:pt>
                <c:pt idx="8">
                  <c:v>-3.3555905673646329</c:v>
                </c:pt>
                <c:pt idx="9">
                  <c:v>-0.90415176747402504</c:v>
                </c:pt>
                <c:pt idx="10">
                  <c:v>-1.376901288471623</c:v>
                </c:pt>
                <c:pt idx="11">
                  <c:v>0.14984865454421992</c:v>
                </c:pt>
                <c:pt idx="12">
                  <c:v>1.8661234617319289</c:v>
                </c:pt>
                <c:pt idx="13">
                  <c:v>1.1653457222281625</c:v>
                </c:pt>
                <c:pt idx="14">
                  <c:v>4.7441915436444759</c:v>
                </c:pt>
                <c:pt idx="15">
                  <c:v>1.6256258958971179</c:v>
                </c:pt>
                <c:pt idx="16">
                  <c:v>0.73895008865178236</c:v>
                </c:pt>
                <c:pt idx="17">
                  <c:v>1.9508614834308369</c:v>
                </c:pt>
                <c:pt idx="18">
                  <c:v>0.52155296100802995</c:v>
                </c:pt>
                <c:pt idx="19">
                  <c:v>0.95967685432478556</c:v>
                </c:pt>
                <c:pt idx="20">
                  <c:v>3.1388269340693769</c:v>
                </c:pt>
                <c:pt idx="21">
                  <c:v>1.2056036060568245</c:v>
                </c:pt>
                <c:pt idx="22">
                  <c:v>-1.7953878786263235</c:v>
                </c:pt>
                <c:pt idx="23">
                  <c:v>0.41205027286168128</c:v>
                </c:pt>
                <c:pt idx="24">
                  <c:v>-3.6947321791003254E-2</c:v>
                </c:pt>
                <c:pt idx="25">
                  <c:v>0.86454694955435607</c:v>
                </c:pt>
                <c:pt idx="26">
                  <c:v>-0.16377223085432216</c:v>
                </c:pt>
                <c:pt idx="27">
                  <c:v>-0.95395400670827846</c:v>
                </c:pt>
                <c:pt idx="28">
                  <c:v>3.6238163873298963</c:v>
                </c:pt>
                <c:pt idx="29">
                  <c:v>0.20346823864492566</c:v>
                </c:pt>
                <c:pt idx="30">
                  <c:v>2.9020734708543463E-2</c:v>
                </c:pt>
                <c:pt idx="31">
                  <c:v>0.93743664957589101</c:v>
                </c:pt>
                <c:pt idx="32">
                  <c:v>-2.3836667110268435</c:v>
                </c:pt>
                <c:pt idx="33">
                  <c:v>-1.5467627595305431</c:v>
                </c:pt>
              </c:numCache>
            </c:numRef>
          </c:val>
          <c:extLst>
            <c:ext xmlns:c16="http://schemas.microsoft.com/office/drawing/2014/chart" uri="{C3380CC4-5D6E-409C-BE32-E72D297353CC}">
              <c16:uniqueId val="{00000001-12C0-4CBB-81B4-37CF6A8FB33E}"/>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3'!$X$31:$X$65</c:f>
              <c:numCache>
                <c:formatCode>0.0</c:formatCode>
                <c:ptCount val="35"/>
                <c:pt idx="0">
                  <c:v>9.2313683288455053</c:v>
                </c:pt>
                <c:pt idx="1">
                  <c:v>12.107308945584165</c:v>
                </c:pt>
                <c:pt idx="2">
                  <c:v>7.807513867531199</c:v>
                </c:pt>
                <c:pt idx="3">
                  <c:v>1.0084090298549313</c:v>
                </c:pt>
                <c:pt idx="4">
                  <c:v>-6.0786505131341926</c:v>
                </c:pt>
                <c:pt idx="5">
                  <c:v>-10.740757020745008</c:v>
                </c:pt>
                <c:pt idx="6">
                  <c:v>-5.8050806540642697</c:v>
                </c:pt>
                <c:pt idx="7">
                  <c:v>-1.6721938669427345</c:v>
                </c:pt>
                <c:pt idx="8">
                  <c:v>-1.4033631646039169</c:v>
                </c:pt>
                <c:pt idx="9">
                  <c:v>9.6320292689105571</c:v>
                </c:pt>
                <c:pt idx="10">
                  <c:v>2.2312114513154171</c:v>
                </c:pt>
                <c:pt idx="11">
                  <c:v>2.6939089817763744</c:v>
                </c:pt>
                <c:pt idx="12">
                  <c:v>15.771077976685532</c:v>
                </c:pt>
                <c:pt idx="13">
                  <c:v>7.3834589697042929</c:v>
                </c:pt>
                <c:pt idx="14">
                  <c:v>12.465247361474326</c:v>
                </c:pt>
                <c:pt idx="15">
                  <c:v>4.2515809616087807</c:v>
                </c:pt>
                <c:pt idx="16">
                  <c:v>3.6571837663699256</c:v>
                </c:pt>
                <c:pt idx="17">
                  <c:v>4.4872671400238744</c:v>
                </c:pt>
                <c:pt idx="18">
                  <c:v>-0.46408626024870614</c:v>
                </c:pt>
                <c:pt idx="19">
                  <c:v>3.5101049630197991</c:v>
                </c:pt>
                <c:pt idx="20">
                  <c:v>2.6466192842291605</c:v>
                </c:pt>
                <c:pt idx="21">
                  <c:v>-6.2174421868102741</c:v>
                </c:pt>
                <c:pt idx="22">
                  <c:v>-8.8767149979301365</c:v>
                </c:pt>
                <c:pt idx="23">
                  <c:v>-8.1908312055537777</c:v>
                </c:pt>
                <c:pt idx="24">
                  <c:v>-5.1379168606824095</c:v>
                </c:pt>
                <c:pt idx="25">
                  <c:v>3.920605058924437</c:v>
                </c:pt>
                <c:pt idx="26">
                  <c:v>2.9081303062816914</c:v>
                </c:pt>
                <c:pt idx="27">
                  <c:v>4.9920938676940523</c:v>
                </c:pt>
                <c:pt idx="28">
                  <c:v>11.305784923461971</c:v>
                </c:pt>
                <c:pt idx="29">
                  <c:v>3.9849258832282999</c:v>
                </c:pt>
                <c:pt idx="30">
                  <c:v>-0.82425069464929379</c:v>
                </c:pt>
                <c:pt idx="31">
                  <c:v>-0.10813413671660044</c:v>
                </c:pt>
                <c:pt idx="32">
                  <c:v>-1.1652893508120883</c:v>
                </c:pt>
                <c:pt idx="33">
                  <c:v>-2.9887702258452151</c:v>
                </c:pt>
              </c:numCache>
            </c:numRef>
          </c:val>
          <c:smooth val="0"/>
          <c:extLst>
            <c:ext xmlns:c16="http://schemas.microsoft.com/office/drawing/2014/chart" uri="{C3380CC4-5D6E-409C-BE32-E72D297353CC}">
              <c16:uniqueId val="{00000002-12C0-4CBB-81B4-37CF6A8FB33E}"/>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3'!$AA$31:$AA$65</c:f>
              <c:numCache>
                <c:formatCode>0.0</c:formatCode>
                <c:ptCount val="35"/>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pt idx="32">
                  <c:v>-11.830812069596632</c:v>
                </c:pt>
                <c:pt idx="33">
                  <c:v>-18.746380023175078</c:v>
                </c:pt>
              </c:numCache>
            </c:numRef>
          </c:val>
          <c:smooth val="0"/>
          <c:extLst>
            <c:ext xmlns:c16="http://schemas.microsoft.com/office/drawing/2014/chart" uri="{C3380CC4-5D6E-409C-BE32-E72D297353CC}">
              <c16:uniqueId val="{00000003-12C0-4CBB-81B4-37CF6A8FB33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c:v>
                </c:pt>
              </c:strCache>
            </c:strRef>
          </c:tx>
          <c:spPr>
            <a:ln w="15875">
              <a:solidFill>
                <a:srgbClr val="00B050"/>
              </a:solidFill>
              <a:prstDash val="solid"/>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3'!$AB$31:$AB$65</c:f>
              <c:numCache>
                <c:formatCode>#\ ##0.0</c:formatCode>
                <c:ptCount val="35"/>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32.299999999999997</c:v>
                </c:pt>
                <c:pt idx="34">
                  <c:v>36.299999999999997</c:v>
                </c:pt>
              </c:numCache>
            </c:numRef>
          </c:val>
          <c:smooth val="0"/>
          <c:extLst>
            <c:ext xmlns:c16="http://schemas.microsoft.com/office/drawing/2014/chart" uri="{C3380CC4-5D6E-409C-BE32-E72D297353CC}">
              <c16:uniqueId val="{00000004-12C0-4CBB-81B4-37CF6A8FB33E}"/>
            </c:ext>
          </c:extLst>
        </c:ser>
        <c:ser>
          <c:idx val="5"/>
          <c:order val="5"/>
          <c:tx>
            <c:strRef>
              <c:f>'výkonnost odvětví 3'!$AC$10</c:f>
              <c:strCache>
                <c:ptCount val="1"/>
                <c:pt idx="0">
                  <c:v>Growth barrier: lack of workers</c:v>
                </c:pt>
              </c:strCache>
            </c:strRef>
          </c:tx>
          <c:spPr>
            <a:ln w="15875">
              <a:solidFill>
                <a:srgbClr val="00B050"/>
              </a:solidFill>
              <a:prstDash val="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3'!$AC$31:$AC$65</c:f>
              <c:numCache>
                <c:formatCode>#\ ##0.0</c:formatCode>
                <c:ptCount val="35"/>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57.7</c:v>
                </c:pt>
                <c:pt idx="29">
                  <c:v>44.4</c:v>
                </c:pt>
                <c:pt idx="30">
                  <c:v>39.1</c:v>
                </c:pt>
                <c:pt idx="31">
                  <c:v>46.7</c:v>
                </c:pt>
                <c:pt idx="32">
                  <c:v>39.9</c:v>
                </c:pt>
                <c:pt idx="33">
                  <c:v>35.5</c:v>
                </c:pt>
                <c:pt idx="34">
                  <c:v>30.1</c:v>
                </c:pt>
              </c:numCache>
            </c:numRef>
          </c:val>
          <c:smooth val="0"/>
          <c:extLst>
            <c:ext xmlns:c16="http://schemas.microsoft.com/office/drawing/2014/chart" uri="{C3380CC4-5D6E-409C-BE32-E72D297353CC}">
              <c16:uniqueId val="{00000005-12C0-4CBB-81B4-37CF6A8FB33E}"/>
            </c:ext>
          </c:extLst>
        </c:ser>
        <c:ser>
          <c:idx val="6"/>
          <c:order val="6"/>
          <c:tx>
            <c:strRef>
              <c:f>'výkonnost odvětví 3'!$AD$10</c:f>
              <c:strCache>
                <c:ptCount val="1"/>
                <c:pt idx="0">
                  <c:v>Barrier: shortage of material/equipment</c:v>
                </c:pt>
              </c:strCache>
            </c:strRef>
          </c:tx>
          <c:spPr>
            <a:ln w="15875">
              <a:solidFill>
                <a:srgbClr val="37DD3B"/>
              </a:solidFill>
              <a:prstDash val="sysDash"/>
            </a:ln>
          </c:spPr>
          <c:marker>
            <c:symbol val="none"/>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3'!$AD$31:$AD$65</c:f>
              <c:numCache>
                <c:formatCode>#\ ##0.0</c:formatCode>
                <c:ptCount val="35"/>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numCache>
            </c:numRef>
          </c:val>
          <c:smooth val="0"/>
          <c:extLst>
            <c:ext xmlns:c16="http://schemas.microsoft.com/office/drawing/2014/chart" uri="{C3380CC4-5D6E-409C-BE32-E72D297353CC}">
              <c16:uniqueId val="{00000006-12C0-4CBB-81B4-37CF6A8FB33E}"/>
            </c:ext>
          </c:extLst>
        </c:ser>
        <c:ser>
          <c:idx val="7"/>
          <c:order val="7"/>
          <c:tx>
            <c:strRef>
              <c:f>'výkonnost odvětví 3'!$AE$10</c:f>
              <c:strCache>
                <c:ptCount val="1"/>
                <c:pt idx="0">
                  <c:v>Confidence indicator in construction</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3'!$V$31:$W$65</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3'!$AE$31:$AE$65</c:f>
              <c:numCache>
                <c:formatCode>0.0</c:formatCode>
                <c:ptCount val="3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numCache>
            </c:numRef>
          </c:val>
          <c:smooth val="0"/>
          <c:extLst>
            <c:ext xmlns:c16="http://schemas.microsoft.com/office/drawing/2014/chart" uri="{C3380CC4-5D6E-409C-BE32-E72D297353CC}">
              <c16:uniqueId val="{00000007-12C0-4CBB-81B4-37CF6A8FB33E}"/>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Construction output (contribution to growth)</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effectLst/>
                    <a:latin typeface="Arial" panose="020B0604020202020204" pitchFamily="34" charset="0"/>
                    <a:cs typeface="Arial" panose="020B0604020202020204" pitchFamily="34" charset="0"/>
                  </a:rPr>
                  <a:t>C</a:t>
                </a:r>
                <a:r>
                  <a:rPr lang="en-GB" sz="700" b="0" i="1">
                    <a:effectLst/>
                    <a:latin typeface="Arial" panose="020B0604020202020204" pitchFamily="34" charset="0"/>
                    <a:cs typeface="Arial" panose="020B0604020202020204" pitchFamily="34" charset="0"/>
                  </a:rPr>
                  <a:t>onfidence indicator, Growth barriers</a:t>
                </a:r>
                <a:endParaRPr lang="cs-CZ" sz="700" b="0">
                  <a:effectLst/>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850105788531439E-2"/>
          <c:y val="0.86289673926033716"/>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31E-2"/>
          <c:y val="1.5803328678987455E-2"/>
          <c:w val="0.84775483743554747"/>
          <c:h val="0.69902590308489432"/>
        </c:manualLayout>
      </c:layout>
      <c:barChart>
        <c:barDir val="col"/>
        <c:grouping val="stacked"/>
        <c:varyColors val="0"/>
        <c:ser>
          <c:idx val="0"/>
          <c:order val="1"/>
          <c:tx>
            <c:strRef>
              <c:f>'Služby-příspěvkyk růstu-4'!$D$33</c:f>
              <c:strCache>
                <c:ptCount val="1"/>
                <c:pt idx="0">
                  <c:v>Transportation &amp; storage (contribution)</c:v>
                </c:pt>
              </c:strCache>
            </c:strRef>
          </c:tx>
          <c:spPr>
            <a:solidFill>
              <a:srgbClr val="92D05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růstu-4'!$D$46:$D$80</c:f>
              <c:numCache>
                <c:formatCode>0.0</c:formatCode>
                <c:ptCount val="35"/>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-0.15017138784059969</c:v>
                </c:pt>
                <c:pt idx="25">
                  <c:v>6.9506599035744001</c:v>
                </c:pt>
                <c:pt idx="26">
                  <c:v>4.0996709945155994</c:v>
                </c:pt>
                <c:pt idx="27">
                  <c:v>4.5444705336066278</c:v>
                </c:pt>
                <c:pt idx="28">
                  <c:v>4.6413485285034968</c:v>
                </c:pt>
                <c:pt idx="29">
                  <c:v>4.7978183130189853</c:v>
                </c:pt>
                <c:pt idx="30">
                  <c:v>3.7715119455304702</c:v>
                </c:pt>
                <c:pt idx="31">
                  <c:v>-0.10260527547599901</c:v>
                </c:pt>
                <c:pt idx="32">
                  <c:v>-1.3478319744959981</c:v>
                </c:pt>
                <c:pt idx="33">
                  <c:v>-3.6318517020952465</c:v>
                </c:pt>
              </c:numCache>
            </c:numRef>
          </c:val>
          <c:extLst>
            <c:ext xmlns:c16="http://schemas.microsoft.com/office/drawing/2014/chart" uri="{C3380CC4-5D6E-409C-BE32-E72D297353CC}">
              <c16:uniqueId val="{00000000-93B7-41C3-A7CD-06C10D592C42}"/>
            </c:ext>
          </c:extLst>
        </c:ser>
        <c:ser>
          <c:idx val="1"/>
          <c:order val="2"/>
          <c:tx>
            <c:strRef>
              <c:f>'Služby-příspěvkyk růstu-4'!$E$33</c:f>
              <c:strCache>
                <c:ptCount val="1"/>
                <c:pt idx="0">
                  <c:v>Accommodation, food service (contribution)</c:v>
                </c:pt>
              </c:strCache>
            </c:strRef>
          </c:tx>
          <c:spPr>
            <a:solidFill>
              <a:srgbClr val="00B0F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růstu-4'!$E$46:$E$80</c:f>
              <c:numCache>
                <c:formatCode>0.0</c:formatCode>
                <c:ptCount val="35"/>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-3.6933845036437498</c:v>
                </c:pt>
                <c:pt idx="25">
                  <c:v>1.372408212714985</c:v>
                </c:pt>
                <c:pt idx="26">
                  <c:v>0.63617916285749976</c:v>
                </c:pt>
                <c:pt idx="27">
                  <c:v>2.8391165022808131</c:v>
                </c:pt>
                <c:pt idx="28">
                  <c:v>2.9561078391669002</c:v>
                </c:pt>
                <c:pt idx="29">
                  <c:v>2.6813701390722935</c:v>
                </c:pt>
                <c:pt idx="30">
                  <c:v>-0.42126370124067808</c:v>
                </c:pt>
                <c:pt idx="31">
                  <c:v>0.60066614945780028</c:v>
                </c:pt>
                <c:pt idx="32">
                  <c:v>0.54106440281159984</c:v>
                </c:pt>
                <c:pt idx="33">
                  <c:v>3.7104883741050136E-2</c:v>
                </c:pt>
              </c:numCache>
            </c:numRef>
          </c:val>
          <c:extLst>
            <c:ext xmlns:c16="http://schemas.microsoft.com/office/drawing/2014/chart" uri="{C3380CC4-5D6E-409C-BE32-E72D297353CC}">
              <c16:uniqueId val="{00000001-93B7-41C3-A7CD-06C10D592C42}"/>
            </c:ext>
          </c:extLst>
        </c:ser>
        <c:ser>
          <c:idx val="2"/>
          <c:order val="3"/>
          <c:tx>
            <c:strRef>
              <c:f>'Služby-příspěvkyk růstu-4'!$F$33</c:f>
              <c:strCache>
                <c:ptCount val="1"/>
                <c:pt idx="0">
                  <c:v>Information &amp; communication (contribution)</c:v>
                </c:pt>
              </c:strCache>
            </c:strRef>
          </c:tx>
          <c:spPr>
            <a:solidFill>
              <a:srgbClr val="E6E100"/>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růstu-4'!$F$46:$F$80</c:f>
              <c:numCache>
                <c:formatCode>0.0</c:formatCode>
                <c:ptCount val="35"/>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0.71316924858200104</c:v>
                </c:pt>
                <c:pt idx="25">
                  <c:v>1.548640695590165</c:v>
                </c:pt>
                <c:pt idx="26">
                  <c:v>1.4405780988855996</c:v>
                </c:pt>
                <c:pt idx="27">
                  <c:v>1.9065499671602735</c:v>
                </c:pt>
                <c:pt idx="28">
                  <c:v>1.4241015860772992</c:v>
                </c:pt>
                <c:pt idx="29">
                  <c:v>0.86579080876800041</c:v>
                </c:pt>
                <c:pt idx="30">
                  <c:v>0.69569690090645042</c:v>
                </c:pt>
                <c:pt idx="31">
                  <c:v>0.23551368312941098</c:v>
                </c:pt>
                <c:pt idx="32">
                  <c:v>0.50979013389719985</c:v>
                </c:pt>
                <c:pt idx="33">
                  <c:v>-0.21067253915528883</c:v>
                </c:pt>
              </c:numCache>
            </c:numRef>
          </c:val>
          <c:extLst>
            <c:ext xmlns:c16="http://schemas.microsoft.com/office/drawing/2014/chart" uri="{C3380CC4-5D6E-409C-BE32-E72D297353CC}">
              <c16:uniqueId val="{00000002-93B7-41C3-A7CD-06C10D592C42}"/>
            </c:ext>
          </c:extLst>
        </c:ser>
        <c:ser>
          <c:idx val="4"/>
          <c:order val="4"/>
          <c:tx>
            <c:strRef>
              <c:f>'Služby-příspěvkyk růstu-4'!$G$33</c:f>
              <c:strCache>
                <c:ptCount val="1"/>
                <c:pt idx="0">
                  <c:v>Real estate activities (contribution)</c:v>
                </c:pt>
              </c:strCache>
            </c:strRef>
          </c:tx>
          <c:spPr>
            <a:solidFill>
              <a:schemeClr val="accent5">
                <a:lumMod val="60000"/>
                <a:lumOff val="40000"/>
              </a:schemeClr>
            </a:solidFill>
            <a:ln>
              <a:noFill/>
              <a:prstDash val="sysDash"/>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růstu-4'!$G$46:$G$80</c:f>
              <c:numCache>
                <c:formatCode>0.0</c:formatCode>
                <c:ptCount val="35"/>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-0.2008543847649007</c:v>
                </c:pt>
                <c:pt idx="25">
                  <c:v>0.43434705815385044</c:v>
                </c:pt>
                <c:pt idx="26">
                  <c:v>2.9423998310004152E-3</c:v>
                </c:pt>
                <c:pt idx="27">
                  <c:v>0.23837123738399993</c:v>
                </c:pt>
                <c:pt idx="28">
                  <c:v>0.9317798842872006</c:v>
                </c:pt>
                <c:pt idx="29">
                  <c:v>0.47103938028000014</c:v>
                </c:pt>
                <c:pt idx="30">
                  <c:v>0.2414818328289475</c:v>
                </c:pt>
                <c:pt idx="31">
                  <c:v>0.36276827914999998</c:v>
                </c:pt>
                <c:pt idx="32">
                  <c:v>-2.9053651535999963E-2</c:v>
                </c:pt>
                <c:pt idx="33">
                  <c:v>-0.21207411126600276</c:v>
                </c:pt>
              </c:numCache>
            </c:numRef>
          </c:val>
          <c:extLst>
            <c:ext xmlns:c16="http://schemas.microsoft.com/office/drawing/2014/chart" uri="{C3380CC4-5D6E-409C-BE32-E72D297353CC}">
              <c16:uniqueId val="{00000003-93B7-41C3-A7CD-06C10D592C42}"/>
            </c:ext>
          </c:extLst>
        </c:ser>
        <c:ser>
          <c:idx val="5"/>
          <c:order val="5"/>
          <c:tx>
            <c:strRef>
              <c:f>'Služby-příspěvkyk růstu-4'!$H$33</c:f>
              <c:strCache>
                <c:ptCount val="1"/>
                <c:pt idx="0">
                  <c:v>Professional, scientific &amp; technic. act. (contr.)</c:v>
                </c:pt>
              </c:strCache>
            </c:strRef>
          </c:tx>
          <c:spPr>
            <a:solidFill>
              <a:schemeClr val="accent6">
                <a:lumMod val="60000"/>
                <a:lumOff val="4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růstu-4'!$H$46:$H$80</c:f>
              <c:numCache>
                <c:formatCode>0.0</c:formatCode>
                <c:ptCount val="35"/>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-1.5897570854689647</c:v>
                </c:pt>
                <c:pt idx="25">
                  <c:v>2.7177633580318017</c:v>
                </c:pt>
                <c:pt idx="26">
                  <c:v>1.7630975025485993</c:v>
                </c:pt>
                <c:pt idx="27">
                  <c:v>2.0930310136979364</c:v>
                </c:pt>
                <c:pt idx="28">
                  <c:v>2.2703464324548008</c:v>
                </c:pt>
                <c:pt idx="29">
                  <c:v>1.2338620529777764</c:v>
                </c:pt>
                <c:pt idx="30">
                  <c:v>1.0045707012391294</c:v>
                </c:pt>
                <c:pt idx="31">
                  <c:v>3.1260807364285527E-2</c:v>
                </c:pt>
                <c:pt idx="32">
                  <c:v>0.49853595385350025</c:v>
                </c:pt>
                <c:pt idx="33">
                  <c:v>0.80402607013840077</c:v>
                </c:pt>
              </c:numCache>
            </c:numRef>
          </c:val>
          <c:extLst>
            <c:ext xmlns:c16="http://schemas.microsoft.com/office/drawing/2014/chart" uri="{C3380CC4-5D6E-409C-BE32-E72D297353CC}">
              <c16:uniqueId val="{00000004-93B7-41C3-A7CD-06C10D592C42}"/>
            </c:ext>
          </c:extLst>
        </c:ser>
        <c:ser>
          <c:idx val="6"/>
          <c:order val="6"/>
          <c:tx>
            <c:strRef>
              <c:f>'Služby-příspěvkyk růstu-4'!$I$33</c:f>
              <c:strCache>
                <c:ptCount val="1"/>
                <c:pt idx="0">
                  <c:v>Administrative &amp; support service act. (contr.)</c:v>
                </c:pt>
              </c:strCache>
            </c:strRef>
          </c:tx>
          <c:spPr>
            <a:solidFill>
              <a:schemeClr val="accent1">
                <a:lumMod val="20000"/>
                <a:lumOff val="80000"/>
              </a:schemeClr>
            </a:solidFill>
            <a:ln>
              <a:noFill/>
            </a:ln>
          </c:spPr>
          <c:invertIfNegative val="0"/>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růstu-4'!$I$46:$I$80</c:f>
              <c:numCache>
                <c:formatCode>0.0</c:formatCode>
                <c:ptCount val="35"/>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-1.4732703403764005</c:v>
                </c:pt>
                <c:pt idx="25">
                  <c:v>1.7697809683939403</c:v>
                </c:pt>
                <c:pt idx="26">
                  <c:v>1.8505450464600004</c:v>
                </c:pt>
                <c:pt idx="27">
                  <c:v>1.0498709638992363</c:v>
                </c:pt>
                <c:pt idx="28">
                  <c:v>1.842231904701936</c:v>
                </c:pt>
                <c:pt idx="29">
                  <c:v>2.1447223452546726</c:v>
                </c:pt>
                <c:pt idx="30">
                  <c:v>1.8858572291093003</c:v>
                </c:pt>
                <c:pt idx="31">
                  <c:v>0.46980802110479969</c:v>
                </c:pt>
                <c:pt idx="32">
                  <c:v>-0.4120820693496004</c:v>
                </c:pt>
                <c:pt idx="33">
                  <c:v>-0.12512264228690917</c:v>
                </c:pt>
              </c:numCache>
            </c:numRef>
          </c:val>
          <c:extLst>
            <c:ext xmlns:c16="http://schemas.microsoft.com/office/drawing/2014/chart" uri="{C3380CC4-5D6E-409C-BE32-E72D297353CC}">
              <c16:uniqueId val="{00000005-93B7-41C3-A7CD-06C10D592C42}"/>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 (y-o-y change)</c:v>
                </c:pt>
              </c:strCache>
            </c:strRef>
          </c:tx>
          <c:spPr>
            <a:ln>
              <a:noFill/>
            </a:ln>
          </c:spPr>
          <c:marker>
            <c:symbol val="dot"/>
            <c:size val="7"/>
            <c:spPr>
              <a:solidFill>
                <a:schemeClr val="tx1">
                  <a:lumMod val="95000"/>
                  <a:lumOff val="5000"/>
                </a:schemeClr>
              </a:solidFill>
              <a:ln>
                <a:no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růstu-4'!$C$46:$C$80</c:f>
              <c:numCache>
                <c:formatCode>0.0</c:formatCode>
                <c:ptCount val="35"/>
                <c:pt idx="0">
                  <c:v>3.3389757055000047</c:v>
                </c:pt>
                <c:pt idx="1">
                  <c:v>2.7067050277999982</c:v>
                </c:pt>
                <c:pt idx="2">
                  <c:v>3.2709178655999978</c:v>
                </c:pt>
                <c:pt idx="3">
                  <c:v>2.2089354800999956</c:v>
                </c:pt>
                <c:pt idx="4">
                  <c:v>1.3188134916999985</c:v>
                </c:pt>
                <c:pt idx="5">
                  <c:v>-0.87184735920000378</c:v>
                </c:pt>
                <c:pt idx="6">
                  <c:v>1.4329163225999935</c:v>
                </c:pt>
                <c:pt idx="7">
                  <c:v>1.6231078297000039</c:v>
                </c:pt>
                <c:pt idx="8">
                  <c:v>5.6612801194000042</c:v>
                </c:pt>
                <c:pt idx="9">
                  <c:v>5.4428853814000036</c:v>
                </c:pt>
                <c:pt idx="10">
                  <c:v>3.3993920882000026</c:v>
                </c:pt>
                <c:pt idx="11">
                  <c:v>2.5070727970000064</c:v>
                </c:pt>
                <c:pt idx="12">
                  <c:v>5.0684890596999992</c:v>
                </c:pt>
                <c:pt idx="13">
                  <c:v>3.4835722000999993</c:v>
                </c:pt>
                <c:pt idx="14">
                  <c:v>3.6922427452000051</c:v>
                </c:pt>
                <c:pt idx="15">
                  <c:v>1.0703178197999961</c:v>
                </c:pt>
                <c:pt idx="16">
                  <c:v>3.577388802599998</c:v>
                </c:pt>
                <c:pt idx="17">
                  <c:v>1.9755475901000068</c:v>
                </c:pt>
                <c:pt idx="18">
                  <c:v>-0.812461414699996</c:v>
                </c:pt>
                <c:pt idx="19">
                  <c:v>-0.15760277260000066</c:v>
                </c:pt>
                <c:pt idx="20">
                  <c:v>-3.7058485394999963</c:v>
                </c:pt>
                <c:pt idx="21">
                  <c:v>-19.646669998500002</c:v>
                </c:pt>
                <c:pt idx="22">
                  <c:v>-12.602196924200001</c:v>
                </c:pt>
                <c:pt idx="23">
                  <c:v>-10.913780029099996</c:v>
                </c:pt>
                <c:pt idx="24">
                  <c:v>-6.4008194153999938</c:v>
                </c:pt>
                <c:pt idx="25">
                  <c:v>14.785941922700005</c:v>
                </c:pt>
                <c:pt idx="26">
                  <c:v>9.8363909517999986</c:v>
                </c:pt>
                <c:pt idx="27">
                  <c:v>12.659313517100003</c:v>
                </c:pt>
                <c:pt idx="28">
                  <c:v>14.074786841800005</c:v>
                </c:pt>
                <c:pt idx="29">
                  <c:v>12.2638927088</c:v>
                </c:pt>
                <c:pt idx="30">
                  <c:v>7.1865401442999968</c:v>
                </c:pt>
                <c:pt idx="31">
                  <c:v>1.6032947772999933</c:v>
                </c:pt>
                <c:pt idx="32">
                  <c:v>-0.26218876490000298</c:v>
                </c:pt>
                <c:pt idx="33">
                  <c:v>-3.3386251069999986</c:v>
                </c:pt>
              </c:numCache>
            </c:numRef>
          </c:val>
          <c:smooth val="0"/>
          <c:extLst>
            <c:ext xmlns:c16="http://schemas.microsoft.com/office/drawing/2014/chart" uri="{C3380CC4-5D6E-409C-BE32-E72D297353CC}">
              <c16:uniqueId val="{00000006-93B7-41C3-A7CD-06C10D592C4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růstu-4'!$J$46:$J$80</c:f>
              <c:numCache>
                <c:formatCode>#\ ##0.0</c:formatCode>
                <c:ptCount val="35"/>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numCache>
            </c:numRef>
          </c:val>
          <c:smooth val="0"/>
          <c:extLst>
            <c:ext xmlns:c16="http://schemas.microsoft.com/office/drawing/2014/chart" uri="{C3380CC4-5D6E-409C-BE32-E72D297353CC}">
              <c16:uniqueId val="{00000007-93B7-41C3-A7CD-06C10D592C42}"/>
            </c:ext>
          </c:extLst>
        </c:ser>
        <c:ser>
          <c:idx val="8"/>
          <c:order val="8"/>
          <c:tx>
            <c:strRef>
              <c:f>'Služby-příspěvkyk růstu-4'!$K$33</c:f>
              <c:strCache>
                <c:ptCount val="1"/>
                <c:pt idx="0">
                  <c:v>Growth barrier: inadequate demand</c:v>
                </c:pt>
              </c:strCache>
            </c:strRef>
          </c:tx>
          <c:spPr>
            <a:ln w="15875">
              <a:solidFill>
                <a:srgbClr val="CA945E"/>
              </a:solidFill>
              <a:prstDash val="solid"/>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růstu-4'!$K$46:$K$80</c:f>
              <c:numCache>
                <c:formatCode>#\ ##0.0</c:formatCode>
                <c:ptCount val="35"/>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numCache>
            </c:numRef>
          </c:val>
          <c:smooth val="0"/>
          <c:extLst>
            <c:ext xmlns:c16="http://schemas.microsoft.com/office/drawing/2014/chart" uri="{C3380CC4-5D6E-409C-BE32-E72D297353CC}">
              <c16:uniqueId val="{00000008-93B7-41C3-A7CD-06C10D592C42}"/>
            </c:ext>
          </c:extLst>
        </c:ser>
        <c:ser>
          <c:idx val="9"/>
          <c:order val="9"/>
          <c:tx>
            <c:strRef>
              <c:f>'Služby-příspěvkyk růstu-4'!$L$33</c:f>
              <c:strCache>
                <c:ptCount val="1"/>
                <c:pt idx="0">
                  <c:v>Growth barrier: lack of workers</c:v>
                </c:pt>
              </c:strCache>
            </c:strRef>
          </c:tx>
          <c:spPr>
            <a:ln w="15875">
              <a:solidFill>
                <a:srgbClr val="CA945E"/>
              </a:solidFill>
              <a:prstDash val="lg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růstu-4'!$L$46:$L$80</c:f>
              <c:numCache>
                <c:formatCode>#\ ##0.0</c:formatCode>
                <c:ptCount val="35"/>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numCache>
            </c:numRef>
          </c:val>
          <c:smooth val="0"/>
          <c:extLst>
            <c:ext xmlns:c16="http://schemas.microsoft.com/office/drawing/2014/chart" uri="{C3380CC4-5D6E-409C-BE32-E72D297353CC}">
              <c16:uniqueId val="{00000009-93B7-41C3-A7CD-06C10D592C42}"/>
            </c:ext>
          </c:extLst>
        </c:ser>
        <c:ser>
          <c:idx val="10"/>
          <c:order val="10"/>
          <c:tx>
            <c:strRef>
              <c:f>'Služby-příspěvkyk růstu-4'!$M$33</c:f>
              <c:strCache>
                <c:ptCount val="1"/>
                <c:pt idx="0">
                  <c:v>Total sales (2015 = 100), constant prices)</c:v>
                </c:pt>
              </c:strCache>
            </c:strRef>
          </c:tx>
          <c:spPr>
            <a:ln w="15875">
              <a:solidFill>
                <a:schemeClr val="tx1"/>
              </a:solidFill>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růstu-4'!$M$46:$M$80</c:f>
              <c:numCache>
                <c:formatCode>0.0</c:formatCode>
                <c:ptCount val="35"/>
                <c:pt idx="0">
                  <c:v>98.9058694</c:v>
                </c:pt>
                <c:pt idx="1">
                  <c:v>99.939744966700005</c:v>
                </c:pt>
                <c:pt idx="2">
                  <c:v>100.46069412999999</c:v>
                </c:pt>
                <c:pt idx="3">
                  <c:v>100.69369150670001</c:v>
                </c:pt>
                <c:pt idx="4">
                  <c:v>99.506269489999994</c:v>
                </c:pt>
                <c:pt idx="5">
                  <c:v>99.882932769999996</c:v>
                </c:pt>
                <c:pt idx="6">
                  <c:v>101.6454132667</c:v>
                </c:pt>
                <c:pt idx="7">
                  <c:v>103.1425757933</c:v>
                </c:pt>
                <c:pt idx="8">
                  <c:v>103.7536856167</c:v>
                </c:pt>
                <c:pt idx="9">
                  <c:v>105.1986778867</c:v>
                </c:pt>
                <c:pt idx="10">
                  <c:v>105.3356622867</c:v>
                </c:pt>
                <c:pt idx="11">
                  <c:v>106.72097377670001</c:v>
                </c:pt>
                <c:pt idx="12">
                  <c:v>107.9153511367</c:v>
                </c:pt>
                <c:pt idx="13">
                  <c:v>108.70616911330001</c:v>
                </c:pt>
                <c:pt idx="14">
                  <c:v>109.3727816967</c:v>
                </c:pt>
                <c:pt idx="15">
                  <c:v>108.8880568167</c:v>
                </c:pt>
                <c:pt idx="16">
                  <c:v>110.44627128330001</c:v>
                </c:pt>
                <c:pt idx="17">
                  <c:v>110.87756216</c:v>
                </c:pt>
                <c:pt idx="18">
                  <c:v>109.1647310367</c:v>
                </c:pt>
                <c:pt idx="19">
                  <c:v>108.93584104999999</c:v>
                </c:pt>
                <c:pt idx="20">
                  <c:v>105.3679302367</c:v>
                </c:pt>
                <c:pt idx="21">
                  <c:v>90.203880830000003</c:v>
                </c:pt>
                <c:pt idx="22">
                  <c:v>97.528267896700001</c:v>
                </c:pt>
                <c:pt idx="23">
                  <c:v>95.952761640000006</c:v>
                </c:pt>
                <c:pt idx="24">
                  <c:v>97.5220549533</c:v>
                </c:pt>
                <c:pt idx="25">
                  <c:v>102.23534626670001</c:v>
                </c:pt>
                <c:pt idx="26">
                  <c:v>106.43087342</c:v>
                </c:pt>
                <c:pt idx="27">
                  <c:v>109.46740578000001</c:v>
                </c:pt>
                <c:pt idx="28">
                  <c:v>111.4959124467</c:v>
                </c:pt>
                <c:pt idx="29">
                  <c:v>114.0583342467</c:v>
                </c:pt>
                <c:pt idx="30">
                  <c:v>113.47681789000001</c:v>
                </c:pt>
                <c:pt idx="31">
                  <c:v>112.0620536767</c:v>
                </c:pt>
                <c:pt idx="32">
                  <c:v>111.33107182000001</c:v>
                </c:pt>
                <c:pt idx="33">
                  <c:v>109.8464367167</c:v>
                </c:pt>
              </c:numCache>
            </c:numRef>
          </c:val>
          <c:smooth val="0"/>
          <c:extLst>
            <c:ext xmlns:c16="http://schemas.microsoft.com/office/drawing/2014/chart" uri="{C3380CC4-5D6E-409C-BE32-E72D297353CC}">
              <c16:uniqueId val="{0000000A-93B7-41C3-A7CD-06C10D592C42}"/>
            </c:ext>
          </c:extLst>
        </c:ser>
        <c:ser>
          <c:idx val="11"/>
          <c:order val="11"/>
          <c:tx>
            <c:strRef>
              <c:f>'Služby-příspěvkyk růstu-4'!$N$33</c:f>
              <c:strCache>
                <c:ptCount val="1"/>
                <c:pt idx="0">
                  <c:v>Total sales (2015 = 100, current prices)</c:v>
                </c:pt>
              </c:strCache>
            </c:strRef>
          </c:tx>
          <c:spPr>
            <a:ln w="15875">
              <a:solidFill>
                <a:schemeClr val="bg2">
                  <a:lumMod val="25000"/>
                </a:schemeClr>
              </a:solidFill>
              <a:prstDash val="sysDash"/>
            </a:ln>
          </c:spPr>
          <c:marker>
            <c:symbol val="none"/>
          </c:marker>
          <c:cat>
            <c:multiLvlStrRef>
              <c:f>'Služby-příspěvkyk růstu-4'!$A$46:$B$80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růstu-4'!$N$46:$N$80</c:f>
              <c:numCache>
                <c:formatCode>0.0</c:formatCode>
                <c:ptCount val="35"/>
                <c:pt idx="0">
                  <c:v>98.878809526699996</c:v>
                </c:pt>
                <c:pt idx="1">
                  <c:v>99.932801119999993</c:v>
                </c:pt>
                <c:pt idx="2">
                  <c:v>100.47612456</c:v>
                </c:pt>
                <c:pt idx="3">
                  <c:v>100.71226479000001</c:v>
                </c:pt>
                <c:pt idx="4">
                  <c:v>99.601623459999999</c:v>
                </c:pt>
                <c:pt idx="5">
                  <c:v>100.2234790433</c:v>
                </c:pt>
                <c:pt idx="6">
                  <c:v>102.13593758</c:v>
                </c:pt>
                <c:pt idx="7">
                  <c:v>103.9538192433</c:v>
                </c:pt>
                <c:pt idx="8">
                  <c:v>105.2833983</c:v>
                </c:pt>
                <c:pt idx="9">
                  <c:v>107.13280340670001</c:v>
                </c:pt>
                <c:pt idx="10">
                  <c:v>107.78245525</c:v>
                </c:pt>
                <c:pt idx="11">
                  <c:v>109.74135017</c:v>
                </c:pt>
                <c:pt idx="12">
                  <c:v>111.4458726133</c:v>
                </c:pt>
                <c:pt idx="13">
                  <c:v>112.9675431333</c:v>
                </c:pt>
                <c:pt idx="14">
                  <c:v>114.3275498367</c:v>
                </c:pt>
                <c:pt idx="15">
                  <c:v>114.6762978367</c:v>
                </c:pt>
                <c:pt idx="16">
                  <c:v>116.72200621330001</c:v>
                </c:pt>
                <c:pt idx="17">
                  <c:v>118.4237964933</c:v>
                </c:pt>
                <c:pt idx="18">
                  <c:v>117.19000776670001</c:v>
                </c:pt>
                <c:pt idx="19">
                  <c:v>117.1905607767</c:v>
                </c:pt>
                <c:pt idx="20">
                  <c:v>113.2309142367</c:v>
                </c:pt>
                <c:pt idx="21">
                  <c:v>96.647774276700005</c:v>
                </c:pt>
                <c:pt idx="22">
                  <c:v>105.48850793</c:v>
                </c:pt>
                <c:pt idx="23">
                  <c:v>103.67207354999999</c:v>
                </c:pt>
                <c:pt idx="24">
                  <c:v>105.5127988667</c:v>
                </c:pt>
                <c:pt idx="25">
                  <c:v>111.35872838</c:v>
                </c:pt>
                <c:pt idx="26">
                  <c:v>117.05419338670001</c:v>
                </c:pt>
                <c:pt idx="27">
                  <c:v>121.5423597267</c:v>
                </c:pt>
                <c:pt idx="28">
                  <c:v>126.65151452329999</c:v>
                </c:pt>
                <c:pt idx="29">
                  <c:v>132.08979573670001</c:v>
                </c:pt>
                <c:pt idx="30">
                  <c:v>134.49142177670001</c:v>
                </c:pt>
                <c:pt idx="31">
                  <c:v>134.99990681329999</c:v>
                </c:pt>
                <c:pt idx="32">
                  <c:v>137.0085421233</c:v>
                </c:pt>
                <c:pt idx="33" formatCode="General">
                  <c:v>137.4746201733</c:v>
                </c:pt>
              </c:numCache>
            </c:numRef>
          </c:val>
          <c:smooth val="0"/>
          <c:extLst>
            <c:ext xmlns:c16="http://schemas.microsoft.com/office/drawing/2014/chart" uri="{C3380CC4-5D6E-409C-BE32-E72D297353CC}">
              <c16:uniqueId val="{0000000B-93B7-41C3-A7CD-06C10D592C42}"/>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i="1">
                    <a:effectLst/>
                  </a:rPr>
                  <a:t>S</a:t>
                </a:r>
                <a:r>
                  <a:rPr lang="en-GB" sz="700" i="1">
                    <a:effectLst/>
                  </a:rPr>
                  <a:t>ales (2015 = 100</a:t>
                </a:r>
                <a:r>
                  <a:rPr lang="cs-CZ" sz="700" i="1">
                    <a:effectLst/>
                  </a:rPr>
                  <a:t>),</a:t>
                </a:r>
                <a:r>
                  <a:rPr lang="cs-CZ" sz="700" i="1" baseline="0">
                    <a:effectLst/>
                  </a:rPr>
                  <a:t> C</a:t>
                </a:r>
                <a:r>
                  <a:rPr lang="en-GB" sz="700" i="1">
                    <a:effectLst/>
                  </a:rPr>
                  <a:t>onfidence indicator, Growth barriers</a:t>
                </a:r>
                <a:endParaRPr lang="cs-CZ" sz="700">
                  <a:effectLst/>
                </a:endParaRPr>
              </a:p>
            </c:rich>
          </c:tx>
          <c:layout>
            <c:manualLayout>
              <c:xMode val="edge"/>
              <c:yMode val="edge"/>
              <c:x val="0.9705997154062983"/>
              <c:y val="1.8415267943787516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Retail with food (contribution)</c:v>
                </c:pt>
              </c:strCache>
            </c:strRef>
          </c:tx>
          <c:spPr>
            <a:solidFill>
              <a:srgbClr val="92D050"/>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5a'!$E$67:$E$101</c:f>
              <c:numCache>
                <c:formatCode>#\ ##0.0</c:formatCode>
                <c:ptCount val="35"/>
                <c:pt idx="0">
                  <c:v>1.7968525782652018</c:v>
                </c:pt>
                <c:pt idx="1">
                  <c:v>1.1791224568789191</c:v>
                </c:pt>
                <c:pt idx="2">
                  <c:v>1.9051719303199943</c:v>
                </c:pt>
                <c:pt idx="3">
                  <c:v>1.4451215295824849</c:v>
                </c:pt>
                <c:pt idx="4">
                  <c:v>1.7447279503492545</c:v>
                </c:pt>
                <c:pt idx="5">
                  <c:v>1.4640451669330603</c:v>
                </c:pt>
                <c:pt idx="6">
                  <c:v>0.97147083630208275</c:v>
                </c:pt>
                <c:pt idx="7">
                  <c:v>-7.5069133018737216E-2</c:v>
                </c:pt>
                <c:pt idx="8">
                  <c:v>0.73425778243231121</c:v>
                </c:pt>
                <c:pt idx="9">
                  <c:v>1.3336221651849498</c:v>
                </c:pt>
                <c:pt idx="10">
                  <c:v>1.1482640679355656</c:v>
                </c:pt>
                <c:pt idx="11">
                  <c:v>0.8954293037390092</c:v>
                </c:pt>
                <c:pt idx="12">
                  <c:v>1.5129556035207505</c:v>
                </c:pt>
                <c:pt idx="13">
                  <c:v>0.53724684179172943</c:v>
                </c:pt>
                <c:pt idx="14">
                  <c:v>0.98097838613194555</c:v>
                </c:pt>
                <c:pt idx="15">
                  <c:v>0.45895493544282623</c:v>
                </c:pt>
                <c:pt idx="16">
                  <c:v>0.67460527770247669</c:v>
                </c:pt>
                <c:pt idx="17">
                  <c:v>1.1938610134109739</c:v>
                </c:pt>
                <c:pt idx="18">
                  <c:v>0.63015847733735897</c:v>
                </c:pt>
                <c:pt idx="19">
                  <c:v>0.62923634699872177</c:v>
                </c:pt>
                <c:pt idx="20">
                  <c:v>0.9469594125582822</c:v>
                </c:pt>
                <c:pt idx="21">
                  <c:v>-1.187802120106032</c:v>
                </c:pt>
                <c:pt idx="22">
                  <c:v>-0.39836946074768875</c:v>
                </c:pt>
                <c:pt idx="23">
                  <c:v>0.24484515142503144</c:v>
                </c:pt>
                <c:pt idx="24">
                  <c:v>-0.44870069660916562</c:v>
                </c:pt>
                <c:pt idx="25">
                  <c:v>0.43470456459783835</c:v>
                </c:pt>
                <c:pt idx="26">
                  <c:v>-0.30638524812564816</c:v>
                </c:pt>
                <c:pt idx="27">
                  <c:v>-0.18456896753972296</c:v>
                </c:pt>
                <c:pt idx="28">
                  <c:v>-0.2644332124970542</c:v>
                </c:pt>
                <c:pt idx="29">
                  <c:v>-1.298273733857183</c:v>
                </c:pt>
                <c:pt idx="30">
                  <c:v>-2.2978022374091576</c:v>
                </c:pt>
                <c:pt idx="31">
                  <c:v>-3.2183996089311839</c:v>
                </c:pt>
                <c:pt idx="32">
                  <c:v>-3.0573440803694303</c:v>
                </c:pt>
                <c:pt idx="33">
                  <c:v>-2.6835328353129495</c:v>
                </c:pt>
              </c:numCache>
            </c:numRef>
          </c:val>
          <c:extLst>
            <c:ext xmlns:c16="http://schemas.microsoft.com/office/drawing/2014/chart" uri="{C3380CC4-5D6E-409C-BE32-E72D297353CC}">
              <c16:uniqueId val="{00000000-CC5C-47AB-A226-BF8016023522}"/>
            </c:ext>
          </c:extLst>
        </c:ser>
        <c:ser>
          <c:idx val="1"/>
          <c:order val="2"/>
          <c:tx>
            <c:strRef>
              <c:f>'výkonnost odvětví 5a'!$F$66</c:f>
              <c:strCache>
                <c:ptCount val="1"/>
                <c:pt idx="0">
                  <c:v>Retail with non-food goods (contribution)</c:v>
                </c:pt>
              </c:strCache>
            </c:strRef>
          </c:tx>
          <c:spPr>
            <a:solidFill>
              <a:schemeClr val="accent1">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5a'!$F$67:$F$101</c:f>
              <c:numCache>
                <c:formatCode>#\ ##0.0</c:formatCode>
                <c:ptCount val="35"/>
                <c:pt idx="0">
                  <c:v>3.5337647628605193</c:v>
                </c:pt>
                <c:pt idx="1">
                  <c:v>4.0403269648807054</c:v>
                </c:pt>
                <c:pt idx="2">
                  <c:v>2.8414781046087674</c:v>
                </c:pt>
                <c:pt idx="3">
                  <c:v>3.7696029154089445</c:v>
                </c:pt>
                <c:pt idx="4">
                  <c:v>2.8247932220754692</c:v>
                </c:pt>
                <c:pt idx="5">
                  <c:v>2.6799731375621909</c:v>
                </c:pt>
                <c:pt idx="6">
                  <c:v>3.347941642924769</c:v>
                </c:pt>
                <c:pt idx="7">
                  <c:v>3.640236296846036</c:v>
                </c:pt>
                <c:pt idx="8">
                  <c:v>4.3767111447936164</c:v>
                </c:pt>
                <c:pt idx="9">
                  <c:v>4.6063896710500032</c:v>
                </c:pt>
                <c:pt idx="10">
                  <c:v>4.1933467197549055</c:v>
                </c:pt>
                <c:pt idx="11">
                  <c:v>4.824847593961052</c:v>
                </c:pt>
                <c:pt idx="12">
                  <c:v>4.1828625238720027</c:v>
                </c:pt>
                <c:pt idx="13">
                  <c:v>3.505448480316792</c:v>
                </c:pt>
                <c:pt idx="14">
                  <c:v>2.8194389746795405</c:v>
                </c:pt>
                <c:pt idx="15">
                  <c:v>3.9553867638573217</c:v>
                </c:pt>
                <c:pt idx="16">
                  <c:v>4.4354535369958423</c:v>
                </c:pt>
                <c:pt idx="17">
                  <c:v>3.3723462442148247</c:v>
                </c:pt>
                <c:pt idx="18">
                  <c:v>3.7256703958918869</c:v>
                </c:pt>
                <c:pt idx="19">
                  <c:v>3.4440592495195479</c:v>
                </c:pt>
                <c:pt idx="20">
                  <c:v>-2.8251709833996521E-2</c:v>
                </c:pt>
                <c:pt idx="21">
                  <c:v>0.37120321946990453</c:v>
                </c:pt>
                <c:pt idx="22">
                  <c:v>1.7529788946207687</c:v>
                </c:pt>
                <c:pt idx="23">
                  <c:v>-1.0606589154268822</c:v>
                </c:pt>
                <c:pt idx="24">
                  <c:v>1.1032352547156203</c:v>
                </c:pt>
                <c:pt idx="25">
                  <c:v>5.7270426184807528</c:v>
                </c:pt>
                <c:pt idx="26">
                  <c:v>3.8044410655375258</c:v>
                </c:pt>
                <c:pt idx="27">
                  <c:v>5.2471277682417368</c:v>
                </c:pt>
                <c:pt idx="28">
                  <c:v>5.410120611589333</c:v>
                </c:pt>
                <c:pt idx="29">
                  <c:v>-1.1295059503721883</c:v>
                </c:pt>
                <c:pt idx="30">
                  <c:v>-3.8961561368469955</c:v>
                </c:pt>
                <c:pt idx="31">
                  <c:v>-5.6070211315812966</c:v>
                </c:pt>
                <c:pt idx="32">
                  <c:v>-4.8173300878479868</c:v>
                </c:pt>
                <c:pt idx="33">
                  <c:v>-4.4692976001873239</c:v>
                </c:pt>
              </c:numCache>
            </c:numRef>
          </c:val>
          <c:extLst>
            <c:ext xmlns:c16="http://schemas.microsoft.com/office/drawing/2014/chart" uri="{C3380CC4-5D6E-409C-BE32-E72D297353CC}">
              <c16:uniqueId val="{00000001-CC5C-47AB-A226-BF8016023522}"/>
            </c:ext>
          </c:extLst>
        </c:ser>
        <c:ser>
          <c:idx val="4"/>
          <c:order val="3"/>
          <c:tx>
            <c:strRef>
              <c:f>'výkonnost odvětví 5a'!$G$66</c:f>
              <c:strCache>
                <c:ptCount val="1"/>
                <c:pt idx="0">
                  <c:v>Retail sale of fuels (contribution)</c:v>
                </c:pt>
              </c:strCache>
            </c:strRef>
          </c:tx>
          <c:spPr>
            <a:solidFill>
              <a:schemeClr val="accent6">
                <a:lumMod val="40000"/>
                <a:lumOff val="60000"/>
              </a:schemeClr>
            </a:solidFill>
            <a:ln w="15875">
              <a:noFill/>
            </a:ln>
          </c:spPr>
          <c:invertIfNegative val="0"/>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5a'!$G$67:$G$101</c:f>
              <c:numCache>
                <c:formatCode>#\ ##0.0</c:formatCode>
                <c:ptCount val="35"/>
                <c:pt idx="0">
                  <c:v>0.75359194510045113</c:v>
                </c:pt>
                <c:pt idx="1">
                  <c:v>0.58821183102713304</c:v>
                </c:pt>
                <c:pt idx="2">
                  <c:v>0.79399459687356011</c:v>
                </c:pt>
                <c:pt idx="3">
                  <c:v>0.93961068819571214</c:v>
                </c:pt>
                <c:pt idx="4">
                  <c:v>0.69214098521927592</c:v>
                </c:pt>
                <c:pt idx="5">
                  <c:v>0.70440464135882053</c:v>
                </c:pt>
                <c:pt idx="6">
                  <c:v>0.62814320050368622</c:v>
                </c:pt>
                <c:pt idx="7">
                  <c:v>0.6256127692880088</c:v>
                </c:pt>
                <c:pt idx="8">
                  <c:v>0.51956983975724702</c:v>
                </c:pt>
                <c:pt idx="9">
                  <c:v>0.77336135806484252</c:v>
                </c:pt>
                <c:pt idx="10">
                  <c:v>0.84841829183324202</c:v>
                </c:pt>
                <c:pt idx="11">
                  <c:v>0.68454565742255169</c:v>
                </c:pt>
                <c:pt idx="12">
                  <c:v>0.6756119584809902</c:v>
                </c:pt>
                <c:pt idx="13">
                  <c:v>0.59075079613408321</c:v>
                </c:pt>
                <c:pt idx="14">
                  <c:v>0.37399713498271248</c:v>
                </c:pt>
                <c:pt idx="15">
                  <c:v>0.42674113172704509</c:v>
                </c:pt>
                <c:pt idx="16">
                  <c:v>0.55629349987096444</c:v>
                </c:pt>
                <c:pt idx="17">
                  <c:v>0.26295616202476935</c:v>
                </c:pt>
                <c:pt idx="18">
                  <c:v>0.19423130649799922</c:v>
                </c:pt>
                <c:pt idx="19">
                  <c:v>5.5904565164944221E-2</c:v>
                </c:pt>
                <c:pt idx="20">
                  <c:v>-0.75350296737444378</c:v>
                </c:pt>
                <c:pt idx="21">
                  <c:v>-2.0525680822481136</c:v>
                </c:pt>
                <c:pt idx="22">
                  <c:v>-4.8140542119499564E-2</c:v>
                </c:pt>
                <c:pt idx="23">
                  <c:v>-1.2048671034914455</c:v>
                </c:pt>
                <c:pt idx="24">
                  <c:v>-0.8126773100519713</c:v>
                </c:pt>
                <c:pt idx="25">
                  <c:v>1.034082935213182</c:v>
                </c:pt>
                <c:pt idx="26">
                  <c:v>0.39031023614333377</c:v>
                </c:pt>
                <c:pt idx="27">
                  <c:v>0.99584083683099456</c:v>
                </c:pt>
                <c:pt idx="28">
                  <c:v>1.37794030286432</c:v>
                </c:pt>
                <c:pt idx="29">
                  <c:v>-0.54234422696138451</c:v>
                </c:pt>
                <c:pt idx="30">
                  <c:v>-1.2771841004606979</c:v>
                </c:pt>
                <c:pt idx="31">
                  <c:v>-0.33373215205594292</c:v>
                </c:pt>
                <c:pt idx="32">
                  <c:v>0.10805669220757913</c:v>
                </c:pt>
                <c:pt idx="33">
                  <c:v>0.99136450755943051</c:v>
                </c:pt>
              </c:numCache>
            </c:numRef>
          </c:val>
          <c:extLst>
            <c:ext xmlns:c16="http://schemas.microsoft.com/office/drawing/2014/chart" uri="{C3380CC4-5D6E-409C-BE32-E72D297353CC}">
              <c16:uniqueId val="{00000002-CC5C-47AB-A226-BF801602352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change)</c:v>
                </c:pt>
              </c:strCache>
            </c:strRef>
          </c:tx>
          <c:spPr>
            <a:ln>
              <a:noFill/>
            </a:ln>
          </c:spPr>
          <c:marker>
            <c:symbol val="dash"/>
            <c:size val="7"/>
            <c:spPr>
              <a:solidFill>
                <a:schemeClr val="tx1">
                  <a:lumMod val="85000"/>
                  <a:lumOff val="15000"/>
                </a:schemeClr>
              </a:solidFill>
              <a:ln w="6350">
                <a:no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5a'!$D$67:$D$101</c:f>
              <c:numCache>
                <c:formatCode>#\ ##0.0</c:formatCode>
                <c:ptCount val="35"/>
                <c:pt idx="0">
                  <c:v>5.9636205444000012</c:v>
                </c:pt>
                <c:pt idx="1">
                  <c:v>5.5921884395999939</c:v>
                </c:pt>
                <c:pt idx="2">
                  <c:v>5.5022460545000058</c:v>
                </c:pt>
                <c:pt idx="3">
                  <c:v>6.0250321769999999</c:v>
                </c:pt>
                <c:pt idx="4">
                  <c:v>5.2059376711000027</c:v>
                </c:pt>
                <c:pt idx="5">
                  <c:v>4.7779836855000042</c:v>
                </c:pt>
                <c:pt idx="6">
                  <c:v>4.7634220096000064</c:v>
                </c:pt>
                <c:pt idx="7">
                  <c:v>3.906217172500007</c:v>
                </c:pt>
                <c:pt idx="8">
                  <c:v>5.3191682382000067</c:v>
                </c:pt>
                <c:pt idx="9">
                  <c:v>6.4643894590000031</c:v>
                </c:pt>
                <c:pt idx="10">
                  <c:v>5.9751578492000021</c:v>
                </c:pt>
                <c:pt idx="11">
                  <c:v>6.1621326276000019</c:v>
                </c:pt>
                <c:pt idx="12">
                  <c:v>6.3390670470000003</c:v>
                </c:pt>
                <c:pt idx="13">
                  <c:v>4.6648962081000036</c:v>
                </c:pt>
                <c:pt idx="14">
                  <c:v>4.1971443662999945</c:v>
                </c:pt>
                <c:pt idx="15">
                  <c:v>4.8161135707999989</c:v>
                </c:pt>
                <c:pt idx="16">
                  <c:v>5.6537188418</c:v>
                </c:pt>
                <c:pt idx="17">
                  <c:v>4.8265636037999968</c:v>
                </c:pt>
                <c:pt idx="18">
                  <c:v>4.5452014836999979</c:v>
                </c:pt>
                <c:pt idx="19">
                  <c:v>4.1996486233999946</c:v>
                </c:pt>
                <c:pt idx="20">
                  <c:v>6.049173830000143E-2</c:v>
                </c:pt>
                <c:pt idx="21">
                  <c:v>-2.8962995720000038</c:v>
                </c:pt>
                <c:pt idx="22">
                  <c:v>1.3291675252000061</c:v>
                </c:pt>
                <c:pt idx="23">
                  <c:v>-2.0263752827000019</c:v>
                </c:pt>
                <c:pt idx="24">
                  <c:v>-0.18412703469999769</c:v>
                </c:pt>
                <c:pt idx="25">
                  <c:v>7.2801836782000038</c:v>
                </c:pt>
                <c:pt idx="26">
                  <c:v>3.9051822130000033</c:v>
                </c:pt>
                <c:pt idx="27">
                  <c:v>6.1725521780000037</c:v>
                </c:pt>
                <c:pt idx="28">
                  <c:v>6.5192475478000063</c:v>
                </c:pt>
                <c:pt idx="29">
                  <c:v>-2.9723923762000055</c:v>
                </c:pt>
                <c:pt idx="30">
                  <c:v>-7.4744015895000047</c:v>
                </c:pt>
                <c:pt idx="31">
                  <c:v>-9.1621347523000054</c:v>
                </c:pt>
                <c:pt idx="32">
                  <c:v>-7.7693666181999959</c:v>
                </c:pt>
                <c:pt idx="33">
                  <c:v>-6.1613365768999984</c:v>
                </c:pt>
              </c:numCache>
            </c:numRef>
          </c:val>
          <c:smooth val="0"/>
          <c:extLst>
            <c:ext xmlns:c16="http://schemas.microsoft.com/office/drawing/2014/chart" uri="{C3380CC4-5D6E-409C-BE32-E72D297353CC}">
              <c16:uniqueId val="{00000003-CC5C-47AB-A226-BF801602352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Retail, without motor vehicles (2015=100)</c:v>
                </c:pt>
              </c:strCache>
            </c:strRef>
          </c:tx>
          <c:spPr>
            <a:ln w="15875">
              <a:solidFill>
                <a:schemeClr val="tx1">
                  <a:lumMod val="95000"/>
                  <a:lumOff val="5000"/>
                </a:schemeClr>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5a'!$H$67:$H$101</c:f>
              <c:numCache>
                <c:formatCode>#\ ##0.0</c:formatCode>
                <c:ptCount val="35"/>
                <c:pt idx="0">
                  <c:v>98.108903473300003</c:v>
                </c:pt>
                <c:pt idx="1">
                  <c:v>99.176423353299995</c:v>
                </c:pt>
                <c:pt idx="2">
                  <c:v>100.24040488</c:v>
                </c:pt>
                <c:pt idx="3">
                  <c:v>102.4742682967</c:v>
                </c:pt>
                <c:pt idx="4">
                  <c:v>103.00654075999999</c:v>
                </c:pt>
                <c:pt idx="5">
                  <c:v>104.00728415330001</c:v>
                </c:pt>
                <c:pt idx="6">
                  <c:v>105.24950234329999</c:v>
                </c:pt>
                <c:pt idx="7">
                  <c:v>106.61154646670001</c:v>
                </c:pt>
                <c:pt idx="8">
                  <c:v>108.19528997</c:v>
                </c:pt>
                <c:pt idx="9">
                  <c:v>110.67867868</c:v>
                </c:pt>
                <c:pt idx="10">
                  <c:v>111.78129380670001</c:v>
                </c:pt>
                <c:pt idx="11">
                  <c:v>113.06724078329999</c:v>
                </c:pt>
                <c:pt idx="12">
                  <c:v>114.63997826000001</c:v>
                </c:pt>
                <c:pt idx="13">
                  <c:v>116.1216541833</c:v>
                </c:pt>
                <c:pt idx="14">
                  <c:v>116.8100051867</c:v>
                </c:pt>
                <c:pt idx="15">
                  <c:v>118.44840057330001</c:v>
                </c:pt>
                <c:pt idx="16">
                  <c:v>120.6281121367</c:v>
                </c:pt>
                <c:pt idx="17">
                  <c:v>122.0140614733</c:v>
                </c:pt>
                <c:pt idx="18">
                  <c:v>122.3425145833</c:v>
                </c:pt>
                <c:pt idx="19">
                  <c:v>123.4531821267</c:v>
                </c:pt>
                <c:pt idx="20">
                  <c:v>120.2493864533</c:v>
                </c:pt>
                <c:pt idx="21">
                  <c:v>118.9229640667</c:v>
                </c:pt>
                <c:pt idx="22">
                  <c:v>124.4986336633</c:v>
                </c:pt>
                <c:pt idx="23">
                  <c:v>120.6687672467</c:v>
                </c:pt>
                <c:pt idx="24">
                  <c:v>118.2547494033</c:v>
                </c:pt>
                <c:pt idx="25">
                  <c:v>127.38867849330001</c:v>
                </c:pt>
                <c:pt idx="26">
                  <c:v>129.8092831333</c:v>
                </c:pt>
                <c:pt idx="27">
                  <c:v>128.80356586330001</c:v>
                </c:pt>
                <c:pt idx="28">
                  <c:v>126.7213985133</c:v>
                </c:pt>
                <c:pt idx="29">
                  <c:v>123.46006303670001</c:v>
                </c:pt>
                <c:pt idx="30">
                  <c:v>119.72144556000001</c:v>
                </c:pt>
                <c:pt idx="31">
                  <c:v>117.7221057167</c:v>
                </c:pt>
                <c:pt idx="32">
                  <c:v>117.3039514</c:v>
                </c:pt>
                <c:pt idx="33">
                  <c:v>115.9634734933</c:v>
                </c:pt>
              </c:numCache>
            </c:numRef>
          </c:val>
          <c:smooth val="0"/>
          <c:extLst>
            <c:ext xmlns:c16="http://schemas.microsoft.com/office/drawing/2014/chart" uri="{C3380CC4-5D6E-409C-BE32-E72D297353CC}">
              <c16:uniqueId val="{00000004-CC5C-47AB-A226-BF8016023522}"/>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5a'!$I$67:$I$101</c:f>
              <c:numCache>
                <c:formatCode>#\ ##0.0</c:formatCode>
                <c:ptCount val="35"/>
                <c:pt idx="0">
                  <c:v>98.902861683300003</c:v>
                </c:pt>
                <c:pt idx="1">
                  <c:v>98.641762076700005</c:v>
                </c:pt>
                <c:pt idx="2">
                  <c:v>99.862770576700001</c:v>
                </c:pt>
                <c:pt idx="3">
                  <c:v>102.59260566</c:v>
                </c:pt>
                <c:pt idx="4">
                  <c:v>103.8285317033</c:v>
                </c:pt>
                <c:pt idx="5">
                  <c:v>104.32379247</c:v>
                </c:pt>
                <c:pt idx="6">
                  <c:v>104.5221357667</c:v>
                </c:pt>
                <c:pt idx="7">
                  <c:v>107.6023051833</c:v>
                </c:pt>
                <c:pt idx="8">
                  <c:v>108.0502921967</c:v>
                </c:pt>
                <c:pt idx="9">
                  <c:v>110.9173406033</c:v>
                </c:pt>
                <c:pt idx="10">
                  <c:v>110.9835808433</c:v>
                </c:pt>
                <c:pt idx="11">
                  <c:v>114.18133895</c:v>
                </c:pt>
                <c:pt idx="12">
                  <c:v>114.0189565133</c:v>
                </c:pt>
                <c:pt idx="13">
                  <c:v>116.6800979633</c:v>
                </c:pt>
                <c:pt idx="14">
                  <c:v>114.09303906</c:v>
                </c:pt>
                <c:pt idx="15">
                  <c:v>117.57587906329999</c:v>
                </c:pt>
                <c:pt idx="16">
                  <c:v>119.1994867133</c:v>
                </c:pt>
                <c:pt idx="17">
                  <c:v>120.0230451167</c:v>
                </c:pt>
                <c:pt idx="18">
                  <c:v>115.19566012999999</c:v>
                </c:pt>
                <c:pt idx="19">
                  <c:v>118.16034127</c:v>
                </c:pt>
                <c:pt idx="20">
                  <c:v>111.2296162433</c:v>
                </c:pt>
                <c:pt idx="21">
                  <c:v>100.0761487333</c:v>
                </c:pt>
                <c:pt idx="22">
                  <c:v>114.00860915</c:v>
                </c:pt>
                <c:pt idx="23">
                  <c:v>104.65409344</c:v>
                </c:pt>
                <c:pt idx="24">
                  <c:v>102.30890399</c:v>
                </c:pt>
                <c:pt idx="25">
                  <c:v>111.00930954330001</c:v>
                </c:pt>
                <c:pt idx="26">
                  <c:v>117.89445022</c:v>
                </c:pt>
                <c:pt idx="27">
                  <c:v>114.65352857329999</c:v>
                </c:pt>
                <c:pt idx="28">
                  <c:v>114.9526703933</c:v>
                </c:pt>
                <c:pt idx="29">
                  <c:v>105.8215033167</c:v>
                </c:pt>
                <c:pt idx="30">
                  <c:v>105.88666473000001</c:v>
                </c:pt>
                <c:pt idx="31">
                  <c:v>111.18406157</c:v>
                </c:pt>
                <c:pt idx="32">
                  <c:v>115.6996360333</c:v>
                </c:pt>
                <c:pt idx="33">
                  <c:v>115.7992331367</c:v>
                </c:pt>
              </c:numCache>
            </c:numRef>
          </c:val>
          <c:smooth val="0"/>
          <c:extLst>
            <c:ext xmlns:c16="http://schemas.microsoft.com/office/drawing/2014/chart" uri="{C3380CC4-5D6E-409C-BE32-E72D297353CC}">
              <c16:uniqueId val="{00000005-CC5C-47AB-A226-BF8016023522}"/>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5a'!$J$67:$J$101</c:f>
              <c:numCache>
                <c:formatCode>#\ ##0.0</c:formatCode>
                <c:ptCount val="35"/>
                <c:pt idx="0">
                  <c:v>95.674913026699997</c:v>
                </c:pt>
                <c:pt idx="1">
                  <c:v>98.560016843300005</c:v>
                </c:pt>
                <c:pt idx="2">
                  <c:v>101.3110491433</c:v>
                </c:pt>
                <c:pt idx="3">
                  <c:v>104.4540209833</c:v>
                </c:pt>
                <c:pt idx="4">
                  <c:v>105.0998844667</c:v>
                </c:pt>
                <c:pt idx="5">
                  <c:v>106.7466534533</c:v>
                </c:pt>
                <c:pt idx="6">
                  <c:v>108.98378878</c:v>
                </c:pt>
                <c:pt idx="7">
                  <c:v>109.86758091</c:v>
                </c:pt>
                <c:pt idx="8">
                  <c:v>110.82769768</c:v>
                </c:pt>
                <c:pt idx="9">
                  <c:v>111.3855907467</c:v>
                </c:pt>
                <c:pt idx="10">
                  <c:v>109.70167963</c:v>
                </c:pt>
                <c:pt idx="11">
                  <c:v>112.16470217</c:v>
                </c:pt>
                <c:pt idx="12">
                  <c:v>110.27402299000001</c:v>
                </c:pt>
                <c:pt idx="13">
                  <c:v>109.89581527670001</c:v>
                </c:pt>
                <c:pt idx="14">
                  <c:v>109.1303319867</c:v>
                </c:pt>
                <c:pt idx="15">
                  <c:v>106.65518174</c:v>
                </c:pt>
                <c:pt idx="16">
                  <c:v>109.01463176999999</c:v>
                </c:pt>
                <c:pt idx="17">
                  <c:v>110.7507360833</c:v>
                </c:pt>
                <c:pt idx="18">
                  <c:v>109.8768517733</c:v>
                </c:pt>
                <c:pt idx="19">
                  <c:v>110.48031871000001</c:v>
                </c:pt>
                <c:pt idx="20">
                  <c:v>95.676395003300001</c:v>
                </c:pt>
                <c:pt idx="21">
                  <c:v>77.407445156700007</c:v>
                </c:pt>
                <c:pt idx="22">
                  <c:v>101.0189567533</c:v>
                </c:pt>
                <c:pt idx="23">
                  <c:v>102.6341597167</c:v>
                </c:pt>
                <c:pt idx="24">
                  <c:v>101.92430179</c:v>
                </c:pt>
                <c:pt idx="25">
                  <c:v>104.87521293</c:v>
                </c:pt>
                <c:pt idx="26">
                  <c:v>99.9690871233</c:v>
                </c:pt>
                <c:pt idx="27">
                  <c:v>98.537373770000002</c:v>
                </c:pt>
                <c:pt idx="28">
                  <c:v>98.516458040000003</c:v>
                </c:pt>
                <c:pt idx="29">
                  <c:v>97.982255116700003</c:v>
                </c:pt>
                <c:pt idx="30">
                  <c:v>96.567339416699994</c:v>
                </c:pt>
                <c:pt idx="31">
                  <c:v>97.582321260000001</c:v>
                </c:pt>
                <c:pt idx="32">
                  <c:v>102.41315423</c:v>
                </c:pt>
                <c:pt idx="33">
                  <c:v>99.666500956700006</c:v>
                </c:pt>
              </c:numCache>
            </c:numRef>
          </c:val>
          <c:smooth val="0"/>
          <c:extLst>
            <c:ext xmlns:c16="http://schemas.microsoft.com/office/drawing/2014/chart" uri="{C3380CC4-5D6E-409C-BE32-E72D297353CC}">
              <c16:uniqueId val="{00000006-CC5C-47AB-A226-BF8016023522}"/>
            </c:ext>
          </c:extLst>
        </c:ser>
        <c:ser>
          <c:idx val="7"/>
          <c:order val="7"/>
          <c:tx>
            <c:strRef>
              <c:f>'výkonnost odvětví 5a'!$K$66</c:f>
              <c:strCache>
                <c:ptCount val="1"/>
              </c:strCache>
            </c:strRef>
          </c:tx>
          <c:spPr>
            <a:ln w="3175">
              <a:noFill/>
              <a:prstDash val="sysDash"/>
            </a:ln>
          </c:spPr>
          <c:marker>
            <c:symbol val="none"/>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5a'!$K$67:$K$101</c:f>
              <c:numCache>
                <c:formatCode>General</c:formatCode>
                <c:ptCount val="35"/>
              </c:numCache>
            </c:numRef>
          </c:val>
          <c:smooth val="0"/>
          <c:extLst>
            <c:ext xmlns:c16="http://schemas.microsoft.com/office/drawing/2014/chart" uri="{C3380CC4-5D6E-409C-BE32-E72D297353CC}">
              <c16:uniqueId val="{00000007-CC5C-47AB-A226-BF8016023522}"/>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5a'!$L$67:$L$101</c:f>
              <c:numCache>
                <c:formatCode>0.0</c:formatCode>
                <c:ptCount val="35"/>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numCache>
            </c:numRef>
          </c:val>
          <c:smooth val="0"/>
          <c:extLst>
            <c:ext xmlns:c16="http://schemas.microsoft.com/office/drawing/2014/chart" uri="{C3380CC4-5D6E-409C-BE32-E72D297353CC}">
              <c16:uniqueId val="{00000008-CC5C-47AB-A226-BF8016023522}"/>
            </c:ext>
          </c:extLst>
        </c:ser>
        <c:ser>
          <c:idx val="9"/>
          <c:order val="9"/>
          <c:tx>
            <c:strRef>
              <c:f>'výkonnost odvětví 5a'!$M$66</c:f>
              <c:strCache>
                <c:ptCount val="1"/>
                <c:pt idx="0">
                  <c:v>Confidence indicator in retail trade</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5a'!$M$67:$M$101</c:f>
              <c:numCache>
                <c:formatCode>0.0</c:formatCode>
                <c:ptCount val="35"/>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numCache>
            </c:numRef>
          </c:val>
          <c:smooth val="0"/>
          <c:extLst>
            <c:ext xmlns:c16="http://schemas.microsoft.com/office/drawing/2014/chart" uri="{C3380CC4-5D6E-409C-BE32-E72D297353CC}">
              <c16:uniqueId val="{00000009-CC5C-47AB-A226-BF801602352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Contribution to the change of sales in retail</a:t>
                </a:r>
                <a:endParaRPr lang="cs-CZ" sz="700">
                  <a:effectLst/>
                </a:endParaRPr>
              </a:p>
            </c:rich>
          </c:tx>
          <c:layout>
            <c:manualLayout>
              <c:xMode val="edge"/>
              <c:yMode val="edge"/>
              <c:x val="2.6087397333118146E-3"/>
              <c:y val="0.11010118623789662"/>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40"/>
          <c:min val="-4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Sales (2015 = 100), </a:t>
                </a:r>
                <a:r>
                  <a:rPr lang="cs-CZ" sz="700" i="1">
                    <a:effectLst/>
                  </a:rPr>
                  <a:t>consumer</a:t>
                </a:r>
                <a:r>
                  <a:rPr lang="en-GB" sz="700" i="1">
                    <a:effectLst/>
                  </a:rPr>
                  <a:t> </a:t>
                </a:r>
                <a:r>
                  <a:rPr lang="cs-CZ" sz="700" i="1">
                    <a:effectLst/>
                  </a:rPr>
                  <a:t>and retail</a:t>
                </a:r>
                <a:r>
                  <a:rPr lang="cs-CZ" sz="700" i="1" baseline="0">
                    <a:effectLst/>
                  </a:rPr>
                  <a:t> </a:t>
                </a:r>
                <a:r>
                  <a:rPr lang="en-GB" sz="700" i="1">
                    <a:effectLst/>
                  </a:rPr>
                  <a:t>confidence </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0"/>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2'!$B$7:$O$7</c:f>
              <c:numCache>
                <c:formatCode>General</c:formatCode>
                <c:ptCount val="14"/>
                <c:pt idx="0">
                  <c:v>-153.80641563699999</c:v>
                </c:pt>
                <c:pt idx="1">
                  <c:v>-29.014789663999998</c:v>
                </c:pt>
                <c:pt idx="2">
                  <c:v>-19.409720812</c:v>
                </c:pt>
                <c:pt idx="3">
                  <c:v>-26.024072001</c:v>
                </c:pt>
                <c:pt idx="4">
                  <c:v>-78.464602413999998</c:v>
                </c:pt>
                <c:pt idx="5">
                  <c:v>-35.053378228999996</c:v>
                </c:pt>
                <c:pt idx="6">
                  <c:v>15.136442070999999</c:v>
                </c:pt>
                <c:pt idx="7">
                  <c:v>-100.333485564</c:v>
                </c:pt>
                <c:pt idx="8">
                  <c:v>42.204577443000005</c:v>
                </c:pt>
                <c:pt idx="9">
                  <c:v>-40.144556924</c:v>
                </c:pt>
                <c:pt idx="10">
                  <c:v>47.398275932999994</c:v>
                </c:pt>
                <c:pt idx="11">
                  <c:v>227.68846094600002</c:v>
                </c:pt>
                <c:pt idx="12">
                  <c:v>28.649463010999998</c:v>
                </c:pt>
                <c:pt idx="13">
                  <c:v>17.990880064999999</c:v>
                </c:pt>
              </c:numCache>
            </c:numRef>
          </c:val>
          <c:extLst>
            <c:ext xmlns:c16="http://schemas.microsoft.com/office/drawing/2014/chart" uri="{C3380CC4-5D6E-409C-BE32-E72D297353CC}">
              <c16:uniqueId val="{00000000-3CD3-4B7D-A571-D3E3D98E5B01}"/>
            </c:ext>
          </c:extLst>
        </c:ser>
        <c:ser>
          <c:idx val="2"/>
          <c:order val="1"/>
          <c:tx>
            <c:strRef>
              <c:f>'Vnější vztahy 2'!$A$8</c:f>
              <c:strCache>
                <c:ptCount val="1"/>
                <c:pt idx="0">
                  <c:v>2023</c:v>
                </c:pt>
              </c:strCache>
            </c:strRef>
          </c:tx>
          <c:spPr>
            <a:solidFill>
              <a:srgbClr val="BD1B21"/>
            </a:solidFill>
            <a:ln>
              <a:noFill/>
            </a:ln>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2'!$B$8:$O$8</c:f>
              <c:numCache>
                <c:formatCode>General</c:formatCode>
                <c:ptCount val="14"/>
                <c:pt idx="0">
                  <c:v>-88.091469570000001</c:v>
                </c:pt>
                <c:pt idx="1">
                  <c:v>-25.532787906999999</c:v>
                </c:pt>
                <c:pt idx="2">
                  <c:v>-18.606344394000001</c:v>
                </c:pt>
                <c:pt idx="3">
                  <c:v>-16.974027092</c:v>
                </c:pt>
                <c:pt idx="4">
                  <c:v>-72.281543119000006</c:v>
                </c:pt>
                <c:pt idx="5">
                  <c:v>-32.813032737</c:v>
                </c:pt>
                <c:pt idx="6">
                  <c:v>15.903156085999999</c:v>
                </c:pt>
                <c:pt idx="7">
                  <c:v>-81.228631997999997</c:v>
                </c:pt>
                <c:pt idx="8">
                  <c:v>37.172474377999997</c:v>
                </c:pt>
                <c:pt idx="9">
                  <c:v>-38.519587723000001</c:v>
                </c:pt>
                <c:pt idx="10">
                  <c:v>61.880118860000003</c:v>
                </c:pt>
                <c:pt idx="11">
                  <c:v>298.90930463499996</c:v>
                </c:pt>
                <c:pt idx="12">
                  <c:v>15.390617226</c:v>
                </c:pt>
                <c:pt idx="13">
                  <c:v>13.125030301000001</c:v>
                </c:pt>
              </c:numCache>
            </c:numRef>
          </c:val>
          <c:extLst>
            <c:ext xmlns:c16="http://schemas.microsoft.com/office/drawing/2014/chart" uri="{C3380CC4-5D6E-409C-BE32-E72D297353CC}">
              <c16:uniqueId val="{00000001-3CD3-4B7D-A571-D3E3D98E5B01}"/>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32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40"/>
      </c:valAx>
      <c:spPr>
        <a:ln>
          <a:solidFill>
            <a:schemeClr val="tx1"/>
          </a:solidFill>
        </a:ln>
      </c:spPr>
    </c:plotArea>
    <c:legend>
      <c:legendPos val="b"/>
      <c:layout>
        <c:manualLayout>
          <c:xMode val="edge"/>
          <c:yMode val="edge"/>
          <c:x val="9.1143194866599123E-2"/>
          <c:y val="8.2577176038395428E-2"/>
          <c:w val="0.22793671901384668"/>
          <c:h val="6.7923505362327427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477110-1CC1-4BB6-801B-1474641631D3}">
  <ds:schemaRefs>
    <ds:schemaRef ds:uri="http://schemas.openxmlformats.org/officeDocument/2006/bibliography"/>
  </ds:schemaRefs>
</ds:datastoreItem>
</file>

<file path=customXml/itemProps5.xml><?xml version="1.0" encoding="utf-8"?>
<ds:datastoreItem xmlns:ds="http://schemas.openxmlformats.org/officeDocument/2006/customXml" ds:itemID="{9BBB216A-D5CA-4A95-A859-EB8BEA6C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TotalTime>
  <Pages>47</Pages>
  <Words>18796</Words>
  <Characters>110900</Characters>
  <Application>Microsoft Office Word</Application>
  <DocSecurity>0</DocSecurity>
  <Lines>924</Lines>
  <Paragraphs>258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4</cp:revision>
  <cp:lastPrinted>2023-06-09T17:23:00Z</cp:lastPrinted>
  <dcterms:created xsi:type="dcterms:W3CDTF">2023-10-17T10:13:00Z</dcterms:created>
  <dcterms:modified xsi:type="dcterms:W3CDTF">2023-10-17T10:17:00Z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