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3DAB4" w14:textId="29E163A3" w:rsidR="0011055D" w:rsidRPr="006E725C" w:rsidRDefault="0011055D" w:rsidP="0011055D">
      <w:pPr>
        <w:pStyle w:val="Nadpis11"/>
        <w:rPr>
          <w:lang w:val="en-GB"/>
        </w:rPr>
      </w:pPr>
      <w:bookmarkStart w:id="0" w:name="_Toc161914428"/>
      <w:bookmarkStart w:id="1" w:name="_GoBack"/>
      <w:bookmarkEnd w:id="1"/>
      <w:r w:rsidRPr="006E725C">
        <w:rPr>
          <w:szCs w:val="32"/>
          <w:lang w:val="en-GB"/>
        </w:rPr>
        <w:t>8</w:t>
      </w:r>
      <w:r w:rsidRPr="006E725C">
        <w:rPr>
          <w:lang w:val="en-GB"/>
        </w:rPr>
        <w:t>. St</w:t>
      </w:r>
      <w:r w:rsidR="00427538" w:rsidRPr="006E725C">
        <w:rPr>
          <w:lang w:val="en-GB"/>
        </w:rPr>
        <w:t>ate Budget</w:t>
      </w:r>
      <w:bookmarkEnd w:id="0"/>
    </w:p>
    <w:tbl>
      <w:tblPr>
        <w:tblW w:w="9669" w:type="dxa"/>
        <w:tblInd w:w="-20" w:type="dxa"/>
        <w:tblLayout w:type="fixed"/>
        <w:tblCellMar>
          <w:left w:w="0" w:type="dxa"/>
          <w:right w:w="0" w:type="dxa"/>
        </w:tblCellMar>
        <w:tblLook w:val="00A0" w:firstRow="1" w:lastRow="0" w:firstColumn="1" w:lastColumn="0" w:noHBand="0" w:noVBand="0"/>
      </w:tblPr>
      <w:tblGrid>
        <w:gridCol w:w="1792"/>
        <w:gridCol w:w="203"/>
        <w:gridCol w:w="7674"/>
      </w:tblGrid>
      <w:tr w:rsidR="0011055D" w:rsidRPr="006E725C" w14:paraId="5EEBA577" w14:textId="77777777" w:rsidTr="00C07C2F">
        <w:trPr>
          <w:trHeight w:val="60"/>
        </w:trPr>
        <w:tc>
          <w:tcPr>
            <w:tcW w:w="1792" w:type="dxa"/>
            <w:shd w:val="clear" w:color="auto" w:fill="auto"/>
            <w:tcMar>
              <w:left w:w="0" w:type="dxa"/>
            </w:tcMar>
          </w:tcPr>
          <w:p w14:paraId="5B7A1629" w14:textId="61F4FE30" w:rsidR="0011055D" w:rsidRPr="006E725C" w:rsidRDefault="001D3A7F" w:rsidP="00C07C2F">
            <w:pPr>
              <w:pStyle w:val="Marginlie"/>
              <w:rPr>
                <w:lang w:val="en-GB"/>
              </w:rPr>
            </w:pPr>
            <w:r w:rsidRPr="006E725C">
              <w:rPr>
                <w:lang w:val="en-GB"/>
              </w:rPr>
              <w:t xml:space="preserve">Deep budget deficit persisted, </w:t>
            </w:r>
            <w:r w:rsidR="00EF433F" w:rsidRPr="006E725C">
              <w:rPr>
                <w:lang w:val="en-GB"/>
              </w:rPr>
              <w:t>nevertheless</w:t>
            </w:r>
            <w:r w:rsidRPr="006E725C">
              <w:rPr>
                <w:lang w:val="en-GB"/>
              </w:rPr>
              <w:t xml:space="preserve"> it decreased for the second year in a row. </w:t>
            </w:r>
          </w:p>
        </w:tc>
        <w:tc>
          <w:tcPr>
            <w:tcW w:w="203" w:type="dxa"/>
            <w:shd w:val="clear" w:color="auto" w:fill="auto"/>
            <w:tcMar>
              <w:left w:w="0" w:type="dxa"/>
            </w:tcMar>
          </w:tcPr>
          <w:p w14:paraId="75B11CF3"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26B0925C" w14:textId="186E67FB" w:rsidR="0011055D" w:rsidRPr="006E725C" w:rsidRDefault="00427538" w:rsidP="00C07C2F">
            <w:pPr>
              <w:spacing w:after="200"/>
              <w:rPr>
                <w:spacing w:val="-4"/>
                <w:lang w:val="en-GB"/>
              </w:rPr>
            </w:pPr>
            <w:r w:rsidRPr="006E725C">
              <w:rPr>
                <w:spacing w:val="-4"/>
                <w:lang w:val="en-GB"/>
              </w:rPr>
              <w:t>State budget</w:t>
            </w:r>
            <w:r w:rsidR="0011055D" w:rsidRPr="006E725C">
              <w:rPr>
                <w:rStyle w:val="Znakapoznpodarou"/>
                <w:spacing w:val="-4"/>
                <w:lang w:val="en-GB"/>
              </w:rPr>
              <w:footnoteReference w:id="1"/>
            </w:r>
            <w:r w:rsidRPr="006E725C">
              <w:rPr>
                <w:spacing w:val="-4"/>
                <w:lang w:val="en-GB"/>
              </w:rPr>
              <w:t xml:space="preserve"> of the CR continued with deep deficit for the fourth year in a row and consequently still presented one of the most important macroeconomic imbalances. </w:t>
            </w:r>
            <w:r w:rsidR="00D55E68" w:rsidRPr="006E725C">
              <w:rPr>
                <w:spacing w:val="-4"/>
                <w:lang w:val="en-GB"/>
              </w:rPr>
              <w:t xml:space="preserve">The deficit equalled </w:t>
            </w:r>
            <w:r w:rsidR="0011055D" w:rsidRPr="006E725C">
              <w:rPr>
                <w:spacing w:val="-4"/>
                <w:lang w:val="en-GB"/>
              </w:rPr>
              <w:t>288</w:t>
            </w:r>
            <w:r w:rsidR="00D55E68" w:rsidRPr="006E725C">
              <w:rPr>
                <w:spacing w:val="-4"/>
                <w:lang w:val="en-GB"/>
              </w:rPr>
              <w:t>.</w:t>
            </w:r>
            <w:r w:rsidR="0011055D" w:rsidRPr="006E725C">
              <w:rPr>
                <w:spacing w:val="-4"/>
                <w:lang w:val="en-GB"/>
              </w:rPr>
              <w:t>5</w:t>
            </w:r>
            <w:r w:rsidR="00D55E68" w:rsidRPr="006E725C">
              <w:rPr>
                <w:spacing w:val="-4"/>
                <w:lang w:val="en-GB"/>
              </w:rPr>
              <w:t xml:space="preserve"> </w:t>
            </w:r>
            <w:r w:rsidR="009C0832">
              <w:rPr>
                <w:spacing w:val="-4"/>
                <w:lang w:val="en-GB"/>
              </w:rPr>
              <w:t>CZK bn</w:t>
            </w:r>
            <w:r w:rsidR="00D55E68" w:rsidRPr="006E725C">
              <w:rPr>
                <w:spacing w:val="-4"/>
                <w:lang w:val="en-GB"/>
              </w:rPr>
              <w:t xml:space="preserve"> in year 2023 </w:t>
            </w:r>
            <w:r w:rsidR="0011055D" w:rsidRPr="006E725C">
              <w:rPr>
                <w:spacing w:val="-4"/>
                <w:lang w:val="en-GB"/>
              </w:rPr>
              <w:t>a</w:t>
            </w:r>
            <w:r w:rsidR="00075068" w:rsidRPr="006E725C">
              <w:rPr>
                <w:spacing w:val="-4"/>
                <w:lang w:val="en-GB"/>
              </w:rPr>
              <w:t xml:space="preserve">nd in fact fulfilled the budget </w:t>
            </w:r>
            <w:r w:rsidR="001C4ABB" w:rsidRPr="006E725C">
              <w:rPr>
                <w:spacing w:val="-4"/>
                <w:lang w:val="en-GB"/>
              </w:rPr>
              <w:t>anticipations</w:t>
            </w:r>
            <w:r w:rsidR="0011055D" w:rsidRPr="006E725C">
              <w:rPr>
                <w:rStyle w:val="Znakapoznpodarou"/>
                <w:spacing w:val="-4"/>
                <w:lang w:val="en-GB"/>
              </w:rPr>
              <w:footnoteReference w:id="2"/>
            </w:r>
            <w:r w:rsidR="0011055D" w:rsidRPr="006E725C">
              <w:rPr>
                <w:spacing w:val="-4"/>
                <w:lang w:val="en-GB"/>
              </w:rPr>
              <w:t xml:space="preserve">. </w:t>
            </w:r>
            <w:r w:rsidR="001C4ABB" w:rsidRPr="006E725C">
              <w:rPr>
                <w:spacing w:val="-4"/>
                <w:lang w:val="en-GB"/>
              </w:rPr>
              <w:t xml:space="preserve">Budget lowered year-on-year for the second </w:t>
            </w:r>
            <w:r w:rsidR="0010228E" w:rsidRPr="006E725C">
              <w:rPr>
                <w:spacing w:val="-4"/>
                <w:lang w:val="en-GB"/>
              </w:rPr>
              <w:t xml:space="preserve">time in a row, it fell by one fifth against year </w:t>
            </w:r>
            <w:r w:rsidR="0011055D" w:rsidRPr="006E725C">
              <w:rPr>
                <w:spacing w:val="-4"/>
                <w:lang w:val="en-GB"/>
              </w:rPr>
              <w:t>2022</w:t>
            </w:r>
            <w:r w:rsidR="0010228E" w:rsidRPr="006E725C">
              <w:rPr>
                <w:spacing w:val="-4"/>
                <w:lang w:val="en-GB"/>
              </w:rPr>
              <w:t xml:space="preserve"> </w:t>
            </w:r>
            <w:r w:rsidR="0011055D" w:rsidRPr="006E725C">
              <w:rPr>
                <w:spacing w:val="-4"/>
                <w:lang w:val="en-GB"/>
              </w:rPr>
              <w:t>(71</w:t>
            </w:r>
            <w:r w:rsidR="0010228E" w:rsidRPr="006E725C">
              <w:rPr>
                <w:spacing w:val="-4"/>
                <w:lang w:val="en-GB"/>
              </w:rPr>
              <w:t>.</w:t>
            </w:r>
            <w:r w:rsidR="0011055D" w:rsidRPr="006E725C">
              <w:rPr>
                <w:spacing w:val="-4"/>
                <w:lang w:val="en-GB"/>
              </w:rPr>
              <w:t>9</w:t>
            </w:r>
            <w:r w:rsidR="0010228E" w:rsidRPr="006E725C">
              <w:rPr>
                <w:spacing w:val="-4"/>
                <w:lang w:val="en-GB"/>
              </w:rPr>
              <w:t xml:space="preserve"> </w:t>
            </w:r>
            <w:r w:rsidR="009C0832">
              <w:rPr>
                <w:spacing w:val="-4"/>
                <w:lang w:val="en-GB"/>
              </w:rPr>
              <w:t>CZK bn</w:t>
            </w:r>
            <w:r w:rsidR="0011055D" w:rsidRPr="006E725C">
              <w:rPr>
                <w:spacing w:val="-4"/>
                <w:lang w:val="en-GB"/>
              </w:rPr>
              <w:t>). T</w:t>
            </w:r>
            <w:r w:rsidR="0010228E" w:rsidRPr="006E725C">
              <w:rPr>
                <w:spacing w:val="-4"/>
                <w:lang w:val="en-GB"/>
              </w:rPr>
              <w:t xml:space="preserve">his positive trend was also </w:t>
            </w:r>
            <w:r w:rsidR="00432337" w:rsidRPr="006E725C">
              <w:rPr>
                <w:spacing w:val="-4"/>
                <w:lang w:val="en-GB"/>
              </w:rPr>
              <w:t xml:space="preserve">apparent after adjustment for the effect of </w:t>
            </w:r>
            <w:r w:rsidR="00806955" w:rsidRPr="006E725C">
              <w:rPr>
                <w:spacing w:val="-4"/>
                <w:lang w:val="en-GB"/>
              </w:rPr>
              <w:t>fun</w:t>
            </w:r>
            <w:r w:rsidR="006C65FF" w:rsidRPr="006E725C">
              <w:rPr>
                <w:spacing w:val="-4"/>
                <w:lang w:val="en-GB"/>
              </w:rPr>
              <w:t>d</w:t>
            </w:r>
            <w:r w:rsidR="00806955" w:rsidRPr="006E725C">
              <w:rPr>
                <w:spacing w:val="-4"/>
                <w:lang w:val="en-GB"/>
              </w:rPr>
              <w:t xml:space="preserve">s from the EU budget </w:t>
            </w:r>
            <w:r w:rsidR="0011055D" w:rsidRPr="006E725C">
              <w:rPr>
                <w:spacing w:val="-4"/>
                <w:lang w:val="en-GB"/>
              </w:rPr>
              <w:t>(</w:t>
            </w:r>
            <w:r w:rsidR="00806955" w:rsidRPr="006E725C">
              <w:rPr>
                <w:spacing w:val="-4"/>
                <w:lang w:val="en-GB"/>
              </w:rPr>
              <w:t xml:space="preserve">including </w:t>
            </w:r>
            <w:r w:rsidR="00224335" w:rsidRPr="006E725C">
              <w:rPr>
                <w:spacing w:val="-4"/>
                <w:lang w:val="en-GB"/>
              </w:rPr>
              <w:t>F</w:t>
            </w:r>
            <w:r w:rsidR="00806955" w:rsidRPr="006E725C">
              <w:rPr>
                <w:spacing w:val="-4"/>
                <w:lang w:val="en-GB"/>
              </w:rPr>
              <w:t>inancial mechanisms</w:t>
            </w:r>
            <w:r w:rsidR="0011055D" w:rsidRPr="006E725C">
              <w:rPr>
                <w:spacing w:val="-4"/>
                <w:lang w:val="en-GB"/>
              </w:rPr>
              <w:t>)</w:t>
            </w:r>
            <w:r w:rsidR="0011055D" w:rsidRPr="006E725C">
              <w:rPr>
                <w:rStyle w:val="Znakapoznpodarou"/>
                <w:spacing w:val="-4"/>
                <w:lang w:val="en-GB"/>
              </w:rPr>
              <w:footnoteReference w:id="3"/>
            </w:r>
            <w:r w:rsidR="0011055D" w:rsidRPr="006E725C">
              <w:rPr>
                <w:spacing w:val="-4"/>
                <w:lang w:val="en-GB"/>
              </w:rPr>
              <w:t xml:space="preserve">. </w:t>
            </w:r>
            <w:r w:rsidR="00F2334D" w:rsidRPr="006E725C">
              <w:rPr>
                <w:spacing w:val="-4"/>
                <w:lang w:val="en-GB"/>
              </w:rPr>
              <w:t>Budget deficit</w:t>
            </w:r>
            <w:r w:rsidR="004945C1" w:rsidRPr="006E725C">
              <w:rPr>
                <w:spacing w:val="-4"/>
                <w:lang w:val="en-GB"/>
              </w:rPr>
              <w:t xml:space="preserve"> development was </w:t>
            </w:r>
            <w:r w:rsidR="006D4F1E" w:rsidRPr="006E725C">
              <w:rPr>
                <w:spacing w:val="-4"/>
                <w:lang w:val="en-GB"/>
              </w:rPr>
              <w:t xml:space="preserve">very </w:t>
            </w:r>
            <w:r w:rsidR="004945C1" w:rsidRPr="006E725C">
              <w:rPr>
                <w:spacing w:val="-4"/>
                <w:lang w:val="en-GB"/>
              </w:rPr>
              <w:t>unevenly distributed</w:t>
            </w:r>
            <w:r w:rsidR="006D4F1E" w:rsidRPr="006E725C">
              <w:rPr>
                <w:spacing w:val="-4"/>
                <w:lang w:val="en-GB"/>
              </w:rPr>
              <w:t xml:space="preserve"> during </w:t>
            </w:r>
            <w:r w:rsidR="007A0C93" w:rsidRPr="006E725C">
              <w:rPr>
                <w:spacing w:val="-4"/>
                <w:lang w:val="en-GB"/>
              </w:rPr>
              <w:t>the last year</w:t>
            </w:r>
            <w:r w:rsidR="0011055D" w:rsidRPr="006E725C">
              <w:rPr>
                <w:rStyle w:val="Znakapoznpodarou"/>
                <w:spacing w:val="-4"/>
                <w:lang w:val="en-GB"/>
              </w:rPr>
              <w:footnoteReference w:id="4"/>
            </w:r>
            <w:r w:rsidR="0011055D" w:rsidRPr="006E725C">
              <w:rPr>
                <w:spacing w:val="-4"/>
                <w:lang w:val="en-GB"/>
              </w:rPr>
              <w:t xml:space="preserve">, </w:t>
            </w:r>
            <w:r w:rsidR="00FF4667" w:rsidRPr="006E725C">
              <w:rPr>
                <w:spacing w:val="-4"/>
                <w:lang w:val="en-GB"/>
              </w:rPr>
              <w:t xml:space="preserve">which was caused by extraordinary, however </w:t>
            </w:r>
            <w:r w:rsidR="00E82D9B" w:rsidRPr="006E725C">
              <w:rPr>
                <w:spacing w:val="-4"/>
                <w:lang w:val="en-GB"/>
              </w:rPr>
              <w:t xml:space="preserve">largely planned revenues </w:t>
            </w:r>
            <w:r w:rsidR="0011055D" w:rsidRPr="006E725C">
              <w:rPr>
                <w:spacing w:val="-4"/>
                <w:lang w:val="en-GB"/>
              </w:rPr>
              <w:t>(dividend</w:t>
            </w:r>
            <w:r w:rsidR="00E82D9B" w:rsidRPr="006E725C">
              <w:rPr>
                <w:spacing w:val="-4"/>
                <w:lang w:val="en-GB"/>
              </w:rPr>
              <w:t xml:space="preserve">s, </w:t>
            </w:r>
            <w:r w:rsidR="00232B6D" w:rsidRPr="006E725C">
              <w:rPr>
                <w:spacing w:val="-4"/>
                <w:lang w:val="en-GB"/>
              </w:rPr>
              <w:t>proceeds from the exceptional business taxes</w:t>
            </w:r>
            <w:r w:rsidR="0011055D" w:rsidRPr="006E725C">
              <w:rPr>
                <w:spacing w:val="-4"/>
                <w:lang w:val="en-GB"/>
              </w:rPr>
              <w:t xml:space="preserve">, </w:t>
            </w:r>
            <w:r w:rsidR="0010544F" w:rsidRPr="006E725C">
              <w:rPr>
                <w:spacing w:val="-4"/>
                <w:lang w:val="en-GB"/>
              </w:rPr>
              <w:t>especially in the area of energetics</w:t>
            </w:r>
            <w:r w:rsidR="0011055D" w:rsidRPr="006E725C">
              <w:rPr>
                <w:spacing w:val="-4"/>
                <w:lang w:val="en-GB"/>
              </w:rPr>
              <w:t xml:space="preserve">), </w:t>
            </w:r>
            <w:r w:rsidR="007A0C93" w:rsidRPr="006E725C">
              <w:rPr>
                <w:spacing w:val="-4"/>
                <w:lang w:val="en-GB"/>
              </w:rPr>
              <w:t xml:space="preserve">swift growth of collection of </w:t>
            </w:r>
            <w:r w:rsidR="006428D3" w:rsidRPr="006E725C">
              <w:rPr>
                <w:spacing w:val="-4"/>
                <w:lang w:val="en-GB"/>
              </w:rPr>
              <w:t>“</w:t>
            </w:r>
            <w:r w:rsidR="00FF4667" w:rsidRPr="006E725C">
              <w:rPr>
                <w:spacing w:val="-4"/>
                <w:lang w:val="en-GB"/>
              </w:rPr>
              <w:t>common</w:t>
            </w:r>
            <w:r w:rsidR="00051810">
              <w:rPr>
                <w:spacing w:val="-4"/>
                <w:lang w:val="en-GB"/>
              </w:rPr>
              <w:t>”</w:t>
            </w:r>
            <w:r w:rsidR="0011055D" w:rsidRPr="006E725C">
              <w:rPr>
                <w:spacing w:val="-4"/>
                <w:lang w:val="en-GB"/>
              </w:rPr>
              <w:t xml:space="preserve"> </w:t>
            </w:r>
            <w:r w:rsidR="007A0C93" w:rsidRPr="006E725C">
              <w:rPr>
                <w:spacing w:val="-4"/>
                <w:lang w:val="en-GB"/>
              </w:rPr>
              <w:t xml:space="preserve">business taxes, as well as inclusion of funds from the </w:t>
            </w:r>
            <w:r w:rsidR="009C7782" w:rsidRPr="006E725C">
              <w:rPr>
                <w:spacing w:val="-4"/>
                <w:lang w:val="en-GB"/>
              </w:rPr>
              <w:t xml:space="preserve">national </w:t>
            </w:r>
            <w:r w:rsidR="00565083" w:rsidRPr="006E725C">
              <w:rPr>
                <w:spacing w:val="-4"/>
                <w:lang w:val="en-GB"/>
              </w:rPr>
              <w:t>r</w:t>
            </w:r>
            <w:r w:rsidR="009C7782" w:rsidRPr="006E725C">
              <w:rPr>
                <w:spacing w:val="-4"/>
                <w:lang w:val="en-GB"/>
              </w:rPr>
              <w:t>ecovery plan</w:t>
            </w:r>
            <w:r w:rsidR="00565083" w:rsidRPr="006E725C">
              <w:rPr>
                <w:spacing w:val="-4"/>
                <w:lang w:val="en-GB"/>
              </w:rPr>
              <w:t xml:space="preserve"> </w:t>
            </w:r>
            <w:r w:rsidR="0011055D" w:rsidRPr="006E725C">
              <w:rPr>
                <w:spacing w:val="-4"/>
                <w:lang w:val="en-GB"/>
              </w:rPr>
              <w:t>(</w:t>
            </w:r>
            <w:r w:rsidR="00565083" w:rsidRPr="006E725C">
              <w:rPr>
                <w:spacing w:val="-4"/>
                <w:lang w:val="en-GB"/>
              </w:rPr>
              <w:t xml:space="preserve">these significantly expanded the total revenues of the CR from the EU </w:t>
            </w:r>
            <w:r w:rsidR="0028405F" w:rsidRPr="006E725C">
              <w:rPr>
                <w:spacing w:val="-4"/>
                <w:lang w:val="en-GB"/>
              </w:rPr>
              <w:t>last year from June</w:t>
            </w:r>
            <w:r w:rsidR="0011055D" w:rsidRPr="006E725C">
              <w:rPr>
                <w:spacing w:val="-4"/>
                <w:lang w:val="en-GB"/>
              </w:rPr>
              <w:t>).</w:t>
            </w:r>
          </w:p>
        </w:tc>
      </w:tr>
      <w:tr w:rsidR="0011055D" w:rsidRPr="006E725C" w14:paraId="51FB3905" w14:textId="77777777" w:rsidTr="00C07C2F">
        <w:trPr>
          <w:trHeight w:val="60"/>
        </w:trPr>
        <w:tc>
          <w:tcPr>
            <w:tcW w:w="1792" w:type="dxa"/>
            <w:shd w:val="clear" w:color="auto" w:fill="auto"/>
            <w:tcMar>
              <w:left w:w="0" w:type="dxa"/>
            </w:tcMar>
          </w:tcPr>
          <w:p w14:paraId="1137C277" w14:textId="49E6E761" w:rsidR="0011055D" w:rsidRPr="006E725C" w:rsidRDefault="0010544F" w:rsidP="00C07C2F">
            <w:pPr>
              <w:pStyle w:val="Marginlie"/>
              <w:rPr>
                <w:lang w:val="en-GB"/>
              </w:rPr>
            </w:pPr>
            <w:r w:rsidRPr="006E725C">
              <w:rPr>
                <w:lang w:val="en-GB"/>
              </w:rPr>
              <w:t>Growth of SB revenues markedly accelerated last year compared to year 20</w:t>
            </w:r>
            <w:r w:rsidR="0011055D" w:rsidRPr="006E725C">
              <w:rPr>
                <w:lang w:val="en-GB"/>
              </w:rPr>
              <w:t>22</w:t>
            </w:r>
            <w:r w:rsidRPr="006E725C">
              <w:rPr>
                <w:lang w:val="en-GB"/>
              </w:rPr>
              <w:t xml:space="preserve">, still it did not </w:t>
            </w:r>
            <w:r w:rsidR="00BF6E0F" w:rsidRPr="006E725C">
              <w:rPr>
                <w:lang w:val="en-GB"/>
              </w:rPr>
              <w:t xml:space="preserve">completely </w:t>
            </w:r>
            <w:r w:rsidR="00D22517" w:rsidRPr="006E725C">
              <w:rPr>
                <w:lang w:val="en-GB"/>
              </w:rPr>
              <w:t>fulfil</w:t>
            </w:r>
            <w:r w:rsidR="00BF6E0F" w:rsidRPr="006E725C">
              <w:rPr>
                <w:lang w:val="en-GB"/>
              </w:rPr>
              <w:t xml:space="preserve"> the budget anticipations. </w:t>
            </w:r>
          </w:p>
        </w:tc>
        <w:tc>
          <w:tcPr>
            <w:tcW w:w="203" w:type="dxa"/>
            <w:shd w:val="clear" w:color="auto" w:fill="auto"/>
            <w:tcMar>
              <w:left w:w="0" w:type="dxa"/>
            </w:tcMar>
          </w:tcPr>
          <w:p w14:paraId="232C08DA"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6B5C60D2" w14:textId="4D0A7725" w:rsidR="0011055D" w:rsidRPr="006E725C" w:rsidRDefault="006C1F94" w:rsidP="00C07C2F">
            <w:pPr>
              <w:spacing w:after="200"/>
              <w:rPr>
                <w:spacing w:val="-4"/>
                <w:lang w:val="en-GB"/>
              </w:rPr>
            </w:pPr>
            <w:r w:rsidRPr="006E725C">
              <w:rPr>
                <w:color w:val="0D0D0D" w:themeColor="text1" w:themeTint="F2"/>
                <w:spacing w:val="-4"/>
                <w:lang w:val="en-GB"/>
              </w:rPr>
              <w:t xml:space="preserve">Even though the growth of total SB revenues arrived at record </w:t>
            </w:r>
            <w:r w:rsidR="0011055D" w:rsidRPr="006E725C">
              <w:rPr>
                <w:color w:val="0D0D0D" w:themeColor="text1" w:themeTint="F2"/>
                <w:spacing w:val="-4"/>
                <w:lang w:val="en-GB"/>
              </w:rPr>
              <w:t>289</w:t>
            </w:r>
            <w:r w:rsidRPr="006E725C">
              <w:rPr>
                <w:color w:val="0D0D0D" w:themeColor="text1" w:themeTint="F2"/>
                <w:spacing w:val="-4"/>
                <w:lang w:val="en-GB"/>
              </w:rPr>
              <w:t>.</w:t>
            </w:r>
            <w:r w:rsidR="0011055D" w:rsidRPr="006E725C">
              <w:rPr>
                <w:color w:val="0D0D0D" w:themeColor="text1" w:themeTint="F2"/>
                <w:spacing w:val="-4"/>
                <w:lang w:val="en-GB"/>
              </w:rPr>
              <w:t>7</w:t>
            </w:r>
            <w:r w:rsidRPr="006E725C">
              <w:rPr>
                <w:color w:val="0D0D0D" w:themeColor="text1" w:themeTint="F2"/>
                <w:spacing w:val="-4"/>
                <w:lang w:val="en-GB"/>
              </w:rPr>
              <w:t xml:space="preserve"> </w:t>
            </w:r>
            <w:r w:rsidR="009C0832">
              <w:rPr>
                <w:color w:val="0D0D0D" w:themeColor="text1" w:themeTint="F2"/>
                <w:spacing w:val="-4"/>
                <w:lang w:val="en-GB"/>
              </w:rPr>
              <w:t>CZK bn</w:t>
            </w:r>
            <w:r w:rsidR="0011055D" w:rsidRPr="006E725C">
              <w:rPr>
                <w:color w:val="0D0D0D" w:themeColor="text1" w:themeTint="F2"/>
                <w:spacing w:val="-4"/>
                <w:lang w:val="en-GB"/>
              </w:rPr>
              <w:t xml:space="preserve">, </w:t>
            </w:r>
            <w:r w:rsidR="002F2D8A" w:rsidRPr="006E725C">
              <w:rPr>
                <w:color w:val="0D0D0D" w:themeColor="text1" w:themeTint="F2"/>
                <w:spacing w:val="-4"/>
                <w:lang w:val="en-GB"/>
              </w:rPr>
              <w:t>i.e.</w:t>
            </w:r>
            <w:r w:rsidR="0011055D" w:rsidRPr="006E725C">
              <w:rPr>
                <w:color w:val="0D0D0D" w:themeColor="text1" w:themeTint="F2"/>
                <w:spacing w:val="-4"/>
                <w:lang w:val="en-GB"/>
              </w:rPr>
              <w:t xml:space="preserve"> 17</w:t>
            </w:r>
            <w:r w:rsidRPr="006E725C">
              <w:rPr>
                <w:color w:val="0D0D0D" w:themeColor="text1" w:themeTint="F2"/>
                <w:spacing w:val="-4"/>
                <w:lang w:val="en-GB"/>
              </w:rPr>
              <w:t>.</w:t>
            </w:r>
            <w:r w:rsidR="0011055D" w:rsidRPr="006E725C">
              <w:rPr>
                <w:color w:val="0D0D0D" w:themeColor="text1" w:themeTint="F2"/>
                <w:spacing w:val="-4"/>
                <w:lang w:val="en-GB"/>
              </w:rPr>
              <w:t>8%</w:t>
            </w:r>
            <w:r w:rsidRPr="006E725C">
              <w:rPr>
                <w:color w:val="0D0D0D" w:themeColor="text1" w:themeTint="F2"/>
                <w:spacing w:val="-4"/>
                <w:lang w:val="en-GB"/>
              </w:rPr>
              <w:t xml:space="preserve"> for the last year</w:t>
            </w:r>
            <w:r w:rsidR="0011055D" w:rsidRPr="006E725C">
              <w:rPr>
                <w:color w:val="0D0D0D" w:themeColor="text1" w:themeTint="F2"/>
                <w:spacing w:val="-4"/>
                <w:lang w:val="en-GB"/>
              </w:rPr>
              <w:t xml:space="preserve"> (</w:t>
            </w:r>
            <w:r w:rsidRPr="006E725C">
              <w:rPr>
                <w:color w:val="0D0D0D" w:themeColor="text1" w:themeTint="F2"/>
                <w:spacing w:val="-4"/>
                <w:lang w:val="en-GB"/>
              </w:rPr>
              <w:t xml:space="preserve">nearly the double the pace against year </w:t>
            </w:r>
            <w:r w:rsidR="0011055D" w:rsidRPr="006E725C">
              <w:rPr>
                <w:color w:val="0D0D0D" w:themeColor="text1" w:themeTint="F2"/>
                <w:spacing w:val="-4"/>
                <w:lang w:val="en-GB"/>
              </w:rPr>
              <w:t xml:space="preserve">2022), </w:t>
            </w:r>
            <w:r w:rsidRPr="006E725C">
              <w:rPr>
                <w:color w:val="0D0D0D" w:themeColor="text1" w:themeTint="F2"/>
                <w:spacing w:val="-4"/>
                <w:lang w:val="en-GB"/>
              </w:rPr>
              <w:t xml:space="preserve">it did not completely fulfil the budget anticipations </w:t>
            </w:r>
            <w:r w:rsidR="0011055D" w:rsidRPr="006E725C">
              <w:rPr>
                <w:color w:val="0D0D0D" w:themeColor="text1" w:themeTint="F2"/>
                <w:spacing w:val="-4"/>
                <w:lang w:val="en-GB"/>
              </w:rPr>
              <w:t>(−2</w:t>
            </w:r>
            <w:r w:rsidRPr="006E725C">
              <w:rPr>
                <w:color w:val="0D0D0D" w:themeColor="text1" w:themeTint="F2"/>
                <w:spacing w:val="-4"/>
                <w:lang w:val="en-GB"/>
              </w:rPr>
              <w:t>.</w:t>
            </w:r>
            <w:r w:rsidR="0011055D" w:rsidRPr="006E725C">
              <w:rPr>
                <w:color w:val="0D0D0D" w:themeColor="text1" w:themeTint="F2"/>
                <w:spacing w:val="-4"/>
                <w:lang w:val="en-GB"/>
              </w:rPr>
              <w:t xml:space="preserve">1%). </w:t>
            </w:r>
            <w:r w:rsidR="000F7C7E" w:rsidRPr="006E725C">
              <w:rPr>
                <w:color w:val="0D0D0D" w:themeColor="text1" w:themeTint="F2"/>
                <w:spacing w:val="-4"/>
                <w:lang w:val="en-GB"/>
              </w:rPr>
              <w:t>Strong growth of prices in the e</w:t>
            </w:r>
            <w:r w:rsidR="00044906" w:rsidRPr="006E725C">
              <w:rPr>
                <w:color w:val="0D0D0D" w:themeColor="text1" w:themeTint="F2"/>
                <w:spacing w:val="-4"/>
                <w:lang w:val="en-GB"/>
              </w:rPr>
              <w:t>co</w:t>
            </w:r>
            <w:r w:rsidR="000F7C7E" w:rsidRPr="006E725C">
              <w:rPr>
                <w:color w:val="0D0D0D" w:themeColor="text1" w:themeTint="F2"/>
                <w:spacing w:val="-4"/>
                <w:lang w:val="en-GB"/>
              </w:rPr>
              <w:t>nom</w:t>
            </w:r>
            <w:r w:rsidR="00C05F0A" w:rsidRPr="006E725C">
              <w:rPr>
                <w:color w:val="0D0D0D" w:themeColor="text1" w:themeTint="F2"/>
                <w:spacing w:val="-4"/>
                <w:lang w:val="en-GB"/>
              </w:rPr>
              <w:t>y</w:t>
            </w:r>
            <w:r w:rsidR="000F7C7E" w:rsidRPr="006E725C">
              <w:rPr>
                <w:color w:val="0D0D0D" w:themeColor="text1" w:themeTint="F2"/>
                <w:spacing w:val="-4"/>
                <w:lang w:val="en-GB"/>
              </w:rPr>
              <w:t xml:space="preserve">, which also pushed on </w:t>
            </w:r>
            <w:r w:rsidR="00877957" w:rsidRPr="006E725C">
              <w:rPr>
                <w:color w:val="0D0D0D" w:themeColor="text1" w:themeTint="F2"/>
                <w:spacing w:val="-4"/>
                <w:lang w:val="en-GB"/>
              </w:rPr>
              <w:t xml:space="preserve">higher dynamics of wages in the private sphere and simultaneously subdued the adverse impacts of the </w:t>
            </w:r>
            <w:r w:rsidR="00C05F0A" w:rsidRPr="006E725C">
              <w:rPr>
                <w:color w:val="0D0D0D" w:themeColor="text1" w:themeTint="F2"/>
                <w:spacing w:val="-4"/>
                <w:lang w:val="en-GB"/>
              </w:rPr>
              <w:t>ongoing weak household consumption of the collection of indirect taxes</w:t>
            </w:r>
            <w:r w:rsidR="00044906" w:rsidRPr="006E725C">
              <w:rPr>
                <w:color w:val="0D0D0D" w:themeColor="text1" w:themeTint="F2"/>
                <w:spacing w:val="-4"/>
                <w:lang w:val="en-GB"/>
              </w:rPr>
              <w:t xml:space="preserve">, participated on the development of revenues apart from the above-mentioned items. More than one half of the last year’s increase </w:t>
            </w:r>
            <w:r w:rsidR="00046F12" w:rsidRPr="006E725C">
              <w:rPr>
                <w:color w:val="0D0D0D" w:themeColor="text1" w:themeTint="F2"/>
                <w:spacing w:val="-4"/>
                <w:lang w:val="en-GB"/>
              </w:rPr>
              <w:t xml:space="preserve">of total SB revenues </w:t>
            </w:r>
            <w:r w:rsidR="007B7AD3" w:rsidRPr="006E725C">
              <w:rPr>
                <w:color w:val="0D0D0D" w:themeColor="text1" w:themeTint="F2"/>
                <w:spacing w:val="-4"/>
                <w:lang w:val="en-GB"/>
              </w:rPr>
              <w:t>flowed from the higher tax collection, nearly one third from the non-tax and capital revenues and the rest from the mandatory insurance</w:t>
            </w:r>
            <w:r w:rsidR="0011055D" w:rsidRPr="006E725C">
              <w:rPr>
                <w:rStyle w:val="Znakapoznpodarou"/>
                <w:spacing w:val="-4"/>
                <w:lang w:val="en-GB"/>
              </w:rPr>
              <w:footnoteReference w:id="5"/>
            </w:r>
            <w:r w:rsidR="0011055D" w:rsidRPr="006E725C">
              <w:rPr>
                <w:spacing w:val="-4"/>
                <w:lang w:val="en-GB"/>
              </w:rPr>
              <w:t xml:space="preserve">. </w:t>
            </w:r>
            <w:r w:rsidR="007B7AD3" w:rsidRPr="006E725C">
              <w:rPr>
                <w:spacing w:val="-4"/>
                <w:lang w:val="en-GB"/>
              </w:rPr>
              <w:t>Pace of insurance collection however weakened due to cooling on the labour market</w:t>
            </w:r>
            <w:r w:rsidR="0011055D" w:rsidRPr="006E725C">
              <w:rPr>
                <w:rStyle w:val="Znakapoznpodarou"/>
                <w:spacing w:val="-4"/>
                <w:lang w:val="en-GB"/>
              </w:rPr>
              <w:footnoteReference w:id="6"/>
            </w:r>
            <w:r w:rsidR="007B7AD3" w:rsidRPr="006E725C">
              <w:rPr>
                <w:spacing w:val="-4"/>
                <w:lang w:val="en-GB"/>
              </w:rPr>
              <w:t xml:space="preserve"> during the year </w:t>
            </w:r>
            <w:r w:rsidR="0011055D" w:rsidRPr="006E725C">
              <w:rPr>
                <w:spacing w:val="-4"/>
                <w:lang w:val="en-GB"/>
              </w:rPr>
              <w:t>(</w:t>
            </w:r>
            <w:r w:rsidR="007B7AD3" w:rsidRPr="006E725C">
              <w:rPr>
                <w:spacing w:val="-4"/>
                <w:lang w:val="en-GB"/>
              </w:rPr>
              <w:t>Q</w:t>
            </w:r>
            <w:r w:rsidR="0011055D" w:rsidRPr="006E725C">
              <w:rPr>
                <w:spacing w:val="-4"/>
                <w:lang w:val="en-GB"/>
              </w:rPr>
              <w:t>1: 10</w:t>
            </w:r>
            <w:r w:rsidR="007B7AD3" w:rsidRPr="006E725C">
              <w:rPr>
                <w:spacing w:val="-4"/>
                <w:lang w:val="en-GB"/>
              </w:rPr>
              <w:t>.</w:t>
            </w:r>
            <w:r w:rsidR="0011055D" w:rsidRPr="006E725C">
              <w:rPr>
                <w:spacing w:val="-4"/>
                <w:lang w:val="en-GB"/>
              </w:rPr>
              <w:t xml:space="preserve">5%, </w:t>
            </w:r>
            <w:r w:rsidR="007B7AD3" w:rsidRPr="006E725C">
              <w:rPr>
                <w:spacing w:val="-4"/>
                <w:lang w:val="en-GB"/>
              </w:rPr>
              <w:t>Q</w:t>
            </w:r>
            <w:r w:rsidR="0011055D" w:rsidRPr="006E725C">
              <w:rPr>
                <w:spacing w:val="-4"/>
                <w:lang w:val="en-GB"/>
              </w:rPr>
              <w:t>4: +6</w:t>
            </w:r>
            <w:r w:rsidR="007B7AD3" w:rsidRPr="006E725C">
              <w:rPr>
                <w:spacing w:val="-4"/>
                <w:lang w:val="en-GB"/>
              </w:rPr>
              <w:t>.</w:t>
            </w:r>
            <w:r w:rsidR="0011055D" w:rsidRPr="006E725C">
              <w:rPr>
                <w:spacing w:val="-4"/>
                <w:lang w:val="en-GB"/>
              </w:rPr>
              <w:t xml:space="preserve">4%). </w:t>
            </w:r>
            <w:r w:rsidR="007B7AD3" w:rsidRPr="006E725C">
              <w:rPr>
                <w:spacing w:val="-4"/>
                <w:lang w:val="en-GB"/>
              </w:rPr>
              <w:t xml:space="preserve">In contrast, the growth of the </w:t>
            </w:r>
            <w:r w:rsidR="000D0D18" w:rsidRPr="006E725C">
              <w:rPr>
                <w:spacing w:val="-4"/>
                <w:lang w:val="en-GB"/>
              </w:rPr>
              <w:t>state-wide</w:t>
            </w:r>
            <w:r w:rsidR="007B7AD3" w:rsidRPr="006E725C">
              <w:rPr>
                <w:spacing w:val="-4"/>
                <w:lang w:val="en-GB"/>
              </w:rPr>
              <w:t xml:space="preserve"> tax collection did not slow down </w:t>
            </w:r>
            <w:r w:rsidR="0011055D" w:rsidRPr="006E725C">
              <w:rPr>
                <w:spacing w:val="-4"/>
                <w:lang w:val="en-GB"/>
              </w:rPr>
              <w:t xml:space="preserve">– </w:t>
            </w:r>
            <w:r w:rsidR="007B7AD3" w:rsidRPr="006E725C">
              <w:rPr>
                <w:spacing w:val="-4"/>
                <w:lang w:val="en-GB"/>
              </w:rPr>
              <w:t xml:space="preserve">it was </w:t>
            </w:r>
            <w:r w:rsidR="0011055D" w:rsidRPr="006E725C">
              <w:rPr>
                <w:spacing w:val="-4"/>
                <w:lang w:val="en-GB"/>
              </w:rPr>
              <w:t>15</w:t>
            </w:r>
            <w:r w:rsidR="007B7AD3" w:rsidRPr="006E725C">
              <w:rPr>
                <w:spacing w:val="-4"/>
                <w:lang w:val="en-GB"/>
              </w:rPr>
              <w:t>.</w:t>
            </w:r>
            <w:r w:rsidR="0011055D" w:rsidRPr="006E725C">
              <w:rPr>
                <w:spacing w:val="-4"/>
                <w:lang w:val="en-GB"/>
              </w:rPr>
              <w:t>4%</w:t>
            </w:r>
            <w:r w:rsidR="007B7AD3" w:rsidRPr="006E725C">
              <w:rPr>
                <w:spacing w:val="-4"/>
                <w:lang w:val="en-GB"/>
              </w:rPr>
              <w:t xml:space="preserve"> for the whole last year</w:t>
            </w:r>
            <w:r w:rsidR="0011055D" w:rsidRPr="006E725C">
              <w:rPr>
                <w:spacing w:val="-4"/>
                <w:lang w:val="en-GB"/>
              </w:rPr>
              <w:t xml:space="preserve"> (resp. 12</w:t>
            </w:r>
            <w:r w:rsidR="007B7AD3" w:rsidRPr="006E725C">
              <w:rPr>
                <w:spacing w:val="-4"/>
                <w:lang w:val="en-GB"/>
              </w:rPr>
              <w:t>.</w:t>
            </w:r>
            <w:r w:rsidR="0011055D" w:rsidRPr="006E725C">
              <w:rPr>
                <w:spacing w:val="-4"/>
                <w:lang w:val="en-GB"/>
              </w:rPr>
              <w:t>2%</w:t>
            </w:r>
            <w:r w:rsidR="007B7AD3" w:rsidRPr="006E725C">
              <w:rPr>
                <w:spacing w:val="-4"/>
                <w:lang w:val="en-GB"/>
              </w:rPr>
              <w:t xml:space="preserve"> after deduction of extraordinary business taxes </w:t>
            </w:r>
            <w:r w:rsidR="0011055D" w:rsidRPr="006E725C">
              <w:rPr>
                <w:spacing w:val="-4"/>
                <w:lang w:val="en-GB"/>
              </w:rPr>
              <w:t>(</w:t>
            </w:r>
            <w:r w:rsidR="007B7AD3" w:rsidRPr="006E725C">
              <w:rPr>
                <w:spacing w:val="-4"/>
                <w:lang w:val="en-GB"/>
              </w:rPr>
              <w:t>from excessive income or unexpected profits</w:t>
            </w:r>
            <w:r w:rsidR="0011055D" w:rsidRPr="006E725C">
              <w:rPr>
                <w:spacing w:val="-4"/>
                <w:lang w:val="en-GB"/>
              </w:rPr>
              <w:t xml:space="preserve">). </w:t>
            </w:r>
          </w:p>
        </w:tc>
      </w:tr>
      <w:tr w:rsidR="0011055D" w:rsidRPr="006E725C" w14:paraId="714D38C9" w14:textId="77777777" w:rsidTr="00C07C2F">
        <w:trPr>
          <w:trHeight w:val="60"/>
        </w:trPr>
        <w:tc>
          <w:tcPr>
            <w:tcW w:w="1792" w:type="dxa"/>
            <w:shd w:val="clear" w:color="auto" w:fill="auto"/>
            <w:tcMar>
              <w:left w:w="0" w:type="dxa"/>
            </w:tcMar>
          </w:tcPr>
          <w:p w14:paraId="2DC761D7" w14:textId="41BCA09D" w:rsidR="0011055D" w:rsidRPr="006E725C" w:rsidRDefault="00D763AD" w:rsidP="00C07C2F">
            <w:pPr>
              <w:pStyle w:val="Marginlie"/>
              <w:rPr>
                <w:lang w:val="en-GB"/>
              </w:rPr>
            </w:pPr>
            <w:r w:rsidRPr="006E725C">
              <w:rPr>
                <w:lang w:val="en-GB"/>
              </w:rPr>
              <w:t xml:space="preserve">Newly introduced extraordinary business taxes the most </w:t>
            </w:r>
            <w:r w:rsidR="00657964" w:rsidRPr="006E725C">
              <w:rPr>
                <w:lang w:val="en-GB"/>
              </w:rPr>
              <w:t>contributed</w:t>
            </w:r>
            <w:r w:rsidRPr="006E725C">
              <w:rPr>
                <w:lang w:val="en-GB"/>
              </w:rPr>
              <w:t xml:space="preserve"> to the growth of the tax </w:t>
            </w:r>
            <w:r w:rsidR="00657964" w:rsidRPr="006E725C">
              <w:rPr>
                <w:lang w:val="en-GB"/>
              </w:rPr>
              <w:t>collection</w:t>
            </w:r>
            <w:r w:rsidRPr="006E725C">
              <w:rPr>
                <w:lang w:val="en-GB"/>
              </w:rPr>
              <w:t xml:space="preserve">. </w:t>
            </w:r>
          </w:p>
        </w:tc>
        <w:tc>
          <w:tcPr>
            <w:tcW w:w="203" w:type="dxa"/>
            <w:shd w:val="clear" w:color="auto" w:fill="auto"/>
            <w:tcMar>
              <w:left w:w="0" w:type="dxa"/>
            </w:tcMar>
          </w:tcPr>
          <w:p w14:paraId="55013398"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2A253ACB" w14:textId="5D0140A2" w:rsidR="0011055D" w:rsidRPr="006E725C" w:rsidRDefault="00D763AD" w:rsidP="00C07C2F">
            <w:pPr>
              <w:spacing w:after="200"/>
              <w:rPr>
                <w:spacing w:val="-4"/>
                <w:lang w:val="en-GB"/>
              </w:rPr>
            </w:pPr>
            <w:r w:rsidRPr="006E725C">
              <w:rPr>
                <w:color w:val="0D0D0D" w:themeColor="text1" w:themeTint="F2"/>
                <w:spacing w:val="-4"/>
                <w:lang w:val="en-GB"/>
              </w:rPr>
              <w:t xml:space="preserve">Mainly the funds from the extraordinary taxes of companies stood behind the last year’s growth of the total SB tax income </w:t>
            </w:r>
            <w:r w:rsidR="0011055D" w:rsidRPr="006E725C">
              <w:rPr>
                <w:color w:val="0D0D0D" w:themeColor="text1" w:themeTint="F2"/>
                <w:spacing w:val="-4"/>
                <w:lang w:val="en-GB"/>
              </w:rPr>
              <w:t>(57</w:t>
            </w:r>
            <w:r w:rsidRPr="006E725C">
              <w:rPr>
                <w:color w:val="0D0D0D" w:themeColor="text1" w:themeTint="F2"/>
                <w:spacing w:val="-4"/>
                <w:lang w:val="en-GB"/>
              </w:rPr>
              <w:t>.</w:t>
            </w:r>
            <w:r w:rsidR="0011055D" w:rsidRPr="006E725C">
              <w:rPr>
                <w:color w:val="0D0D0D" w:themeColor="text1" w:themeTint="F2"/>
                <w:spacing w:val="-4"/>
                <w:lang w:val="en-GB"/>
              </w:rPr>
              <w:t>7</w:t>
            </w:r>
            <w:r w:rsidRPr="006E725C">
              <w:rPr>
                <w:color w:val="0D0D0D" w:themeColor="text1" w:themeTint="F2"/>
                <w:spacing w:val="-4"/>
                <w:lang w:val="en-GB"/>
              </w:rPr>
              <w:t xml:space="preserve"> </w:t>
            </w:r>
            <w:r w:rsidR="009C0832">
              <w:rPr>
                <w:color w:val="0D0D0D" w:themeColor="text1" w:themeTint="F2"/>
                <w:spacing w:val="-4"/>
                <w:lang w:val="en-GB"/>
              </w:rPr>
              <w:t>CZK bn</w:t>
            </w:r>
            <w:r w:rsidR="0011055D" w:rsidRPr="006E725C">
              <w:rPr>
                <w:color w:val="0D0D0D" w:themeColor="text1" w:themeTint="F2"/>
                <w:spacing w:val="-4"/>
                <w:lang w:val="en-GB"/>
              </w:rPr>
              <w:t>),</w:t>
            </w:r>
            <w:r w:rsidRPr="006E725C">
              <w:rPr>
                <w:color w:val="0D0D0D" w:themeColor="text1" w:themeTint="F2"/>
                <w:spacing w:val="-4"/>
                <w:lang w:val="en-GB"/>
              </w:rPr>
              <w:t xml:space="preserve"> regardless of the fact, that their total collection was far from fulfilling the original budget anticipations</w:t>
            </w:r>
            <w:r w:rsidR="0011055D" w:rsidRPr="006E725C">
              <w:rPr>
                <w:rStyle w:val="Znakapoznpodarou"/>
                <w:color w:val="0D0D0D" w:themeColor="text1" w:themeTint="F2"/>
                <w:spacing w:val="-4"/>
                <w:lang w:val="en-GB"/>
              </w:rPr>
              <w:footnoteReference w:id="7"/>
            </w:r>
            <w:r w:rsidR="0011055D" w:rsidRPr="006E725C">
              <w:rPr>
                <w:color w:val="0D0D0D" w:themeColor="text1" w:themeTint="F2"/>
                <w:spacing w:val="-4"/>
                <w:lang w:val="en-GB"/>
              </w:rPr>
              <w:t xml:space="preserve">. </w:t>
            </w:r>
            <w:r w:rsidR="0011055D" w:rsidRPr="006E725C">
              <w:rPr>
                <w:spacing w:val="-4"/>
                <w:lang w:val="en-GB"/>
              </w:rPr>
              <w:t>T</w:t>
            </w:r>
            <w:r w:rsidRPr="006E725C">
              <w:rPr>
                <w:spacing w:val="-4"/>
                <w:lang w:val="en-GB"/>
              </w:rPr>
              <w:t xml:space="preserve">his is valid for its key item </w:t>
            </w:r>
            <w:r w:rsidR="0011055D" w:rsidRPr="006E725C">
              <w:rPr>
                <w:spacing w:val="-4"/>
                <w:lang w:val="en-GB"/>
              </w:rPr>
              <w:t xml:space="preserve">– </w:t>
            </w:r>
            <w:r w:rsidR="00E06436" w:rsidRPr="006E725C">
              <w:rPr>
                <w:spacing w:val="-4"/>
                <w:lang w:val="en-GB"/>
              </w:rPr>
              <w:t>tax on unexpected profit</w:t>
            </w:r>
            <w:r w:rsidR="0011055D" w:rsidRPr="006E725C">
              <w:rPr>
                <w:rStyle w:val="Znakapoznpodarou"/>
                <w:spacing w:val="-4"/>
                <w:lang w:val="en-GB"/>
              </w:rPr>
              <w:footnoteReference w:id="8"/>
            </w:r>
            <w:r w:rsidR="0011055D" w:rsidRPr="006E725C">
              <w:rPr>
                <w:spacing w:val="-4"/>
                <w:lang w:val="en-GB"/>
              </w:rPr>
              <w:t xml:space="preserve"> – </w:t>
            </w:r>
            <w:r w:rsidR="00E06436" w:rsidRPr="006E725C">
              <w:rPr>
                <w:spacing w:val="-4"/>
                <w:lang w:val="en-GB"/>
              </w:rPr>
              <w:t>whose advance</w:t>
            </w:r>
            <w:r w:rsidR="00657964" w:rsidRPr="006E725C">
              <w:rPr>
                <w:spacing w:val="-4"/>
                <w:lang w:val="en-GB"/>
              </w:rPr>
              <w:t>d</w:t>
            </w:r>
            <w:r w:rsidR="00E06436" w:rsidRPr="006E725C">
              <w:rPr>
                <w:spacing w:val="-4"/>
                <w:lang w:val="en-GB"/>
              </w:rPr>
              <w:t xml:space="preserve"> payments already brought </w:t>
            </w:r>
            <w:r w:rsidR="0011055D" w:rsidRPr="006E725C">
              <w:rPr>
                <w:spacing w:val="-4"/>
                <w:lang w:val="en-GB"/>
              </w:rPr>
              <w:t>39</w:t>
            </w:r>
            <w:r w:rsidR="00E06436" w:rsidRPr="006E725C">
              <w:rPr>
                <w:spacing w:val="-4"/>
                <w:lang w:val="en-GB"/>
              </w:rPr>
              <w:t>.</w:t>
            </w:r>
            <w:r w:rsidR="0011055D" w:rsidRPr="006E725C">
              <w:rPr>
                <w:spacing w:val="-4"/>
                <w:lang w:val="en-GB"/>
              </w:rPr>
              <w:t>1</w:t>
            </w:r>
            <w:r w:rsidR="00E06436" w:rsidRPr="006E725C">
              <w:rPr>
                <w:spacing w:val="-4"/>
                <w:lang w:val="en-GB"/>
              </w:rPr>
              <w:t xml:space="preserve"> </w:t>
            </w:r>
            <w:r w:rsidR="009C0832">
              <w:rPr>
                <w:spacing w:val="-4"/>
                <w:lang w:val="en-GB"/>
              </w:rPr>
              <w:t>CZK bn</w:t>
            </w:r>
            <w:r w:rsidR="00E06436" w:rsidRPr="006E725C">
              <w:rPr>
                <w:spacing w:val="-4"/>
                <w:lang w:val="en-GB"/>
              </w:rPr>
              <w:t xml:space="preserve"> to the SB. </w:t>
            </w:r>
            <w:r w:rsidR="00AA7E0C" w:rsidRPr="006E725C">
              <w:rPr>
                <w:spacing w:val="-4"/>
                <w:lang w:val="en-GB"/>
              </w:rPr>
              <w:t xml:space="preserve">On the contrary, energetic companies paid to state 18.5 </w:t>
            </w:r>
            <w:r w:rsidR="009C0832">
              <w:rPr>
                <w:spacing w:val="-4"/>
                <w:lang w:val="en-GB"/>
              </w:rPr>
              <w:t>CZK bn</w:t>
            </w:r>
            <w:r w:rsidR="00AA7E0C" w:rsidRPr="006E725C">
              <w:rPr>
                <w:spacing w:val="-4"/>
                <w:lang w:val="en-GB"/>
              </w:rPr>
              <w:t xml:space="preserve"> on the tax on excess income</w:t>
            </w:r>
            <w:r w:rsidR="0011055D" w:rsidRPr="006E725C">
              <w:rPr>
                <w:rStyle w:val="Znakapoznpodarou"/>
                <w:spacing w:val="-4"/>
                <w:lang w:val="en-GB"/>
              </w:rPr>
              <w:footnoteReference w:id="9"/>
            </w:r>
            <w:r w:rsidR="0011055D" w:rsidRPr="006E725C">
              <w:rPr>
                <w:spacing w:val="-4"/>
                <w:lang w:val="en-GB"/>
              </w:rPr>
              <w:t xml:space="preserve"> </w:t>
            </w:r>
            <w:r w:rsidR="00AA7E0C" w:rsidRPr="006E725C">
              <w:rPr>
                <w:spacing w:val="-4"/>
                <w:lang w:val="en-GB"/>
              </w:rPr>
              <w:t xml:space="preserve">and the planned annual revenues were achieved already last year in September here. </w:t>
            </w:r>
          </w:p>
        </w:tc>
      </w:tr>
      <w:tr w:rsidR="0011055D" w:rsidRPr="006E725C" w14:paraId="6CAE1AE0" w14:textId="77777777" w:rsidTr="00C07C2F">
        <w:trPr>
          <w:trHeight w:val="60"/>
        </w:trPr>
        <w:tc>
          <w:tcPr>
            <w:tcW w:w="1792" w:type="dxa"/>
            <w:shd w:val="clear" w:color="auto" w:fill="auto"/>
            <w:tcMar>
              <w:left w:w="0" w:type="dxa"/>
            </w:tcMar>
          </w:tcPr>
          <w:p w14:paraId="3A887C51" w14:textId="30B48309" w:rsidR="0011055D" w:rsidRPr="006E725C" w:rsidRDefault="00626B3B" w:rsidP="00C07C2F">
            <w:pPr>
              <w:pStyle w:val="Marginlie"/>
              <w:rPr>
                <w:lang w:val="en-GB"/>
              </w:rPr>
            </w:pPr>
            <w:r w:rsidRPr="006E725C">
              <w:rPr>
                <w:lang w:val="en-GB"/>
              </w:rPr>
              <w:t xml:space="preserve">High yield of the corporate tax is linked to the growth of the profit rate of businesses, </w:t>
            </w:r>
            <w:r w:rsidRPr="006E725C">
              <w:rPr>
                <w:lang w:val="en-GB"/>
              </w:rPr>
              <w:lastRenderedPageBreak/>
              <w:t xml:space="preserve">mainly in financial activities and energy industry. </w:t>
            </w:r>
          </w:p>
          <w:p w14:paraId="21160EA9" w14:textId="77777777" w:rsidR="0011055D" w:rsidRPr="006E725C" w:rsidRDefault="0011055D" w:rsidP="00C07C2F">
            <w:pPr>
              <w:pStyle w:val="Marginlie"/>
              <w:rPr>
                <w:lang w:val="en-GB"/>
              </w:rPr>
            </w:pPr>
          </w:p>
          <w:p w14:paraId="663D3E10" w14:textId="77777777" w:rsidR="0011055D" w:rsidRPr="006E725C" w:rsidRDefault="0011055D" w:rsidP="00C07C2F">
            <w:pPr>
              <w:pStyle w:val="Marginlie"/>
              <w:rPr>
                <w:lang w:val="en-GB"/>
              </w:rPr>
            </w:pPr>
          </w:p>
          <w:p w14:paraId="5682CF64" w14:textId="77777777" w:rsidR="0011055D" w:rsidRPr="006E725C" w:rsidRDefault="0011055D" w:rsidP="00C07C2F">
            <w:pPr>
              <w:pStyle w:val="Marginlie"/>
              <w:rPr>
                <w:lang w:val="en-GB"/>
              </w:rPr>
            </w:pPr>
          </w:p>
          <w:p w14:paraId="735B1886" w14:textId="02C3A818" w:rsidR="0011055D" w:rsidRPr="006E725C" w:rsidRDefault="0068020C" w:rsidP="00C07C2F">
            <w:pPr>
              <w:pStyle w:val="Marginlie"/>
              <w:rPr>
                <w:lang w:val="en-GB"/>
              </w:rPr>
            </w:pPr>
            <w:r w:rsidRPr="006E725C">
              <w:rPr>
                <w:lang w:val="en-GB"/>
              </w:rPr>
              <w:t xml:space="preserve">Collection of all types of income tax of natural persons significantly exceeded the budget anticipations. Year-on-year growth of the collection however weakened during the year. </w:t>
            </w:r>
          </w:p>
        </w:tc>
        <w:tc>
          <w:tcPr>
            <w:tcW w:w="203" w:type="dxa"/>
            <w:shd w:val="clear" w:color="auto" w:fill="auto"/>
            <w:tcMar>
              <w:left w:w="0" w:type="dxa"/>
            </w:tcMar>
          </w:tcPr>
          <w:p w14:paraId="08C8CDC9"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1A8B4A4D" w14:textId="5A4CA668" w:rsidR="0011055D" w:rsidRPr="006E725C" w:rsidRDefault="00626B3B" w:rsidP="00C07C2F">
            <w:pPr>
              <w:spacing w:after="180"/>
              <w:rPr>
                <w:color w:val="0D0D0D" w:themeColor="text1" w:themeTint="F2"/>
                <w:spacing w:val="-4"/>
                <w:lang w:val="en-GB"/>
              </w:rPr>
            </w:pPr>
            <w:r w:rsidRPr="006E725C">
              <w:rPr>
                <w:spacing w:val="-4"/>
                <w:lang w:val="en-GB"/>
              </w:rPr>
              <w:t xml:space="preserve">Among common taxes, the income tax of legal persons, whose collection strengthened by one third year-on-year </w:t>
            </w:r>
            <w:r w:rsidR="0011055D" w:rsidRPr="006E725C">
              <w:rPr>
                <w:spacing w:val="-4"/>
                <w:lang w:val="en-GB"/>
              </w:rPr>
              <w:t>(+52</w:t>
            </w:r>
            <w:r w:rsidRPr="006E725C">
              <w:rPr>
                <w:spacing w:val="-4"/>
                <w:lang w:val="en-GB"/>
              </w:rPr>
              <w:t xml:space="preserve"> </w:t>
            </w:r>
            <w:r w:rsidR="009C0832">
              <w:rPr>
                <w:spacing w:val="-4"/>
                <w:lang w:val="en-GB"/>
              </w:rPr>
              <w:t>CZK bn</w:t>
            </w:r>
            <w:r w:rsidR="0011055D" w:rsidRPr="006E725C">
              <w:rPr>
                <w:spacing w:val="-4"/>
                <w:lang w:val="en-GB"/>
              </w:rPr>
              <w:t>) a</w:t>
            </w:r>
            <w:r w:rsidRPr="006E725C">
              <w:rPr>
                <w:spacing w:val="-4"/>
                <w:lang w:val="en-GB"/>
              </w:rPr>
              <w:t xml:space="preserve">nd whose annual planned size was exceeded by more than one quarter </w:t>
            </w:r>
            <w:r w:rsidR="0011055D" w:rsidRPr="006E725C">
              <w:rPr>
                <w:spacing w:val="-2"/>
                <w:lang w:val="en-GB"/>
              </w:rPr>
              <w:t>(</w:t>
            </w:r>
            <w:r w:rsidRPr="006E725C">
              <w:rPr>
                <w:spacing w:val="-2"/>
                <w:lang w:val="en-GB"/>
              </w:rPr>
              <w:t xml:space="preserve">also thanks to the higher collection in the area of financial activities </w:t>
            </w:r>
            <w:r w:rsidRPr="006E725C">
              <w:rPr>
                <w:spacing w:val="-2"/>
                <w:lang w:val="en-GB"/>
              </w:rPr>
              <w:lastRenderedPageBreak/>
              <w:t>and energy industry</w:t>
            </w:r>
            <w:r w:rsidR="0011055D" w:rsidRPr="006E725C">
              <w:rPr>
                <w:spacing w:val="-5"/>
                <w:lang w:val="en-GB"/>
              </w:rPr>
              <w:t>)</w:t>
            </w:r>
            <w:r w:rsidRPr="006E725C">
              <w:rPr>
                <w:spacing w:val="-5"/>
                <w:lang w:val="en-GB"/>
              </w:rPr>
              <w:t xml:space="preserve"> supported the growth of the SB revenues the most last year</w:t>
            </w:r>
            <w:r w:rsidR="0011055D" w:rsidRPr="006E725C">
              <w:rPr>
                <w:spacing w:val="-5"/>
                <w:lang w:val="en-GB"/>
              </w:rPr>
              <w:t>.</w:t>
            </w:r>
            <w:r w:rsidRPr="006E725C">
              <w:rPr>
                <w:spacing w:val="-5"/>
                <w:lang w:val="en-GB"/>
              </w:rPr>
              <w:t xml:space="preserve"> Yield of the corporate tax is connected to the relatively high and still growing rate of profit of businesses</w:t>
            </w:r>
            <w:r w:rsidR="0011055D" w:rsidRPr="006E725C">
              <w:rPr>
                <w:rStyle w:val="Znakapoznpodarou"/>
                <w:spacing w:val="-5"/>
                <w:lang w:val="en-GB"/>
              </w:rPr>
              <w:footnoteReference w:id="10"/>
            </w:r>
            <w:r w:rsidR="0011055D" w:rsidRPr="006E725C">
              <w:rPr>
                <w:spacing w:val="-5"/>
                <w:lang w:val="en-GB"/>
              </w:rPr>
              <w:t xml:space="preserve">. </w:t>
            </w:r>
            <w:r w:rsidR="004D1A7B" w:rsidRPr="006E725C">
              <w:rPr>
                <w:spacing w:val="-5"/>
                <w:lang w:val="en-GB"/>
              </w:rPr>
              <w:t xml:space="preserve">Collection of income tax of natural persons (ITNP) also grew briskly last year – by one fifth </w:t>
            </w:r>
            <w:r w:rsidR="0011055D" w:rsidRPr="006E725C">
              <w:rPr>
                <w:color w:val="0D0D0D" w:themeColor="text1" w:themeTint="F2"/>
                <w:spacing w:val="-4"/>
                <w:lang w:val="en-GB"/>
              </w:rPr>
              <w:t>(resp. 25</w:t>
            </w:r>
            <w:r w:rsidR="004D1A7B" w:rsidRPr="006E725C">
              <w:rPr>
                <w:color w:val="0D0D0D" w:themeColor="text1" w:themeTint="F2"/>
                <w:spacing w:val="-4"/>
                <w:lang w:val="en-GB"/>
              </w:rPr>
              <w:t>.</w:t>
            </w:r>
            <w:r w:rsidR="0011055D" w:rsidRPr="006E725C">
              <w:rPr>
                <w:color w:val="0D0D0D" w:themeColor="text1" w:themeTint="F2"/>
                <w:spacing w:val="-4"/>
                <w:lang w:val="en-GB"/>
              </w:rPr>
              <w:t>2</w:t>
            </w:r>
            <w:r w:rsidR="004D1A7B" w:rsidRPr="006E725C">
              <w:rPr>
                <w:color w:val="0D0D0D" w:themeColor="text1" w:themeTint="F2"/>
                <w:spacing w:val="-4"/>
                <w:lang w:val="en-GB"/>
              </w:rPr>
              <w:t xml:space="preserve"> </w:t>
            </w:r>
            <w:r w:rsidR="009C0832">
              <w:rPr>
                <w:color w:val="0D0D0D" w:themeColor="text1" w:themeTint="F2"/>
                <w:spacing w:val="-4"/>
                <w:lang w:val="en-GB"/>
              </w:rPr>
              <w:t>CZK bn</w:t>
            </w:r>
            <w:r w:rsidR="0011055D" w:rsidRPr="006E725C">
              <w:rPr>
                <w:color w:val="0D0D0D" w:themeColor="text1" w:themeTint="F2"/>
                <w:spacing w:val="-4"/>
                <w:lang w:val="en-GB"/>
              </w:rPr>
              <w:t xml:space="preserve">). </w:t>
            </w:r>
            <w:r w:rsidR="007E413C" w:rsidRPr="006E725C">
              <w:rPr>
                <w:color w:val="0D0D0D" w:themeColor="text1" w:themeTint="F2"/>
                <w:spacing w:val="-4"/>
                <w:lang w:val="en-GB"/>
              </w:rPr>
              <w:t xml:space="preserve">Despite slower growth of collection during the year, it was mainly thanks to the key income tax from dependent activity </w:t>
            </w:r>
            <w:r w:rsidR="0011055D" w:rsidRPr="006E725C">
              <w:rPr>
                <w:color w:val="0D0D0D" w:themeColor="text1" w:themeTint="F2"/>
                <w:spacing w:val="-4"/>
                <w:lang w:val="en-GB"/>
              </w:rPr>
              <w:t>(+17</w:t>
            </w:r>
            <w:r w:rsidR="007E413C" w:rsidRPr="006E725C">
              <w:rPr>
                <w:color w:val="0D0D0D" w:themeColor="text1" w:themeTint="F2"/>
                <w:spacing w:val="-4"/>
                <w:lang w:val="en-GB"/>
              </w:rPr>
              <w:t xml:space="preserve"> </w:t>
            </w:r>
            <w:r w:rsidR="009C0832">
              <w:rPr>
                <w:color w:val="0D0D0D" w:themeColor="text1" w:themeTint="F2"/>
                <w:spacing w:val="-4"/>
                <w:lang w:val="en-GB"/>
              </w:rPr>
              <w:t>CZK bn</w:t>
            </w:r>
            <w:r w:rsidR="0011055D" w:rsidRPr="006E725C">
              <w:rPr>
                <w:color w:val="0D0D0D" w:themeColor="text1" w:themeTint="F2"/>
                <w:spacing w:val="-4"/>
                <w:lang w:val="en-GB"/>
              </w:rPr>
              <w:t>)</w:t>
            </w:r>
            <w:r w:rsidR="0011055D" w:rsidRPr="006E725C">
              <w:rPr>
                <w:rStyle w:val="Znakapoznpodarou"/>
                <w:color w:val="0D0D0D" w:themeColor="text1" w:themeTint="F2"/>
                <w:spacing w:val="-4"/>
                <w:lang w:val="en-GB"/>
              </w:rPr>
              <w:footnoteReference w:id="11"/>
            </w:r>
            <w:r w:rsidR="0011055D" w:rsidRPr="006E725C">
              <w:rPr>
                <w:color w:val="0D0D0D" w:themeColor="text1" w:themeTint="F2"/>
                <w:spacing w:val="-4"/>
                <w:lang w:val="en-GB"/>
              </w:rPr>
              <w:t xml:space="preserve">. </w:t>
            </w:r>
            <w:r w:rsidR="007E413C" w:rsidRPr="006E725C">
              <w:rPr>
                <w:color w:val="0D0D0D" w:themeColor="text1" w:themeTint="F2"/>
                <w:spacing w:val="-4"/>
                <w:lang w:val="en-GB"/>
              </w:rPr>
              <w:t xml:space="preserve">It favourably reflected the higher employment as well as the brisk growth of the nominal average wage in the business sphere. </w:t>
            </w:r>
            <w:r w:rsidR="00C327D8" w:rsidRPr="006E725C">
              <w:rPr>
                <w:color w:val="0D0D0D" w:themeColor="text1" w:themeTint="F2"/>
                <w:spacing w:val="-4"/>
                <w:lang w:val="en-GB"/>
              </w:rPr>
              <w:t xml:space="preserve">On the contrary, the tax changes had an adverse effect to a lesser extent </w:t>
            </w:r>
            <w:r w:rsidR="0011055D" w:rsidRPr="006E725C">
              <w:rPr>
                <w:color w:val="0D0D0D" w:themeColor="text1" w:themeTint="F2"/>
                <w:spacing w:val="-4"/>
                <w:lang w:val="en-GB"/>
              </w:rPr>
              <w:t>(</w:t>
            </w:r>
            <w:r w:rsidR="00C327D8" w:rsidRPr="006E725C">
              <w:rPr>
                <w:color w:val="0D0D0D" w:themeColor="text1" w:themeTint="F2"/>
                <w:spacing w:val="-4"/>
                <w:lang w:val="en-GB"/>
              </w:rPr>
              <w:t>especially the higher tax deduction on second and third child</w:t>
            </w:r>
            <w:r w:rsidR="0011055D" w:rsidRPr="006E725C">
              <w:rPr>
                <w:color w:val="0D0D0D" w:themeColor="text1" w:themeTint="F2"/>
                <w:spacing w:val="-4"/>
                <w:lang w:val="en-GB"/>
              </w:rPr>
              <w:t>).</w:t>
            </w:r>
            <w:r w:rsidR="00C327D8" w:rsidRPr="006E725C">
              <w:rPr>
                <w:color w:val="0D0D0D" w:themeColor="text1" w:themeTint="F2"/>
                <w:spacing w:val="-4"/>
                <w:lang w:val="en-GB"/>
              </w:rPr>
              <w:t xml:space="preserve"> C</w:t>
            </w:r>
            <w:r w:rsidR="005140CB" w:rsidRPr="006E725C">
              <w:rPr>
                <w:spacing w:val="-4"/>
                <w:lang w:val="en-GB"/>
              </w:rPr>
              <w:t xml:space="preserve">ollection of the weight less significant tax ITNP paid by payers (aimed mainly at small entrepreneurs) grew slower year-on-year </w:t>
            </w:r>
            <w:r w:rsidR="0011055D" w:rsidRPr="006E725C">
              <w:rPr>
                <w:color w:val="0D0D0D" w:themeColor="text1" w:themeTint="F2"/>
                <w:spacing w:val="-4"/>
                <w:lang w:val="en-GB"/>
              </w:rPr>
              <w:t>(+7</w:t>
            </w:r>
            <w:r w:rsidR="005140CB" w:rsidRPr="006E725C">
              <w:rPr>
                <w:color w:val="0D0D0D" w:themeColor="text1" w:themeTint="F2"/>
                <w:spacing w:val="-4"/>
                <w:lang w:val="en-GB"/>
              </w:rPr>
              <w:t>.</w:t>
            </w:r>
            <w:r w:rsidR="0011055D" w:rsidRPr="006E725C">
              <w:rPr>
                <w:color w:val="0D0D0D" w:themeColor="text1" w:themeTint="F2"/>
                <w:spacing w:val="-4"/>
                <w:lang w:val="en-GB"/>
              </w:rPr>
              <w:t>5%)</w:t>
            </w:r>
            <w:r w:rsidR="005140CB" w:rsidRPr="006E725C">
              <w:rPr>
                <w:spacing w:val="-4"/>
                <w:lang w:val="en-GB"/>
              </w:rPr>
              <w:t xml:space="preserve">, </w:t>
            </w:r>
            <w:r w:rsidR="00C327D8" w:rsidRPr="006E725C">
              <w:rPr>
                <w:color w:val="0D0D0D" w:themeColor="text1" w:themeTint="F2"/>
                <w:spacing w:val="-4"/>
                <w:lang w:val="en-GB"/>
              </w:rPr>
              <w:t xml:space="preserve">nevertheless exceeded the planned collection by more than one third. </w:t>
            </w:r>
            <w:r w:rsidR="006C3742" w:rsidRPr="006E725C">
              <w:rPr>
                <w:color w:val="0D0D0D" w:themeColor="text1" w:themeTint="F2"/>
                <w:spacing w:val="-4"/>
                <w:lang w:val="en-GB"/>
              </w:rPr>
              <w:t xml:space="preserve">It was assisted by the ongoing recovery of a number of services afflicted in the pandemic era as well as the rising number of entrepreneurs. Some tax changes </w:t>
            </w:r>
            <w:r w:rsidR="0011055D" w:rsidRPr="006E725C">
              <w:rPr>
                <w:color w:val="0D0D0D" w:themeColor="text1" w:themeTint="F2"/>
                <w:spacing w:val="-4"/>
                <w:lang w:val="en-GB"/>
              </w:rPr>
              <w:t>(</w:t>
            </w:r>
            <w:r w:rsidR="006C3742" w:rsidRPr="006E725C">
              <w:rPr>
                <w:color w:val="0D0D0D" w:themeColor="text1" w:themeTint="F2"/>
                <w:spacing w:val="-4"/>
                <w:lang w:val="en-GB"/>
              </w:rPr>
              <w:t>increase of the tax discount per taxpayer, increase of the income limit for the possi</w:t>
            </w:r>
            <w:r w:rsidR="00D1007E" w:rsidRPr="006E725C">
              <w:rPr>
                <w:color w:val="0D0D0D" w:themeColor="text1" w:themeTint="F2"/>
                <w:spacing w:val="-4"/>
                <w:lang w:val="en-GB"/>
              </w:rPr>
              <w:t xml:space="preserve">bility </w:t>
            </w:r>
            <w:r w:rsidR="006C3742" w:rsidRPr="006E725C">
              <w:rPr>
                <w:color w:val="0D0D0D" w:themeColor="text1" w:themeTint="F2"/>
                <w:spacing w:val="-4"/>
                <w:lang w:val="en-GB"/>
              </w:rPr>
              <w:t xml:space="preserve">of access to the </w:t>
            </w:r>
            <w:r w:rsidR="00D1007E" w:rsidRPr="006E725C">
              <w:rPr>
                <w:color w:val="0D0D0D" w:themeColor="text1" w:themeTint="F2"/>
                <w:spacing w:val="-4"/>
                <w:lang w:val="en-GB"/>
              </w:rPr>
              <w:t>flat rate scheme</w:t>
            </w:r>
            <w:r w:rsidR="0011055D" w:rsidRPr="006E725C">
              <w:rPr>
                <w:color w:val="0D0D0D" w:themeColor="text1" w:themeTint="F2"/>
                <w:spacing w:val="-4"/>
                <w:lang w:val="en-GB"/>
              </w:rPr>
              <w:t>)</w:t>
            </w:r>
            <w:r w:rsidR="006C3742" w:rsidRPr="006E725C">
              <w:rPr>
                <w:color w:val="0D0D0D" w:themeColor="text1" w:themeTint="F2"/>
                <w:spacing w:val="-4"/>
                <w:lang w:val="en-GB"/>
              </w:rPr>
              <w:t xml:space="preserve"> had the opposite effect</w:t>
            </w:r>
            <w:r w:rsidR="0011055D" w:rsidRPr="006E725C">
              <w:rPr>
                <w:color w:val="0D0D0D" w:themeColor="text1" w:themeTint="F2"/>
                <w:spacing w:val="-4"/>
                <w:lang w:val="en-GB"/>
              </w:rPr>
              <w:t xml:space="preserve">. </w:t>
            </w:r>
            <w:r w:rsidR="006C3742" w:rsidRPr="006E725C">
              <w:rPr>
                <w:color w:val="0D0D0D" w:themeColor="text1" w:themeTint="F2"/>
                <w:spacing w:val="-4"/>
                <w:lang w:val="en-GB"/>
              </w:rPr>
              <w:t xml:space="preserve">Collection of ITNP collected by deduction still thrived. </w:t>
            </w:r>
            <w:r w:rsidR="00C327D8" w:rsidRPr="006E725C">
              <w:rPr>
                <w:color w:val="0D0D0D" w:themeColor="text1" w:themeTint="F2"/>
                <w:spacing w:val="-4"/>
                <w:lang w:val="en-GB"/>
              </w:rPr>
              <w:t xml:space="preserve">Even though </w:t>
            </w:r>
            <w:r w:rsidR="003073BA" w:rsidRPr="006E725C">
              <w:rPr>
                <w:color w:val="0D0D0D" w:themeColor="text1" w:themeTint="F2"/>
                <w:spacing w:val="-4"/>
                <w:lang w:val="en-GB"/>
              </w:rPr>
              <w:t>its</w:t>
            </w:r>
            <w:r w:rsidR="00C327D8" w:rsidRPr="006E725C">
              <w:rPr>
                <w:color w:val="0D0D0D" w:themeColor="text1" w:themeTint="F2"/>
                <w:spacing w:val="-4"/>
                <w:lang w:val="en-GB"/>
              </w:rPr>
              <w:t xml:space="preserve"> year-on-year growth gradually weakened during the year, collection widened by more than one third for the whole last year </w:t>
            </w:r>
            <w:r w:rsidR="0011055D" w:rsidRPr="006E725C">
              <w:rPr>
                <w:color w:val="0D0D0D" w:themeColor="text1" w:themeTint="F2"/>
                <w:spacing w:val="-4"/>
                <w:lang w:val="en-GB"/>
              </w:rPr>
              <w:t>(+7</w:t>
            </w:r>
            <w:r w:rsidR="00C327D8" w:rsidRPr="006E725C">
              <w:rPr>
                <w:color w:val="0D0D0D" w:themeColor="text1" w:themeTint="F2"/>
                <w:spacing w:val="-4"/>
                <w:lang w:val="en-GB"/>
              </w:rPr>
              <w:t>.</w:t>
            </w:r>
            <w:r w:rsidR="0011055D" w:rsidRPr="006E725C">
              <w:rPr>
                <w:color w:val="0D0D0D" w:themeColor="text1" w:themeTint="F2"/>
                <w:spacing w:val="-4"/>
                <w:lang w:val="en-GB"/>
              </w:rPr>
              <w:t>5</w:t>
            </w:r>
            <w:r w:rsidR="00C327D8" w:rsidRPr="006E725C">
              <w:rPr>
                <w:color w:val="0D0D0D" w:themeColor="text1" w:themeTint="F2"/>
                <w:spacing w:val="-4"/>
                <w:lang w:val="en-GB"/>
              </w:rPr>
              <w:t xml:space="preserve"> </w:t>
            </w:r>
            <w:r w:rsidR="009C0832">
              <w:rPr>
                <w:color w:val="0D0D0D" w:themeColor="text1" w:themeTint="F2"/>
                <w:spacing w:val="-4"/>
                <w:lang w:val="en-GB"/>
              </w:rPr>
              <w:t>CZK bn</w:t>
            </w:r>
            <w:r w:rsidR="0011055D" w:rsidRPr="006E725C">
              <w:rPr>
                <w:color w:val="0D0D0D" w:themeColor="text1" w:themeTint="F2"/>
                <w:spacing w:val="-4"/>
                <w:lang w:val="en-GB"/>
              </w:rPr>
              <w:t xml:space="preserve">). </w:t>
            </w:r>
            <w:r w:rsidR="00B27613" w:rsidRPr="006E725C">
              <w:rPr>
                <w:color w:val="0D0D0D" w:themeColor="text1" w:themeTint="F2"/>
                <w:spacing w:val="-4"/>
                <w:lang w:val="en-GB"/>
              </w:rPr>
              <w:t xml:space="preserve">It was driven by the persisting higher interest rates on deposits and to a lesser extent also by the higher number of persons </w:t>
            </w:r>
            <w:r w:rsidR="00A83FA9" w:rsidRPr="006E725C">
              <w:rPr>
                <w:color w:val="0D0D0D" w:themeColor="text1" w:themeTint="F2"/>
                <w:spacing w:val="-4"/>
                <w:lang w:val="en-GB"/>
              </w:rPr>
              <w:t xml:space="preserve">with job agreement contracts. </w:t>
            </w:r>
          </w:p>
        </w:tc>
      </w:tr>
      <w:tr w:rsidR="0011055D" w:rsidRPr="006E725C" w14:paraId="32F938D7" w14:textId="77777777" w:rsidTr="00C07C2F">
        <w:trPr>
          <w:trHeight w:val="170"/>
        </w:trPr>
        <w:tc>
          <w:tcPr>
            <w:tcW w:w="1792" w:type="dxa"/>
            <w:vMerge w:val="restart"/>
            <w:shd w:val="clear" w:color="auto" w:fill="auto"/>
            <w:tcMar>
              <w:left w:w="0" w:type="dxa"/>
            </w:tcMar>
          </w:tcPr>
          <w:p w14:paraId="6E49F856" w14:textId="77777777" w:rsidR="0011055D" w:rsidRPr="006E725C" w:rsidRDefault="0011055D" w:rsidP="00C07C2F">
            <w:pPr>
              <w:pStyle w:val="Marginlie"/>
              <w:rPr>
                <w:lang w:val="en-GB"/>
              </w:rPr>
            </w:pPr>
          </w:p>
        </w:tc>
        <w:tc>
          <w:tcPr>
            <w:tcW w:w="203" w:type="dxa"/>
            <w:vMerge w:val="restart"/>
            <w:shd w:val="clear" w:color="auto" w:fill="auto"/>
            <w:tcMar>
              <w:left w:w="0" w:type="dxa"/>
            </w:tcMar>
          </w:tcPr>
          <w:p w14:paraId="26C8E9EA"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04C2746D" w14:textId="4A806FD3" w:rsidR="0011055D" w:rsidRPr="006E725C" w:rsidRDefault="005D33A3" w:rsidP="00C07C2F">
            <w:pPr>
              <w:spacing w:after="0"/>
              <w:rPr>
                <w:rFonts w:cs="Arial"/>
                <w:b/>
                <w:bCs/>
                <w:color w:val="000000"/>
                <w:spacing w:val="-2"/>
                <w:szCs w:val="20"/>
                <w:lang w:val="en-GB"/>
              </w:rPr>
            </w:pPr>
            <w:r w:rsidRPr="006E725C">
              <w:rPr>
                <w:rFonts w:cs="Arial"/>
                <w:b/>
                <w:bCs/>
                <w:color w:val="000000"/>
                <w:spacing w:val="-2"/>
                <w:szCs w:val="20"/>
                <w:lang w:val="en-GB"/>
              </w:rPr>
              <w:t xml:space="preserve">Chart </w:t>
            </w:r>
            <w:r w:rsidR="0011055D" w:rsidRPr="006E725C">
              <w:rPr>
                <w:rFonts w:cs="Arial"/>
                <w:b/>
                <w:bCs/>
                <w:color w:val="000000"/>
                <w:spacing w:val="-2"/>
                <w:szCs w:val="20"/>
                <w:lang w:val="en-GB"/>
              </w:rPr>
              <w:t xml:space="preserve">18 </w:t>
            </w:r>
            <w:r w:rsidR="00BE08AB" w:rsidRPr="006E725C">
              <w:rPr>
                <w:rFonts w:cs="Arial"/>
                <w:b/>
                <w:bCs/>
                <w:color w:val="000000"/>
                <w:spacing w:val="-4"/>
                <w:szCs w:val="20"/>
                <w:lang w:val="en-GB"/>
              </w:rPr>
              <w:t>Contribution of constituent revenues to the growth of the s</w:t>
            </w:r>
            <w:r w:rsidR="00BE08AB" w:rsidRPr="006E725C">
              <w:rPr>
                <w:rFonts w:cs="Arial"/>
                <w:b/>
                <w:bCs/>
                <w:spacing w:val="-4"/>
                <w:lang w:val="en-GB"/>
              </w:rPr>
              <w:t xml:space="preserve">tate wide tax collection </w:t>
            </w:r>
            <w:r w:rsidR="00BE08AB" w:rsidRPr="006E725C">
              <w:rPr>
                <w:rFonts w:cs="Arial"/>
                <w:bCs/>
                <w:spacing w:val="-4"/>
                <w:lang w:val="en-GB"/>
              </w:rPr>
              <w:t>(in p. p.</w:t>
            </w:r>
            <w:r w:rsidR="00BE08AB" w:rsidRPr="006E725C">
              <w:rPr>
                <w:bCs/>
                <w:spacing w:val="-4"/>
                <w:lang w:val="en-GB"/>
              </w:rPr>
              <w:t xml:space="preserve">), </w:t>
            </w:r>
            <w:r w:rsidR="00BE08AB" w:rsidRPr="006E725C">
              <w:rPr>
                <w:b/>
                <w:spacing w:val="-4"/>
                <w:lang w:val="en-GB"/>
              </w:rPr>
              <w:t>year-on-year growth of social security insurance revenues</w:t>
            </w:r>
            <w:r w:rsidR="00BE08AB" w:rsidRPr="006E725C">
              <w:rPr>
                <w:bCs/>
                <w:spacing w:val="-4"/>
                <w:lang w:val="en-GB"/>
              </w:rPr>
              <w:t xml:space="preserve"> (%) </w:t>
            </w:r>
            <w:r w:rsidR="00BE08AB" w:rsidRPr="006E725C">
              <w:rPr>
                <w:rFonts w:cs="Arial"/>
                <w:b/>
                <w:bCs/>
                <w:spacing w:val="-4"/>
                <w:lang w:val="en-GB"/>
              </w:rPr>
              <w:t xml:space="preserve">and state budget balance </w:t>
            </w:r>
            <w:r w:rsidR="00BE08AB" w:rsidRPr="006E725C">
              <w:rPr>
                <w:rFonts w:cs="Arial"/>
                <w:bCs/>
                <w:spacing w:val="-4"/>
                <w:lang w:val="en-GB"/>
              </w:rPr>
              <w:t xml:space="preserve">(in </w:t>
            </w:r>
            <w:r w:rsidR="009C0832">
              <w:rPr>
                <w:rFonts w:cs="Arial"/>
                <w:bCs/>
                <w:spacing w:val="-4"/>
                <w:lang w:val="en-GB"/>
              </w:rPr>
              <w:t>CZK bn</w:t>
            </w:r>
            <w:r w:rsidR="00BE08AB" w:rsidRPr="006E725C">
              <w:rPr>
                <w:rFonts w:cs="Arial"/>
                <w:bCs/>
                <w:spacing w:val="-4"/>
                <w:lang w:val="en-GB"/>
              </w:rPr>
              <w:t>)</w:t>
            </w:r>
          </w:p>
        </w:tc>
      </w:tr>
      <w:tr w:rsidR="0011055D" w:rsidRPr="006E725C" w14:paraId="0368D539" w14:textId="77777777" w:rsidTr="00D43230">
        <w:tblPrEx>
          <w:tblCellMar>
            <w:left w:w="70" w:type="dxa"/>
            <w:right w:w="70" w:type="dxa"/>
          </w:tblCellMar>
        </w:tblPrEx>
        <w:trPr>
          <w:trHeight w:val="170"/>
        </w:trPr>
        <w:tc>
          <w:tcPr>
            <w:tcW w:w="1792" w:type="dxa"/>
            <w:vMerge/>
            <w:shd w:val="clear" w:color="auto" w:fill="auto"/>
          </w:tcPr>
          <w:p w14:paraId="1E064F46" w14:textId="77777777" w:rsidR="0011055D" w:rsidRPr="006E725C" w:rsidRDefault="0011055D" w:rsidP="00C07C2F">
            <w:pPr>
              <w:pStyle w:val="Marginlie"/>
              <w:rPr>
                <w:lang w:val="en-GB"/>
              </w:rPr>
            </w:pPr>
          </w:p>
        </w:tc>
        <w:tc>
          <w:tcPr>
            <w:tcW w:w="203" w:type="dxa"/>
            <w:vMerge/>
            <w:shd w:val="clear" w:color="auto" w:fill="auto"/>
          </w:tcPr>
          <w:p w14:paraId="731BE8A0" w14:textId="77777777" w:rsidR="0011055D" w:rsidRPr="006E725C" w:rsidRDefault="0011055D" w:rsidP="00C07C2F">
            <w:pPr>
              <w:pStyle w:val="Textpoznpodarou"/>
              <w:jc w:val="both"/>
              <w:rPr>
                <w:spacing w:val="-4"/>
                <w:lang w:val="en-GB"/>
              </w:rPr>
            </w:pPr>
          </w:p>
        </w:tc>
        <w:tc>
          <w:tcPr>
            <w:tcW w:w="7674" w:type="dxa"/>
            <w:shd w:val="clear" w:color="auto" w:fill="auto"/>
          </w:tcPr>
          <w:p w14:paraId="10B824CF" w14:textId="2112A6C2" w:rsidR="0011055D" w:rsidRPr="006E725C" w:rsidRDefault="00D43230" w:rsidP="00C07C2F">
            <w:pPr>
              <w:spacing w:after="40"/>
              <w:rPr>
                <w:spacing w:val="-6"/>
                <w:lang w:val="en-GB"/>
              </w:rPr>
            </w:pPr>
            <w:r>
              <w:rPr>
                <w:noProof/>
              </w:rPr>
              <w:drawing>
                <wp:inline distT="0" distB="0" distL="0" distR="0" wp14:anchorId="63941201" wp14:editId="650288D5">
                  <wp:extent cx="4770051" cy="3475634"/>
                  <wp:effectExtent l="0" t="0" r="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1055D" w:rsidRPr="006E725C" w14:paraId="712D5BD4" w14:textId="77777777" w:rsidTr="00C07C2F">
        <w:trPr>
          <w:trHeight w:val="170"/>
        </w:trPr>
        <w:tc>
          <w:tcPr>
            <w:tcW w:w="1792" w:type="dxa"/>
            <w:vMerge/>
            <w:shd w:val="clear" w:color="auto" w:fill="auto"/>
            <w:tcMar>
              <w:left w:w="0" w:type="dxa"/>
            </w:tcMar>
          </w:tcPr>
          <w:p w14:paraId="67C88BC6" w14:textId="77777777" w:rsidR="0011055D" w:rsidRPr="006E725C" w:rsidRDefault="0011055D" w:rsidP="00C07C2F">
            <w:pPr>
              <w:pStyle w:val="Marginlie"/>
              <w:rPr>
                <w:lang w:val="en-GB"/>
              </w:rPr>
            </w:pPr>
          </w:p>
        </w:tc>
        <w:tc>
          <w:tcPr>
            <w:tcW w:w="203" w:type="dxa"/>
            <w:vMerge/>
            <w:shd w:val="clear" w:color="auto" w:fill="auto"/>
            <w:tcMar>
              <w:left w:w="0" w:type="dxa"/>
            </w:tcMar>
          </w:tcPr>
          <w:p w14:paraId="13A7213F"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0DB31A19" w14:textId="60D1EADF" w:rsidR="0011055D" w:rsidRPr="006E725C" w:rsidRDefault="0011055D" w:rsidP="006035A1">
            <w:pPr>
              <w:tabs>
                <w:tab w:val="right" w:pos="7683"/>
              </w:tabs>
              <w:spacing w:after="0" w:line="240" w:lineRule="auto"/>
              <w:rPr>
                <w:spacing w:val="-2"/>
                <w:sz w:val="14"/>
                <w:szCs w:val="14"/>
                <w:lang w:val="en-GB"/>
              </w:rPr>
            </w:pPr>
            <w:r w:rsidRPr="006E725C">
              <w:rPr>
                <w:spacing w:val="-2"/>
                <w:sz w:val="14"/>
                <w:szCs w:val="14"/>
                <w:lang w:val="en-GB"/>
              </w:rPr>
              <w:t>*</w:t>
            </w:r>
            <w:r w:rsidR="0047766A" w:rsidRPr="006E725C">
              <w:rPr>
                <w:spacing w:val="-2"/>
                <w:sz w:val="14"/>
                <w:szCs w:val="14"/>
                <w:lang w:val="en-GB"/>
              </w:rPr>
              <w:t xml:space="preserve">Include also contributions on state Active employment policy. </w:t>
            </w:r>
          </w:p>
          <w:p w14:paraId="2AFCEB01" w14:textId="66C2FC7C" w:rsidR="0011055D" w:rsidRPr="006E725C" w:rsidRDefault="0011055D" w:rsidP="006035A1">
            <w:pPr>
              <w:tabs>
                <w:tab w:val="right" w:pos="7683"/>
              </w:tabs>
              <w:spacing w:after="0" w:line="240" w:lineRule="auto"/>
              <w:rPr>
                <w:spacing w:val="-2"/>
                <w:sz w:val="14"/>
                <w:szCs w:val="14"/>
                <w:lang w:val="en-GB"/>
              </w:rPr>
            </w:pPr>
            <w:r w:rsidRPr="006E725C">
              <w:rPr>
                <w:spacing w:val="-2"/>
                <w:sz w:val="14"/>
                <w:szCs w:val="14"/>
                <w:lang w:val="en-GB"/>
              </w:rPr>
              <w:t>**</w:t>
            </w:r>
            <w:r w:rsidR="0047766A" w:rsidRPr="006E725C">
              <w:rPr>
                <w:rFonts w:cs="Arial"/>
                <w:spacing w:val="-6"/>
                <w:sz w:val="14"/>
                <w:szCs w:val="14"/>
                <w:lang w:val="en-GB"/>
              </w:rPr>
              <w:t xml:space="preserve"> Balance adjusted for funds on programmes/projects from the EU budget and Financial mechanisms, which were pre-financed from the SB and subsequently reimbursed from the budget of EU and FM. Yearly data are available starting year 2</w:t>
            </w:r>
            <w:r w:rsidRPr="006E725C">
              <w:rPr>
                <w:spacing w:val="-2"/>
                <w:sz w:val="14"/>
                <w:szCs w:val="14"/>
                <w:lang w:val="en-GB"/>
              </w:rPr>
              <w:t>010.</w:t>
            </w:r>
          </w:p>
          <w:p w14:paraId="43D04880" w14:textId="1E13B65E" w:rsidR="0011055D" w:rsidRPr="006E725C" w:rsidRDefault="0047766A" w:rsidP="00D43230">
            <w:pPr>
              <w:tabs>
                <w:tab w:val="right" w:pos="7683"/>
              </w:tabs>
              <w:spacing w:after="0" w:line="240" w:lineRule="auto"/>
              <w:rPr>
                <w:sz w:val="16"/>
                <w:szCs w:val="16"/>
                <w:lang w:val="en-GB"/>
              </w:rPr>
            </w:pPr>
            <w:r w:rsidRPr="006E725C">
              <w:rPr>
                <w:spacing w:val="-2"/>
                <w:sz w:val="14"/>
                <w:szCs w:val="14"/>
                <w:lang w:val="en-GB"/>
              </w:rPr>
              <w:t>NP</w:t>
            </w:r>
            <w:r w:rsidR="0011055D" w:rsidRPr="006E725C">
              <w:rPr>
                <w:spacing w:val="-2"/>
                <w:sz w:val="14"/>
                <w:szCs w:val="14"/>
                <w:lang w:val="en-GB"/>
              </w:rPr>
              <w:t xml:space="preserve"> = </w:t>
            </w:r>
            <w:r w:rsidRPr="006E725C">
              <w:rPr>
                <w:spacing w:val="-2"/>
                <w:sz w:val="14"/>
                <w:szCs w:val="14"/>
                <w:lang w:val="en-GB"/>
              </w:rPr>
              <w:t>natural persons</w:t>
            </w:r>
            <w:r w:rsidR="0011055D" w:rsidRPr="006E725C">
              <w:rPr>
                <w:spacing w:val="-2"/>
                <w:sz w:val="14"/>
                <w:szCs w:val="14"/>
                <w:lang w:val="en-GB"/>
              </w:rPr>
              <w:t xml:space="preserve">, </w:t>
            </w:r>
            <w:r w:rsidRPr="006E725C">
              <w:rPr>
                <w:spacing w:val="-2"/>
                <w:sz w:val="14"/>
                <w:szCs w:val="14"/>
                <w:lang w:val="en-GB"/>
              </w:rPr>
              <w:t>LP</w:t>
            </w:r>
            <w:r w:rsidR="0011055D" w:rsidRPr="006E725C">
              <w:rPr>
                <w:spacing w:val="-2"/>
                <w:sz w:val="14"/>
                <w:szCs w:val="14"/>
                <w:lang w:val="en-GB"/>
              </w:rPr>
              <w:t xml:space="preserve"> = </w:t>
            </w:r>
            <w:r w:rsidRPr="006E725C">
              <w:rPr>
                <w:spacing w:val="-2"/>
                <w:sz w:val="14"/>
                <w:szCs w:val="14"/>
                <w:lang w:val="en-GB"/>
              </w:rPr>
              <w:t>legal persons</w:t>
            </w:r>
            <w:r w:rsidR="0011055D" w:rsidRPr="006E725C">
              <w:rPr>
                <w:spacing w:val="-2"/>
                <w:sz w:val="14"/>
                <w:szCs w:val="14"/>
                <w:lang w:val="en-GB"/>
              </w:rPr>
              <w:t>. O</w:t>
            </w:r>
            <w:r w:rsidRPr="006E725C">
              <w:rPr>
                <w:spacing w:val="-2"/>
                <w:sz w:val="14"/>
                <w:szCs w:val="14"/>
                <w:lang w:val="en-GB"/>
              </w:rPr>
              <w:t xml:space="preserve">ther taxes from the incomes of NP include taxes paid by the payers </w:t>
            </w:r>
            <w:r w:rsidR="0011055D" w:rsidRPr="006E725C">
              <w:rPr>
                <w:spacing w:val="-2"/>
                <w:sz w:val="14"/>
                <w:szCs w:val="14"/>
                <w:lang w:val="en-GB"/>
              </w:rPr>
              <w:t>(</w:t>
            </w:r>
            <w:r w:rsidRPr="006E725C">
              <w:rPr>
                <w:spacing w:val="-2"/>
                <w:sz w:val="14"/>
                <w:szCs w:val="14"/>
                <w:lang w:val="en-GB"/>
              </w:rPr>
              <w:t>mainly from small businesses</w:t>
            </w:r>
            <w:r w:rsidR="0011055D" w:rsidRPr="006E725C">
              <w:rPr>
                <w:spacing w:val="-2"/>
                <w:sz w:val="14"/>
                <w:szCs w:val="14"/>
                <w:lang w:val="en-GB"/>
              </w:rPr>
              <w:t>) a</w:t>
            </w:r>
            <w:r w:rsidRPr="006E725C">
              <w:rPr>
                <w:spacing w:val="-2"/>
                <w:sz w:val="14"/>
                <w:szCs w:val="14"/>
                <w:lang w:val="en-GB"/>
              </w:rPr>
              <w:t xml:space="preserve">nd further taxes collected by deduction. </w:t>
            </w:r>
          </w:p>
          <w:p w14:paraId="187D4715" w14:textId="3A562D22" w:rsidR="00D43230" w:rsidRDefault="0047766A" w:rsidP="00D43230">
            <w:pPr>
              <w:tabs>
                <w:tab w:val="right" w:pos="7683"/>
              </w:tabs>
              <w:spacing w:after="0" w:line="240" w:lineRule="auto"/>
              <w:rPr>
                <w:sz w:val="14"/>
                <w:szCs w:val="14"/>
                <w:lang w:val="en-GB"/>
              </w:rPr>
            </w:pPr>
            <w:r w:rsidRPr="006E725C">
              <w:rPr>
                <w:sz w:val="14"/>
                <w:szCs w:val="14"/>
                <w:lang w:val="en-GB"/>
              </w:rPr>
              <w:t xml:space="preserve">Other taxes and fees contain mainly </w:t>
            </w:r>
            <w:r w:rsidR="006035A1" w:rsidRPr="006E725C">
              <w:rPr>
                <w:sz w:val="14"/>
                <w:szCs w:val="14"/>
                <w:lang w:val="en-GB"/>
              </w:rPr>
              <w:t xml:space="preserve">property tax, gambling tax, motorway and other tolls, </w:t>
            </w:r>
            <w:r w:rsidR="0011055D" w:rsidRPr="006E725C">
              <w:rPr>
                <w:sz w:val="14"/>
                <w:szCs w:val="14"/>
                <w:lang w:val="en-GB"/>
              </w:rPr>
              <w:t>a</w:t>
            </w:r>
            <w:r w:rsidR="006035A1" w:rsidRPr="006E725C">
              <w:rPr>
                <w:sz w:val="14"/>
                <w:szCs w:val="14"/>
                <w:lang w:val="en-GB"/>
              </w:rPr>
              <w:t xml:space="preserve">nd levy form excess income and unexpected profit also in year </w:t>
            </w:r>
            <w:r w:rsidR="0011055D" w:rsidRPr="006E725C">
              <w:rPr>
                <w:sz w:val="14"/>
                <w:szCs w:val="14"/>
                <w:lang w:val="en-GB"/>
              </w:rPr>
              <w:t>2023</w:t>
            </w:r>
            <w:r w:rsidR="00D43230">
              <w:rPr>
                <w:sz w:val="14"/>
                <w:szCs w:val="14"/>
                <w:lang w:val="en-GB"/>
              </w:rPr>
              <w:t>.</w:t>
            </w:r>
          </w:p>
          <w:p w14:paraId="287A26C0" w14:textId="5CF61166" w:rsidR="00BE08AB" w:rsidRPr="00D43230" w:rsidRDefault="0049505A" w:rsidP="00D43230">
            <w:pPr>
              <w:tabs>
                <w:tab w:val="right" w:pos="7683"/>
              </w:tabs>
              <w:spacing w:after="180" w:line="240" w:lineRule="auto"/>
              <w:rPr>
                <w:sz w:val="14"/>
                <w:szCs w:val="14"/>
                <w:lang w:val="en-GB"/>
              </w:rPr>
            </w:pPr>
            <w:r w:rsidRPr="006E725C">
              <w:rPr>
                <w:sz w:val="14"/>
                <w:szCs w:val="14"/>
                <w:lang w:val="en-GB"/>
              </w:rPr>
              <w:t>Source</w:t>
            </w:r>
            <w:r w:rsidR="0011055D" w:rsidRPr="006E725C">
              <w:rPr>
                <w:sz w:val="14"/>
                <w:szCs w:val="14"/>
                <w:lang w:val="en-GB"/>
              </w:rPr>
              <w:t xml:space="preserve">: MF </w:t>
            </w:r>
            <w:r w:rsidRPr="006E725C">
              <w:rPr>
                <w:sz w:val="14"/>
                <w:szCs w:val="14"/>
                <w:lang w:val="en-GB"/>
              </w:rPr>
              <w:t>C</w:t>
            </w:r>
            <w:r w:rsidR="00E2449B">
              <w:rPr>
                <w:sz w:val="14"/>
                <w:szCs w:val="14"/>
                <w:lang w:val="en-GB"/>
              </w:rPr>
              <w:t>R</w:t>
            </w:r>
          </w:p>
        </w:tc>
      </w:tr>
      <w:tr w:rsidR="0011055D" w:rsidRPr="006E725C" w14:paraId="3F446F49" w14:textId="77777777" w:rsidTr="00C07C2F">
        <w:trPr>
          <w:trHeight w:val="170"/>
        </w:trPr>
        <w:tc>
          <w:tcPr>
            <w:tcW w:w="1792" w:type="dxa"/>
            <w:shd w:val="clear" w:color="auto" w:fill="auto"/>
            <w:tcMar>
              <w:left w:w="0" w:type="dxa"/>
            </w:tcMar>
          </w:tcPr>
          <w:p w14:paraId="7428CA2D" w14:textId="64D90CD9" w:rsidR="0011055D" w:rsidRPr="006E725C" w:rsidRDefault="00483359" w:rsidP="00C07C2F">
            <w:pPr>
              <w:pStyle w:val="Marginlie"/>
              <w:rPr>
                <w:spacing w:val="-5"/>
                <w:lang w:val="en-GB"/>
              </w:rPr>
            </w:pPr>
            <w:r w:rsidRPr="006E725C">
              <w:rPr>
                <w:spacing w:val="-5"/>
                <w:lang w:val="en-GB"/>
              </w:rPr>
              <w:lastRenderedPageBreak/>
              <w:t xml:space="preserve">Positive effect of the high growth of prices in the economy on the VAT collection was subdued by the decrease of household consumption. Anticipated collection thus was not </w:t>
            </w:r>
            <w:r w:rsidR="000D0D18" w:rsidRPr="006E725C">
              <w:rPr>
                <w:spacing w:val="-5"/>
                <w:lang w:val="en-GB"/>
              </w:rPr>
              <w:t>fulfilled</w:t>
            </w:r>
            <w:r w:rsidRPr="006E725C">
              <w:rPr>
                <w:spacing w:val="-5"/>
                <w:lang w:val="en-GB"/>
              </w:rPr>
              <w:t xml:space="preserve">. </w:t>
            </w:r>
          </w:p>
        </w:tc>
        <w:tc>
          <w:tcPr>
            <w:tcW w:w="203" w:type="dxa"/>
            <w:shd w:val="clear" w:color="auto" w:fill="auto"/>
            <w:tcMar>
              <w:left w:w="0" w:type="dxa"/>
            </w:tcMar>
          </w:tcPr>
          <w:p w14:paraId="5BE10B6B"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637FF770" w14:textId="20C040A2" w:rsidR="0011055D" w:rsidRPr="006E725C" w:rsidRDefault="00483359" w:rsidP="00C07C2F">
            <w:pPr>
              <w:spacing w:after="220"/>
              <w:rPr>
                <w:color w:val="0D0D0D" w:themeColor="text1" w:themeTint="F2"/>
                <w:spacing w:val="-6"/>
                <w:lang w:val="en-GB"/>
              </w:rPr>
            </w:pPr>
            <w:r w:rsidRPr="006E725C">
              <w:rPr>
                <w:color w:val="0D0D0D" w:themeColor="text1" w:themeTint="F2"/>
                <w:spacing w:val="-6"/>
                <w:lang w:val="en-GB"/>
              </w:rPr>
              <w:t>5.8% more year-on-year flowed into the SB from the VAT collection last year</w:t>
            </w:r>
            <w:r w:rsidR="0011055D" w:rsidRPr="006E725C">
              <w:rPr>
                <w:color w:val="0D0D0D" w:themeColor="text1" w:themeTint="F2"/>
                <w:spacing w:val="-6"/>
                <w:lang w:val="en-GB"/>
              </w:rPr>
              <w:t xml:space="preserve">, </w:t>
            </w:r>
            <w:r w:rsidRPr="006E725C">
              <w:rPr>
                <w:color w:val="0D0D0D" w:themeColor="text1" w:themeTint="F2"/>
                <w:spacing w:val="-6"/>
                <w:lang w:val="en-GB"/>
              </w:rPr>
              <w:t xml:space="preserve">however the originally budgeted size of collection was not again fulfilled </w:t>
            </w:r>
            <w:r w:rsidR="0011055D" w:rsidRPr="006E725C">
              <w:rPr>
                <w:color w:val="0D0D0D" w:themeColor="text1" w:themeTint="F2"/>
                <w:spacing w:val="-6"/>
                <w:lang w:val="en-GB"/>
              </w:rPr>
              <w:t>(</w:t>
            </w:r>
            <w:r w:rsidRPr="006E725C">
              <w:rPr>
                <w:color w:val="0D0D0D" w:themeColor="text1" w:themeTint="F2"/>
                <w:spacing w:val="-6"/>
                <w:lang w:val="en-GB"/>
              </w:rPr>
              <w:t xml:space="preserve">by </w:t>
            </w:r>
            <w:r w:rsidR="0011055D" w:rsidRPr="006E725C">
              <w:rPr>
                <w:color w:val="0D0D0D" w:themeColor="text1" w:themeTint="F2"/>
                <w:spacing w:val="-6"/>
                <w:lang w:val="en-GB"/>
              </w:rPr>
              <w:t>4</w:t>
            </w:r>
            <w:r w:rsidRPr="006E725C">
              <w:rPr>
                <w:color w:val="0D0D0D" w:themeColor="text1" w:themeTint="F2"/>
                <w:spacing w:val="-6"/>
                <w:lang w:val="en-GB"/>
              </w:rPr>
              <w:t>.</w:t>
            </w:r>
            <w:r w:rsidR="0011055D" w:rsidRPr="006E725C">
              <w:rPr>
                <w:color w:val="0D0D0D" w:themeColor="text1" w:themeTint="F2"/>
                <w:spacing w:val="-6"/>
                <w:lang w:val="en-GB"/>
              </w:rPr>
              <w:t>4%, resp. 16</w:t>
            </w:r>
            <w:r w:rsidRPr="006E725C">
              <w:rPr>
                <w:color w:val="0D0D0D" w:themeColor="text1" w:themeTint="F2"/>
                <w:spacing w:val="-6"/>
                <w:lang w:val="en-GB"/>
              </w:rPr>
              <w:t>.</w:t>
            </w:r>
            <w:r w:rsidR="0011055D" w:rsidRPr="006E725C">
              <w:rPr>
                <w:color w:val="0D0D0D" w:themeColor="text1" w:themeTint="F2"/>
                <w:spacing w:val="-6"/>
                <w:lang w:val="en-GB"/>
              </w:rPr>
              <w:t>7</w:t>
            </w:r>
            <w:r w:rsidRPr="006E725C">
              <w:rPr>
                <w:color w:val="0D0D0D" w:themeColor="text1" w:themeTint="F2"/>
                <w:spacing w:val="-6"/>
                <w:lang w:val="en-GB"/>
              </w:rPr>
              <w:t xml:space="preserve"> </w:t>
            </w:r>
            <w:r w:rsidR="009C0832">
              <w:rPr>
                <w:color w:val="0D0D0D" w:themeColor="text1" w:themeTint="F2"/>
                <w:spacing w:val="-6"/>
                <w:lang w:val="en-GB"/>
              </w:rPr>
              <w:t>CZK bn</w:t>
            </w:r>
            <w:r w:rsidR="0011055D" w:rsidRPr="006E725C">
              <w:rPr>
                <w:color w:val="0D0D0D" w:themeColor="text1" w:themeTint="F2"/>
                <w:spacing w:val="-6"/>
                <w:lang w:val="en-GB"/>
              </w:rPr>
              <w:t xml:space="preserve">). </w:t>
            </w:r>
            <w:r w:rsidR="00113A77" w:rsidRPr="006E725C">
              <w:rPr>
                <w:color w:val="0D0D0D" w:themeColor="text1" w:themeTint="F2"/>
                <w:spacing w:val="-6"/>
                <w:lang w:val="en-GB"/>
              </w:rPr>
              <w:t xml:space="preserve">Growth of the VAT collection </w:t>
            </w:r>
            <w:r w:rsidR="0098417C" w:rsidRPr="006E725C">
              <w:rPr>
                <w:color w:val="0D0D0D" w:themeColor="text1" w:themeTint="F2"/>
                <w:spacing w:val="-6"/>
                <w:lang w:val="en-GB"/>
              </w:rPr>
              <w:t>weakened</w:t>
            </w:r>
            <w:r w:rsidR="00113A77" w:rsidRPr="006E725C">
              <w:rPr>
                <w:color w:val="0D0D0D" w:themeColor="text1" w:themeTint="F2"/>
                <w:spacing w:val="-6"/>
                <w:lang w:val="en-GB"/>
              </w:rPr>
              <w:t xml:space="preserve"> under the influence of subsiding high inflation during H</w:t>
            </w:r>
            <w:r w:rsidR="0011055D" w:rsidRPr="006E725C">
              <w:rPr>
                <w:color w:val="0D0D0D" w:themeColor="text1" w:themeTint="F2"/>
                <w:spacing w:val="-6"/>
                <w:lang w:val="en-GB"/>
              </w:rPr>
              <w:t>1, m</w:t>
            </w:r>
            <w:r w:rsidR="0098417C" w:rsidRPr="006E725C">
              <w:rPr>
                <w:color w:val="0D0D0D" w:themeColor="text1" w:themeTint="F2"/>
                <w:spacing w:val="-6"/>
                <w:lang w:val="en-GB"/>
              </w:rPr>
              <w:t>ild increase of collection in Q</w:t>
            </w:r>
            <w:r w:rsidR="0011055D" w:rsidRPr="006E725C">
              <w:rPr>
                <w:color w:val="0D0D0D" w:themeColor="text1" w:themeTint="F2"/>
                <w:spacing w:val="-6"/>
                <w:lang w:val="en-GB"/>
              </w:rPr>
              <w:t>4</w:t>
            </w:r>
            <w:r w:rsidR="0098417C" w:rsidRPr="006E725C">
              <w:rPr>
                <w:color w:val="0D0D0D" w:themeColor="text1" w:themeTint="F2"/>
                <w:spacing w:val="-6"/>
                <w:lang w:val="en-GB"/>
              </w:rPr>
              <w:t xml:space="preserve"> </w:t>
            </w:r>
            <w:r w:rsidR="0011055D" w:rsidRPr="006E725C">
              <w:rPr>
                <w:color w:val="0D0D0D" w:themeColor="text1" w:themeTint="F2"/>
                <w:spacing w:val="-6"/>
                <w:lang w:val="en-GB"/>
              </w:rPr>
              <w:t>(</w:t>
            </w:r>
            <w:r w:rsidR="00E82AB6" w:rsidRPr="006E725C">
              <w:rPr>
                <w:color w:val="0D0D0D" w:themeColor="text1" w:themeTint="F2"/>
                <w:spacing w:val="-6"/>
                <w:lang w:val="en-GB"/>
              </w:rPr>
              <w:t>+6</w:t>
            </w:r>
            <w:r w:rsidR="0098417C" w:rsidRPr="006E725C">
              <w:rPr>
                <w:color w:val="0D0D0D" w:themeColor="text1" w:themeTint="F2"/>
                <w:spacing w:val="-6"/>
                <w:lang w:val="en-GB"/>
              </w:rPr>
              <w:t>.</w:t>
            </w:r>
            <w:r w:rsidR="00E82AB6" w:rsidRPr="006E725C">
              <w:rPr>
                <w:color w:val="0D0D0D" w:themeColor="text1" w:themeTint="F2"/>
                <w:spacing w:val="-6"/>
                <w:lang w:val="en-GB"/>
              </w:rPr>
              <w:t>5%</w:t>
            </w:r>
            <w:r w:rsidR="0098417C" w:rsidRPr="006E725C">
              <w:rPr>
                <w:color w:val="0D0D0D" w:themeColor="text1" w:themeTint="F2"/>
                <w:spacing w:val="-6"/>
                <w:lang w:val="en-GB"/>
              </w:rPr>
              <w:t xml:space="preserve"> year-on-year</w:t>
            </w:r>
            <w:r w:rsidR="00E82AB6" w:rsidRPr="006E725C">
              <w:rPr>
                <w:color w:val="0D0D0D" w:themeColor="text1" w:themeTint="F2"/>
                <w:spacing w:val="-6"/>
                <w:lang w:val="en-GB"/>
              </w:rPr>
              <w:t>)</w:t>
            </w:r>
            <w:r w:rsidR="0098417C" w:rsidRPr="006E725C">
              <w:rPr>
                <w:color w:val="0D0D0D" w:themeColor="text1" w:themeTint="F2"/>
                <w:spacing w:val="-6"/>
                <w:lang w:val="en-GB"/>
              </w:rPr>
              <w:t xml:space="preserve"> was linked to the light revival of household consumption</w:t>
            </w:r>
            <w:r w:rsidR="0011055D" w:rsidRPr="006E725C">
              <w:rPr>
                <w:rStyle w:val="Znakapoznpodarou"/>
                <w:color w:val="0D0D0D" w:themeColor="text1" w:themeTint="F2"/>
                <w:spacing w:val="-6"/>
                <w:lang w:val="en-GB"/>
              </w:rPr>
              <w:footnoteReference w:id="12"/>
            </w:r>
            <w:r w:rsidR="0011055D" w:rsidRPr="006E725C">
              <w:rPr>
                <w:color w:val="0D0D0D" w:themeColor="text1" w:themeTint="F2"/>
                <w:spacing w:val="-6"/>
                <w:lang w:val="en-GB"/>
              </w:rPr>
              <w:t>.</w:t>
            </w:r>
            <w:r w:rsidR="0011055D" w:rsidRPr="006E725C">
              <w:rPr>
                <w:spacing w:val="-6"/>
                <w:lang w:val="en-GB"/>
              </w:rPr>
              <w:t xml:space="preserve"> </w:t>
            </w:r>
            <w:r w:rsidR="00FB1469" w:rsidRPr="006E725C">
              <w:rPr>
                <w:spacing w:val="-6"/>
                <w:lang w:val="en-GB"/>
              </w:rPr>
              <w:t>Increasing of tax collection was mildly suppressed by the impact of the shifted sales threshold for VAT registration</w:t>
            </w:r>
            <w:r w:rsidR="0011055D" w:rsidRPr="006E725C">
              <w:rPr>
                <w:rStyle w:val="Znakapoznpodarou"/>
                <w:spacing w:val="-6"/>
                <w:lang w:val="en-GB"/>
              </w:rPr>
              <w:footnoteReference w:id="13"/>
            </w:r>
            <w:r w:rsidR="00FB1469" w:rsidRPr="006E725C">
              <w:rPr>
                <w:spacing w:val="-6"/>
                <w:lang w:val="en-GB"/>
              </w:rPr>
              <w:t xml:space="preserve"> for the whole year</w:t>
            </w:r>
            <w:r w:rsidR="0011055D" w:rsidRPr="006E725C">
              <w:rPr>
                <w:spacing w:val="-6"/>
                <w:lang w:val="en-GB"/>
              </w:rPr>
              <w:t>.</w:t>
            </w:r>
          </w:p>
        </w:tc>
      </w:tr>
      <w:tr w:rsidR="0011055D" w:rsidRPr="006E725C" w14:paraId="74299C39" w14:textId="77777777" w:rsidTr="00C07C2F">
        <w:trPr>
          <w:trHeight w:val="170"/>
        </w:trPr>
        <w:tc>
          <w:tcPr>
            <w:tcW w:w="1792" w:type="dxa"/>
            <w:shd w:val="clear" w:color="auto" w:fill="auto"/>
            <w:tcMar>
              <w:left w:w="0" w:type="dxa"/>
            </w:tcMar>
          </w:tcPr>
          <w:p w14:paraId="7D77AEF4" w14:textId="60546B77" w:rsidR="0011055D" w:rsidRPr="006E725C" w:rsidRDefault="00B0236E" w:rsidP="00B0236E">
            <w:pPr>
              <w:pStyle w:val="Marginlie"/>
              <w:rPr>
                <w:spacing w:val="-5"/>
                <w:lang w:val="en-GB"/>
              </w:rPr>
            </w:pPr>
            <w:r w:rsidRPr="006E725C">
              <w:rPr>
                <w:spacing w:val="-5"/>
                <w:lang w:val="en-GB"/>
              </w:rPr>
              <w:t xml:space="preserve">Collection of the </w:t>
            </w:r>
            <w:r w:rsidR="00362E63" w:rsidRPr="006E725C">
              <w:rPr>
                <w:spacing w:val="-5"/>
                <w:lang w:val="en-GB"/>
              </w:rPr>
              <w:t xml:space="preserve">consumption </w:t>
            </w:r>
            <w:r w:rsidRPr="006E725C">
              <w:rPr>
                <w:spacing w:val="-5"/>
                <w:lang w:val="en-GB"/>
              </w:rPr>
              <w:t xml:space="preserve">tax decreased and stayed behind the budget anticipation. Collection of tax on tobacco products dropped to the </w:t>
            </w:r>
            <w:r w:rsidR="00236D2A" w:rsidRPr="006E725C">
              <w:rPr>
                <w:spacing w:val="-5"/>
                <w:lang w:val="en-GB"/>
              </w:rPr>
              <w:t>eight-year</w:t>
            </w:r>
            <w:r w:rsidRPr="006E725C">
              <w:rPr>
                <w:spacing w:val="-5"/>
                <w:lang w:val="en-GB"/>
              </w:rPr>
              <w:t xml:space="preserve"> minimum.</w:t>
            </w:r>
          </w:p>
          <w:p w14:paraId="737FC74A" w14:textId="77777777" w:rsidR="0011055D" w:rsidRPr="006E725C" w:rsidRDefault="0011055D" w:rsidP="00C07C2F">
            <w:pPr>
              <w:pStyle w:val="Marginlie"/>
              <w:rPr>
                <w:spacing w:val="-5"/>
                <w:lang w:val="en-GB"/>
              </w:rPr>
            </w:pPr>
          </w:p>
          <w:p w14:paraId="080D5D71" w14:textId="77777777" w:rsidR="0011055D" w:rsidRPr="006E725C" w:rsidRDefault="0011055D" w:rsidP="00C07C2F">
            <w:pPr>
              <w:pStyle w:val="Marginlie"/>
              <w:rPr>
                <w:spacing w:val="-5"/>
                <w:lang w:val="en-GB"/>
              </w:rPr>
            </w:pPr>
          </w:p>
          <w:p w14:paraId="03C67FC3" w14:textId="77777777" w:rsidR="0011055D" w:rsidRPr="006E725C" w:rsidRDefault="0011055D" w:rsidP="00C07C2F">
            <w:pPr>
              <w:pStyle w:val="Marginlie"/>
              <w:rPr>
                <w:spacing w:val="-5"/>
                <w:lang w:val="en-GB"/>
              </w:rPr>
            </w:pPr>
          </w:p>
          <w:p w14:paraId="712008CB" w14:textId="77777777" w:rsidR="0011055D" w:rsidRPr="006E725C" w:rsidRDefault="0011055D" w:rsidP="00C07C2F">
            <w:pPr>
              <w:pStyle w:val="Marginlie"/>
              <w:rPr>
                <w:spacing w:val="-5"/>
                <w:lang w:val="en-GB"/>
              </w:rPr>
            </w:pPr>
          </w:p>
          <w:p w14:paraId="74FE5359" w14:textId="6CBC2E46" w:rsidR="0011055D" w:rsidRPr="006E725C" w:rsidRDefault="00236D2A" w:rsidP="00C07C2F">
            <w:pPr>
              <w:pStyle w:val="Marginlie"/>
              <w:rPr>
                <w:spacing w:val="-5"/>
                <w:lang w:val="en-GB"/>
              </w:rPr>
            </w:pPr>
            <w:r w:rsidRPr="006E725C">
              <w:rPr>
                <w:spacing w:val="-5"/>
                <w:lang w:val="en-GB"/>
              </w:rPr>
              <w:t xml:space="preserve">Collection of tax from mineral oils went up due to the increase of tax rate on diesel fuel. </w:t>
            </w:r>
          </w:p>
          <w:p w14:paraId="5BD0640F" w14:textId="77777777" w:rsidR="0011055D" w:rsidRPr="006E725C" w:rsidRDefault="0011055D" w:rsidP="00C07C2F">
            <w:pPr>
              <w:pStyle w:val="Marginlie"/>
              <w:rPr>
                <w:spacing w:val="-5"/>
                <w:lang w:val="en-GB"/>
              </w:rPr>
            </w:pPr>
          </w:p>
        </w:tc>
        <w:tc>
          <w:tcPr>
            <w:tcW w:w="203" w:type="dxa"/>
            <w:shd w:val="clear" w:color="auto" w:fill="auto"/>
            <w:tcMar>
              <w:left w:w="0" w:type="dxa"/>
            </w:tcMar>
          </w:tcPr>
          <w:p w14:paraId="649B6E7C"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39EA7F7C" w14:textId="02ED8B14" w:rsidR="0011055D" w:rsidRPr="006E725C" w:rsidRDefault="00B0236E" w:rsidP="00C07C2F">
            <w:pPr>
              <w:spacing w:after="200"/>
              <w:rPr>
                <w:color w:val="0D0D0D" w:themeColor="text1" w:themeTint="F2"/>
                <w:spacing w:val="-6"/>
                <w:lang w:val="en-GB"/>
              </w:rPr>
            </w:pPr>
            <w:r w:rsidRPr="006E725C">
              <w:rPr>
                <w:color w:val="0D0D0D" w:themeColor="text1" w:themeTint="F2"/>
                <w:spacing w:val="-6"/>
                <w:lang w:val="en-GB"/>
              </w:rPr>
              <w:t>Collection of the consum</w:t>
            </w:r>
            <w:r w:rsidR="00362E63" w:rsidRPr="006E725C">
              <w:rPr>
                <w:color w:val="0D0D0D" w:themeColor="text1" w:themeTint="F2"/>
                <w:spacing w:val="-6"/>
                <w:lang w:val="en-GB"/>
              </w:rPr>
              <w:t>ption</w:t>
            </w:r>
            <w:r w:rsidRPr="006E725C">
              <w:rPr>
                <w:color w:val="0D0D0D" w:themeColor="text1" w:themeTint="F2"/>
                <w:spacing w:val="-6"/>
                <w:lang w:val="en-GB"/>
              </w:rPr>
              <w:t xml:space="preserve"> tax</w:t>
            </w:r>
            <w:r w:rsidR="0011055D" w:rsidRPr="006E725C">
              <w:rPr>
                <w:rStyle w:val="Znakapoznpodarou"/>
                <w:color w:val="0D0D0D" w:themeColor="text1" w:themeTint="F2"/>
                <w:spacing w:val="-6"/>
                <w:lang w:val="en-GB"/>
              </w:rPr>
              <w:footnoteReference w:id="14"/>
            </w:r>
            <w:r w:rsidRPr="006E725C">
              <w:rPr>
                <w:color w:val="0D0D0D" w:themeColor="text1" w:themeTint="F2"/>
                <w:spacing w:val="-6"/>
                <w:lang w:val="en-GB"/>
              </w:rPr>
              <w:t xml:space="preserve"> decreased year-on-year last year </w:t>
            </w:r>
            <w:r w:rsidR="0011055D" w:rsidRPr="006E725C">
              <w:rPr>
                <w:color w:val="0D0D0D" w:themeColor="text1" w:themeTint="F2"/>
                <w:spacing w:val="-6"/>
                <w:lang w:val="en-GB"/>
              </w:rPr>
              <w:t>(−3</w:t>
            </w:r>
            <w:r w:rsidRPr="006E725C">
              <w:rPr>
                <w:color w:val="0D0D0D" w:themeColor="text1" w:themeTint="F2"/>
                <w:spacing w:val="-6"/>
                <w:lang w:val="en-GB"/>
              </w:rPr>
              <w:t>.</w:t>
            </w:r>
            <w:r w:rsidR="0011055D" w:rsidRPr="006E725C">
              <w:rPr>
                <w:color w:val="0D0D0D" w:themeColor="text1" w:themeTint="F2"/>
                <w:spacing w:val="-6"/>
                <w:lang w:val="en-GB"/>
              </w:rPr>
              <w:t>4%) a</w:t>
            </w:r>
            <w:r w:rsidRPr="006E725C">
              <w:rPr>
                <w:color w:val="0D0D0D" w:themeColor="text1" w:themeTint="F2"/>
                <w:spacing w:val="-6"/>
                <w:lang w:val="en-GB"/>
              </w:rPr>
              <w:t xml:space="preserve">nd it lagged behind the budget anticipation for the third time in a row </w:t>
            </w:r>
            <w:r w:rsidR="0011055D" w:rsidRPr="006E725C">
              <w:rPr>
                <w:color w:val="0D0D0D" w:themeColor="text1" w:themeTint="F2"/>
                <w:spacing w:val="-6"/>
                <w:lang w:val="en-GB"/>
              </w:rPr>
              <w:t>(</w:t>
            </w:r>
            <w:r w:rsidRPr="006E725C">
              <w:rPr>
                <w:color w:val="0D0D0D" w:themeColor="text1" w:themeTint="F2"/>
                <w:spacing w:val="-6"/>
                <w:lang w:val="en-GB"/>
              </w:rPr>
              <w:t xml:space="preserve">last time by </w:t>
            </w:r>
            <w:r w:rsidR="0011055D" w:rsidRPr="006E725C">
              <w:rPr>
                <w:color w:val="0D0D0D" w:themeColor="text1" w:themeTint="F2"/>
                <w:spacing w:val="-6"/>
                <w:lang w:val="en-GB"/>
              </w:rPr>
              <w:t>5</w:t>
            </w:r>
            <w:r w:rsidRPr="006E725C">
              <w:rPr>
                <w:color w:val="0D0D0D" w:themeColor="text1" w:themeTint="F2"/>
                <w:spacing w:val="-6"/>
                <w:lang w:val="en-GB"/>
              </w:rPr>
              <w:t>.</w:t>
            </w:r>
            <w:r w:rsidR="0011055D" w:rsidRPr="006E725C">
              <w:rPr>
                <w:color w:val="0D0D0D" w:themeColor="text1" w:themeTint="F2"/>
                <w:spacing w:val="-6"/>
                <w:lang w:val="en-GB"/>
              </w:rPr>
              <w:t>8%, 9</w:t>
            </w:r>
            <w:r w:rsidRPr="006E725C">
              <w:rPr>
                <w:color w:val="0D0D0D" w:themeColor="text1" w:themeTint="F2"/>
                <w:spacing w:val="-6"/>
                <w:lang w:val="en-GB"/>
              </w:rPr>
              <w:t>.</w:t>
            </w:r>
            <w:r w:rsidR="0011055D" w:rsidRPr="006E725C">
              <w:rPr>
                <w:color w:val="0D0D0D" w:themeColor="text1" w:themeTint="F2"/>
                <w:spacing w:val="-6"/>
                <w:lang w:val="en-GB"/>
              </w:rPr>
              <w:t>1</w:t>
            </w:r>
            <w:r w:rsidRPr="006E725C">
              <w:rPr>
                <w:color w:val="0D0D0D" w:themeColor="text1" w:themeTint="F2"/>
                <w:spacing w:val="-6"/>
                <w:lang w:val="en-GB"/>
              </w:rPr>
              <w:t xml:space="preserve"> </w:t>
            </w:r>
            <w:r w:rsidR="009C0832">
              <w:rPr>
                <w:color w:val="0D0D0D" w:themeColor="text1" w:themeTint="F2"/>
                <w:spacing w:val="-6"/>
                <w:lang w:val="en-GB"/>
              </w:rPr>
              <w:t>CZK bn</w:t>
            </w:r>
            <w:r w:rsidR="0011055D" w:rsidRPr="006E725C">
              <w:rPr>
                <w:color w:val="0D0D0D" w:themeColor="text1" w:themeTint="F2"/>
                <w:spacing w:val="-6"/>
                <w:lang w:val="en-GB"/>
              </w:rPr>
              <w:t xml:space="preserve">). </w:t>
            </w:r>
            <w:r w:rsidR="00E70C94" w:rsidRPr="006E725C">
              <w:rPr>
                <w:color w:val="0D0D0D" w:themeColor="text1" w:themeTint="F2"/>
                <w:spacing w:val="-6"/>
                <w:lang w:val="en-GB"/>
              </w:rPr>
              <w:t xml:space="preserve">Weak collection from tobacco products, which slumped by one tenth year-on-year, to the lowest level in the last eight years was a factor. </w:t>
            </w:r>
            <w:r w:rsidR="009A1385" w:rsidRPr="006E725C">
              <w:rPr>
                <w:color w:val="0D0D0D" w:themeColor="text1" w:themeTint="F2"/>
                <w:spacing w:val="-6"/>
                <w:lang w:val="en-GB"/>
              </w:rPr>
              <w:t xml:space="preserve">It occurs even despite continuing growth of the tax rate, since the change of the buying preference of the CR citizens had a stronger influence of the collection </w:t>
            </w:r>
            <w:r w:rsidR="0011055D" w:rsidRPr="006E725C">
              <w:rPr>
                <w:spacing w:val="-6"/>
                <w:lang w:val="en-GB"/>
              </w:rPr>
              <w:t>(</w:t>
            </w:r>
            <w:r w:rsidR="001E52DE" w:rsidRPr="006E725C">
              <w:rPr>
                <w:spacing w:val="-6"/>
                <w:lang w:val="en-GB"/>
              </w:rPr>
              <w:t xml:space="preserve">shift of </w:t>
            </w:r>
            <w:r w:rsidR="009A1385" w:rsidRPr="006E725C">
              <w:rPr>
                <w:spacing w:val="-6"/>
                <w:lang w:val="en-GB"/>
              </w:rPr>
              <w:t>consumption</w:t>
            </w:r>
            <w:r w:rsidR="001E52DE" w:rsidRPr="006E725C">
              <w:rPr>
                <w:spacing w:val="-6"/>
                <w:lang w:val="en-GB"/>
              </w:rPr>
              <w:t xml:space="preserve"> to alternative, less taxed products locally</w:t>
            </w:r>
            <w:r w:rsidR="0011055D" w:rsidRPr="006E725C">
              <w:rPr>
                <w:rStyle w:val="Znakapoznpodarou"/>
                <w:spacing w:val="-6"/>
                <w:lang w:val="en-GB"/>
              </w:rPr>
              <w:footnoteReference w:id="15"/>
            </w:r>
            <w:r w:rsidR="0011055D" w:rsidRPr="006E725C">
              <w:rPr>
                <w:spacing w:val="-6"/>
                <w:lang w:val="en-GB"/>
              </w:rPr>
              <w:t xml:space="preserve">, </w:t>
            </w:r>
            <w:r w:rsidR="009A1385" w:rsidRPr="006E725C">
              <w:rPr>
                <w:spacing w:val="-6"/>
                <w:lang w:val="en-GB"/>
              </w:rPr>
              <w:t>rise of purchases across the board</w:t>
            </w:r>
            <w:r w:rsidR="0011055D" w:rsidRPr="006E725C">
              <w:rPr>
                <w:spacing w:val="-6"/>
                <w:lang w:val="en-GB"/>
              </w:rPr>
              <w:t xml:space="preserve">). </w:t>
            </w:r>
            <w:r w:rsidR="00191F6B" w:rsidRPr="006E725C">
              <w:rPr>
                <w:spacing w:val="-6"/>
                <w:lang w:val="en-GB"/>
              </w:rPr>
              <w:t xml:space="preserve">But the collection increased for the key tax on mineral oils last year </w:t>
            </w:r>
            <w:r w:rsidR="0011055D" w:rsidRPr="006E725C">
              <w:rPr>
                <w:spacing w:val="-6"/>
                <w:lang w:val="en-GB"/>
              </w:rPr>
              <w:t>(+3%) a</w:t>
            </w:r>
            <w:r w:rsidR="009D14D7" w:rsidRPr="006E725C">
              <w:rPr>
                <w:spacing w:val="-6"/>
                <w:lang w:val="en-GB"/>
              </w:rPr>
              <w:t xml:space="preserve">nd fulfilled the budget anticipations for the first time in the last three years. </w:t>
            </w:r>
            <w:r w:rsidR="00BE425E" w:rsidRPr="006E725C">
              <w:rPr>
                <w:spacing w:val="-6"/>
                <w:lang w:val="en-GB"/>
              </w:rPr>
              <w:t>Return of the tax rate on diesel fuel to the level before the onset of the energy crisis had a positive effect</w:t>
            </w:r>
            <w:r w:rsidR="0011055D" w:rsidRPr="006E725C">
              <w:rPr>
                <w:rStyle w:val="Znakapoznpodarou"/>
                <w:color w:val="0D0D0D" w:themeColor="text1" w:themeTint="F2"/>
                <w:spacing w:val="-6"/>
                <w:lang w:val="en-GB"/>
              </w:rPr>
              <w:footnoteReference w:id="16"/>
            </w:r>
            <w:r w:rsidR="0011055D" w:rsidRPr="006E725C">
              <w:rPr>
                <w:spacing w:val="-6"/>
                <w:lang w:val="en-GB"/>
              </w:rPr>
              <w:t xml:space="preserve">. </w:t>
            </w:r>
            <w:r w:rsidR="009D14D7" w:rsidRPr="006E725C">
              <w:rPr>
                <w:spacing w:val="-6"/>
                <w:lang w:val="en-GB"/>
              </w:rPr>
              <w:t xml:space="preserve">Consumption of majority types of petroleum products grew in the CR last year, </w:t>
            </w:r>
            <w:r w:rsidR="00BE425E" w:rsidRPr="006E725C">
              <w:rPr>
                <w:spacing w:val="-6"/>
                <w:lang w:val="en-GB"/>
              </w:rPr>
              <w:t>for the key item – diesel fuel – however only slightly due to the weaker demand for freight transport</w:t>
            </w:r>
            <w:r w:rsidR="0011055D" w:rsidRPr="006E725C">
              <w:rPr>
                <w:rStyle w:val="Znakapoznpodarou"/>
                <w:spacing w:val="-6"/>
                <w:lang w:val="en-GB"/>
              </w:rPr>
              <w:footnoteReference w:id="17"/>
            </w:r>
            <w:r w:rsidR="0011055D" w:rsidRPr="006E725C">
              <w:rPr>
                <w:spacing w:val="-6"/>
                <w:lang w:val="en-GB"/>
              </w:rPr>
              <w:t xml:space="preserve">. </w:t>
            </w:r>
            <w:r w:rsidR="00BE425E" w:rsidRPr="006E725C">
              <w:rPr>
                <w:spacing w:val="-6"/>
                <w:lang w:val="en-GB"/>
              </w:rPr>
              <w:t>Collection of tax on specific commodities (alcohol, beer, sparkling wine as well as intermediate products) decreased as a result of limiting non-essential expenditures of domestic households</w:t>
            </w:r>
            <w:r w:rsidR="0011055D" w:rsidRPr="006E725C">
              <w:rPr>
                <w:spacing w:val="-6"/>
                <w:lang w:val="en-GB"/>
              </w:rPr>
              <w:t xml:space="preserve">. </w:t>
            </w:r>
            <w:r w:rsidR="00BE425E" w:rsidRPr="006E725C">
              <w:rPr>
                <w:spacing w:val="-6"/>
                <w:lang w:val="en-GB"/>
              </w:rPr>
              <w:t xml:space="preserve">Economical behaviours of both households and businesses led to </w:t>
            </w:r>
            <w:r w:rsidR="009D14D7" w:rsidRPr="006E725C">
              <w:rPr>
                <w:spacing w:val="-6"/>
                <w:lang w:val="en-GB"/>
              </w:rPr>
              <w:t xml:space="preserve">the general decrease of the collection of all energetic taxes </w:t>
            </w:r>
            <w:r w:rsidR="0011055D" w:rsidRPr="006E725C">
              <w:rPr>
                <w:spacing w:val="-6"/>
                <w:lang w:val="en-GB"/>
              </w:rPr>
              <w:t>(</w:t>
            </w:r>
            <w:r w:rsidR="009D14D7" w:rsidRPr="006E725C">
              <w:rPr>
                <w:spacing w:val="-6"/>
                <w:lang w:val="en-GB"/>
              </w:rPr>
              <w:t>the most o</w:t>
            </w:r>
            <w:r w:rsidR="00D839E9" w:rsidRPr="006E725C">
              <w:rPr>
                <w:spacing w:val="-6"/>
                <w:lang w:val="en-GB"/>
              </w:rPr>
              <w:t xml:space="preserve">n </w:t>
            </w:r>
            <w:r w:rsidR="009D14D7" w:rsidRPr="006E725C">
              <w:rPr>
                <w:spacing w:val="-6"/>
                <w:lang w:val="en-GB"/>
              </w:rPr>
              <w:t>solid fuels</w:t>
            </w:r>
            <w:r w:rsidR="0011055D" w:rsidRPr="006E725C">
              <w:rPr>
                <w:spacing w:val="-6"/>
                <w:lang w:val="en-GB"/>
              </w:rPr>
              <w:t>).</w:t>
            </w:r>
          </w:p>
        </w:tc>
      </w:tr>
      <w:tr w:rsidR="0011055D" w:rsidRPr="006E725C" w14:paraId="388DB6E4" w14:textId="77777777" w:rsidTr="00C07C2F">
        <w:trPr>
          <w:trHeight w:val="170"/>
        </w:trPr>
        <w:tc>
          <w:tcPr>
            <w:tcW w:w="1792" w:type="dxa"/>
            <w:shd w:val="clear" w:color="auto" w:fill="auto"/>
            <w:tcMar>
              <w:left w:w="0" w:type="dxa"/>
            </w:tcMar>
          </w:tcPr>
          <w:p w14:paraId="7B5B3149" w14:textId="03E6522D" w:rsidR="0011055D" w:rsidRPr="006E725C" w:rsidRDefault="0011055D" w:rsidP="00C07C2F">
            <w:pPr>
              <w:pStyle w:val="Marginlie"/>
              <w:rPr>
                <w:spacing w:val="-5"/>
                <w:lang w:val="en-GB"/>
              </w:rPr>
            </w:pPr>
            <w:r w:rsidRPr="006E725C">
              <w:rPr>
                <w:spacing w:val="-5"/>
                <w:lang w:val="en-GB"/>
              </w:rPr>
              <w:t>N</w:t>
            </w:r>
            <w:r w:rsidR="009D14D7" w:rsidRPr="006E725C">
              <w:rPr>
                <w:spacing w:val="-5"/>
                <w:lang w:val="en-GB"/>
              </w:rPr>
              <w:t xml:space="preserve">on-tax and capital revenues swiftly grew thanks to funds from the EU as well as </w:t>
            </w:r>
            <w:r w:rsidR="00EF40C5" w:rsidRPr="006E725C">
              <w:rPr>
                <w:spacing w:val="-5"/>
                <w:lang w:val="en-GB"/>
              </w:rPr>
              <w:t>transfers</w:t>
            </w:r>
            <w:r w:rsidR="009D14D7" w:rsidRPr="006E725C">
              <w:rPr>
                <w:spacing w:val="-5"/>
                <w:lang w:val="en-GB"/>
              </w:rPr>
              <w:t xml:space="preserve"> f</w:t>
            </w:r>
            <w:r w:rsidR="00D839E9" w:rsidRPr="006E725C">
              <w:rPr>
                <w:spacing w:val="-5"/>
                <w:lang w:val="en-GB"/>
              </w:rPr>
              <w:t>rom</w:t>
            </w:r>
            <w:r w:rsidR="009D14D7" w:rsidRPr="006E725C">
              <w:rPr>
                <w:spacing w:val="-5"/>
                <w:lang w:val="en-GB"/>
              </w:rPr>
              <w:t xml:space="preserve"> businesses with state participation. </w:t>
            </w:r>
          </w:p>
        </w:tc>
        <w:tc>
          <w:tcPr>
            <w:tcW w:w="203" w:type="dxa"/>
            <w:shd w:val="clear" w:color="auto" w:fill="auto"/>
            <w:tcMar>
              <w:left w:w="0" w:type="dxa"/>
            </w:tcMar>
          </w:tcPr>
          <w:p w14:paraId="747EC403"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3E32A917" w14:textId="5CFFE5CD" w:rsidR="0011055D" w:rsidRPr="006E725C" w:rsidRDefault="0011055D" w:rsidP="00C07C2F">
            <w:pPr>
              <w:spacing w:after="220"/>
              <w:rPr>
                <w:spacing w:val="-6"/>
                <w:lang w:val="en-GB"/>
              </w:rPr>
            </w:pPr>
            <w:r w:rsidRPr="006E725C">
              <w:rPr>
                <w:color w:val="0D0D0D" w:themeColor="text1" w:themeTint="F2"/>
                <w:spacing w:val="-6"/>
                <w:lang w:val="en-GB"/>
              </w:rPr>
              <w:t>N</w:t>
            </w:r>
            <w:r w:rsidR="009D14D7" w:rsidRPr="006E725C">
              <w:rPr>
                <w:color w:val="0D0D0D" w:themeColor="text1" w:themeTint="F2"/>
                <w:spacing w:val="-6"/>
                <w:lang w:val="en-GB"/>
              </w:rPr>
              <w:t xml:space="preserve">on-tax and capital revenues expanded by nearly one half for the last year, still they stayed behind the planned size by one tenth for the reason of weaker yield from </w:t>
            </w:r>
            <w:r w:rsidR="005D1A8A" w:rsidRPr="006E725C">
              <w:rPr>
                <w:color w:val="0D0D0D" w:themeColor="text1" w:themeTint="F2"/>
                <w:spacing w:val="-6"/>
                <w:lang w:val="en-GB"/>
              </w:rPr>
              <w:t>t</w:t>
            </w:r>
            <w:r w:rsidR="009D14D7" w:rsidRPr="006E725C">
              <w:rPr>
                <w:color w:val="0D0D0D" w:themeColor="text1" w:themeTint="F2"/>
                <w:spacing w:val="-6"/>
                <w:lang w:val="en-GB"/>
              </w:rPr>
              <w:t xml:space="preserve">he emission allowances. </w:t>
            </w:r>
            <w:r w:rsidR="005D1A8A" w:rsidRPr="006E725C">
              <w:rPr>
                <w:color w:val="0D0D0D" w:themeColor="text1" w:themeTint="F2"/>
                <w:spacing w:val="-6"/>
                <w:lang w:val="en-GB"/>
              </w:rPr>
              <w:t xml:space="preserve">Dividends and other transfers of funds from the state businesses </w:t>
            </w:r>
            <w:r w:rsidRPr="006E725C">
              <w:rPr>
                <w:color w:val="0D0D0D" w:themeColor="text1" w:themeTint="F2"/>
                <w:spacing w:val="-6"/>
                <w:lang w:val="en-GB"/>
              </w:rPr>
              <w:t>(+30</w:t>
            </w:r>
            <w:r w:rsidR="005D1A8A" w:rsidRPr="006E725C">
              <w:rPr>
                <w:color w:val="0D0D0D" w:themeColor="text1" w:themeTint="F2"/>
                <w:spacing w:val="-6"/>
                <w:lang w:val="en-GB"/>
              </w:rPr>
              <w:t>.</w:t>
            </w:r>
            <w:r w:rsidRPr="006E725C">
              <w:rPr>
                <w:color w:val="0D0D0D" w:themeColor="text1" w:themeTint="F2"/>
                <w:spacing w:val="-6"/>
                <w:lang w:val="en-GB"/>
              </w:rPr>
              <w:t>6</w:t>
            </w:r>
            <w:r w:rsidR="005D1A8A" w:rsidRPr="006E725C">
              <w:rPr>
                <w:color w:val="0D0D0D" w:themeColor="text1" w:themeTint="F2"/>
                <w:spacing w:val="-6"/>
                <w:lang w:val="en-GB"/>
              </w:rPr>
              <w:t xml:space="preserve"> </w:t>
            </w:r>
            <w:r w:rsidR="009C0832">
              <w:rPr>
                <w:color w:val="0D0D0D" w:themeColor="text1" w:themeTint="F2"/>
                <w:spacing w:val="-6"/>
                <w:lang w:val="en-GB"/>
              </w:rPr>
              <w:t>CZK bn</w:t>
            </w:r>
            <w:r w:rsidRPr="006E725C">
              <w:rPr>
                <w:color w:val="0D0D0D" w:themeColor="text1" w:themeTint="F2"/>
                <w:spacing w:val="-6"/>
                <w:lang w:val="en-GB"/>
              </w:rPr>
              <w:t>)</w:t>
            </w:r>
            <w:r w:rsidR="005D1A8A" w:rsidRPr="006E725C">
              <w:rPr>
                <w:color w:val="0D0D0D" w:themeColor="text1" w:themeTint="F2"/>
                <w:spacing w:val="-6"/>
                <w:lang w:val="en-GB"/>
              </w:rPr>
              <w:t xml:space="preserve"> and also the revenues from the EU budget substantially enhanced by the received payments from the National recovery plan </w:t>
            </w:r>
            <w:r w:rsidRPr="006E725C">
              <w:rPr>
                <w:color w:val="0D0D0D" w:themeColor="text1" w:themeTint="F2"/>
                <w:spacing w:val="-6"/>
                <w:lang w:val="en-GB"/>
              </w:rPr>
              <w:t>(prim</w:t>
            </w:r>
            <w:r w:rsidR="005D1A8A" w:rsidRPr="006E725C">
              <w:rPr>
                <w:color w:val="0D0D0D" w:themeColor="text1" w:themeTint="F2"/>
                <w:spacing w:val="-6"/>
                <w:lang w:val="en-GB"/>
              </w:rPr>
              <w:t xml:space="preserve">arily into the area of transport and </w:t>
            </w:r>
            <w:r w:rsidR="003C23ED" w:rsidRPr="006E725C">
              <w:rPr>
                <w:color w:val="0D0D0D" w:themeColor="text1" w:themeTint="F2"/>
                <w:spacing w:val="-6"/>
                <w:lang w:val="en-GB"/>
              </w:rPr>
              <w:t>environment</w:t>
            </w:r>
            <w:r w:rsidRPr="006E725C">
              <w:rPr>
                <w:color w:val="0D0D0D" w:themeColor="text1" w:themeTint="F2"/>
                <w:spacing w:val="-6"/>
                <w:lang w:val="en-GB"/>
              </w:rPr>
              <w:t>)</w:t>
            </w:r>
            <w:r w:rsidR="005D1A8A" w:rsidRPr="006E725C">
              <w:rPr>
                <w:color w:val="0D0D0D" w:themeColor="text1" w:themeTint="F2"/>
                <w:spacing w:val="-6"/>
                <w:lang w:val="en-GB"/>
              </w:rPr>
              <w:t xml:space="preserve"> shared the most on the year-on-year growth</w:t>
            </w:r>
            <w:r w:rsidRPr="006E725C">
              <w:rPr>
                <w:color w:val="0D0D0D" w:themeColor="text1" w:themeTint="F2"/>
                <w:spacing w:val="-6"/>
                <w:lang w:val="en-GB"/>
              </w:rPr>
              <w:t xml:space="preserve">. </w:t>
            </w:r>
            <w:r w:rsidR="003C23ED" w:rsidRPr="006E725C">
              <w:rPr>
                <w:color w:val="0D0D0D" w:themeColor="text1" w:themeTint="F2"/>
                <w:spacing w:val="-6"/>
                <w:lang w:val="en-GB"/>
              </w:rPr>
              <w:t xml:space="preserve">Net position of the CR towards the EU budget was </w:t>
            </w:r>
            <w:r w:rsidRPr="006E725C">
              <w:rPr>
                <w:color w:val="0D0D0D" w:themeColor="text1" w:themeTint="F2"/>
                <w:spacing w:val="-6"/>
                <w:lang w:val="en-GB"/>
              </w:rPr>
              <w:t>+49</w:t>
            </w:r>
            <w:r w:rsidR="003C23ED" w:rsidRPr="006E725C">
              <w:rPr>
                <w:color w:val="0D0D0D" w:themeColor="text1" w:themeTint="F2"/>
                <w:spacing w:val="-6"/>
                <w:lang w:val="en-GB"/>
              </w:rPr>
              <w:t>.</w:t>
            </w:r>
            <w:r w:rsidRPr="006E725C">
              <w:rPr>
                <w:color w:val="0D0D0D" w:themeColor="text1" w:themeTint="F2"/>
                <w:spacing w:val="-6"/>
                <w:lang w:val="en-GB"/>
              </w:rPr>
              <w:t>9</w:t>
            </w:r>
            <w:r w:rsidR="003C23ED" w:rsidRPr="006E725C">
              <w:rPr>
                <w:color w:val="0D0D0D" w:themeColor="text1" w:themeTint="F2"/>
                <w:spacing w:val="-6"/>
                <w:lang w:val="en-GB"/>
              </w:rPr>
              <w:t xml:space="preserve"> </w:t>
            </w:r>
            <w:r w:rsidR="009C0832">
              <w:rPr>
                <w:color w:val="0D0D0D" w:themeColor="text1" w:themeTint="F2"/>
                <w:spacing w:val="-6"/>
                <w:lang w:val="en-GB"/>
              </w:rPr>
              <w:t>CZK bn</w:t>
            </w:r>
            <w:r w:rsidR="003C23ED" w:rsidRPr="006E725C">
              <w:rPr>
                <w:color w:val="0D0D0D" w:themeColor="text1" w:themeTint="F2"/>
                <w:spacing w:val="-6"/>
                <w:lang w:val="en-GB"/>
              </w:rPr>
              <w:t xml:space="preserve"> last year and slightly decreased year-on-year </w:t>
            </w:r>
            <w:r w:rsidRPr="006E725C">
              <w:rPr>
                <w:color w:val="0D0D0D" w:themeColor="text1" w:themeTint="F2"/>
                <w:spacing w:val="-6"/>
                <w:lang w:val="en-GB"/>
              </w:rPr>
              <w:t>(−7%)</w:t>
            </w:r>
            <w:r w:rsidRPr="006E725C">
              <w:rPr>
                <w:rStyle w:val="Znakapoznpodarou"/>
                <w:color w:val="0D0D0D" w:themeColor="text1" w:themeTint="F2"/>
                <w:spacing w:val="-6"/>
                <w:lang w:val="en-GB"/>
              </w:rPr>
              <w:footnoteReference w:id="18"/>
            </w:r>
            <w:r w:rsidRPr="006E725C">
              <w:rPr>
                <w:color w:val="0D0D0D" w:themeColor="text1" w:themeTint="F2"/>
                <w:spacing w:val="-6"/>
                <w:lang w:val="en-GB"/>
              </w:rPr>
              <w:t xml:space="preserve">, </w:t>
            </w:r>
            <w:r w:rsidR="003C23ED" w:rsidRPr="006E725C">
              <w:rPr>
                <w:color w:val="0D0D0D" w:themeColor="text1" w:themeTint="F2"/>
                <w:spacing w:val="-6"/>
                <w:lang w:val="en-GB"/>
              </w:rPr>
              <w:t xml:space="preserve">partially also due to the effect of long-term mildly growing payments of the CR into the EU budget. </w:t>
            </w:r>
            <w:r w:rsidR="00B53B66" w:rsidRPr="006E725C">
              <w:rPr>
                <w:color w:val="0D0D0D" w:themeColor="text1" w:themeTint="F2"/>
                <w:spacing w:val="-6"/>
                <w:lang w:val="en-GB"/>
              </w:rPr>
              <w:t xml:space="preserve">After calculating the revenues within the National recovery plan however the positive balance of the CR virtually doubled </w:t>
            </w:r>
            <w:r w:rsidRPr="006E725C">
              <w:rPr>
                <w:iCs/>
                <w:color w:val="0D0D0D" w:themeColor="text1" w:themeTint="F2"/>
                <w:spacing w:val="-6"/>
                <w:lang w:val="en-GB"/>
              </w:rPr>
              <w:t>(89</w:t>
            </w:r>
            <w:r w:rsidR="00B53B66" w:rsidRPr="006E725C">
              <w:rPr>
                <w:iCs/>
                <w:color w:val="0D0D0D" w:themeColor="text1" w:themeTint="F2"/>
                <w:spacing w:val="-6"/>
                <w:lang w:val="en-GB"/>
              </w:rPr>
              <w:t>.</w:t>
            </w:r>
            <w:r w:rsidRPr="006E725C">
              <w:rPr>
                <w:iCs/>
                <w:color w:val="0D0D0D" w:themeColor="text1" w:themeTint="F2"/>
                <w:spacing w:val="-6"/>
                <w:lang w:val="en-GB"/>
              </w:rPr>
              <w:t>5</w:t>
            </w:r>
            <w:r w:rsidR="00B53B66" w:rsidRPr="006E725C">
              <w:rPr>
                <w:iCs/>
                <w:color w:val="0D0D0D" w:themeColor="text1" w:themeTint="F2"/>
                <w:spacing w:val="-6"/>
                <w:lang w:val="en-GB"/>
              </w:rPr>
              <w:t xml:space="preserve"> </w:t>
            </w:r>
            <w:r w:rsidR="009C0832">
              <w:rPr>
                <w:iCs/>
                <w:color w:val="0D0D0D" w:themeColor="text1" w:themeTint="F2"/>
                <w:spacing w:val="-6"/>
                <w:lang w:val="en-GB"/>
              </w:rPr>
              <w:t>CZK bn</w:t>
            </w:r>
            <w:r w:rsidRPr="006E725C">
              <w:rPr>
                <w:iCs/>
                <w:color w:val="0D0D0D" w:themeColor="text1" w:themeTint="F2"/>
                <w:spacing w:val="-6"/>
                <w:lang w:val="en-GB"/>
              </w:rPr>
              <w:t>) a</w:t>
            </w:r>
            <w:r w:rsidR="00B53B66" w:rsidRPr="006E725C">
              <w:rPr>
                <w:iCs/>
                <w:color w:val="0D0D0D" w:themeColor="text1" w:themeTint="F2"/>
                <w:spacing w:val="-6"/>
                <w:lang w:val="en-GB"/>
              </w:rPr>
              <w:t xml:space="preserve">nd strengthened by 25.2 bn against year </w:t>
            </w:r>
            <w:r w:rsidRPr="006E725C">
              <w:rPr>
                <w:iCs/>
                <w:color w:val="0D0D0D" w:themeColor="text1" w:themeTint="F2"/>
                <w:spacing w:val="-6"/>
                <w:lang w:val="en-GB"/>
              </w:rPr>
              <w:t>2022.</w:t>
            </w:r>
          </w:p>
        </w:tc>
      </w:tr>
      <w:tr w:rsidR="0011055D" w:rsidRPr="006E725C" w14:paraId="354D0690" w14:textId="77777777" w:rsidTr="00C07C2F">
        <w:trPr>
          <w:trHeight w:val="170"/>
        </w:trPr>
        <w:tc>
          <w:tcPr>
            <w:tcW w:w="1792" w:type="dxa"/>
            <w:shd w:val="clear" w:color="auto" w:fill="auto"/>
            <w:tcMar>
              <w:left w:w="0" w:type="dxa"/>
            </w:tcMar>
          </w:tcPr>
          <w:p w14:paraId="2FAE1302" w14:textId="616A5C48" w:rsidR="0011055D" w:rsidRPr="006E725C" w:rsidRDefault="005D1A8A" w:rsidP="00C07C2F">
            <w:pPr>
              <w:pStyle w:val="Marginlie"/>
              <w:rPr>
                <w:lang w:val="en-GB"/>
              </w:rPr>
            </w:pPr>
            <w:r w:rsidRPr="006E725C">
              <w:rPr>
                <w:lang w:val="en-GB"/>
              </w:rPr>
              <w:t xml:space="preserve">Growth of total SB </w:t>
            </w:r>
            <w:r w:rsidR="008414EE" w:rsidRPr="006E725C">
              <w:rPr>
                <w:lang w:val="en-GB"/>
              </w:rPr>
              <w:t>outlays</w:t>
            </w:r>
            <w:r w:rsidRPr="006E725C">
              <w:rPr>
                <w:lang w:val="en-GB"/>
              </w:rPr>
              <w:t xml:space="preserve"> markedly accelerated</w:t>
            </w:r>
            <w:r w:rsidR="008414EE" w:rsidRPr="006E725C">
              <w:rPr>
                <w:lang w:val="en-GB"/>
              </w:rPr>
              <w:t xml:space="preserve"> against the preceding years, the year-on-year pace however slowed in H</w:t>
            </w:r>
            <w:r w:rsidR="0011055D" w:rsidRPr="006E725C">
              <w:rPr>
                <w:lang w:val="en-GB"/>
              </w:rPr>
              <w:t>2</w:t>
            </w:r>
            <w:r w:rsidR="008414EE" w:rsidRPr="006E725C">
              <w:rPr>
                <w:lang w:val="en-GB"/>
              </w:rPr>
              <w:t xml:space="preserve"> 2</w:t>
            </w:r>
            <w:r w:rsidR="0011055D" w:rsidRPr="006E725C">
              <w:rPr>
                <w:lang w:val="en-GB"/>
              </w:rPr>
              <w:t>023</w:t>
            </w:r>
            <w:r w:rsidR="008414EE" w:rsidRPr="006E725C">
              <w:rPr>
                <w:lang w:val="en-GB"/>
              </w:rPr>
              <w:t>.</w:t>
            </w:r>
            <w:r w:rsidR="0011055D" w:rsidRPr="006E725C">
              <w:rPr>
                <w:lang w:val="en-GB"/>
              </w:rPr>
              <w:t xml:space="preserve"> </w:t>
            </w:r>
          </w:p>
        </w:tc>
        <w:tc>
          <w:tcPr>
            <w:tcW w:w="203" w:type="dxa"/>
            <w:shd w:val="clear" w:color="auto" w:fill="auto"/>
            <w:tcMar>
              <w:left w:w="0" w:type="dxa"/>
            </w:tcMar>
          </w:tcPr>
          <w:p w14:paraId="441C06D2"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023E90FE" w14:textId="3ED2795A" w:rsidR="0011055D" w:rsidRPr="006E725C" w:rsidRDefault="008414EE" w:rsidP="00C07C2F">
            <w:pPr>
              <w:spacing w:after="220"/>
              <w:rPr>
                <w:color w:val="0D0D0D" w:themeColor="text1" w:themeTint="F2"/>
                <w:spacing w:val="-6"/>
                <w:lang w:val="en-GB"/>
              </w:rPr>
            </w:pPr>
            <w:r w:rsidRPr="006E725C">
              <w:rPr>
                <w:color w:val="0D0D0D" w:themeColor="text1" w:themeTint="F2"/>
                <w:spacing w:val="-6"/>
                <w:lang w:val="en-GB"/>
              </w:rPr>
              <w:t xml:space="preserve">Year-on-year growth of the total SB outlays hiked up to </w:t>
            </w:r>
            <w:r w:rsidR="0011055D" w:rsidRPr="006E725C">
              <w:rPr>
                <w:color w:val="0D0D0D" w:themeColor="text1" w:themeTint="F2"/>
                <w:spacing w:val="-6"/>
                <w:lang w:val="en-GB"/>
              </w:rPr>
              <w:t>11</w:t>
            </w:r>
            <w:r w:rsidRPr="006E725C">
              <w:rPr>
                <w:color w:val="0D0D0D" w:themeColor="text1" w:themeTint="F2"/>
                <w:spacing w:val="-6"/>
                <w:lang w:val="en-GB"/>
              </w:rPr>
              <w:t>.</w:t>
            </w:r>
            <w:r w:rsidR="0011055D" w:rsidRPr="006E725C">
              <w:rPr>
                <w:color w:val="0D0D0D" w:themeColor="text1" w:themeTint="F2"/>
                <w:spacing w:val="-6"/>
                <w:lang w:val="en-GB"/>
              </w:rPr>
              <w:t>0% a</w:t>
            </w:r>
            <w:r w:rsidRPr="006E725C">
              <w:rPr>
                <w:color w:val="0D0D0D" w:themeColor="text1" w:themeTint="F2"/>
                <w:spacing w:val="-6"/>
                <w:lang w:val="en-GB"/>
              </w:rPr>
              <w:t xml:space="preserve">nd markedly accelerated against years </w:t>
            </w:r>
            <w:r w:rsidR="0011055D" w:rsidRPr="006E725C">
              <w:rPr>
                <w:color w:val="0D0D0D" w:themeColor="text1" w:themeTint="F2"/>
                <w:spacing w:val="-6"/>
                <w:lang w:val="en-GB"/>
              </w:rPr>
              <w:t>2021 a</w:t>
            </w:r>
            <w:r w:rsidRPr="006E725C">
              <w:rPr>
                <w:color w:val="0D0D0D" w:themeColor="text1" w:themeTint="F2"/>
                <w:spacing w:val="-6"/>
                <w:lang w:val="en-GB"/>
              </w:rPr>
              <w:t>nd</w:t>
            </w:r>
            <w:r w:rsidR="0011055D" w:rsidRPr="006E725C">
              <w:rPr>
                <w:color w:val="0D0D0D" w:themeColor="text1" w:themeTint="F2"/>
                <w:spacing w:val="-6"/>
                <w:lang w:val="en-GB"/>
              </w:rPr>
              <w:t xml:space="preserve"> 2022. </w:t>
            </w:r>
            <w:r w:rsidRPr="006E725C">
              <w:rPr>
                <w:color w:val="0D0D0D" w:themeColor="text1" w:themeTint="F2"/>
                <w:spacing w:val="-6"/>
                <w:lang w:val="en-GB"/>
              </w:rPr>
              <w:t xml:space="preserve">Due to the slower pension adjustment as well as lower need to aid both businesses and households </w:t>
            </w:r>
            <w:r w:rsidR="0011055D" w:rsidRPr="006E725C">
              <w:rPr>
                <w:color w:val="0D0D0D" w:themeColor="text1" w:themeTint="F2"/>
                <w:spacing w:val="-6"/>
                <w:lang w:val="en-GB"/>
              </w:rPr>
              <w:t>(</w:t>
            </w:r>
            <w:r w:rsidRPr="006E725C">
              <w:rPr>
                <w:color w:val="0D0D0D" w:themeColor="text1" w:themeTint="F2"/>
                <w:spacing w:val="-6"/>
                <w:lang w:val="en-GB"/>
              </w:rPr>
              <w:t>enabled by the favourable development of prices of energies on the world markets</w:t>
            </w:r>
            <w:r w:rsidR="0011055D" w:rsidRPr="006E725C">
              <w:rPr>
                <w:color w:val="0D0D0D" w:themeColor="text1" w:themeTint="F2"/>
                <w:spacing w:val="-6"/>
                <w:lang w:val="en-GB"/>
              </w:rPr>
              <w:t>)</w:t>
            </w:r>
            <w:r w:rsidRPr="006E725C">
              <w:rPr>
                <w:color w:val="0D0D0D" w:themeColor="text1" w:themeTint="F2"/>
                <w:spacing w:val="-6"/>
                <w:lang w:val="en-GB"/>
              </w:rPr>
              <w:t>, the rate of growth of total SB outlays weakened in H</w:t>
            </w:r>
            <w:r w:rsidR="0011055D" w:rsidRPr="006E725C">
              <w:rPr>
                <w:color w:val="0D0D0D" w:themeColor="text1" w:themeTint="F2"/>
                <w:spacing w:val="-6"/>
                <w:lang w:val="en-GB"/>
              </w:rPr>
              <w:t>2</w:t>
            </w:r>
            <w:r w:rsidRPr="006E725C">
              <w:rPr>
                <w:color w:val="0D0D0D" w:themeColor="text1" w:themeTint="F2"/>
                <w:spacing w:val="-6"/>
                <w:lang w:val="en-GB"/>
              </w:rPr>
              <w:t xml:space="preserve"> 2</w:t>
            </w:r>
            <w:r w:rsidR="0011055D" w:rsidRPr="006E725C">
              <w:rPr>
                <w:color w:val="0D0D0D" w:themeColor="text1" w:themeTint="F2"/>
                <w:spacing w:val="-6"/>
                <w:lang w:val="en-GB"/>
              </w:rPr>
              <w:t>023</w:t>
            </w:r>
            <w:r w:rsidRPr="006E725C">
              <w:rPr>
                <w:color w:val="0D0D0D" w:themeColor="text1" w:themeTint="F2"/>
                <w:spacing w:val="-6"/>
                <w:lang w:val="en-GB"/>
              </w:rPr>
              <w:t xml:space="preserve"> and their annual amount was thus slightly lower compared to the planned budget </w:t>
            </w:r>
            <w:r w:rsidR="0011055D" w:rsidRPr="006E725C">
              <w:rPr>
                <w:color w:val="0D0D0D" w:themeColor="text1" w:themeTint="F2"/>
                <w:spacing w:val="-6"/>
                <w:lang w:val="en-GB"/>
              </w:rPr>
              <w:t>(</w:t>
            </w:r>
            <w:r w:rsidRPr="006E725C">
              <w:rPr>
                <w:color w:val="0D0D0D" w:themeColor="text1" w:themeTint="F2"/>
                <w:spacing w:val="-6"/>
                <w:lang w:val="en-GB"/>
              </w:rPr>
              <w:t xml:space="preserve">by </w:t>
            </w:r>
            <w:r w:rsidR="0011055D" w:rsidRPr="006E725C">
              <w:rPr>
                <w:color w:val="0D0D0D" w:themeColor="text1" w:themeTint="F2"/>
                <w:spacing w:val="-6"/>
                <w:lang w:val="en-GB"/>
              </w:rPr>
              <w:t>2</w:t>
            </w:r>
            <w:r w:rsidRPr="006E725C">
              <w:rPr>
                <w:color w:val="0D0D0D" w:themeColor="text1" w:themeTint="F2"/>
                <w:spacing w:val="-6"/>
                <w:lang w:val="en-GB"/>
              </w:rPr>
              <w:t>.</w:t>
            </w:r>
            <w:r w:rsidR="0011055D" w:rsidRPr="006E725C">
              <w:rPr>
                <w:color w:val="0D0D0D" w:themeColor="text1" w:themeTint="F2"/>
                <w:spacing w:val="-6"/>
                <w:lang w:val="en-GB"/>
              </w:rPr>
              <w:t>2%,</w:t>
            </w:r>
            <w:r w:rsidR="002F2D8A" w:rsidRPr="006E725C">
              <w:rPr>
                <w:color w:val="0D0D0D" w:themeColor="text1" w:themeTint="F2"/>
                <w:spacing w:val="-6"/>
                <w:lang w:val="en-GB"/>
              </w:rPr>
              <w:t xml:space="preserve"> i.e. </w:t>
            </w:r>
            <w:r w:rsidR="00E82AB6" w:rsidRPr="006E725C">
              <w:rPr>
                <w:color w:val="0D0D0D" w:themeColor="text1" w:themeTint="F2"/>
                <w:spacing w:val="-6"/>
                <w:lang w:val="en-GB"/>
              </w:rPr>
              <w:t>48</w:t>
            </w:r>
            <w:r w:rsidRPr="006E725C">
              <w:rPr>
                <w:color w:val="0D0D0D" w:themeColor="text1" w:themeTint="F2"/>
                <w:spacing w:val="-6"/>
                <w:lang w:val="en-GB"/>
              </w:rPr>
              <w:t>.</w:t>
            </w:r>
            <w:r w:rsidR="00E82AB6" w:rsidRPr="006E725C">
              <w:rPr>
                <w:color w:val="0D0D0D" w:themeColor="text1" w:themeTint="F2"/>
                <w:spacing w:val="-6"/>
                <w:lang w:val="en-GB"/>
              </w:rPr>
              <w:t>5</w:t>
            </w:r>
            <w:r w:rsidRPr="006E725C">
              <w:rPr>
                <w:color w:val="0D0D0D" w:themeColor="text1" w:themeTint="F2"/>
                <w:spacing w:val="-6"/>
                <w:lang w:val="en-GB"/>
              </w:rPr>
              <w:t xml:space="preserve"> </w:t>
            </w:r>
            <w:r w:rsidR="009C0832">
              <w:rPr>
                <w:color w:val="0D0D0D" w:themeColor="text1" w:themeTint="F2"/>
                <w:spacing w:val="-6"/>
                <w:lang w:val="en-GB"/>
              </w:rPr>
              <w:t>CZK bn</w:t>
            </w:r>
            <w:r w:rsidR="00E82AB6" w:rsidRPr="006E725C">
              <w:rPr>
                <w:color w:val="0D0D0D" w:themeColor="text1" w:themeTint="F2"/>
                <w:spacing w:val="-6"/>
                <w:lang w:val="en-GB"/>
              </w:rPr>
              <w:t xml:space="preserve">). </w:t>
            </w:r>
            <w:r w:rsidR="006B7EA8" w:rsidRPr="006E725C">
              <w:rPr>
                <w:color w:val="0D0D0D" w:themeColor="text1" w:themeTint="F2"/>
                <w:spacing w:val="-6"/>
                <w:lang w:val="en-GB"/>
              </w:rPr>
              <w:t xml:space="preserve">Strong last year’s  growth of outlays reflected both the assistance of state related to the high prices of energies </w:t>
            </w:r>
            <w:r w:rsidR="0011055D" w:rsidRPr="006E725C">
              <w:rPr>
                <w:spacing w:val="-6"/>
                <w:lang w:val="en-GB"/>
              </w:rPr>
              <w:t>(</w:t>
            </w:r>
            <w:r w:rsidR="006B7EA8" w:rsidRPr="006E725C">
              <w:rPr>
                <w:spacing w:val="-6"/>
                <w:lang w:val="en-GB"/>
              </w:rPr>
              <w:t>inadequately compensated by the extraordinary revenues from the selected sectors of the economy</w:t>
            </w:r>
            <w:r w:rsidR="0011055D" w:rsidRPr="006E725C">
              <w:rPr>
                <w:spacing w:val="-6"/>
                <w:lang w:val="en-GB"/>
              </w:rPr>
              <w:t>)</w:t>
            </w:r>
            <w:r w:rsidR="006B7EA8" w:rsidRPr="006E725C">
              <w:rPr>
                <w:spacing w:val="-6"/>
                <w:lang w:val="en-GB"/>
              </w:rPr>
              <w:t xml:space="preserve"> and the impacts of the gradually subsiding </w:t>
            </w:r>
            <w:r w:rsidR="006B7EA8" w:rsidRPr="006E725C">
              <w:rPr>
                <w:spacing w:val="-6"/>
                <w:lang w:val="en-GB"/>
              </w:rPr>
              <w:lastRenderedPageBreak/>
              <w:t xml:space="preserve">high inflation </w:t>
            </w:r>
            <w:r w:rsidR="0011055D" w:rsidRPr="006E725C">
              <w:rPr>
                <w:spacing w:val="-6"/>
                <w:lang w:val="en-GB"/>
              </w:rPr>
              <w:t>(</w:t>
            </w:r>
            <w:r w:rsidR="006B7EA8" w:rsidRPr="006E725C">
              <w:rPr>
                <w:spacing w:val="-6"/>
                <w:lang w:val="en-GB"/>
              </w:rPr>
              <w:t>pension adjustment, higher volume of paid out social benefits, growing repayments of the state debt</w:t>
            </w:r>
            <w:r w:rsidR="0011055D" w:rsidRPr="006E725C">
              <w:rPr>
                <w:spacing w:val="-6"/>
                <w:lang w:val="en-GB"/>
              </w:rPr>
              <w:t>)</w:t>
            </w:r>
            <w:r w:rsidR="006B7EA8" w:rsidRPr="006E725C">
              <w:rPr>
                <w:spacing w:val="-6"/>
                <w:lang w:val="en-GB"/>
              </w:rPr>
              <w:t xml:space="preserve"> or higher expenditures in the direct consequence of the was in Ukraine </w:t>
            </w:r>
            <w:r w:rsidR="0011055D" w:rsidRPr="006E725C">
              <w:rPr>
                <w:spacing w:val="-6"/>
                <w:lang w:val="en-GB"/>
              </w:rPr>
              <w:t>(humanit</w:t>
            </w:r>
            <w:r w:rsidR="006B7EA8" w:rsidRPr="006E725C">
              <w:rPr>
                <w:spacing w:val="-6"/>
                <w:lang w:val="en-GB"/>
              </w:rPr>
              <w:t>arian aid, expenditures on defence and security</w:t>
            </w:r>
            <w:r w:rsidR="0011055D" w:rsidRPr="006E725C">
              <w:rPr>
                <w:spacing w:val="-6"/>
                <w:lang w:val="en-GB"/>
              </w:rPr>
              <w:t xml:space="preserve">). </w:t>
            </w:r>
            <w:r w:rsidR="00B43B6C" w:rsidRPr="006E725C">
              <w:rPr>
                <w:spacing w:val="-6"/>
                <w:lang w:val="en-GB"/>
              </w:rPr>
              <w:t xml:space="preserve">Even though mainly current expenditures </w:t>
            </w:r>
            <w:r w:rsidR="0011055D" w:rsidRPr="006E725C">
              <w:rPr>
                <w:spacing w:val="-6"/>
                <w:lang w:val="en-GB"/>
              </w:rPr>
              <w:t>(+192</w:t>
            </w:r>
            <w:r w:rsidR="00B43B6C" w:rsidRPr="006E725C">
              <w:rPr>
                <w:spacing w:val="-6"/>
                <w:lang w:val="en-GB"/>
              </w:rPr>
              <w:t>.</w:t>
            </w:r>
            <w:r w:rsidR="0011055D" w:rsidRPr="006E725C">
              <w:rPr>
                <w:spacing w:val="-6"/>
                <w:lang w:val="en-GB"/>
              </w:rPr>
              <w:t>4</w:t>
            </w:r>
            <w:r w:rsidR="00B43B6C" w:rsidRPr="006E725C">
              <w:rPr>
                <w:spacing w:val="-6"/>
                <w:lang w:val="en-GB"/>
              </w:rPr>
              <w:t xml:space="preserve"> </w:t>
            </w:r>
            <w:r w:rsidR="009C0832">
              <w:rPr>
                <w:spacing w:val="-6"/>
                <w:lang w:val="en-GB"/>
              </w:rPr>
              <w:t>CZK bn</w:t>
            </w:r>
            <w:r w:rsidR="0011055D" w:rsidRPr="006E725C">
              <w:rPr>
                <w:spacing w:val="-6"/>
                <w:lang w:val="en-GB"/>
              </w:rPr>
              <w:t>)</w:t>
            </w:r>
            <w:r w:rsidR="00B43B6C" w:rsidRPr="006E725C">
              <w:rPr>
                <w:spacing w:val="-6"/>
                <w:lang w:val="en-GB"/>
              </w:rPr>
              <w:t xml:space="preserve"> traditionally contributed to the fiscal expansion last year</w:t>
            </w:r>
            <w:r w:rsidR="0011055D" w:rsidRPr="006E725C">
              <w:rPr>
                <w:spacing w:val="-6"/>
                <w:lang w:val="en-GB"/>
              </w:rPr>
              <w:t xml:space="preserve">, </w:t>
            </w:r>
            <w:r w:rsidR="00AE5672" w:rsidRPr="006E725C">
              <w:rPr>
                <w:spacing w:val="-6"/>
                <w:lang w:val="en-GB"/>
              </w:rPr>
              <w:t xml:space="preserve">higher investment (+25.4 bn) also played an important role similarly to the preceding years. </w:t>
            </w:r>
            <w:r w:rsidR="0011055D" w:rsidRPr="006E725C">
              <w:rPr>
                <w:spacing w:val="-6"/>
                <w:lang w:val="en-GB"/>
              </w:rPr>
              <w:t xml:space="preserve"> </w:t>
            </w:r>
          </w:p>
        </w:tc>
      </w:tr>
      <w:tr w:rsidR="0011055D" w:rsidRPr="006E725C" w14:paraId="2F1099F1" w14:textId="77777777" w:rsidTr="00C07C2F">
        <w:trPr>
          <w:trHeight w:val="170"/>
        </w:trPr>
        <w:tc>
          <w:tcPr>
            <w:tcW w:w="1792" w:type="dxa"/>
            <w:shd w:val="clear" w:color="auto" w:fill="auto"/>
            <w:tcMar>
              <w:left w:w="0" w:type="dxa"/>
            </w:tcMar>
          </w:tcPr>
          <w:p w14:paraId="6701952F" w14:textId="495D8BE9" w:rsidR="0011055D" w:rsidRPr="006E725C" w:rsidRDefault="00DC0B4A" w:rsidP="00DC0B4A">
            <w:pPr>
              <w:pStyle w:val="Marginlie"/>
              <w:rPr>
                <w:lang w:val="en-GB"/>
              </w:rPr>
            </w:pPr>
            <w:r w:rsidRPr="006E725C">
              <w:rPr>
                <w:lang w:val="en-GB"/>
              </w:rPr>
              <w:lastRenderedPageBreak/>
              <w:t xml:space="preserve">Despite amendment of adjustment, expenditures on pensions contributed the most to the fiscal expansion last year. Pension insurance balance deepened to record </w:t>
            </w:r>
            <w:r w:rsidR="0011055D" w:rsidRPr="006E725C">
              <w:rPr>
                <w:lang w:val="en-GB"/>
              </w:rPr>
              <w:t>73</w:t>
            </w:r>
            <w:r w:rsidRPr="006E725C">
              <w:rPr>
                <w:lang w:val="en-GB"/>
              </w:rPr>
              <w:t xml:space="preserve"> </w:t>
            </w:r>
            <w:r w:rsidR="009C0832">
              <w:rPr>
                <w:lang w:val="en-GB"/>
              </w:rPr>
              <w:t>CZK bn</w:t>
            </w:r>
            <w:r w:rsidR="0011055D" w:rsidRPr="006E725C">
              <w:rPr>
                <w:lang w:val="en-GB"/>
              </w:rPr>
              <w:t xml:space="preserve">. </w:t>
            </w:r>
          </w:p>
        </w:tc>
        <w:tc>
          <w:tcPr>
            <w:tcW w:w="203" w:type="dxa"/>
            <w:shd w:val="clear" w:color="auto" w:fill="auto"/>
            <w:tcMar>
              <w:left w:w="0" w:type="dxa"/>
            </w:tcMar>
          </w:tcPr>
          <w:p w14:paraId="42C518DF"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1E57F2F6" w14:textId="05F27912" w:rsidR="0011055D" w:rsidRPr="006E725C" w:rsidRDefault="003F54B4" w:rsidP="00C07C2F">
            <w:pPr>
              <w:spacing w:after="220"/>
              <w:rPr>
                <w:color w:val="0D0D0D" w:themeColor="text1" w:themeTint="F2"/>
                <w:spacing w:val="-6"/>
                <w:lang w:val="en-GB"/>
              </w:rPr>
            </w:pPr>
            <w:r w:rsidRPr="006E725C">
              <w:rPr>
                <w:color w:val="0D0D0D" w:themeColor="text1" w:themeTint="F2"/>
                <w:spacing w:val="-6"/>
                <w:lang w:val="en-GB"/>
              </w:rPr>
              <w:t xml:space="preserve">Social benefits essentially spoke into the last year’s year-on-year growth of the current expenditures </w:t>
            </w:r>
            <w:r w:rsidR="0011055D" w:rsidRPr="006E725C">
              <w:rPr>
                <w:color w:val="0D0D0D" w:themeColor="text1" w:themeTint="F2"/>
                <w:spacing w:val="-6"/>
                <w:lang w:val="en-GB"/>
              </w:rPr>
              <w:t xml:space="preserve">(+100 </w:t>
            </w:r>
            <w:r w:rsidR="009C0832">
              <w:rPr>
                <w:color w:val="0D0D0D" w:themeColor="text1" w:themeTint="F2"/>
                <w:spacing w:val="-6"/>
                <w:lang w:val="en-GB"/>
              </w:rPr>
              <w:t>CZK bn</w:t>
            </w:r>
            <w:r w:rsidR="0011055D" w:rsidRPr="006E725C">
              <w:rPr>
                <w:color w:val="0D0D0D" w:themeColor="text1" w:themeTint="F2"/>
                <w:spacing w:val="-6"/>
                <w:lang w:val="en-GB"/>
              </w:rPr>
              <w:t>).</w:t>
            </w:r>
            <w:r w:rsidR="00C85127" w:rsidRPr="006E725C">
              <w:rPr>
                <w:color w:val="0D0D0D" w:themeColor="text1" w:themeTint="F2"/>
                <w:spacing w:val="-6"/>
                <w:lang w:val="en-GB"/>
              </w:rPr>
              <w:t xml:space="preserve"> Their proportion on all SB outlays was the highest in the last five years </w:t>
            </w:r>
            <w:r w:rsidR="0011055D" w:rsidRPr="006E725C">
              <w:rPr>
                <w:spacing w:val="-6"/>
                <w:lang w:val="en-GB"/>
              </w:rPr>
              <w:t>(39</w:t>
            </w:r>
            <w:r w:rsidR="00C85127" w:rsidRPr="006E725C">
              <w:rPr>
                <w:spacing w:val="-6"/>
                <w:lang w:val="en-GB"/>
              </w:rPr>
              <w:t>.</w:t>
            </w:r>
            <w:r w:rsidR="0011055D" w:rsidRPr="006E725C">
              <w:rPr>
                <w:spacing w:val="-6"/>
                <w:lang w:val="en-GB"/>
              </w:rPr>
              <w:t>4%).</w:t>
            </w:r>
            <w:r w:rsidR="00C85127" w:rsidRPr="006E725C">
              <w:rPr>
                <w:spacing w:val="-6"/>
                <w:lang w:val="en-GB"/>
              </w:rPr>
              <w:t xml:space="preserve"> Nearly all growth of social benefits was covered by expenditures on pensions, which reached </w:t>
            </w:r>
            <w:r w:rsidR="0011055D" w:rsidRPr="006E725C">
              <w:rPr>
                <w:spacing w:val="-6"/>
                <w:lang w:val="en-GB"/>
              </w:rPr>
              <w:t>685</w:t>
            </w:r>
            <w:r w:rsidR="00C85127" w:rsidRPr="006E725C">
              <w:rPr>
                <w:spacing w:val="-6"/>
                <w:lang w:val="en-GB"/>
              </w:rPr>
              <w:t>.</w:t>
            </w:r>
            <w:r w:rsidR="0011055D" w:rsidRPr="006E725C">
              <w:rPr>
                <w:spacing w:val="-6"/>
                <w:lang w:val="en-GB"/>
              </w:rPr>
              <w:t>2</w:t>
            </w:r>
            <w:r w:rsidR="00C85127" w:rsidRPr="006E725C">
              <w:rPr>
                <w:spacing w:val="-6"/>
                <w:lang w:val="en-GB"/>
              </w:rPr>
              <w:t xml:space="preserve"> </w:t>
            </w:r>
            <w:r w:rsidR="009C0832">
              <w:rPr>
                <w:spacing w:val="-6"/>
                <w:lang w:val="en-GB"/>
              </w:rPr>
              <w:t>CZK bn</w:t>
            </w:r>
            <w:r w:rsidR="00C85127" w:rsidRPr="006E725C">
              <w:rPr>
                <w:spacing w:val="-6"/>
                <w:lang w:val="en-GB"/>
              </w:rPr>
              <w:t xml:space="preserve"> </w:t>
            </w:r>
            <w:r w:rsidR="0011055D" w:rsidRPr="006E725C">
              <w:rPr>
                <w:spacing w:val="-6"/>
                <w:lang w:val="en-GB"/>
              </w:rPr>
              <w:t>(+16</w:t>
            </w:r>
            <w:r w:rsidR="00C85127" w:rsidRPr="006E725C">
              <w:rPr>
                <w:spacing w:val="-6"/>
                <w:lang w:val="en-GB"/>
              </w:rPr>
              <w:t>.</w:t>
            </w:r>
            <w:r w:rsidR="0011055D" w:rsidRPr="006E725C">
              <w:rPr>
                <w:spacing w:val="-6"/>
                <w:lang w:val="en-GB"/>
              </w:rPr>
              <w:t xml:space="preserve">5%). </w:t>
            </w:r>
            <w:r w:rsidR="00C85127" w:rsidRPr="006E725C">
              <w:rPr>
                <w:spacing w:val="-6"/>
                <w:lang w:val="en-GB"/>
              </w:rPr>
              <w:t xml:space="preserve">Their drawing was, similarly to year </w:t>
            </w:r>
            <w:r w:rsidR="0011055D" w:rsidRPr="006E725C">
              <w:rPr>
                <w:spacing w:val="-6"/>
                <w:lang w:val="en-GB"/>
              </w:rPr>
              <w:t>2022,</w:t>
            </w:r>
            <w:r w:rsidR="00C85127" w:rsidRPr="006E725C">
              <w:rPr>
                <w:spacing w:val="-6"/>
                <w:lang w:val="en-GB"/>
              </w:rPr>
              <w:t xml:space="preserve"> fundamentally affected both due January adjustment and extraordinary increase during the year</w:t>
            </w:r>
            <w:r w:rsidR="0011055D" w:rsidRPr="006E725C">
              <w:rPr>
                <w:rStyle w:val="Znakapoznpodarou"/>
                <w:spacing w:val="-6"/>
                <w:lang w:val="en-GB"/>
              </w:rPr>
              <w:footnoteReference w:id="19"/>
            </w:r>
            <w:r w:rsidR="0011055D" w:rsidRPr="006E725C">
              <w:rPr>
                <w:spacing w:val="-6"/>
                <w:lang w:val="en-GB"/>
              </w:rPr>
              <w:t xml:space="preserve">. </w:t>
            </w:r>
            <w:r w:rsidR="00404D5C" w:rsidRPr="006E725C">
              <w:rPr>
                <w:spacing w:val="-6"/>
                <w:lang w:val="en-GB"/>
              </w:rPr>
              <w:t>As a result of considerably higher interest in early pensions</w:t>
            </w:r>
            <w:r w:rsidR="0011055D" w:rsidRPr="006E725C">
              <w:rPr>
                <w:rStyle w:val="Znakapoznpodarou"/>
                <w:color w:val="0D0D0D" w:themeColor="text1" w:themeTint="F2"/>
                <w:spacing w:val="-6"/>
                <w:lang w:val="en-GB"/>
              </w:rPr>
              <w:footnoteReference w:id="20"/>
            </w:r>
            <w:r w:rsidR="00404D5C" w:rsidRPr="006E725C">
              <w:rPr>
                <w:spacing w:val="-6"/>
                <w:lang w:val="en-GB"/>
              </w:rPr>
              <w:t xml:space="preserve">, the more than three years lasting decrease of the number of persons, who are recipients of some of the pensions halted. </w:t>
            </w:r>
            <w:r w:rsidR="00321ED1" w:rsidRPr="006E725C">
              <w:rPr>
                <w:spacing w:val="-6"/>
                <w:lang w:val="en-GB"/>
              </w:rPr>
              <w:t xml:space="preserve">Even though still good condition of the domestic labour market supported brisk </w:t>
            </w:r>
            <w:r w:rsidR="00404D5C" w:rsidRPr="006E725C">
              <w:rPr>
                <w:spacing w:val="-6"/>
                <w:lang w:val="en-GB"/>
              </w:rPr>
              <w:t>growth</w:t>
            </w:r>
            <w:r w:rsidR="00321ED1" w:rsidRPr="006E725C">
              <w:rPr>
                <w:spacing w:val="-6"/>
                <w:lang w:val="en-GB"/>
              </w:rPr>
              <w:t xml:space="preserve"> of pension insurance revenues, its year-on-year pace was not even one half compared to expenditures </w:t>
            </w:r>
            <w:r w:rsidR="00D92FFF" w:rsidRPr="006E725C">
              <w:rPr>
                <w:spacing w:val="-6"/>
                <w:lang w:val="en-GB"/>
              </w:rPr>
              <w:t>on pensions last year. Balance of the pension insurance system</w:t>
            </w:r>
            <w:r w:rsidR="0011055D" w:rsidRPr="006E725C">
              <w:rPr>
                <w:rStyle w:val="Znakapoznpodarou"/>
                <w:color w:val="0D0D0D" w:themeColor="text1" w:themeTint="F2"/>
                <w:spacing w:val="-6"/>
                <w:lang w:val="en-GB"/>
              </w:rPr>
              <w:footnoteReference w:id="21"/>
            </w:r>
            <w:r w:rsidR="00D92FFF" w:rsidRPr="006E725C">
              <w:rPr>
                <w:spacing w:val="-6"/>
                <w:lang w:val="en-GB"/>
              </w:rPr>
              <w:t xml:space="preserve"> thus dived into a record deficit last year </w:t>
            </w:r>
            <w:r w:rsidR="0011055D" w:rsidRPr="006E725C">
              <w:rPr>
                <w:rFonts w:cs="Arial"/>
                <w:color w:val="0D0D0D" w:themeColor="text1" w:themeTint="F2"/>
                <w:spacing w:val="-6"/>
                <w:lang w:val="en-GB"/>
              </w:rPr>
              <w:t>(72</w:t>
            </w:r>
            <w:r w:rsidR="00D92FFF" w:rsidRPr="006E725C">
              <w:rPr>
                <w:rFonts w:cs="Arial"/>
                <w:color w:val="0D0D0D" w:themeColor="text1" w:themeTint="F2"/>
                <w:spacing w:val="-6"/>
                <w:lang w:val="en-GB"/>
              </w:rPr>
              <w:t>.</w:t>
            </w:r>
            <w:r w:rsidR="0011055D" w:rsidRPr="006E725C">
              <w:rPr>
                <w:rFonts w:cs="Arial"/>
                <w:color w:val="0D0D0D" w:themeColor="text1" w:themeTint="F2"/>
                <w:spacing w:val="-6"/>
                <w:lang w:val="en-GB"/>
              </w:rPr>
              <w:t>8</w:t>
            </w:r>
            <w:r w:rsidR="00D92FFF" w:rsidRPr="006E725C">
              <w:rPr>
                <w:rFonts w:cs="Arial"/>
                <w:color w:val="0D0D0D" w:themeColor="text1" w:themeTint="F2"/>
                <w:spacing w:val="-6"/>
                <w:lang w:val="en-GB"/>
              </w:rPr>
              <w:t xml:space="preserve"> </w:t>
            </w:r>
            <w:r w:rsidR="009C0832">
              <w:rPr>
                <w:rFonts w:cs="Arial"/>
                <w:color w:val="0D0D0D" w:themeColor="text1" w:themeTint="F2"/>
                <w:spacing w:val="-6"/>
                <w:lang w:val="en-GB"/>
              </w:rPr>
              <w:t>CZK bn</w:t>
            </w:r>
            <w:r w:rsidR="0011055D" w:rsidRPr="006E725C">
              <w:rPr>
                <w:rFonts w:cs="Arial"/>
                <w:color w:val="0D0D0D" w:themeColor="text1" w:themeTint="F2"/>
                <w:spacing w:val="-6"/>
                <w:lang w:val="en-GB"/>
              </w:rPr>
              <w:t>)</w:t>
            </w:r>
            <w:r w:rsidR="00D92FFF" w:rsidRPr="006E725C">
              <w:rPr>
                <w:rFonts w:cs="Arial"/>
                <w:color w:val="0D0D0D" w:themeColor="text1" w:themeTint="F2"/>
                <w:spacing w:val="-6"/>
                <w:lang w:val="en-GB"/>
              </w:rPr>
              <w:t xml:space="preserve">, more than triple year-on-year. </w:t>
            </w:r>
          </w:p>
        </w:tc>
      </w:tr>
      <w:tr w:rsidR="0011055D" w:rsidRPr="006E725C" w14:paraId="17FF59B8" w14:textId="77777777" w:rsidTr="00C07C2F">
        <w:trPr>
          <w:trHeight w:val="170"/>
        </w:trPr>
        <w:tc>
          <w:tcPr>
            <w:tcW w:w="1792" w:type="dxa"/>
            <w:shd w:val="clear" w:color="auto" w:fill="auto"/>
            <w:tcMar>
              <w:left w:w="0" w:type="dxa"/>
            </w:tcMar>
          </w:tcPr>
          <w:p w14:paraId="2AEE6C79" w14:textId="2E3F971F" w:rsidR="0011055D" w:rsidRPr="006E725C" w:rsidRDefault="00DB2495" w:rsidP="00C07C2F">
            <w:pPr>
              <w:pStyle w:val="Marginlie"/>
              <w:rPr>
                <w:lang w:val="en-GB"/>
              </w:rPr>
            </w:pPr>
            <w:r w:rsidRPr="006E725C">
              <w:rPr>
                <w:lang w:val="en-GB"/>
              </w:rPr>
              <w:t>Growth</w:t>
            </w:r>
            <w:r w:rsidR="00D92FFF" w:rsidRPr="006E725C">
              <w:rPr>
                <w:lang w:val="en-GB"/>
              </w:rPr>
              <w:t xml:space="preserve"> of outlays on non-pension social benefits slowed down. </w:t>
            </w:r>
            <w:r w:rsidR="00B34CC8" w:rsidRPr="006E725C">
              <w:rPr>
                <w:lang w:val="en-GB"/>
              </w:rPr>
              <w:t xml:space="preserve">Expenditures on child allowances, </w:t>
            </w:r>
            <w:r w:rsidR="0011055D" w:rsidRPr="006E725C">
              <w:rPr>
                <w:lang w:val="en-GB"/>
              </w:rPr>
              <w:t>humanit</w:t>
            </w:r>
            <w:r w:rsidR="00C73F7B" w:rsidRPr="006E725C">
              <w:rPr>
                <w:lang w:val="en-GB"/>
              </w:rPr>
              <w:t>arian benefit for the refugees</w:t>
            </w:r>
            <w:r w:rsidR="0011055D" w:rsidRPr="006E725C">
              <w:rPr>
                <w:lang w:val="en-GB"/>
              </w:rPr>
              <w:t>,</w:t>
            </w:r>
            <w:r w:rsidR="00C73F7B" w:rsidRPr="006E725C">
              <w:rPr>
                <w:lang w:val="en-GB"/>
              </w:rPr>
              <w:t xml:space="preserve"> parental allowance </w:t>
            </w:r>
            <w:r w:rsidR="00B34CC8" w:rsidRPr="006E725C">
              <w:rPr>
                <w:lang w:val="en-GB"/>
              </w:rPr>
              <w:t>as well as sickness benefits decreased.</w:t>
            </w:r>
          </w:p>
          <w:p w14:paraId="17C42118" w14:textId="77777777" w:rsidR="0011055D" w:rsidRPr="006E725C" w:rsidRDefault="0011055D" w:rsidP="00C07C2F">
            <w:pPr>
              <w:pStyle w:val="Marginlie"/>
              <w:rPr>
                <w:lang w:val="en-GB"/>
              </w:rPr>
            </w:pPr>
          </w:p>
          <w:p w14:paraId="5A3665F7" w14:textId="77777777" w:rsidR="0011055D" w:rsidRPr="006E725C" w:rsidRDefault="0011055D" w:rsidP="00C07C2F">
            <w:pPr>
              <w:pStyle w:val="Marginlie"/>
              <w:rPr>
                <w:lang w:val="en-GB"/>
              </w:rPr>
            </w:pPr>
          </w:p>
          <w:p w14:paraId="73F2A32C" w14:textId="77777777" w:rsidR="0011055D" w:rsidRPr="006E725C" w:rsidRDefault="0011055D" w:rsidP="00C07C2F">
            <w:pPr>
              <w:pStyle w:val="Marginlie"/>
              <w:rPr>
                <w:lang w:val="en-GB"/>
              </w:rPr>
            </w:pPr>
          </w:p>
          <w:p w14:paraId="3E6AC526" w14:textId="77777777" w:rsidR="0011055D" w:rsidRPr="006E725C" w:rsidRDefault="0011055D" w:rsidP="00C07C2F">
            <w:pPr>
              <w:pStyle w:val="Marginlie"/>
              <w:rPr>
                <w:lang w:val="en-GB"/>
              </w:rPr>
            </w:pPr>
          </w:p>
          <w:p w14:paraId="211A0784" w14:textId="503FB241" w:rsidR="0011055D" w:rsidRPr="006E725C" w:rsidRDefault="00DB2495" w:rsidP="00C07C2F">
            <w:pPr>
              <w:pStyle w:val="Marginlie"/>
              <w:rPr>
                <w:lang w:val="en-GB"/>
              </w:rPr>
            </w:pPr>
            <w:r w:rsidRPr="006E725C">
              <w:rPr>
                <w:lang w:val="en-GB"/>
              </w:rPr>
              <w:t xml:space="preserve">Drawing of housing allowance dramatically increased. </w:t>
            </w:r>
          </w:p>
        </w:tc>
        <w:tc>
          <w:tcPr>
            <w:tcW w:w="203" w:type="dxa"/>
            <w:shd w:val="clear" w:color="auto" w:fill="auto"/>
            <w:tcMar>
              <w:left w:w="0" w:type="dxa"/>
            </w:tcMar>
          </w:tcPr>
          <w:p w14:paraId="7E9F1C14"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39053642" w14:textId="4E4D0193" w:rsidR="0011055D" w:rsidRPr="006E725C" w:rsidRDefault="00D92FFF" w:rsidP="00C07C2F">
            <w:pPr>
              <w:spacing w:after="220"/>
              <w:rPr>
                <w:color w:val="0D0D0D" w:themeColor="text1" w:themeTint="F2"/>
                <w:spacing w:val="-6"/>
                <w:lang w:val="en-GB"/>
              </w:rPr>
            </w:pPr>
            <w:r w:rsidRPr="006E725C">
              <w:rPr>
                <w:color w:val="0D0D0D" w:themeColor="text1" w:themeTint="F2"/>
                <w:spacing w:val="-6"/>
                <w:lang w:val="en-GB"/>
              </w:rPr>
              <w:t xml:space="preserve">Growth of expenditures on other social benefits, unlike the pension benefits, </w:t>
            </w:r>
            <w:r w:rsidR="00DB2495" w:rsidRPr="006E725C">
              <w:rPr>
                <w:color w:val="0D0D0D" w:themeColor="text1" w:themeTint="F2"/>
                <w:spacing w:val="-6"/>
                <w:lang w:val="en-GB"/>
              </w:rPr>
              <w:t xml:space="preserve">vigorously slowed down last year (+1.7%, to 182.9 </w:t>
            </w:r>
            <w:r w:rsidR="009C0832">
              <w:rPr>
                <w:color w:val="0D0D0D" w:themeColor="text1" w:themeTint="F2"/>
                <w:spacing w:val="-6"/>
                <w:lang w:val="en-GB"/>
              </w:rPr>
              <w:t>CZK bn</w:t>
            </w:r>
            <w:r w:rsidR="00DB2495" w:rsidRPr="006E725C">
              <w:rPr>
                <w:color w:val="0D0D0D" w:themeColor="text1" w:themeTint="F2"/>
                <w:spacing w:val="-6"/>
                <w:lang w:val="en-GB"/>
              </w:rPr>
              <w:t xml:space="preserve">) after the fast pace in year </w:t>
            </w:r>
            <w:r w:rsidR="0011055D" w:rsidRPr="006E725C">
              <w:rPr>
                <w:color w:val="0D0D0D" w:themeColor="text1" w:themeTint="F2"/>
                <w:spacing w:val="-6"/>
                <w:lang w:val="en-GB"/>
              </w:rPr>
              <w:t>2022 (+11</w:t>
            </w:r>
            <w:r w:rsidR="00DB2495" w:rsidRPr="006E725C">
              <w:rPr>
                <w:color w:val="0D0D0D" w:themeColor="text1" w:themeTint="F2"/>
                <w:spacing w:val="-6"/>
                <w:lang w:val="en-GB"/>
              </w:rPr>
              <w:t>.</w:t>
            </w:r>
            <w:r w:rsidR="0011055D" w:rsidRPr="006E725C">
              <w:rPr>
                <w:color w:val="0D0D0D" w:themeColor="text1" w:themeTint="F2"/>
                <w:spacing w:val="-6"/>
                <w:lang w:val="en-GB"/>
              </w:rPr>
              <w:t>2%)</w:t>
            </w:r>
            <w:r w:rsidR="00DB2495" w:rsidRPr="006E725C">
              <w:rPr>
                <w:color w:val="0D0D0D" w:themeColor="text1" w:themeTint="F2"/>
                <w:spacing w:val="-6"/>
                <w:lang w:val="en-GB"/>
              </w:rPr>
              <w:t xml:space="preserve">, even above the scope of the budget anticipation. </w:t>
            </w:r>
            <w:r w:rsidR="0011055D" w:rsidRPr="006E725C">
              <w:rPr>
                <w:color w:val="0D0D0D" w:themeColor="text1" w:themeTint="F2"/>
                <w:spacing w:val="-6"/>
                <w:lang w:val="en-GB"/>
              </w:rPr>
              <w:t xml:space="preserve"> </w:t>
            </w:r>
            <w:r w:rsidR="00B52673" w:rsidRPr="006E725C">
              <w:rPr>
                <w:color w:val="0D0D0D" w:themeColor="text1" w:themeTint="F2"/>
                <w:spacing w:val="-6"/>
                <w:lang w:val="en-GB"/>
              </w:rPr>
              <w:t xml:space="preserve">Decrease of the child allowance </w:t>
            </w:r>
            <w:r w:rsidR="0011055D" w:rsidRPr="006E725C">
              <w:rPr>
                <w:color w:val="0D0D0D" w:themeColor="text1" w:themeTint="F2"/>
                <w:spacing w:val="-6"/>
                <w:lang w:val="en-GB"/>
              </w:rPr>
              <w:t>(−4</w:t>
            </w:r>
            <w:r w:rsidR="00B52673" w:rsidRPr="006E725C">
              <w:rPr>
                <w:color w:val="0D0D0D" w:themeColor="text1" w:themeTint="F2"/>
                <w:spacing w:val="-6"/>
                <w:lang w:val="en-GB"/>
              </w:rPr>
              <w:t>.</w:t>
            </w:r>
            <w:r w:rsidR="0011055D" w:rsidRPr="006E725C">
              <w:rPr>
                <w:color w:val="0D0D0D" w:themeColor="text1" w:themeTint="F2"/>
                <w:spacing w:val="-6"/>
                <w:lang w:val="en-GB"/>
              </w:rPr>
              <w:t xml:space="preserve">8 </w:t>
            </w:r>
            <w:r w:rsidR="009C0832">
              <w:rPr>
                <w:color w:val="0D0D0D" w:themeColor="text1" w:themeTint="F2"/>
                <w:spacing w:val="-6"/>
                <w:lang w:val="en-GB"/>
              </w:rPr>
              <w:t>CZK bn</w:t>
            </w:r>
            <w:r w:rsidR="0011055D" w:rsidRPr="006E725C">
              <w:rPr>
                <w:color w:val="0D0D0D" w:themeColor="text1" w:themeTint="F2"/>
                <w:spacing w:val="-6"/>
                <w:lang w:val="en-GB"/>
              </w:rPr>
              <w:t>,</w:t>
            </w:r>
            <w:r w:rsidR="002F2D8A" w:rsidRPr="006E725C">
              <w:rPr>
                <w:color w:val="0D0D0D" w:themeColor="text1" w:themeTint="F2"/>
                <w:spacing w:val="-6"/>
                <w:lang w:val="en-GB"/>
              </w:rPr>
              <w:t xml:space="preserve"> i.e. </w:t>
            </w:r>
            <w:r w:rsidR="0011055D" w:rsidRPr="006E725C">
              <w:rPr>
                <w:color w:val="0D0D0D" w:themeColor="text1" w:themeTint="F2"/>
                <w:spacing w:val="-6"/>
                <w:lang w:val="en-GB"/>
              </w:rPr>
              <w:t xml:space="preserve">−45%) </w:t>
            </w:r>
            <w:r w:rsidR="00B52673" w:rsidRPr="006E725C">
              <w:rPr>
                <w:color w:val="0D0D0D" w:themeColor="text1" w:themeTint="F2"/>
                <w:spacing w:val="-6"/>
                <w:lang w:val="en-GB"/>
              </w:rPr>
              <w:t xml:space="preserve">caused by the pay out of single benefit to majority of households with children during the summer </w:t>
            </w:r>
            <w:r w:rsidR="0011055D" w:rsidRPr="006E725C">
              <w:rPr>
                <w:color w:val="0D0D0D" w:themeColor="text1" w:themeTint="F2"/>
                <w:spacing w:val="-6"/>
                <w:lang w:val="en-GB"/>
              </w:rPr>
              <w:t>2022 (5 t</w:t>
            </w:r>
            <w:r w:rsidR="00B52673" w:rsidRPr="006E725C">
              <w:rPr>
                <w:color w:val="0D0D0D" w:themeColor="text1" w:themeTint="F2"/>
                <w:spacing w:val="-6"/>
                <w:lang w:val="en-GB"/>
              </w:rPr>
              <w:t>housand per child</w:t>
            </w:r>
            <w:r w:rsidR="0011055D" w:rsidRPr="006E725C">
              <w:rPr>
                <w:color w:val="0D0D0D" w:themeColor="text1" w:themeTint="F2"/>
                <w:spacing w:val="-6"/>
                <w:lang w:val="en-GB"/>
              </w:rPr>
              <w:t>)</w:t>
            </w:r>
            <w:r w:rsidR="00B52673" w:rsidRPr="006E725C">
              <w:rPr>
                <w:color w:val="0D0D0D" w:themeColor="text1" w:themeTint="F2"/>
                <w:spacing w:val="-6"/>
                <w:lang w:val="en-GB"/>
              </w:rPr>
              <w:t xml:space="preserve"> significantly participated on the year-on-year slowdown of the rate of growth. </w:t>
            </w:r>
            <w:r w:rsidR="00FC3123" w:rsidRPr="006E725C">
              <w:rPr>
                <w:color w:val="0D0D0D" w:themeColor="text1" w:themeTint="F2"/>
                <w:spacing w:val="-6"/>
                <w:lang w:val="en-GB"/>
              </w:rPr>
              <w:t xml:space="preserve">The volume of humanitarian benefits for refugees from Ukraine </w:t>
            </w:r>
            <w:r w:rsidR="00FC3123" w:rsidRPr="006E725C">
              <w:rPr>
                <w:rFonts w:cs="Arial"/>
                <w:color w:val="0D0D0D" w:themeColor="text1" w:themeTint="F2"/>
                <w:spacing w:val="-6"/>
                <w:lang w:val="en-GB"/>
              </w:rPr>
              <w:t xml:space="preserve">(−20%, −1.7 </w:t>
            </w:r>
            <w:r w:rsidR="009C0832">
              <w:rPr>
                <w:rFonts w:cs="Arial"/>
                <w:color w:val="0D0D0D" w:themeColor="text1" w:themeTint="F2"/>
                <w:spacing w:val="-6"/>
                <w:lang w:val="en-GB"/>
              </w:rPr>
              <w:t>CZK bn</w:t>
            </w:r>
            <w:r w:rsidR="00FC3123" w:rsidRPr="006E725C">
              <w:rPr>
                <w:rFonts w:cs="Arial"/>
                <w:color w:val="0D0D0D" w:themeColor="text1" w:themeTint="F2"/>
                <w:spacing w:val="-6"/>
                <w:lang w:val="en-GB"/>
              </w:rPr>
              <w:t>) reduced mainly due to the stronger targeting</w:t>
            </w:r>
            <w:r w:rsidR="0011055D" w:rsidRPr="006E725C">
              <w:rPr>
                <w:rStyle w:val="Znakapoznpodarou"/>
                <w:color w:val="0D0D0D" w:themeColor="text1" w:themeTint="F2"/>
                <w:spacing w:val="-6"/>
                <w:lang w:val="en-GB"/>
              </w:rPr>
              <w:footnoteReference w:id="22"/>
            </w:r>
            <w:r w:rsidR="00FC3123" w:rsidRPr="006E725C">
              <w:rPr>
                <w:rFonts w:cs="Arial"/>
                <w:color w:val="0D0D0D" w:themeColor="text1" w:themeTint="F2"/>
                <w:spacing w:val="-6"/>
                <w:lang w:val="en-GB"/>
              </w:rPr>
              <w:t xml:space="preserve">. Lower drawing on weight significant parental allowances </w:t>
            </w:r>
            <w:r w:rsidR="0011055D" w:rsidRPr="006E725C">
              <w:rPr>
                <w:rFonts w:cs="Arial"/>
                <w:color w:val="0D0D0D" w:themeColor="text1" w:themeTint="F2"/>
                <w:spacing w:val="-6"/>
                <w:lang w:val="en-GB"/>
              </w:rPr>
              <w:t>(−5</w:t>
            </w:r>
            <w:r w:rsidR="00FC3123" w:rsidRPr="006E725C">
              <w:rPr>
                <w:rFonts w:cs="Arial"/>
                <w:color w:val="0D0D0D" w:themeColor="text1" w:themeTint="F2"/>
                <w:spacing w:val="-6"/>
                <w:lang w:val="en-GB"/>
              </w:rPr>
              <w:t>.</w:t>
            </w:r>
            <w:r w:rsidR="0011055D" w:rsidRPr="006E725C">
              <w:rPr>
                <w:rFonts w:cs="Arial"/>
                <w:color w:val="0D0D0D" w:themeColor="text1" w:themeTint="F2"/>
                <w:spacing w:val="-6"/>
                <w:lang w:val="en-GB"/>
              </w:rPr>
              <w:t>7%, −1</w:t>
            </w:r>
            <w:r w:rsidR="00FC3123" w:rsidRPr="006E725C">
              <w:rPr>
                <w:rFonts w:cs="Arial"/>
                <w:color w:val="0D0D0D" w:themeColor="text1" w:themeTint="F2"/>
                <w:spacing w:val="-6"/>
                <w:lang w:val="en-GB"/>
              </w:rPr>
              <w:t>.</w:t>
            </w:r>
            <w:r w:rsidR="0011055D" w:rsidRPr="006E725C">
              <w:rPr>
                <w:rFonts w:cs="Arial"/>
                <w:color w:val="0D0D0D" w:themeColor="text1" w:themeTint="F2"/>
                <w:spacing w:val="-6"/>
                <w:lang w:val="en-GB"/>
              </w:rPr>
              <w:t>9</w:t>
            </w:r>
            <w:r w:rsidR="00FC3123" w:rsidRPr="006E725C">
              <w:rPr>
                <w:rFonts w:cs="Arial"/>
                <w:color w:val="0D0D0D" w:themeColor="text1" w:themeTint="F2"/>
                <w:spacing w:val="-6"/>
                <w:lang w:val="en-GB"/>
              </w:rPr>
              <w:t xml:space="preserve"> </w:t>
            </w:r>
            <w:r w:rsidR="009C0832">
              <w:rPr>
                <w:rFonts w:cs="Arial"/>
                <w:color w:val="0D0D0D" w:themeColor="text1" w:themeTint="F2"/>
                <w:spacing w:val="-6"/>
                <w:lang w:val="en-GB"/>
              </w:rPr>
              <w:t>CZK bn</w:t>
            </w:r>
            <w:r w:rsidR="00FC3123" w:rsidRPr="006E725C">
              <w:rPr>
                <w:rFonts w:cs="Arial"/>
                <w:color w:val="0D0D0D" w:themeColor="text1" w:themeTint="F2"/>
                <w:spacing w:val="-6"/>
                <w:lang w:val="en-GB"/>
              </w:rPr>
              <w:t xml:space="preserve"> last year</w:t>
            </w:r>
            <w:r w:rsidR="0011055D" w:rsidRPr="006E725C">
              <w:rPr>
                <w:rFonts w:cs="Arial"/>
                <w:color w:val="0D0D0D" w:themeColor="text1" w:themeTint="F2"/>
                <w:spacing w:val="-6"/>
                <w:lang w:val="en-GB"/>
              </w:rPr>
              <w:t>)</w:t>
            </w:r>
            <w:r w:rsidR="00FC3123" w:rsidRPr="006E725C">
              <w:rPr>
                <w:rFonts w:cs="Arial"/>
                <w:color w:val="0D0D0D" w:themeColor="text1" w:themeTint="F2"/>
                <w:spacing w:val="-6"/>
                <w:lang w:val="en-GB"/>
              </w:rPr>
              <w:t xml:space="preserve"> occurred for the third year in a row. </w:t>
            </w:r>
            <w:r w:rsidR="002110EC" w:rsidRPr="006E725C">
              <w:rPr>
                <w:rFonts w:cs="Arial"/>
                <w:color w:val="0D0D0D" w:themeColor="text1" w:themeTint="F2"/>
                <w:spacing w:val="-6"/>
                <w:lang w:val="en-GB"/>
              </w:rPr>
              <w:t xml:space="preserve">Decrease of expenditures on sickness benefits </w:t>
            </w:r>
            <w:r w:rsidR="0011055D" w:rsidRPr="006E725C">
              <w:rPr>
                <w:rFonts w:cs="Arial"/>
                <w:color w:val="0D0D0D" w:themeColor="text1" w:themeTint="F2"/>
                <w:spacing w:val="-6"/>
                <w:lang w:val="en-GB"/>
              </w:rPr>
              <w:t>(−4</w:t>
            </w:r>
            <w:r w:rsidR="002110EC" w:rsidRPr="006E725C">
              <w:rPr>
                <w:rFonts w:cs="Arial"/>
                <w:color w:val="0D0D0D" w:themeColor="text1" w:themeTint="F2"/>
                <w:spacing w:val="-6"/>
                <w:lang w:val="en-GB"/>
              </w:rPr>
              <w:t>.</w:t>
            </w:r>
            <w:r w:rsidR="0011055D" w:rsidRPr="006E725C">
              <w:rPr>
                <w:rFonts w:cs="Arial"/>
                <w:color w:val="0D0D0D" w:themeColor="text1" w:themeTint="F2"/>
                <w:spacing w:val="-6"/>
                <w:lang w:val="en-GB"/>
              </w:rPr>
              <w:t>6%)</w:t>
            </w:r>
            <w:r w:rsidR="002110EC" w:rsidRPr="006E725C">
              <w:rPr>
                <w:rFonts w:cs="Arial"/>
                <w:color w:val="0D0D0D" w:themeColor="text1" w:themeTint="F2"/>
                <w:spacing w:val="-6"/>
                <w:lang w:val="en-GB"/>
              </w:rPr>
              <w:t xml:space="preserve"> last similar time</w:t>
            </w:r>
            <w:r w:rsidR="0011055D" w:rsidRPr="006E725C">
              <w:rPr>
                <w:rFonts w:cs="Arial"/>
                <w:color w:val="0D0D0D" w:themeColor="text1" w:themeTint="F2"/>
                <w:spacing w:val="-6"/>
                <w:lang w:val="en-GB"/>
              </w:rPr>
              <w:t>,</w:t>
            </w:r>
            <w:r w:rsidR="002110EC" w:rsidRPr="006E725C">
              <w:rPr>
                <w:rFonts w:cs="Arial"/>
                <w:color w:val="0D0D0D" w:themeColor="text1" w:themeTint="F2"/>
                <w:spacing w:val="-6"/>
                <w:lang w:val="en-GB"/>
              </w:rPr>
              <w:t xml:space="preserve"> still their last year amount </w:t>
            </w:r>
            <w:r w:rsidR="0011055D" w:rsidRPr="006E725C">
              <w:rPr>
                <w:rFonts w:cs="Arial"/>
                <w:color w:val="0D0D0D" w:themeColor="text1" w:themeTint="F2"/>
                <w:spacing w:val="-6"/>
                <w:lang w:val="en-GB"/>
              </w:rPr>
              <w:t>(45</w:t>
            </w:r>
            <w:r w:rsidR="002110EC" w:rsidRPr="006E725C">
              <w:rPr>
                <w:rFonts w:cs="Arial"/>
                <w:color w:val="0D0D0D" w:themeColor="text1" w:themeTint="F2"/>
                <w:spacing w:val="-6"/>
                <w:lang w:val="en-GB"/>
              </w:rPr>
              <w:t>.</w:t>
            </w:r>
            <w:r w:rsidR="0011055D" w:rsidRPr="006E725C">
              <w:rPr>
                <w:rFonts w:cs="Arial"/>
                <w:color w:val="0D0D0D" w:themeColor="text1" w:themeTint="F2"/>
                <w:spacing w:val="-6"/>
                <w:lang w:val="en-GB"/>
              </w:rPr>
              <w:t>9</w:t>
            </w:r>
            <w:r w:rsidR="002110EC" w:rsidRPr="006E725C">
              <w:rPr>
                <w:rFonts w:cs="Arial"/>
                <w:color w:val="0D0D0D" w:themeColor="text1" w:themeTint="F2"/>
                <w:spacing w:val="-6"/>
                <w:lang w:val="en-GB"/>
              </w:rPr>
              <w:t xml:space="preserve"> </w:t>
            </w:r>
            <w:r w:rsidR="009C0832">
              <w:rPr>
                <w:rFonts w:cs="Arial"/>
                <w:color w:val="0D0D0D" w:themeColor="text1" w:themeTint="F2"/>
                <w:spacing w:val="-6"/>
                <w:lang w:val="en-GB"/>
              </w:rPr>
              <w:t>CZK bn</w:t>
            </w:r>
            <w:r w:rsidR="0011055D" w:rsidRPr="006E725C">
              <w:rPr>
                <w:rStyle w:val="Znakapoznpodarou"/>
                <w:color w:val="0D0D0D" w:themeColor="text1" w:themeTint="F2"/>
                <w:spacing w:val="-6"/>
                <w:lang w:val="en-GB"/>
              </w:rPr>
              <w:footnoteReference w:id="23"/>
            </w:r>
            <w:r w:rsidR="0011055D" w:rsidRPr="006E725C">
              <w:rPr>
                <w:rFonts w:cs="Arial"/>
                <w:color w:val="0D0D0D" w:themeColor="text1" w:themeTint="F2"/>
                <w:spacing w:val="-6"/>
                <w:lang w:val="en-GB"/>
              </w:rPr>
              <w:t xml:space="preserve">) </w:t>
            </w:r>
            <w:r w:rsidR="002110EC" w:rsidRPr="006E725C">
              <w:rPr>
                <w:rFonts w:cs="Arial"/>
                <w:color w:val="0D0D0D" w:themeColor="text1" w:themeTint="F2"/>
                <w:spacing w:val="-6"/>
                <w:lang w:val="en-GB"/>
              </w:rPr>
              <w:t xml:space="preserve">was distinctly above the level of year </w:t>
            </w:r>
            <w:r w:rsidR="0011055D" w:rsidRPr="006E725C">
              <w:rPr>
                <w:rFonts w:cs="Arial"/>
                <w:color w:val="0D0D0D" w:themeColor="text1" w:themeTint="F2"/>
                <w:spacing w:val="-6"/>
                <w:lang w:val="en-GB"/>
              </w:rPr>
              <w:t xml:space="preserve">2019 (+17%). </w:t>
            </w:r>
            <w:r w:rsidR="00C73F7B" w:rsidRPr="006E725C">
              <w:rPr>
                <w:rFonts w:cs="Arial"/>
                <w:color w:val="0D0D0D" w:themeColor="text1" w:themeTint="F2"/>
                <w:spacing w:val="-6"/>
                <w:lang w:val="en-GB"/>
              </w:rPr>
              <w:t xml:space="preserve">Housing allowance, whose volume more than doubled year-on-year (to 17.9 </w:t>
            </w:r>
            <w:r w:rsidR="009C0832">
              <w:rPr>
                <w:rFonts w:cs="Arial"/>
                <w:color w:val="0D0D0D" w:themeColor="text1" w:themeTint="F2"/>
                <w:spacing w:val="-6"/>
                <w:lang w:val="en-GB"/>
              </w:rPr>
              <w:t>CZK bn</w:t>
            </w:r>
            <w:r w:rsidR="00C73F7B" w:rsidRPr="006E725C">
              <w:rPr>
                <w:rFonts w:cs="Arial"/>
                <w:color w:val="0D0D0D" w:themeColor="text1" w:themeTint="F2"/>
                <w:spacing w:val="-6"/>
                <w:lang w:val="en-GB"/>
              </w:rPr>
              <w:t xml:space="preserve">), worked the most in the direction of growth of non-pension benefits last year. The impact of high prices of energies and </w:t>
            </w:r>
            <w:r w:rsidR="002110EC" w:rsidRPr="006E725C">
              <w:rPr>
                <w:rFonts w:cs="Arial"/>
                <w:color w:val="0D0D0D" w:themeColor="text1" w:themeTint="F2"/>
                <w:spacing w:val="-6"/>
                <w:lang w:val="en-GB"/>
              </w:rPr>
              <w:t>increase of costs admitted for payout</w:t>
            </w:r>
            <w:r w:rsidR="0011055D" w:rsidRPr="006E725C">
              <w:rPr>
                <w:spacing w:val="-6"/>
                <w:lang w:val="en-GB"/>
              </w:rPr>
              <w:t xml:space="preserve">, </w:t>
            </w:r>
            <w:r w:rsidR="002110EC" w:rsidRPr="006E725C">
              <w:rPr>
                <w:spacing w:val="-6"/>
                <w:lang w:val="en-GB"/>
              </w:rPr>
              <w:t xml:space="preserve">but also growth of the awareness regarding the possibility to draw on this assistance in the population, or simplification of the procedure of claiming this benefit </w:t>
            </w:r>
            <w:r w:rsidR="00C73F7B" w:rsidRPr="006E725C">
              <w:rPr>
                <w:spacing w:val="-6"/>
                <w:lang w:val="en-GB"/>
              </w:rPr>
              <w:t>manifested here</w:t>
            </w:r>
            <w:r w:rsidR="0011055D" w:rsidRPr="006E725C">
              <w:rPr>
                <w:spacing w:val="-6"/>
                <w:lang w:val="en-GB"/>
              </w:rPr>
              <w:t xml:space="preserve">. </w:t>
            </w:r>
            <w:r w:rsidR="00C73F7B" w:rsidRPr="006E725C">
              <w:rPr>
                <w:spacing w:val="-6"/>
                <w:lang w:val="en-GB"/>
              </w:rPr>
              <w:t xml:space="preserve">One order lower effect on the total growth of benefits had the higher volume of benefits </w:t>
            </w:r>
            <w:r w:rsidR="00EF041F" w:rsidRPr="006E725C">
              <w:rPr>
                <w:spacing w:val="-6"/>
                <w:lang w:val="en-GB"/>
              </w:rPr>
              <w:t xml:space="preserve">for persons with disabilities </w:t>
            </w:r>
            <w:r w:rsidR="0011055D" w:rsidRPr="006E725C">
              <w:rPr>
                <w:rFonts w:cs="Arial"/>
                <w:color w:val="0D0D0D" w:themeColor="text1" w:themeTint="F2"/>
                <w:spacing w:val="-6"/>
                <w:lang w:val="en-GB"/>
              </w:rPr>
              <w:t>(+40</w:t>
            </w:r>
            <w:r w:rsidR="00EF041F" w:rsidRPr="006E725C">
              <w:rPr>
                <w:rFonts w:cs="Arial"/>
                <w:color w:val="0D0D0D" w:themeColor="text1" w:themeTint="F2"/>
                <w:spacing w:val="-6"/>
                <w:lang w:val="en-GB"/>
              </w:rPr>
              <w:t>.</w:t>
            </w:r>
            <w:r w:rsidR="0011055D" w:rsidRPr="006E725C">
              <w:rPr>
                <w:rFonts w:cs="Arial"/>
                <w:color w:val="0D0D0D" w:themeColor="text1" w:themeTint="F2"/>
                <w:spacing w:val="-6"/>
                <w:lang w:val="en-GB"/>
              </w:rPr>
              <w:t>9%)</w:t>
            </w:r>
            <w:r w:rsidR="0011055D" w:rsidRPr="006E725C">
              <w:rPr>
                <w:rStyle w:val="Znakapoznpodarou"/>
                <w:color w:val="0D0D0D" w:themeColor="text1" w:themeTint="F2"/>
                <w:spacing w:val="-6"/>
                <w:lang w:val="en-GB"/>
              </w:rPr>
              <w:footnoteReference w:id="24"/>
            </w:r>
            <w:r w:rsidR="0011055D" w:rsidRPr="006E725C">
              <w:rPr>
                <w:rFonts w:cs="Arial"/>
                <w:color w:val="0D0D0D" w:themeColor="text1" w:themeTint="F2"/>
                <w:spacing w:val="-6"/>
                <w:lang w:val="en-GB"/>
              </w:rPr>
              <w:t>,</w:t>
            </w:r>
            <w:r w:rsidR="00EF041F" w:rsidRPr="006E725C">
              <w:rPr>
                <w:rFonts w:cs="Arial"/>
                <w:color w:val="0D0D0D" w:themeColor="text1" w:themeTint="F2"/>
                <w:spacing w:val="-6"/>
                <w:lang w:val="en-GB"/>
              </w:rPr>
              <w:t xml:space="preserve"> long-term care benefits </w:t>
            </w:r>
            <w:r w:rsidR="0011055D" w:rsidRPr="006E725C">
              <w:rPr>
                <w:spacing w:val="-6"/>
                <w:lang w:val="en-GB"/>
              </w:rPr>
              <w:t>(+2</w:t>
            </w:r>
            <w:r w:rsidR="00EF041F" w:rsidRPr="006E725C">
              <w:rPr>
                <w:spacing w:val="-6"/>
                <w:lang w:val="en-GB"/>
              </w:rPr>
              <w:t>.</w:t>
            </w:r>
            <w:r w:rsidR="0011055D" w:rsidRPr="006E725C">
              <w:rPr>
                <w:spacing w:val="-6"/>
                <w:lang w:val="en-GB"/>
              </w:rPr>
              <w:t>2%)</w:t>
            </w:r>
            <w:r w:rsidR="00EF041F" w:rsidRPr="006E725C">
              <w:rPr>
                <w:spacing w:val="-6"/>
                <w:lang w:val="en-GB"/>
              </w:rPr>
              <w:t xml:space="preserve"> or growth of expenditures of the unemployment benefits </w:t>
            </w:r>
            <w:r w:rsidR="0011055D" w:rsidRPr="006E725C">
              <w:rPr>
                <w:rFonts w:cs="Arial"/>
                <w:color w:val="0D0D0D" w:themeColor="text1" w:themeTint="F2"/>
                <w:spacing w:val="-6"/>
                <w:lang w:val="en-GB"/>
              </w:rPr>
              <w:t>(+6</w:t>
            </w:r>
            <w:r w:rsidR="00EF041F" w:rsidRPr="006E725C">
              <w:rPr>
                <w:rFonts w:cs="Arial"/>
                <w:color w:val="0D0D0D" w:themeColor="text1" w:themeTint="F2"/>
                <w:spacing w:val="-6"/>
                <w:lang w:val="en-GB"/>
              </w:rPr>
              <w:t>.</w:t>
            </w:r>
            <w:r w:rsidR="0011055D" w:rsidRPr="006E725C">
              <w:rPr>
                <w:rFonts w:cs="Arial"/>
                <w:color w:val="0D0D0D" w:themeColor="text1" w:themeTint="F2"/>
                <w:spacing w:val="-6"/>
                <w:lang w:val="en-GB"/>
              </w:rPr>
              <w:t>2%)</w:t>
            </w:r>
            <w:r w:rsidR="0011055D" w:rsidRPr="006E725C">
              <w:rPr>
                <w:rStyle w:val="Znakapoznpodarou"/>
                <w:color w:val="0D0D0D" w:themeColor="text1" w:themeTint="F2"/>
                <w:spacing w:val="-6"/>
                <w:lang w:val="en-GB"/>
              </w:rPr>
              <w:footnoteReference w:id="25"/>
            </w:r>
            <w:r w:rsidR="0011055D" w:rsidRPr="006E725C">
              <w:rPr>
                <w:rFonts w:cs="Arial"/>
                <w:color w:val="0D0D0D" w:themeColor="text1" w:themeTint="F2"/>
                <w:spacing w:val="-6"/>
                <w:lang w:val="en-GB"/>
              </w:rPr>
              <w:t xml:space="preserve">, </w:t>
            </w:r>
            <w:r w:rsidR="00EF041F" w:rsidRPr="006E725C">
              <w:rPr>
                <w:rFonts w:cs="Arial"/>
                <w:color w:val="0D0D0D" w:themeColor="text1" w:themeTint="F2"/>
                <w:spacing w:val="-6"/>
                <w:lang w:val="en-GB"/>
              </w:rPr>
              <w:t xml:space="preserve">which renewed last year after two preceding years. </w:t>
            </w:r>
            <w:r w:rsidR="00140802" w:rsidRPr="006E725C">
              <w:rPr>
                <w:rFonts w:cs="Arial"/>
                <w:color w:val="0D0D0D" w:themeColor="text1" w:themeTint="F2"/>
                <w:spacing w:val="-6"/>
                <w:lang w:val="en-GB"/>
              </w:rPr>
              <w:t xml:space="preserve">Cooling of the labour market was reflected in mild growth of the number of long-term unemployed, which also supported the higher drawing of allowances for living </w:t>
            </w:r>
            <w:r w:rsidR="0011055D" w:rsidRPr="006E725C">
              <w:rPr>
                <w:rFonts w:cs="Arial"/>
                <w:color w:val="0D0D0D" w:themeColor="text1" w:themeTint="F2"/>
                <w:spacing w:val="-6"/>
                <w:lang w:val="en-GB"/>
              </w:rPr>
              <w:t>(+16%, +0</w:t>
            </w:r>
            <w:r w:rsidR="00140802" w:rsidRPr="006E725C">
              <w:rPr>
                <w:rFonts w:cs="Arial"/>
                <w:color w:val="0D0D0D" w:themeColor="text1" w:themeTint="F2"/>
                <w:spacing w:val="-6"/>
                <w:lang w:val="en-GB"/>
              </w:rPr>
              <w:t>.</w:t>
            </w:r>
            <w:r w:rsidR="0011055D" w:rsidRPr="006E725C">
              <w:rPr>
                <w:rFonts w:cs="Arial"/>
                <w:color w:val="0D0D0D" w:themeColor="text1" w:themeTint="F2"/>
                <w:spacing w:val="-6"/>
                <w:lang w:val="en-GB"/>
              </w:rPr>
              <w:t>6</w:t>
            </w:r>
            <w:r w:rsidR="00140802" w:rsidRPr="006E725C">
              <w:rPr>
                <w:rFonts w:cs="Arial"/>
                <w:color w:val="0D0D0D" w:themeColor="text1" w:themeTint="F2"/>
                <w:spacing w:val="-6"/>
                <w:lang w:val="en-GB"/>
              </w:rPr>
              <w:t xml:space="preserve"> </w:t>
            </w:r>
            <w:r w:rsidR="009C0832">
              <w:rPr>
                <w:rFonts w:cs="Arial"/>
                <w:color w:val="0D0D0D" w:themeColor="text1" w:themeTint="F2"/>
                <w:spacing w:val="-6"/>
                <w:lang w:val="en-GB"/>
              </w:rPr>
              <w:t>CZK bn</w:t>
            </w:r>
            <w:r w:rsidR="0011055D" w:rsidRPr="006E725C">
              <w:rPr>
                <w:rFonts w:cs="Arial"/>
                <w:color w:val="0D0D0D" w:themeColor="text1" w:themeTint="F2"/>
                <w:spacing w:val="-6"/>
                <w:lang w:val="en-GB"/>
              </w:rPr>
              <w:t xml:space="preserve">).   </w:t>
            </w:r>
          </w:p>
        </w:tc>
      </w:tr>
      <w:tr w:rsidR="0011055D" w:rsidRPr="006E725C" w14:paraId="2A102030" w14:textId="77777777" w:rsidTr="00C07C2F">
        <w:trPr>
          <w:trHeight w:val="170"/>
        </w:trPr>
        <w:tc>
          <w:tcPr>
            <w:tcW w:w="1792" w:type="dxa"/>
            <w:shd w:val="clear" w:color="auto" w:fill="auto"/>
            <w:tcMar>
              <w:left w:w="0" w:type="dxa"/>
            </w:tcMar>
          </w:tcPr>
          <w:p w14:paraId="3A21B638" w14:textId="2C74B230" w:rsidR="0011055D" w:rsidRPr="006E725C" w:rsidRDefault="00495DA8" w:rsidP="00C07C2F">
            <w:pPr>
              <w:pStyle w:val="Marginlie"/>
              <w:rPr>
                <w:lang w:val="en-GB"/>
              </w:rPr>
            </w:pPr>
            <w:r w:rsidRPr="006E725C">
              <w:rPr>
                <w:lang w:val="en-GB"/>
              </w:rPr>
              <w:t>Sharp growth of the non-</w:t>
            </w:r>
            <w:r w:rsidR="00DB2495" w:rsidRPr="006E725C">
              <w:rPr>
                <w:lang w:val="en-GB"/>
              </w:rPr>
              <w:t>investment</w:t>
            </w:r>
            <w:r w:rsidRPr="006E725C">
              <w:rPr>
                <w:lang w:val="en-GB"/>
              </w:rPr>
              <w:t xml:space="preserve"> subsidies to entrepreneurs was </w:t>
            </w:r>
            <w:r w:rsidRPr="006E725C">
              <w:rPr>
                <w:lang w:val="en-GB"/>
              </w:rPr>
              <w:lastRenderedPageBreak/>
              <w:t>closely connected to the</w:t>
            </w:r>
            <w:r w:rsidR="00DB2495" w:rsidRPr="006E725C">
              <w:rPr>
                <w:lang w:val="en-GB"/>
              </w:rPr>
              <w:t xml:space="preserve"> energy price ceilings for customers. </w:t>
            </w:r>
          </w:p>
          <w:p w14:paraId="3A585C09" w14:textId="77777777" w:rsidR="0011055D" w:rsidRPr="006E725C" w:rsidRDefault="0011055D" w:rsidP="00C07C2F">
            <w:pPr>
              <w:pStyle w:val="Marginlie"/>
              <w:rPr>
                <w:lang w:val="en-GB"/>
              </w:rPr>
            </w:pPr>
          </w:p>
        </w:tc>
        <w:tc>
          <w:tcPr>
            <w:tcW w:w="203" w:type="dxa"/>
            <w:shd w:val="clear" w:color="auto" w:fill="auto"/>
            <w:tcMar>
              <w:left w:w="0" w:type="dxa"/>
            </w:tcMar>
          </w:tcPr>
          <w:p w14:paraId="6ACF8901"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36C7CCFF" w14:textId="04C2108B" w:rsidR="0011055D" w:rsidRPr="006E725C" w:rsidRDefault="0011055D" w:rsidP="00C07C2F">
            <w:pPr>
              <w:spacing w:after="200"/>
              <w:rPr>
                <w:color w:val="0D0D0D" w:themeColor="text1" w:themeTint="F2"/>
                <w:spacing w:val="-6"/>
                <w:lang w:val="en-GB"/>
              </w:rPr>
            </w:pPr>
            <w:r w:rsidRPr="006E725C">
              <w:rPr>
                <w:color w:val="0D0D0D" w:themeColor="text1" w:themeTint="F2"/>
                <w:spacing w:val="-6"/>
                <w:lang w:val="en-GB"/>
              </w:rPr>
              <w:t>N</w:t>
            </w:r>
            <w:r w:rsidR="008E4566" w:rsidRPr="006E725C">
              <w:rPr>
                <w:color w:val="0D0D0D" w:themeColor="text1" w:themeTint="F2"/>
                <w:spacing w:val="-6"/>
                <w:lang w:val="en-GB"/>
              </w:rPr>
              <w:t xml:space="preserve">on-investment subsidies to entrepreneurs presented as expected the fastest growing current outlays of the SB last </w:t>
            </w:r>
            <w:r w:rsidR="00494AA4" w:rsidRPr="006E725C">
              <w:rPr>
                <w:color w:val="0D0D0D" w:themeColor="text1" w:themeTint="F2"/>
                <w:spacing w:val="-6"/>
                <w:lang w:val="en-GB"/>
              </w:rPr>
              <w:t>year when</w:t>
            </w:r>
            <w:r w:rsidR="008E4566" w:rsidRPr="006E725C">
              <w:rPr>
                <w:color w:val="0D0D0D" w:themeColor="text1" w:themeTint="F2"/>
                <w:spacing w:val="-6"/>
                <w:lang w:val="en-GB"/>
              </w:rPr>
              <w:t xml:space="preserve"> they expanded by 54.6% year-on-year and achieved </w:t>
            </w:r>
            <w:r w:rsidRPr="006E725C">
              <w:rPr>
                <w:color w:val="0D0D0D" w:themeColor="text1" w:themeTint="F2"/>
                <w:spacing w:val="-6"/>
                <w:lang w:val="en-GB"/>
              </w:rPr>
              <w:t>137</w:t>
            </w:r>
            <w:r w:rsidR="008E4566" w:rsidRPr="006E725C">
              <w:rPr>
                <w:color w:val="0D0D0D" w:themeColor="text1" w:themeTint="F2"/>
                <w:spacing w:val="-6"/>
                <w:lang w:val="en-GB"/>
              </w:rPr>
              <w:t>.</w:t>
            </w:r>
            <w:r w:rsidRPr="006E725C">
              <w:rPr>
                <w:color w:val="0D0D0D" w:themeColor="text1" w:themeTint="F2"/>
                <w:spacing w:val="-6"/>
                <w:lang w:val="en-GB"/>
              </w:rPr>
              <w:t>8</w:t>
            </w:r>
            <w:r w:rsidR="008E4566" w:rsidRPr="006E725C">
              <w:rPr>
                <w:color w:val="0D0D0D" w:themeColor="text1" w:themeTint="F2"/>
                <w:spacing w:val="-6"/>
                <w:lang w:val="en-GB"/>
              </w:rPr>
              <w:t xml:space="preserve"> </w:t>
            </w:r>
            <w:r w:rsidR="009C0832">
              <w:rPr>
                <w:color w:val="0D0D0D" w:themeColor="text1" w:themeTint="F2"/>
                <w:spacing w:val="-6"/>
                <w:lang w:val="en-GB"/>
              </w:rPr>
              <w:lastRenderedPageBreak/>
              <w:t>CZK bn</w:t>
            </w:r>
            <w:r w:rsidRPr="006E725C">
              <w:rPr>
                <w:rStyle w:val="Znakapoznpodarou"/>
                <w:color w:val="0D0D0D" w:themeColor="text1" w:themeTint="F2"/>
                <w:spacing w:val="-6"/>
                <w:lang w:val="en-GB"/>
              </w:rPr>
              <w:footnoteReference w:id="26"/>
            </w:r>
            <w:r w:rsidRPr="006E725C">
              <w:rPr>
                <w:color w:val="0D0D0D" w:themeColor="text1" w:themeTint="F2"/>
                <w:spacing w:val="-6"/>
                <w:lang w:val="en-GB"/>
              </w:rPr>
              <w:t xml:space="preserve">. </w:t>
            </w:r>
            <w:r w:rsidR="000F00AA" w:rsidRPr="006E725C">
              <w:rPr>
                <w:color w:val="0D0D0D" w:themeColor="text1" w:themeTint="F2"/>
                <w:spacing w:val="-6"/>
                <w:lang w:val="en-GB"/>
              </w:rPr>
              <w:t xml:space="preserve">Because they contain the extraordinary outlays on the assistance with high prices of energies </w:t>
            </w:r>
            <w:r w:rsidRPr="006E725C">
              <w:rPr>
                <w:color w:val="0D0D0D" w:themeColor="text1" w:themeTint="F2"/>
                <w:spacing w:val="-6"/>
                <w:lang w:val="en-GB"/>
              </w:rPr>
              <w:t xml:space="preserve">– </w:t>
            </w:r>
            <w:r w:rsidR="000F00AA" w:rsidRPr="006E725C">
              <w:rPr>
                <w:color w:val="0D0D0D" w:themeColor="text1" w:themeTint="F2"/>
                <w:spacing w:val="-6"/>
                <w:lang w:val="en-GB"/>
              </w:rPr>
              <w:t xml:space="preserve">mainly compensations for the supplies of electricity and gas to customers and losses due to the ceilings on their prices </w:t>
            </w:r>
            <w:r w:rsidRPr="006E725C">
              <w:rPr>
                <w:color w:val="0D0D0D" w:themeColor="text1" w:themeTint="F2"/>
                <w:spacing w:val="-6"/>
                <w:lang w:val="en-GB"/>
              </w:rPr>
              <w:t>(52</w:t>
            </w:r>
            <w:r w:rsidR="000F00AA" w:rsidRPr="006E725C">
              <w:rPr>
                <w:color w:val="0D0D0D" w:themeColor="text1" w:themeTint="F2"/>
                <w:spacing w:val="-6"/>
                <w:lang w:val="en-GB"/>
              </w:rPr>
              <w:t>.</w:t>
            </w:r>
            <w:r w:rsidRPr="006E725C">
              <w:rPr>
                <w:color w:val="0D0D0D" w:themeColor="text1" w:themeTint="F2"/>
                <w:spacing w:val="-6"/>
                <w:lang w:val="en-GB"/>
              </w:rPr>
              <w:t>8</w:t>
            </w:r>
            <w:r w:rsidR="000F00AA" w:rsidRPr="006E725C">
              <w:rPr>
                <w:color w:val="0D0D0D" w:themeColor="text1" w:themeTint="F2"/>
                <w:spacing w:val="-6"/>
                <w:lang w:val="en-GB"/>
              </w:rPr>
              <w:t xml:space="preserve"> </w:t>
            </w:r>
            <w:r w:rsidR="009C0832">
              <w:rPr>
                <w:color w:val="0D0D0D" w:themeColor="text1" w:themeTint="F2"/>
                <w:spacing w:val="-6"/>
                <w:lang w:val="en-GB"/>
              </w:rPr>
              <w:t>CZK bn</w:t>
            </w:r>
            <w:r w:rsidRPr="006E725C">
              <w:rPr>
                <w:color w:val="0D0D0D" w:themeColor="text1" w:themeTint="F2"/>
                <w:spacing w:val="-6"/>
                <w:lang w:val="en-GB"/>
              </w:rPr>
              <w:t xml:space="preserve">), </w:t>
            </w:r>
            <w:r w:rsidR="00140802" w:rsidRPr="006E725C">
              <w:rPr>
                <w:color w:val="0D0D0D" w:themeColor="text1" w:themeTint="F2"/>
                <w:spacing w:val="-6"/>
                <w:lang w:val="en-GB"/>
              </w:rPr>
              <w:t xml:space="preserve">further subsidies to the operators of the transmission system </w:t>
            </w:r>
            <w:r w:rsidRPr="006E725C">
              <w:rPr>
                <w:color w:val="0D0D0D" w:themeColor="text1" w:themeTint="F2"/>
                <w:spacing w:val="-6"/>
                <w:lang w:val="en-GB"/>
              </w:rPr>
              <w:t>(18</w:t>
            </w:r>
            <w:r w:rsidR="00140802" w:rsidRPr="006E725C">
              <w:rPr>
                <w:color w:val="0D0D0D" w:themeColor="text1" w:themeTint="F2"/>
                <w:spacing w:val="-6"/>
                <w:lang w:val="en-GB"/>
              </w:rPr>
              <w:t>.</w:t>
            </w:r>
            <w:r w:rsidRPr="006E725C">
              <w:rPr>
                <w:color w:val="0D0D0D" w:themeColor="text1" w:themeTint="F2"/>
                <w:spacing w:val="-6"/>
                <w:lang w:val="en-GB"/>
              </w:rPr>
              <w:t>7</w:t>
            </w:r>
            <w:r w:rsidR="00140802" w:rsidRPr="006E725C">
              <w:rPr>
                <w:color w:val="0D0D0D" w:themeColor="text1" w:themeTint="F2"/>
                <w:spacing w:val="-6"/>
                <w:lang w:val="en-GB"/>
              </w:rPr>
              <w:t xml:space="preserve"> bn</w:t>
            </w:r>
            <w:r w:rsidRPr="006E725C">
              <w:rPr>
                <w:color w:val="0D0D0D" w:themeColor="text1" w:themeTint="F2"/>
                <w:spacing w:val="-6"/>
                <w:lang w:val="en-GB"/>
              </w:rPr>
              <w:t>)</w:t>
            </w:r>
            <w:r w:rsidR="00140802" w:rsidRPr="006E725C">
              <w:rPr>
                <w:color w:val="0D0D0D" w:themeColor="text1" w:themeTint="F2"/>
                <w:spacing w:val="-6"/>
                <w:lang w:val="en-GB"/>
              </w:rPr>
              <w:t xml:space="preserve"> or assistance to firms in energy-intensive branches </w:t>
            </w:r>
            <w:r w:rsidRPr="006E725C">
              <w:rPr>
                <w:color w:val="0D0D0D" w:themeColor="text1" w:themeTint="F2"/>
                <w:spacing w:val="-6"/>
                <w:lang w:val="en-GB"/>
              </w:rPr>
              <w:t>(4</w:t>
            </w:r>
            <w:r w:rsidR="00140802" w:rsidRPr="006E725C">
              <w:rPr>
                <w:color w:val="0D0D0D" w:themeColor="text1" w:themeTint="F2"/>
                <w:spacing w:val="-6"/>
                <w:lang w:val="en-GB"/>
              </w:rPr>
              <w:t>.</w:t>
            </w:r>
            <w:r w:rsidRPr="006E725C">
              <w:rPr>
                <w:color w:val="0D0D0D" w:themeColor="text1" w:themeTint="F2"/>
                <w:spacing w:val="-6"/>
                <w:lang w:val="en-GB"/>
              </w:rPr>
              <w:t>6</w:t>
            </w:r>
            <w:r w:rsidR="00140802" w:rsidRPr="006E725C">
              <w:rPr>
                <w:color w:val="0D0D0D" w:themeColor="text1" w:themeTint="F2"/>
                <w:spacing w:val="-6"/>
                <w:lang w:val="en-GB"/>
              </w:rPr>
              <w:t xml:space="preserve"> bn</w:t>
            </w:r>
            <w:r w:rsidRPr="006E725C">
              <w:rPr>
                <w:color w:val="0D0D0D" w:themeColor="text1" w:themeTint="F2"/>
                <w:spacing w:val="-6"/>
                <w:lang w:val="en-GB"/>
              </w:rPr>
              <w:t>).</w:t>
            </w:r>
            <w:r w:rsidR="00140802" w:rsidRPr="006E725C">
              <w:rPr>
                <w:color w:val="0D0D0D" w:themeColor="text1" w:themeTint="F2"/>
                <w:spacing w:val="-6"/>
                <w:lang w:val="en-GB"/>
              </w:rPr>
              <w:t xml:space="preserve"> More than </w:t>
            </w:r>
            <w:r w:rsidRPr="006E725C">
              <w:rPr>
                <w:color w:val="0D0D0D" w:themeColor="text1" w:themeTint="F2"/>
                <w:spacing w:val="-6"/>
                <w:lang w:val="en-GB"/>
              </w:rPr>
              <w:t>40%</w:t>
            </w:r>
            <w:r w:rsidR="00140802" w:rsidRPr="006E725C">
              <w:rPr>
                <w:color w:val="0D0D0D" w:themeColor="text1" w:themeTint="F2"/>
                <w:spacing w:val="-6"/>
                <w:lang w:val="en-GB"/>
              </w:rPr>
              <w:t xml:space="preserve"> of these expenditures were released already in Q</w:t>
            </w:r>
            <w:r w:rsidRPr="006E725C">
              <w:rPr>
                <w:color w:val="0D0D0D" w:themeColor="text1" w:themeTint="F2"/>
                <w:spacing w:val="-6"/>
                <w:lang w:val="en-GB"/>
              </w:rPr>
              <w:t>1</w:t>
            </w:r>
            <w:r w:rsidR="00140802" w:rsidRPr="006E725C">
              <w:rPr>
                <w:color w:val="0D0D0D" w:themeColor="text1" w:themeTint="F2"/>
                <w:spacing w:val="-6"/>
                <w:lang w:val="en-GB"/>
              </w:rPr>
              <w:t xml:space="preserve"> last year</w:t>
            </w:r>
            <w:r w:rsidRPr="006E725C">
              <w:rPr>
                <w:color w:val="0D0D0D" w:themeColor="text1" w:themeTint="F2"/>
                <w:spacing w:val="-6"/>
                <w:lang w:val="en-GB"/>
              </w:rPr>
              <w:t>.</w:t>
            </w:r>
            <w:r w:rsidR="00140802" w:rsidRPr="006E725C">
              <w:rPr>
                <w:color w:val="0D0D0D" w:themeColor="text1" w:themeTint="F2"/>
                <w:spacing w:val="-6"/>
                <w:lang w:val="en-GB"/>
              </w:rPr>
              <w:t xml:space="preserve"> Year-on-year growth of the transfers to entrepreneurs was subdued by the decrease of the advance subsidies on renewable sources of energy </w:t>
            </w:r>
            <w:r w:rsidRPr="006E725C">
              <w:rPr>
                <w:color w:val="0D0D0D" w:themeColor="text1" w:themeTint="F2"/>
                <w:spacing w:val="-6"/>
                <w:lang w:val="en-GB"/>
              </w:rPr>
              <w:t>(</w:t>
            </w:r>
            <w:r w:rsidR="00140802" w:rsidRPr="006E725C">
              <w:rPr>
                <w:color w:val="0D0D0D" w:themeColor="text1" w:themeTint="F2"/>
                <w:spacing w:val="-6"/>
                <w:lang w:val="en-GB"/>
              </w:rPr>
              <w:t xml:space="preserve">also containing the impacts of the temporary </w:t>
            </w:r>
            <w:r w:rsidR="00886E94" w:rsidRPr="006E725C">
              <w:rPr>
                <w:color w:val="0D0D0D" w:themeColor="text1" w:themeTint="F2"/>
                <w:spacing w:val="-6"/>
                <w:lang w:val="en-GB"/>
              </w:rPr>
              <w:t>waiving of the fees</w:t>
            </w:r>
            <w:r w:rsidRPr="006E725C">
              <w:rPr>
                <w:color w:val="0D0D0D" w:themeColor="text1" w:themeTint="F2"/>
                <w:spacing w:val="-6"/>
                <w:lang w:val="en-GB"/>
              </w:rPr>
              <w:t>),</w:t>
            </w:r>
            <w:r w:rsidR="00886E94" w:rsidRPr="006E725C">
              <w:rPr>
                <w:color w:val="0D0D0D" w:themeColor="text1" w:themeTint="F2"/>
                <w:spacing w:val="-6"/>
                <w:lang w:val="en-GB"/>
              </w:rPr>
              <w:t xml:space="preserve"> smaller saving was also attained for expenditures on solutions of impacts connected to the pandemics. </w:t>
            </w:r>
          </w:p>
        </w:tc>
      </w:tr>
      <w:tr w:rsidR="0011055D" w:rsidRPr="006E725C" w14:paraId="548A4B03" w14:textId="77777777" w:rsidTr="00C07C2F">
        <w:trPr>
          <w:trHeight w:val="170"/>
        </w:trPr>
        <w:tc>
          <w:tcPr>
            <w:tcW w:w="1792" w:type="dxa"/>
            <w:shd w:val="clear" w:color="auto" w:fill="auto"/>
            <w:tcMar>
              <w:left w:w="0" w:type="dxa"/>
            </w:tcMar>
          </w:tcPr>
          <w:p w14:paraId="47AFAB34" w14:textId="52EEE99C" w:rsidR="0011055D" w:rsidRPr="006E725C" w:rsidRDefault="007079E5" w:rsidP="00C07C2F">
            <w:pPr>
              <w:pStyle w:val="Marginlie"/>
              <w:rPr>
                <w:lang w:val="en-GB"/>
              </w:rPr>
            </w:pPr>
            <w:r w:rsidRPr="006E725C">
              <w:rPr>
                <w:lang w:val="en-GB"/>
              </w:rPr>
              <w:lastRenderedPageBreak/>
              <w:t xml:space="preserve">Expenditures on wages of employees in the regional education grew. </w:t>
            </w:r>
          </w:p>
          <w:p w14:paraId="3947B498" w14:textId="77777777" w:rsidR="0011055D" w:rsidRPr="006E725C" w:rsidRDefault="0011055D" w:rsidP="00C07C2F">
            <w:pPr>
              <w:pStyle w:val="Marginlie"/>
              <w:rPr>
                <w:lang w:val="en-GB"/>
              </w:rPr>
            </w:pPr>
          </w:p>
          <w:p w14:paraId="0EE808BC" w14:textId="77777777" w:rsidR="0011055D" w:rsidRPr="006E725C" w:rsidRDefault="0011055D" w:rsidP="00C07C2F">
            <w:pPr>
              <w:pStyle w:val="Marginlie"/>
              <w:rPr>
                <w:lang w:val="en-GB"/>
              </w:rPr>
            </w:pPr>
          </w:p>
          <w:p w14:paraId="76A3BBC8" w14:textId="77777777" w:rsidR="0011055D" w:rsidRPr="006E725C" w:rsidRDefault="0011055D" w:rsidP="00C07C2F">
            <w:pPr>
              <w:pStyle w:val="Marginlie"/>
              <w:rPr>
                <w:lang w:val="en-GB"/>
              </w:rPr>
            </w:pPr>
          </w:p>
          <w:p w14:paraId="0267DD4C" w14:textId="77777777" w:rsidR="0011055D" w:rsidRPr="006E725C" w:rsidRDefault="0011055D" w:rsidP="00C07C2F">
            <w:pPr>
              <w:pStyle w:val="Marginlie"/>
              <w:rPr>
                <w:lang w:val="en-GB"/>
              </w:rPr>
            </w:pPr>
          </w:p>
          <w:p w14:paraId="65A166FA" w14:textId="1859BD75" w:rsidR="0011055D" w:rsidRPr="006E725C" w:rsidRDefault="00C7245F" w:rsidP="00C07C2F">
            <w:pPr>
              <w:pStyle w:val="Marginlie"/>
              <w:rPr>
                <w:lang w:val="en-GB"/>
              </w:rPr>
            </w:pPr>
            <w:r w:rsidRPr="006E725C">
              <w:rPr>
                <w:lang w:val="en-GB"/>
              </w:rPr>
              <w:t xml:space="preserve">Expenditures on servicing the state debt accelerated to record pace. </w:t>
            </w:r>
            <w:r w:rsidR="0011055D" w:rsidRPr="006E725C">
              <w:rPr>
                <w:lang w:val="en-GB"/>
              </w:rPr>
              <w:t xml:space="preserve"> </w:t>
            </w:r>
          </w:p>
          <w:p w14:paraId="7BF871C4" w14:textId="77777777" w:rsidR="0011055D" w:rsidRPr="006E725C" w:rsidRDefault="0011055D" w:rsidP="00C07C2F">
            <w:pPr>
              <w:pStyle w:val="Marginlie"/>
              <w:rPr>
                <w:lang w:val="en-GB"/>
              </w:rPr>
            </w:pPr>
          </w:p>
          <w:p w14:paraId="05316118" w14:textId="77777777" w:rsidR="0011055D" w:rsidRPr="006E725C" w:rsidRDefault="0011055D" w:rsidP="00C07C2F">
            <w:pPr>
              <w:pStyle w:val="Marginlie"/>
              <w:rPr>
                <w:lang w:val="en-GB"/>
              </w:rPr>
            </w:pPr>
          </w:p>
        </w:tc>
        <w:tc>
          <w:tcPr>
            <w:tcW w:w="203" w:type="dxa"/>
            <w:shd w:val="clear" w:color="auto" w:fill="auto"/>
            <w:tcMar>
              <w:left w:w="0" w:type="dxa"/>
            </w:tcMar>
          </w:tcPr>
          <w:p w14:paraId="526696FB"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44BAFD0A" w14:textId="46EBF152" w:rsidR="0011055D" w:rsidRPr="006E725C" w:rsidRDefault="00CD0B7E" w:rsidP="00C07C2F">
            <w:pPr>
              <w:spacing w:after="200"/>
              <w:rPr>
                <w:color w:val="0D0D0D" w:themeColor="text1" w:themeTint="F2"/>
                <w:spacing w:val="-6"/>
                <w:lang w:val="en-GB"/>
              </w:rPr>
            </w:pPr>
            <w:r w:rsidRPr="006E725C">
              <w:rPr>
                <w:color w:val="0D0D0D" w:themeColor="text1" w:themeTint="F2"/>
                <w:spacing w:val="-6"/>
                <w:lang w:val="en-GB"/>
              </w:rPr>
              <w:t xml:space="preserve">Weight significant non-investment transfers to regional budgets increased by </w:t>
            </w:r>
            <w:r w:rsidR="0011055D" w:rsidRPr="006E725C">
              <w:rPr>
                <w:color w:val="0D0D0D" w:themeColor="text1" w:themeTint="F2"/>
                <w:spacing w:val="-6"/>
                <w:lang w:val="en-GB"/>
              </w:rPr>
              <w:t>9</w:t>
            </w:r>
            <w:r w:rsidRPr="006E725C">
              <w:rPr>
                <w:color w:val="0D0D0D" w:themeColor="text1" w:themeTint="F2"/>
                <w:spacing w:val="-6"/>
                <w:lang w:val="en-GB"/>
              </w:rPr>
              <w:t>.</w:t>
            </w:r>
            <w:r w:rsidR="0011055D" w:rsidRPr="006E725C">
              <w:rPr>
                <w:color w:val="0D0D0D" w:themeColor="text1" w:themeTint="F2"/>
                <w:spacing w:val="-6"/>
                <w:lang w:val="en-GB"/>
              </w:rPr>
              <w:t>6%</w:t>
            </w:r>
            <w:r w:rsidRPr="006E725C">
              <w:rPr>
                <w:color w:val="0D0D0D" w:themeColor="text1" w:themeTint="F2"/>
                <w:spacing w:val="-6"/>
                <w:lang w:val="en-GB"/>
              </w:rPr>
              <w:t xml:space="preserve"> year-on-year to 2</w:t>
            </w:r>
            <w:r w:rsidR="0011055D" w:rsidRPr="006E725C">
              <w:rPr>
                <w:color w:val="0D0D0D" w:themeColor="text1" w:themeTint="F2"/>
                <w:spacing w:val="-6"/>
                <w:lang w:val="en-GB"/>
              </w:rPr>
              <w:t>66</w:t>
            </w:r>
            <w:r w:rsidRPr="006E725C">
              <w:rPr>
                <w:color w:val="0D0D0D" w:themeColor="text1" w:themeTint="F2"/>
                <w:spacing w:val="-6"/>
                <w:lang w:val="en-GB"/>
              </w:rPr>
              <w:t>.</w:t>
            </w:r>
            <w:r w:rsidR="0011055D" w:rsidRPr="006E725C">
              <w:rPr>
                <w:color w:val="0D0D0D" w:themeColor="text1" w:themeTint="F2"/>
                <w:spacing w:val="-6"/>
                <w:lang w:val="en-GB"/>
              </w:rPr>
              <w:t>2</w:t>
            </w:r>
            <w:r w:rsidRPr="006E725C">
              <w:rPr>
                <w:color w:val="0D0D0D" w:themeColor="text1" w:themeTint="F2"/>
                <w:spacing w:val="-6"/>
                <w:lang w:val="en-GB"/>
              </w:rPr>
              <w:t xml:space="preserve"> </w:t>
            </w:r>
            <w:r w:rsidR="009C0832">
              <w:rPr>
                <w:color w:val="0D0D0D" w:themeColor="text1" w:themeTint="F2"/>
                <w:spacing w:val="-6"/>
                <w:lang w:val="en-GB"/>
              </w:rPr>
              <w:t>CZK bn</w:t>
            </w:r>
            <w:r w:rsidR="0011055D" w:rsidRPr="006E725C">
              <w:rPr>
                <w:color w:val="0D0D0D" w:themeColor="text1" w:themeTint="F2"/>
                <w:spacing w:val="-6"/>
                <w:lang w:val="en-GB"/>
              </w:rPr>
              <w:t xml:space="preserve">. </w:t>
            </w:r>
            <w:r w:rsidRPr="006E725C">
              <w:rPr>
                <w:color w:val="0D0D0D" w:themeColor="text1" w:themeTint="F2"/>
                <w:spacing w:val="-6"/>
                <w:lang w:val="en-GB"/>
              </w:rPr>
              <w:t xml:space="preserve">More than one half of the last year’s </w:t>
            </w:r>
            <w:r w:rsidR="00372507" w:rsidRPr="006E725C">
              <w:rPr>
                <w:color w:val="0D0D0D" w:themeColor="text1" w:themeTint="F2"/>
                <w:spacing w:val="-6"/>
                <w:lang w:val="en-GB"/>
              </w:rPr>
              <w:t>increase</w:t>
            </w:r>
            <w:r w:rsidRPr="006E725C">
              <w:rPr>
                <w:color w:val="0D0D0D" w:themeColor="text1" w:themeTint="F2"/>
                <w:spacing w:val="-6"/>
                <w:lang w:val="en-GB"/>
              </w:rPr>
              <w:t xml:space="preserve"> </w:t>
            </w:r>
            <w:r w:rsidR="00372507" w:rsidRPr="006E725C">
              <w:rPr>
                <w:color w:val="0D0D0D" w:themeColor="text1" w:themeTint="F2"/>
                <w:spacing w:val="-6"/>
                <w:lang w:val="en-GB"/>
              </w:rPr>
              <w:t>related to the raised wages of workers in primary and secondary schools</w:t>
            </w:r>
            <w:r w:rsidR="0011055D" w:rsidRPr="006E725C">
              <w:rPr>
                <w:rStyle w:val="Znakapoznpodarou"/>
                <w:color w:val="0D0D0D" w:themeColor="text1" w:themeTint="F2"/>
                <w:spacing w:val="-6"/>
                <w:lang w:val="en-GB"/>
              </w:rPr>
              <w:footnoteReference w:id="27"/>
            </w:r>
            <w:r w:rsidR="0011055D" w:rsidRPr="006E725C">
              <w:rPr>
                <w:color w:val="0D0D0D" w:themeColor="text1" w:themeTint="F2"/>
                <w:spacing w:val="-6"/>
                <w:lang w:val="en-GB"/>
              </w:rPr>
              <w:t xml:space="preserve">. </w:t>
            </w:r>
            <w:r w:rsidR="00C7245F" w:rsidRPr="006E725C">
              <w:rPr>
                <w:color w:val="0D0D0D" w:themeColor="text1" w:themeTint="F2"/>
                <w:spacing w:val="-6"/>
                <w:lang w:val="en-GB"/>
              </w:rPr>
              <w:t>Strengthening</w:t>
            </w:r>
            <w:r w:rsidR="00372507" w:rsidRPr="006E725C">
              <w:rPr>
                <w:color w:val="0D0D0D" w:themeColor="text1" w:themeTint="F2"/>
                <w:spacing w:val="-6"/>
                <w:lang w:val="en-GB"/>
              </w:rPr>
              <w:t xml:space="preserve"> of outlays on social services, </w:t>
            </w:r>
            <w:r w:rsidR="004D3EB3" w:rsidRPr="006E725C">
              <w:rPr>
                <w:color w:val="0D0D0D" w:themeColor="text1" w:themeTint="F2"/>
                <w:spacing w:val="-4"/>
                <w:lang w:val="en-GB"/>
              </w:rPr>
              <w:t>compensation allowance on the housing of refugees from Ukraine</w:t>
            </w:r>
            <w:r w:rsidR="004D3EB3" w:rsidRPr="006E725C">
              <w:rPr>
                <w:color w:val="0D0D0D" w:themeColor="text1" w:themeTint="F2"/>
                <w:spacing w:val="-6"/>
                <w:lang w:val="en-GB"/>
              </w:rPr>
              <w:t xml:space="preserve"> or co-financing of programmes in the area of education, supported from the EU budget, also </w:t>
            </w:r>
            <w:r w:rsidR="00372507" w:rsidRPr="006E725C">
              <w:rPr>
                <w:color w:val="0D0D0D" w:themeColor="text1" w:themeTint="F2"/>
                <w:spacing w:val="-6"/>
                <w:lang w:val="en-GB"/>
              </w:rPr>
              <w:t>had an effect</w:t>
            </w:r>
            <w:r w:rsidR="0011055D" w:rsidRPr="006E725C">
              <w:rPr>
                <w:color w:val="0D0D0D" w:themeColor="text1" w:themeTint="F2"/>
                <w:spacing w:val="-6"/>
                <w:lang w:val="en-GB"/>
              </w:rPr>
              <w:t>.</w:t>
            </w:r>
            <w:r w:rsidR="00372507" w:rsidRPr="006E725C">
              <w:rPr>
                <w:color w:val="0D0D0D" w:themeColor="text1" w:themeTint="F2"/>
                <w:spacing w:val="-6"/>
                <w:lang w:val="en-GB"/>
              </w:rPr>
              <w:t xml:space="preserve"> Among other </w:t>
            </w:r>
            <w:r w:rsidR="00C7245F" w:rsidRPr="006E725C">
              <w:rPr>
                <w:color w:val="0D0D0D" w:themeColor="text1" w:themeTint="F2"/>
                <w:spacing w:val="-6"/>
                <w:lang w:val="en-GB"/>
              </w:rPr>
              <w:t>areas, SB</w:t>
            </w:r>
            <w:r w:rsidR="00372507" w:rsidRPr="006E725C">
              <w:rPr>
                <w:color w:val="0D0D0D" w:themeColor="text1" w:themeTint="F2"/>
                <w:spacing w:val="-6"/>
                <w:lang w:val="en-GB"/>
              </w:rPr>
              <w:t xml:space="preserve"> was also notably burdened by anticipated expenditures on servicing the state debt, whose year-on-year growth substantially accelerated to record 3</w:t>
            </w:r>
            <w:r w:rsidR="0011055D" w:rsidRPr="006E725C">
              <w:rPr>
                <w:color w:val="0D0D0D" w:themeColor="text1" w:themeTint="F2"/>
                <w:spacing w:val="-6"/>
                <w:lang w:val="en-GB"/>
              </w:rPr>
              <w:t>7</w:t>
            </w:r>
            <w:r w:rsidR="00372507" w:rsidRPr="006E725C">
              <w:rPr>
                <w:color w:val="0D0D0D" w:themeColor="text1" w:themeTint="F2"/>
                <w:spacing w:val="-6"/>
                <w:lang w:val="en-GB"/>
              </w:rPr>
              <w:t>.</w:t>
            </w:r>
            <w:r w:rsidR="0011055D" w:rsidRPr="006E725C">
              <w:rPr>
                <w:color w:val="0D0D0D" w:themeColor="text1" w:themeTint="F2"/>
                <w:spacing w:val="-6"/>
                <w:lang w:val="en-GB"/>
              </w:rPr>
              <w:t>4%</w:t>
            </w:r>
            <w:r w:rsidR="00372507" w:rsidRPr="006E725C">
              <w:rPr>
                <w:color w:val="0D0D0D" w:themeColor="text1" w:themeTint="F2"/>
                <w:spacing w:val="-6"/>
                <w:lang w:val="en-GB"/>
              </w:rPr>
              <w:t xml:space="preserve"> last year</w:t>
            </w:r>
            <w:r w:rsidR="0011055D" w:rsidRPr="006E725C">
              <w:rPr>
                <w:color w:val="0D0D0D" w:themeColor="text1" w:themeTint="F2"/>
                <w:spacing w:val="-6"/>
                <w:lang w:val="en-GB"/>
              </w:rPr>
              <w:t xml:space="preserve"> (+18</w:t>
            </w:r>
            <w:r w:rsidR="00372507" w:rsidRPr="006E725C">
              <w:rPr>
                <w:color w:val="0D0D0D" w:themeColor="text1" w:themeTint="F2"/>
                <w:spacing w:val="-6"/>
                <w:lang w:val="en-GB"/>
              </w:rPr>
              <w:t>.</w:t>
            </w:r>
            <w:r w:rsidR="0011055D" w:rsidRPr="006E725C">
              <w:rPr>
                <w:color w:val="0D0D0D" w:themeColor="text1" w:themeTint="F2"/>
                <w:spacing w:val="-6"/>
                <w:lang w:val="en-GB"/>
              </w:rPr>
              <w:t>6</w:t>
            </w:r>
            <w:r w:rsidR="00372507" w:rsidRPr="006E725C">
              <w:rPr>
                <w:color w:val="0D0D0D" w:themeColor="text1" w:themeTint="F2"/>
                <w:spacing w:val="-6"/>
                <w:lang w:val="en-GB"/>
              </w:rPr>
              <w:t xml:space="preserve"> </w:t>
            </w:r>
            <w:r w:rsidR="009C0832">
              <w:rPr>
                <w:color w:val="0D0D0D" w:themeColor="text1" w:themeTint="F2"/>
                <w:spacing w:val="-6"/>
                <w:lang w:val="en-GB"/>
              </w:rPr>
              <w:t>CZK bn</w:t>
            </w:r>
            <w:r w:rsidR="0011055D" w:rsidRPr="006E725C">
              <w:rPr>
                <w:color w:val="0D0D0D" w:themeColor="text1" w:themeTint="F2"/>
                <w:spacing w:val="-6"/>
                <w:lang w:val="en-GB"/>
              </w:rPr>
              <w:t>)</w:t>
            </w:r>
            <w:r w:rsidR="0011055D" w:rsidRPr="006E725C">
              <w:rPr>
                <w:rStyle w:val="Znakapoznpodarou"/>
                <w:spacing w:val="-6"/>
                <w:lang w:val="en-GB"/>
              </w:rPr>
              <w:footnoteReference w:id="28"/>
            </w:r>
            <w:r w:rsidR="0011055D" w:rsidRPr="006E725C">
              <w:rPr>
                <w:color w:val="0D0D0D" w:themeColor="text1" w:themeTint="F2"/>
                <w:spacing w:val="-6"/>
                <w:lang w:val="en-GB"/>
              </w:rPr>
              <w:t>. 7</w:t>
            </w:r>
            <w:r w:rsidR="009E63CF" w:rsidRPr="006E725C">
              <w:rPr>
                <w:color w:val="0D0D0D" w:themeColor="text1" w:themeTint="F2"/>
                <w:spacing w:val="-6"/>
                <w:lang w:val="en-GB"/>
              </w:rPr>
              <w:t>.</w:t>
            </w:r>
            <w:r w:rsidR="0011055D" w:rsidRPr="006E725C">
              <w:rPr>
                <w:color w:val="0D0D0D" w:themeColor="text1" w:themeTint="F2"/>
                <w:spacing w:val="-6"/>
                <w:lang w:val="en-GB"/>
              </w:rPr>
              <w:t>4%</w:t>
            </w:r>
            <w:r w:rsidR="0011055D" w:rsidRPr="006E725C">
              <w:rPr>
                <w:rStyle w:val="Znakapoznpodarou"/>
                <w:color w:val="0D0D0D" w:themeColor="text1" w:themeTint="F2"/>
                <w:spacing w:val="-6"/>
                <w:lang w:val="en-GB"/>
              </w:rPr>
              <w:footnoteReference w:id="29"/>
            </w:r>
            <w:r w:rsidR="0011055D" w:rsidRPr="006E725C">
              <w:rPr>
                <w:color w:val="0D0D0D" w:themeColor="text1" w:themeTint="F2"/>
                <w:spacing w:val="-6"/>
                <w:lang w:val="en-GB"/>
              </w:rPr>
              <w:t xml:space="preserve"> </w:t>
            </w:r>
            <w:r w:rsidR="009E63CF" w:rsidRPr="006E725C">
              <w:rPr>
                <w:color w:val="0D0D0D" w:themeColor="text1" w:themeTint="F2"/>
                <w:spacing w:val="-6"/>
                <w:lang w:val="en-GB"/>
              </w:rPr>
              <w:t xml:space="preserve">more </w:t>
            </w:r>
            <w:r w:rsidR="0011055D" w:rsidRPr="006E725C">
              <w:rPr>
                <w:color w:val="0D0D0D" w:themeColor="text1" w:themeTint="F2"/>
                <w:spacing w:val="-6"/>
                <w:lang w:val="en-GB"/>
              </w:rPr>
              <w:t>(+11</w:t>
            </w:r>
            <w:r w:rsidR="009E63CF" w:rsidRPr="006E725C">
              <w:rPr>
                <w:color w:val="0D0D0D" w:themeColor="text1" w:themeTint="F2"/>
                <w:spacing w:val="-6"/>
                <w:lang w:val="en-GB"/>
              </w:rPr>
              <w:t>.</w:t>
            </w:r>
            <w:r w:rsidR="0011055D" w:rsidRPr="006E725C">
              <w:rPr>
                <w:color w:val="0D0D0D" w:themeColor="text1" w:themeTint="F2"/>
                <w:spacing w:val="-6"/>
                <w:lang w:val="en-GB"/>
              </w:rPr>
              <w:t>4</w:t>
            </w:r>
            <w:r w:rsidR="009E63CF" w:rsidRPr="006E725C">
              <w:rPr>
                <w:color w:val="0D0D0D" w:themeColor="text1" w:themeTint="F2"/>
                <w:spacing w:val="-6"/>
                <w:lang w:val="en-GB"/>
              </w:rPr>
              <w:t xml:space="preserve"> </w:t>
            </w:r>
            <w:r w:rsidR="009C0832">
              <w:rPr>
                <w:color w:val="0D0D0D" w:themeColor="text1" w:themeTint="F2"/>
                <w:spacing w:val="-6"/>
                <w:lang w:val="en-GB"/>
              </w:rPr>
              <w:t>CZK bn</w:t>
            </w:r>
            <w:r w:rsidR="0011055D" w:rsidRPr="006E725C">
              <w:rPr>
                <w:color w:val="0D0D0D" w:themeColor="text1" w:themeTint="F2"/>
                <w:spacing w:val="-6"/>
                <w:lang w:val="en-GB"/>
              </w:rPr>
              <w:t>)</w:t>
            </w:r>
            <w:r w:rsidR="009E63CF" w:rsidRPr="006E725C">
              <w:rPr>
                <w:color w:val="0D0D0D" w:themeColor="text1" w:themeTint="F2"/>
                <w:spacing w:val="-6"/>
                <w:lang w:val="en-GB"/>
              </w:rPr>
              <w:t xml:space="preserve"> was directed to the wages in the central government institutions last year</w:t>
            </w:r>
            <w:r w:rsidR="0011055D" w:rsidRPr="006E725C">
              <w:rPr>
                <w:color w:val="0D0D0D" w:themeColor="text1" w:themeTint="F2"/>
                <w:spacing w:val="-6"/>
                <w:lang w:val="en-GB"/>
              </w:rPr>
              <w:t xml:space="preserve">. </w:t>
            </w:r>
            <w:r w:rsidR="009E63CF" w:rsidRPr="006E725C">
              <w:rPr>
                <w:color w:val="0D0D0D" w:themeColor="text1" w:themeTint="F2"/>
                <w:spacing w:val="-6"/>
                <w:lang w:val="en-GB"/>
              </w:rPr>
              <w:t xml:space="preserve">It was connected to the increase of wage tariffs of the public security forces and armed forces </w:t>
            </w:r>
            <w:r w:rsidR="0011055D" w:rsidRPr="006E725C">
              <w:rPr>
                <w:color w:val="0D0D0D" w:themeColor="text1" w:themeTint="F2"/>
                <w:spacing w:val="-6"/>
                <w:lang w:val="en-GB"/>
              </w:rPr>
              <w:t>(</w:t>
            </w:r>
            <w:r w:rsidR="009E63CF" w:rsidRPr="006E725C">
              <w:rPr>
                <w:color w:val="0D0D0D" w:themeColor="text1" w:themeTint="F2"/>
                <w:spacing w:val="-6"/>
                <w:lang w:val="en-GB"/>
              </w:rPr>
              <w:t xml:space="preserve">since January </w:t>
            </w:r>
            <w:r w:rsidR="0011055D" w:rsidRPr="006E725C">
              <w:rPr>
                <w:color w:val="0D0D0D" w:themeColor="text1" w:themeTint="F2"/>
                <w:spacing w:val="-6"/>
                <w:lang w:val="en-GB"/>
              </w:rPr>
              <w:t>2023) a</w:t>
            </w:r>
            <w:r w:rsidR="009E63CF" w:rsidRPr="006E725C">
              <w:rPr>
                <w:color w:val="0D0D0D" w:themeColor="text1" w:themeTint="F2"/>
                <w:spacing w:val="-6"/>
                <w:lang w:val="en-GB"/>
              </w:rPr>
              <w:t xml:space="preserve">nd employees in the civil service </w:t>
            </w:r>
            <w:r w:rsidR="0011055D" w:rsidRPr="006E725C">
              <w:rPr>
                <w:color w:val="0D0D0D" w:themeColor="text1" w:themeTint="F2"/>
                <w:spacing w:val="-6"/>
                <w:lang w:val="en-GB"/>
              </w:rPr>
              <w:t>(</w:t>
            </w:r>
            <w:r w:rsidR="009E63CF" w:rsidRPr="006E725C">
              <w:rPr>
                <w:color w:val="0D0D0D" w:themeColor="text1" w:themeTint="F2"/>
                <w:spacing w:val="-6"/>
                <w:lang w:val="en-GB"/>
              </w:rPr>
              <w:t xml:space="preserve">since September </w:t>
            </w:r>
            <w:r w:rsidR="0011055D" w:rsidRPr="006E725C">
              <w:rPr>
                <w:color w:val="0D0D0D" w:themeColor="text1" w:themeTint="F2"/>
                <w:spacing w:val="-6"/>
                <w:lang w:val="en-GB"/>
              </w:rPr>
              <w:t xml:space="preserve">2022). </w:t>
            </w:r>
            <w:r w:rsidR="009E63CF" w:rsidRPr="006E725C">
              <w:rPr>
                <w:color w:val="0D0D0D" w:themeColor="text1" w:themeTint="F2"/>
                <w:spacing w:val="-6"/>
                <w:lang w:val="en-GB"/>
              </w:rPr>
              <w:t xml:space="preserve">After the freeze during the pandemics, outlays on the wages of constitutional authorities also increased last year. </w:t>
            </w:r>
            <w:r w:rsidR="00E63BAE" w:rsidRPr="006E725C">
              <w:rPr>
                <w:color w:val="0D0D0D" w:themeColor="text1" w:themeTint="F2"/>
                <w:spacing w:val="-6"/>
                <w:lang w:val="en-GB"/>
              </w:rPr>
              <w:t xml:space="preserve">Payments of the public health insurance for the so-called state insured person, which grew by 7.2% (+9.3 </w:t>
            </w:r>
            <w:r w:rsidR="009C0832">
              <w:rPr>
                <w:color w:val="0D0D0D" w:themeColor="text1" w:themeTint="F2"/>
                <w:spacing w:val="-6"/>
                <w:lang w:val="en-GB"/>
              </w:rPr>
              <w:t>CZK bn</w:t>
            </w:r>
            <w:r w:rsidR="00E63BAE" w:rsidRPr="006E725C">
              <w:rPr>
                <w:color w:val="0D0D0D" w:themeColor="text1" w:themeTint="F2"/>
                <w:spacing w:val="-6"/>
                <w:lang w:val="en-GB"/>
              </w:rPr>
              <w:t xml:space="preserve">) primarily due to the increase of the assessment base for payment represented the last chapter sharing more notably on the growth of current expenditures. </w:t>
            </w:r>
          </w:p>
        </w:tc>
      </w:tr>
      <w:tr w:rsidR="0011055D" w:rsidRPr="006E725C" w14:paraId="1D332A8D" w14:textId="77777777" w:rsidTr="00C07C2F">
        <w:trPr>
          <w:trHeight w:val="170"/>
        </w:trPr>
        <w:tc>
          <w:tcPr>
            <w:tcW w:w="1792" w:type="dxa"/>
            <w:shd w:val="clear" w:color="auto" w:fill="auto"/>
            <w:tcMar>
              <w:left w:w="0" w:type="dxa"/>
            </w:tcMar>
          </w:tcPr>
          <w:p w14:paraId="586C9EE2" w14:textId="14909813" w:rsidR="0011055D" w:rsidRPr="006E725C" w:rsidRDefault="009E63CF" w:rsidP="00C07C2F">
            <w:pPr>
              <w:pStyle w:val="Marginlie"/>
              <w:rPr>
                <w:lang w:val="en-GB"/>
              </w:rPr>
            </w:pPr>
            <w:r w:rsidRPr="006E725C">
              <w:rPr>
                <w:lang w:val="en-GB"/>
              </w:rPr>
              <w:t>Size of current subsidies to agriculture or non-</w:t>
            </w:r>
            <w:r w:rsidR="004C29F0" w:rsidRPr="006E725C">
              <w:rPr>
                <w:lang w:val="en-GB"/>
              </w:rPr>
              <w:t>investment</w:t>
            </w:r>
            <w:r w:rsidRPr="006E725C">
              <w:rPr>
                <w:lang w:val="en-GB"/>
              </w:rPr>
              <w:t xml:space="preserve"> purchases went down. </w:t>
            </w:r>
          </w:p>
        </w:tc>
        <w:tc>
          <w:tcPr>
            <w:tcW w:w="203" w:type="dxa"/>
            <w:shd w:val="clear" w:color="auto" w:fill="auto"/>
            <w:tcMar>
              <w:left w:w="0" w:type="dxa"/>
            </w:tcMar>
          </w:tcPr>
          <w:p w14:paraId="5A183A69" w14:textId="77777777" w:rsidR="0011055D" w:rsidRPr="006E725C" w:rsidRDefault="0011055D" w:rsidP="00C07C2F">
            <w:pPr>
              <w:pStyle w:val="Textpoznpodarou"/>
              <w:jc w:val="both"/>
              <w:rPr>
                <w:spacing w:val="-4"/>
                <w:lang w:val="en-GB"/>
              </w:rPr>
            </w:pPr>
          </w:p>
        </w:tc>
        <w:tc>
          <w:tcPr>
            <w:tcW w:w="7674" w:type="dxa"/>
            <w:shd w:val="clear" w:color="auto" w:fill="auto"/>
            <w:tcMar>
              <w:left w:w="0" w:type="dxa"/>
            </w:tcMar>
          </w:tcPr>
          <w:p w14:paraId="6E85C714" w14:textId="11FD169E" w:rsidR="0011055D" w:rsidRPr="006E725C" w:rsidRDefault="009E63CF" w:rsidP="00C07C2F">
            <w:pPr>
              <w:spacing w:after="200"/>
              <w:rPr>
                <w:color w:val="0D0D0D" w:themeColor="text1" w:themeTint="F2"/>
                <w:spacing w:val="-6"/>
                <w:lang w:val="en-GB"/>
              </w:rPr>
            </w:pPr>
            <w:r w:rsidRPr="006E725C">
              <w:rPr>
                <w:color w:val="0D0D0D" w:themeColor="text1" w:themeTint="F2"/>
                <w:spacing w:val="-6"/>
                <w:lang w:val="en-GB"/>
              </w:rPr>
              <w:t xml:space="preserve">Growth of SB current expenditures was mainly subdued by lower subsidies to the State agricultural intervention fund, which slumped by nearly 30% </w:t>
            </w:r>
            <w:r w:rsidR="0011055D" w:rsidRPr="006E725C">
              <w:rPr>
                <w:color w:val="0D0D0D" w:themeColor="text1" w:themeTint="F2"/>
                <w:spacing w:val="-6"/>
                <w:lang w:val="en-GB"/>
              </w:rPr>
              <w:t>(−12</w:t>
            </w:r>
            <w:r w:rsidRPr="006E725C">
              <w:rPr>
                <w:color w:val="0D0D0D" w:themeColor="text1" w:themeTint="F2"/>
                <w:spacing w:val="-6"/>
                <w:lang w:val="en-GB"/>
              </w:rPr>
              <w:t>.</w:t>
            </w:r>
            <w:r w:rsidR="0011055D" w:rsidRPr="006E725C">
              <w:rPr>
                <w:color w:val="0D0D0D" w:themeColor="text1" w:themeTint="F2"/>
                <w:spacing w:val="-6"/>
                <w:lang w:val="en-GB"/>
              </w:rPr>
              <w:t>9</w:t>
            </w:r>
            <w:r w:rsidRPr="006E725C">
              <w:rPr>
                <w:color w:val="0D0D0D" w:themeColor="text1" w:themeTint="F2"/>
                <w:spacing w:val="-6"/>
                <w:lang w:val="en-GB"/>
              </w:rPr>
              <w:t xml:space="preserve"> </w:t>
            </w:r>
            <w:r w:rsidR="009C0832">
              <w:rPr>
                <w:color w:val="0D0D0D" w:themeColor="text1" w:themeTint="F2"/>
                <w:spacing w:val="-6"/>
                <w:lang w:val="en-GB"/>
              </w:rPr>
              <w:t>CZK bn</w:t>
            </w:r>
            <w:r w:rsidR="0011055D" w:rsidRPr="006E725C">
              <w:rPr>
                <w:color w:val="0D0D0D" w:themeColor="text1" w:themeTint="F2"/>
                <w:spacing w:val="-6"/>
                <w:lang w:val="en-GB"/>
              </w:rPr>
              <w:t>)</w:t>
            </w:r>
            <w:r w:rsidRPr="006E725C">
              <w:rPr>
                <w:color w:val="0D0D0D" w:themeColor="text1" w:themeTint="F2"/>
                <w:spacing w:val="-6"/>
                <w:lang w:val="en-GB"/>
              </w:rPr>
              <w:t xml:space="preserve"> year-on-year</w:t>
            </w:r>
            <w:r w:rsidR="0011055D" w:rsidRPr="006E725C">
              <w:rPr>
                <w:color w:val="0D0D0D" w:themeColor="text1" w:themeTint="F2"/>
                <w:spacing w:val="-6"/>
                <w:lang w:val="en-GB"/>
              </w:rPr>
              <w:t xml:space="preserve">. </w:t>
            </w:r>
            <w:r w:rsidR="00C446AC" w:rsidRPr="006E725C">
              <w:rPr>
                <w:color w:val="0D0D0D" w:themeColor="text1" w:themeTint="F2"/>
                <w:spacing w:val="-6"/>
                <w:lang w:val="en-GB"/>
              </w:rPr>
              <w:t xml:space="preserve">Non-investment purchases, where was directed by one tenth less </w:t>
            </w:r>
            <w:r w:rsidR="0011055D" w:rsidRPr="006E725C">
              <w:rPr>
                <w:color w:val="0D0D0D" w:themeColor="text1" w:themeTint="F2"/>
                <w:spacing w:val="-6"/>
                <w:lang w:val="en-GB"/>
              </w:rPr>
              <w:t>(−9</w:t>
            </w:r>
            <w:r w:rsidR="00C446AC" w:rsidRPr="006E725C">
              <w:rPr>
                <w:color w:val="0D0D0D" w:themeColor="text1" w:themeTint="F2"/>
                <w:spacing w:val="-6"/>
                <w:lang w:val="en-GB"/>
              </w:rPr>
              <w:t>.</w:t>
            </w:r>
            <w:r w:rsidR="0011055D" w:rsidRPr="006E725C">
              <w:rPr>
                <w:color w:val="0D0D0D" w:themeColor="text1" w:themeTint="F2"/>
                <w:spacing w:val="-6"/>
                <w:lang w:val="en-GB"/>
              </w:rPr>
              <w:t>6</w:t>
            </w:r>
            <w:r w:rsidR="00C446AC" w:rsidRPr="006E725C">
              <w:rPr>
                <w:color w:val="0D0D0D" w:themeColor="text1" w:themeTint="F2"/>
                <w:spacing w:val="-6"/>
                <w:lang w:val="en-GB"/>
              </w:rPr>
              <w:t xml:space="preserve"> </w:t>
            </w:r>
            <w:r w:rsidR="009C0832">
              <w:rPr>
                <w:color w:val="0D0D0D" w:themeColor="text1" w:themeTint="F2"/>
                <w:spacing w:val="-6"/>
                <w:lang w:val="en-GB"/>
              </w:rPr>
              <w:t>CZK bn</w:t>
            </w:r>
            <w:r w:rsidR="0011055D" w:rsidRPr="006E725C">
              <w:rPr>
                <w:color w:val="0D0D0D" w:themeColor="text1" w:themeTint="F2"/>
                <w:spacing w:val="-6"/>
                <w:lang w:val="en-GB"/>
              </w:rPr>
              <w:t>)</w:t>
            </w:r>
            <w:r w:rsidR="00C446AC" w:rsidRPr="006E725C">
              <w:rPr>
                <w:color w:val="0D0D0D" w:themeColor="text1" w:themeTint="F2"/>
                <w:spacing w:val="-6"/>
                <w:lang w:val="en-GB"/>
              </w:rPr>
              <w:t xml:space="preserve"> against year 2022, also recorded savings. M</w:t>
            </w:r>
            <w:r w:rsidR="00E63BAE" w:rsidRPr="006E725C">
              <w:rPr>
                <w:color w:val="0D0D0D" w:themeColor="text1" w:themeTint="F2"/>
                <w:spacing w:val="-6"/>
                <w:lang w:val="en-GB"/>
              </w:rPr>
              <w:t xml:space="preserve">ainly lower price of natural gas acquired into the state material reserves, decrease of purchases of vaccination as well as lower compensation to the Czech Post stood behind it. Increase of expenditures on the contrary arose for purchases associated with the area of defence and internal security last year. </w:t>
            </w:r>
            <w:r w:rsidR="0011055D" w:rsidRPr="006E725C">
              <w:rPr>
                <w:color w:val="0D0D0D" w:themeColor="text1" w:themeTint="F2"/>
                <w:spacing w:val="-6"/>
                <w:lang w:val="en-GB"/>
              </w:rPr>
              <w:t xml:space="preserve"> </w:t>
            </w:r>
          </w:p>
        </w:tc>
      </w:tr>
      <w:tr w:rsidR="00EB1C78" w:rsidRPr="006E725C" w14:paraId="00375CC1" w14:textId="77777777" w:rsidTr="00C07C2F">
        <w:trPr>
          <w:trHeight w:val="170"/>
        </w:trPr>
        <w:tc>
          <w:tcPr>
            <w:tcW w:w="1792" w:type="dxa"/>
            <w:shd w:val="clear" w:color="auto" w:fill="auto"/>
            <w:tcMar>
              <w:left w:w="0" w:type="dxa"/>
            </w:tcMar>
          </w:tcPr>
          <w:p w14:paraId="335C02F2" w14:textId="77777777" w:rsidR="00EB1C78" w:rsidRPr="006E725C" w:rsidRDefault="00EB1C78" w:rsidP="00EB1C78">
            <w:pPr>
              <w:pStyle w:val="Marginlie"/>
              <w:rPr>
                <w:lang w:val="en-GB"/>
              </w:rPr>
            </w:pPr>
            <w:r w:rsidRPr="006E725C">
              <w:rPr>
                <w:lang w:val="en-GB"/>
              </w:rPr>
              <w:t xml:space="preserve">Expenditures on environment, defence and security contributed to the fast growth of investment.  </w:t>
            </w:r>
          </w:p>
          <w:p w14:paraId="6BE9DB46" w14:textId="77777777" w:rsidR="00EB1C78" w:rsidRPr="006E725C" w:rsidRDefault="00EB1C78" w:rsidP="00EB1C78">
            <w:pPr>
              <w:pStyle w:val="Marginlie"/>
              <w:rPr>
                <w:lang w:val="en-GB"/>
              </w:rPr>
            </w:pPr>
          </w:p>
          <w:p w14:paraId="058DF2B6" w14:textId="77777777" w:rsidR="00EB1C78" w:rsidRPr="006E725C" w:rsidRDefault="00EB1C78" w:rsidP="00EB1C78">
            <w:pPr>
              <w:pStyle w:val="Marginlie"/>
              <w:rPr>
                <w:lang w:val="en-GB"/>
              </w:rPr>
            </w:pPr>
          </w:p>
          <w:p w14:paraId="667A0E7F" w14:textId="4DD81153" w:rsidR="00EB1C78" w:rsidRPr="006E725C" w:rsidRDefault="00EB1C78" w:rsidP="00EB1C78">
            <w:pPr>
              <w:pStyle w:val="Marginlie"/>
              <w:rPr>
                <w:lang w:val="en-GB"/>
              </w:rPr>
            </w:pPr>
          </w:p>
          <w:p w14:paraId="738B077C" w14:textId="77777777" w:rsidR="00EB1C78" w:rsidRPr="006E725C" w:rsidRDefault="00EB1C78" w:rsidP="00EB1C78">
            <w:pPr>
              <w:pStyle w:val="Marginlie"/>
              <w:rPr>
                <w:lang w:val="en-GB"/>
              </w:rPr>
            </w:pPr>
          </w:p>
          <w:p w14:paraId="1767CA17" w14:textId="37AB08B9" w:rsidR="00EB1C78" w:rsidRPr="006E725C" w:rsidRDefault="00EB1C78" w:rsidP="00EB1C78">
            <w:pPr>
              <w:pStyle w:val="Marginlie"/>
              <w:rPr>
                <w:lang w:val="en-GB"/>
              </w:rPr>
            </w:pPr>
            <w:r w:rsidRPr="006E725C">
              <w:rPr>
                <w:lang w:val="en-GB"/>
              </w:rPr>
              <w:t xml:space="preserve">Proportion of investment on total SB expenditures was the highest in the last eight years. </w:t>
            </w:r>
          </w:p>
        </w:tc>
        <w:tc>
          <w:tcPr>
            <w:tcW w:w="203" w:type="dxa"/>
            <w:shd w:val="clear" w:color="auto" w:fill="auto"/>
            <w:tcMar>
              <w:left w:w="0" w:type="dxa"/>
            </w:tcMar>
          </w:tcPr>
          <w:p w14:paraId="03C0A2CF" w14:textId="77777777" w:rsidR="00EB1C78" w:rsidRPr="006E725C" w:rsidRDefault="00EB1C78" w:rsidP="00EB1C78">
            <w:pPr>
              <w:pStyle w:val="Textpoznpodarou"/>
              <w:jc w:val="both"/>
              <w:rPr>
                <w:spacing w:val="-4"/>
                <w:lang w:val="en-GB"/>
              </w:rPr>
            </w:pPr>
          </w:p>
        </w:tc>
        <w:tc>
          <w:tcPr>
            <w:tcW w:w="7674" w:type="dxa"/>
            <w:shd w:val="clear" w:color="auto" w:fill="auto"/>
            <w:tcMar>
              <w:left w:w="0" w:type="dxa"/>
            </w:tcMar>
          </w:tcPr>
          <w:p w14:paraId="1032997F" w14:textId="617E0E91" w:rsidR="00EB1C78" w:rsidRPr="006E725C" w:rsidRDefault="00EB1C78" w:rsidP="00EB1C78">
            <w:pPr>
              <w:spacing w:after="200"/>
              <w:rPr>
                <w:color w:val="0D0D0D" w:themeColor="text1" w:themeTint="F2"/>
                <w:spacing w:val="-6"/>
                <w:lang w:val="en-GB"/>
              </w:rPr>
            </w:pPr>
            <w:r w:rsidRPr="006E725C">
              <w:rPr>
                <w:color w:val="0D0D0D" w:themeColor="text1" w:themeTint="F2"/>
                <w:spacing w:val="-4"/>
                <w:lang w:val="en-GB"/>
              </w:rPr>
              <w:t xml:space="preserve">Rate of growth of the SB capital outlays accelerated to 13.6% last year, by 25.4 </w:t>
            </w:r>
            <w:r>
              <w:rPr>
                <w:color w:val="0D0D0D" w:themeColor="text1" w:themeTint="F2"/>
                <w:spacing w:val="-4"/>
                <w:lang w:val="en-GB"/>
              </w:rPr>
              <w:t>CZK bn</w:t>
            </w:r>
            <w:r w:rsidRPr="006E725C">
              <w:rPr>
                <w:color w:val="0D0D0D" w:themeColor="text1" w:themeTint="F2"/>
                <w:spacing w:val="-4"/>
                <w:lang w:val="en-GB"/>
              </w:rPr>
              <w:t xml:space="preserve"> more was invested year-on-year. Still the size of investment remained slightly behind the budget anticipations (−2.6%). Not only resources on common programmes of the CR from the EU, but also investment solely from the national resources (these formed more than one half of all capital expenditures last year) participated on the growth of investment unlike in year 2022. Subsidies to regional budgets (+8.4 </w:t>
            </w:r>
            <w:r>
              <w:rPr>
                <w:color w:val="0D0D0D" w:themeColor="text1" w:themeTint="F2"/>
                <w:spacing w:val="-4"/>
                <w:lang w:val="en-GB"/>
              </w:rPr>
              <w:t>CZK bn</w:t>
            </w:r>
            <w:r w:rsidRPr="006E725C">
              <w:rPr>
                <w:color w:val="0D0D0D" w:themeColor="text1" w:themeTint="F2"/>
                <w:spacing w:val="-4"/>
                <w:lang w:val="en-GB"/>
              </w:rPr>
              <w:t xml:space="preserve">) shared the most on the increase of total investment from the SB, all categories of investment however recorded higher increase. Subsides into the transport infrastructure were the exception (−8.7 </w:t>
            </w:r>
            <w:r>
              <w:rPr>
                <w:color w:val="0D0D0D" w:themeColor="text1" w:themeTint="F2"/>
                <w:spacing w:val="-4"/>
                <w:lang w:val="en-GB"/>
              </w:rPr>
              <w:t>CZK bn</w:t>
            </w:r>
            <w:r w:rsidRPr="006E725C">
              <w:rPr>
                <w:color w:val="0D0D0D" w:themeColor="text1" w:themeTint="F2"/>
                <w:spacing w:val="-4"/>
                <w:lang w:val="en-GB"/>
              </w:rPr>
              <w:t>)</w:t>
            </w:r>
            <w:r w:rsidRPr="006E725C">
              <w:rPr>
                <w:rStyle w:val="Znakapoznpodarou"/>
                <w:color w:val="0D0D0D" w:themeColor="text1" w:themeTint="F2"/>
                <w:spacing w:val="-4"/>
                <w:lang w:val="en-GB"/>
              </w:rPr>
              <w:footnoteReference w:id="30"/>
            </w:r>
            <w:r w:rsidRPr="006E725C">
              <w:rPr>
                <w:color w:val="0D0D0D" w:themeColor="text1" w:themeTint="F2"/>
                <w:spacing w:val="-4"/>
                <w:lang w:val="en-GB"/>
              </w:rPr>
              <w:t xml:space="preserve">, still they formed one third of all SB investment (68.1 bn). Opposed to year 2022, investment purchases also participated on the growth of capital outlays last year (+6.9 </w:t>
            </w:r>
            <w:r>
              <w:rPr>
                <w:color w:val="0D0D0D" w:themeColor="text1" w:themeTint="F2"/>
                <w:spacing w:val="-4"/>
                <w:lang w:val="en-GB"/>
              </w:rPr>
              <w:t>CZK bn</w:t>
            </w:r>
            <w:r w:rsidRPr="006E725C">
              <w:rPr>
                <w:color w:val="0D0D0D" w:themeColor="text1" w:themeTint="F2"/>
                <w:spacing w:val="-4"/>
                <w:lang w:val="en-GB"/>
              </w:rPr>
              <w:t xml:space="preserve">), it concerned especially military equipment and transport equipment. Total investment </w:t>
            </w:r>
            <w:r w:rsidRPr="006E725C">
              <w:rPr>
                <w:color w:val="0D0D0D" w:themeColor="text1" w:themeTint="F2"/>
                <w:spacing w:val="-4"/>
                <w:lang w:val="en-GB"/>
              </w:rPr>
              <w:lastRenderedPageBreak/>
              <w:t xml:space="preserve">participated 9.6% on all SB expenditures last year, the most in the last eight years. From the long-time view however (last two decades) it still concerns rather an average value. </w:t>
            </w:r>
          </w:p>
        </w:tc>
      </w:tr>
      <w:tr w:rsidR="00EB1C78" w:rsidRPr="006E725C" w14:paraId="60D04FAD" w14:textId="77777777" w:rsidTr="00C07C2F">
        <w:trPr>
          <w:trHeight w:val="170"/>
        </w:trPr>
        <w:tc>
          <w:tcPr>
            <w:tcW w:w="1792" w:type="dxa"/>
            <w:vMerge w:val="restart"/>
            <w:shd w:val="clear" w:color="auto" w:fill="auto"/>
            <w:tcMar>
              <w:left w:w="0" w:type="dxa"/>
            </w:tcMar>
          </w:tcPr>
          <w:p w14:paraId="4EF4266F" w14:textId="77777777" w:rsidR="00EB1C78" w:rsidRPr="006E725C" w:rsidRDefault="00EB1C78" w:rsidP="00EB1C78">
            <w:pPr>
              <w:pStyle w:val="Marginlie"/>
              <w:rPr>
                <w:lang w:val="en-GB"/>
              </w:rPr>
            </w:pPr>
          </w:p>
        </w:tc>
        <w:tc>
          <w:tcPr>
            <w:tcW w:w="203" w:type="dxa"/>
            <w:vMerge w:val="restart"/>
            <w:shd w:val="clear" w:color="auto" w:fill="auto"/>
            <w:tcMar>
              <w:left w:w="0" w:type="dxa"/>
            </w:tcMar>
          </w:tcPr>
          <w:p w14:paraId="0773478B" w14:textId="77777777" w:rsidR="00EB1C78" w:rsidRPr="006E725C" w:rsidRDefault="00EB1C78" w:rsidP="00EB1C78">
            <w:pPr>
              <w:pStyle w:val="Textpoznpodarou"/>
              <w:jc w:val="both"/>
              <w:rPr>
                <w:spacing w:val="-4"/>
                <w:lang w:val="en-GB"/>
              </w:rPr>
            </w:pPr>
          </w:p>
        </w:tc>
        <w:tc>
          <w:tcPr>
            <w:tcW w:w="7674" w:type="dxa"/>
            <w:shd w:val="clear" w:color="auto" w:fill="auto"/>
            <w:tcMar>
              <w:left w:w="0" w:type="dxa"/>
            </w:tcMar>
          </w:tcPr>
          <w:p w14:paraId="6C8C6374" w14:textId="1B961145" w:rsidR="00EB1C78" w:rsidRPr="006E725C" w:rsidRDefault="00EB1C78" w:rsidP="00EB1C78">
            <w:pPr>
              <w:spacing w:after="20" w:line="240" w:lineRule="auto"/>
              <w:jc w:val="left"/>
              <w:rPr>
                <w:rFonts w:cs="Arial"/>
                <w:b/>
                <w:bCs/>
                <w:lang w:val="en-GB"/>
              </w:rPr>
            </w:pPr>
            <w:r w:rsidRPr="006E725C">
              <w:rPr>
                <w:b/>
                <w:lang w:val="en-GB"/>
              </w:rPr>
              <w:t xml:space="preserve">Chart 19 </w:t>
            </w:r>
            <w:r w:rsidRPr="006E725C">
              <w:rPr>
                <w:rFonts w:cs="Arial"/>
                <w:b/>
                <w:bCs/>
                <w:spacing w:val="-6"/>
                <w:lang w:val="en-GB"/>
              </w:rPr>
              <w:t xml:space="preserve">Selected expenditures of the state budget </w:t>
            </w:r>
          </w:p>
        </w:tc>
      </w:tr>
      <w:tr w:rsidR="00EB1C78" w:rsidRPr="006E725C" w14:paraId="44EBC16C" w14:textId="77777777" w:rsidTr="00EB1C78">
        <w:tblPrEx>
          <w:tblCellMar>
            <w:left w:w="70" w:type="dxa"/>
            <w:right w:w="70" w:type="dxa"/>
          </w:tblCellMar>
        </w:tblPrEx>
        <w:trPr>
          <w:trHeight w:val="170"/>
        </w:trPr>
        <w:tc>
          <w:tcPr>
            <w:tcW w:w="1792" w:type="dxa"/>
            <w:vMerge/>
            <w:shd w:val="clear" w:color="auto" w:fill="auto"/>
          </w:tcPr>
          <w:p w14:paraId="328D877A" w14:textId="77777777" w:rsidR="00EB1C78" w:rsidRPr="006E725C" w:rsidRDefault="00EB1C78" w:rsidP="00EB1C78">
            <w:pPr>
              <w:pStyle w:val="Marginlie"/>
              <w:rPr>
                <w:lang w:val="en-GB"/>
              </w:rPr>
            </w:pPr>
          </w:p>
        </w:tc>
        <w:tc>
          <w:tcPr>
            <w:tcW w:w="203" w:type="dxa"/>
            <w:vMerge/>
            <w:shd w:val="clear" w:color="auto" w:fill="auto"/>
          </w:tcPr>
          <w:p w14:paraId="7A930ECF" w14:textId="77777777" w:rsidR="00EB1C78" w:rsidRPr="006E725C" w:rsidRDefault="00EB1C78" w:rsidP="00EB1C78">
            <w:pPr>
              <w:pStyle w:val="Textpoznpodarou"/>
              <w:jc w:val="both"/>
              <w:rPr>
                <w:spacing w:val="-4"/>
                <w:lang w:val="en-GB"/>
              </w:rPr>
            </w:pPr>
          </w:p>
        </w:tc>
        <w:tc>
          <w:tcPr>
            <w:tcW w:w="7674" w:type="dxa"/>
            <w:shd w:val="clear" w:color="auto" w:fill="auto"/>
          </w:tcPr>
          <w:p w14:paraId="76AC23F1" w14:textId="0E6F481C" w:rsidR="00EB1C78" w:rsidRPr="006E725C" w:rsidRDefault="00EB1C78" w:rsidP="00EB1C78">
            <w:pPr>
              <w:spacing w:after="40"/>
              <w:rPr>
                <w:spacing w:val="-6"/>
                <w:lang w:val="en-GB"/>
              </w:rPr>
            </w:pPr>
            <w:r>
              <w:rPr>
                <w:noProof/>
              </w:rPr>
              <w:drawing>
                <wp:inline distT="0" distB="0" distL="0" distR="0" wp14:anchorId="5E2E0508" wp14:editId="6BA75E61">
                  <wp:extent cx="4712709" cy="3533034"/>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B1C78" w:rsidRPr="006E725C" w14:paraId="584B6453" w14:textId="77777777" w:rsidTr="00C07C2F">
        <w:trPr>
          <w:trHeight w:val="170"/>
        </w:trPr>
        <w:tc>
          <w:tcPr>
            <w:tcW w:w="1792" w:type="dxa"/>
            <w:vMerge/>
            <w:shd w:val="clear" w:color="auto" w:fill="auto"/>
            <w:tcMar>
              <w:left w:w="0" w:type="dxa"/>
            </w:tcMar>
          </w:tcPr>
          <w:p w14:paraId="2368233A" w14:textId="77777777" w:rsidR="00EB1C78" w:rsidRPr="006E725C" w:rsidRDefault="00EB1C78" w:rsidP="00EB1C78">
            <w:pPr>
              <w:pStyle w:val="Marginlie"/>
              <w:rPr>
                <w:lang w:val="en-GB"/>
              </w:rPr>
            </w:pPr>
          </w:p>
        </w:tc>
        <w:tc>
          <w:tcPr>
            <w:tcW w:w="203" w:type="dxa"/>
            <w:vMerge/>
            <w:shd w:val="clear" w:color="auto" w:fill="auto"/>
            <w:tcMar>
              <w:left w:w="0" w:type="dxa"/>
            </w:tcMar>
          </w:tcPr>
          <w:p w14:paraId="6D1C3D7C" w14:textId="77777777" w:rsidR="00EB1C78" w:rsidRPr="006E725C" w:rsidRDefault="00EB1C78" w:rsidP="00EB1C78">
            <w:pPr>
              <w:pStyle w:val="Textpoznpodarou"/>
              <w:jc w:val="both"/>
              <w:rPr>
                <w:spacing w:val="-4"/>
                <w:lang w:val="en-GB"/>
              </w:rPr>
            </w:pPr>
          </w:p>
        </w:tc>
        <w:tc>
          <w:tcPr>
            <w:tcW w:w="7674" w:type="dxa"/>
            <w:shd w:val="clear" w:color="auto" w:fill="auto"/>
            <w:tcMar>
              <w:left w:w="0" w:type="dxa"/>
            </w:tcMar>
          </w:tcPr>
          <w:p w14:paraId="5F159D77" w14:textId="77777777" w:rsidR="00EB1C78" w:rsidRPr="006E725C" w:rsidRDefault="00EB1C78" w:rsidP="00EB1C78">
            <w:pPr>
              <w:pStyle w:val="Textpoznpodarou"/>
              <w:rPr>
                <w:spacing w:val="-4"/>
                <w:sz w:val="14"/>
                <w:szCs w:val="14"/>
                <w:lang w:val="en-GB"/>
              </w:rPr>
            </w:pPr>
            <w:r w:rsidRPr="006E725C">
              <w:rPr>
                <w:spacing w:val="-4"/>
                <w:sz w:val="14"/>
                <w:szCs w:val="14"/>
                <w:lang w:val="en-GB"/>
              </w:rPr>
              <w:t>*</w:t>
            </w:r>
            <w:r w:rsidRPr="006E725C">
              <w:rPr>
                <w:spacing w:val="-6"/>
                <w:sz w:val="14"/>
                <w:szCs w:val="14"/>
                <w:lang w:val="en-GB"/>
              </w:rPr>
              <w:t xml:space="preserve"> Covers expenditures on salaries in central government institutions. Does not include e.g. wage costs of regional education.</w:t>
            </w:r>
          </w:p>
          <w:p w14:paraId="2DF0B25C" w14:textId="77777777" w:rsidR="00EB1C78" w:rsidRDefault="00EB1C78" w:rsidP="00EB1C78">
            <w:pPr>
              <w:pStyle w:val="Textpoznpodarou"/>
              <w:rPr>
                <w:spacing w:val="-6"/>
                <w:sz w:val="14"/>
                <w:szCs w:val="14"/>
                <w:lang w:val="en-GB"/>
              </w:rPr>
            </w:pPr>
            <w:r w:rsidRPr="006E725C">
              <w:rPr>
                <w:spacing w:val="-6"/>
                <w:sz w:val="14"/>
                <w:szCs w:val="14"/>
                <w:lang w:val="en-GB"/>
              </w:rPr>
              <w:t>**Also include</w:t>
            </w:r>
            <w:r>
              <w:rPr>
                <w:spacing w:val="-6"/>
                <w:sz w:val="14"/>
                <w:szCs w:val="14"/>
                <w:lang w:val="en-GB"/>
              </w:rPr>
              <w:t>s the foster care benefits.</w:t>
            </w:r>
          </w:p>
          <w:p w14:paraId="5B46D7CD" w14:textId="2DE46483" w:rsidR="00EB1C78" w:rsidRPr="006E725C" w:rsidRDefault="00EB1C78" w:rsidP="00EB1C78">
            <w:pPr>
              <w:pStyle w:val="Textpoznpodarou"/>
              <w:rPr>
                <w:spacing w:val="-6"/>
                <w:sz w:val="14"/>
                <w:szCs w:val="14"/>
                <w:lang w:val="en-GB"/>
              </w:rPr>
            </w:pPr>
            <w:r w:rsidRPr="006E725C">
              <w:rPr>
                <w:spacing w:val="-6"/>
                <w:sz w:val="14"/>
                <w:szCs w:val="14"/>
                <w:lang w:val="en-GB"/>
              </w:rPr>
              <w:t>***Include Material deprivation assistance benefits, Benefits for people with disabilities, Care benefits based on Act on State Social Support. Humanitarian aid provided for citizens of Ukraine is also included here.</w:t>
            </w:r>
          </w:p>
          <w:p w14:paraId="29C07145" w14:textId="77777777" w:rsidR="00EB1C78" w:rsidRDefault="00EB1C78" w:rsidP="00EB1C78">
            <w:pPr>
              <w:pStyle w:val="Textpoznpodarou"/>
              <w:rPr>
                <w:spacing w:val="-6"/>
                <w:sz w:val="14"/>
                <w:szCs w:val="14"/>
                <w:lang w:val="en-GB"/>
              </w:rPr>
            </w:pPr>
            <w:r w:rsidRPr="006E725C">
              <w:rPr>
                <w:spacing w:val="-6"/>
                <w:sz w:val="14"/>
                <w:szCs w:val="14"/>
                <w:lang w:val="en-GB"/>
              </w:rPr>
              <w:t xml:space="preserve">****Contains mainly expenditures on purchase of services, materials, energies or other services (e.g. expenditures </w:t>
            </w:r>
            <w:r>
              <w:rPr>
                <w:spacing w:val="-6"/>
                <w:sz w:val="14"/>
                <w:szCs w:val="14"/>
                <w:lang w:val="en-GB"/>
              </w:rPr>
              <w:t>on repairs and maintenance).</w:t>
            </w:r>
          </w:p>
          <w:p w14:paraId="6F6FC0F2" w14:textId="77247F69" w:rsidR="00EB1C78" w:rsidRPr="006E725C" w:rsidRDefault="00EB1C78" w:rsidP="00EB1C78">
            <w:pPr>
              <w:pStyle w:val="Textpoznpodarou"/>
              <w:rPr>
                <w:spacing w:val="-4"/>
                <w:sz w:val="14"/>
                <w:szCs w:val="14"/>
                <w:lang w:val="en-GB"/>
              </w:rPr>
            </w:pPr>
            <w:r w:rsidRPr="006E725C">
              <w:rPr>
                <w:spacing w:val="-6"/>
                <w:sz w:val="14"/>
                <w:szCs w:val="14"/>
                <w:lang w:val="en-GB"/>
              </w:rPr>
              <w:t>*****Corresponds to the balance of the budget chapter</w:t>
            </w:r>
            <w:r>
              <w:rPr>
                <w:spacing w:val="-6"/>
                <w:sz w:val="14"/>
                <w:szCs w:val="14"/>
                <w:lang w:val="en-GB"/>
              </w:rPr>
              <w:t xml:space="preserve"> State debt.</w:t>
            </w:r>
          </w:p>
          <w:p w14:paraId="3B711A94" w14:textId="7F66AE39" w:rsidR="00EB1C78" w:rsidRPr="006E725C" w:rsidRDefault="00EB1C78" w:rsidP="00EB1C78">
            <w:pPr>
              <w:pStyle w:val="Textpoznpodarou"/>
              <w:rPr>
                <w:spacing w:val="-4"/>
                <w:sz w:val="14"/>
                <w:szCs w:val="14"/>
                <w:lang w:val="en-GB"/>
              </w:rPr>
            </w:pPr>
            <w:r w:rsidRPr="006E725C">
              <w:rPr>
                <w:spacing w:val="-4"/>
                <w:sz w:val="14"/>
                <w:szCs w:val="14"/>
                <w:lang w:val="en-GB"/>
              </w:rPr>
              <w:t>Source: MF CR, MPSV</w:t>
            </w:r>
          </w:p>
          <w:p w14:paraId="03C283EA" w14:textId="02EDDBF4" w:rsidR="00EB1C78" w:rsidRPr="006E725C" w:rsidRDefault="00EB1C78" w:rsidP="00EB1C78">
            <w:pPr>
              <w:pStyle w:val="Textpoznpodarou"/>
              <w:rPr>
                <w:spacing w:val="-4"/>
                <w:sz w:val="14"/>
                <w:szCs w:val="14"/>
                <w:lang w:val="en-GB"/>
              </w:rPr>
            </w:pPr>
          </w:p>
        </w:tc>
      </w:tr>
    </w:tbl>
    <w:p w14:paraId="5F54A675" w14:textId="77777777" w:rsidR="0011055D" w:rsidRPr="006E725C" w:rsidRDefault="0011055D" w:rsidP="0011055D">
      <w:pPr>
        <w:pStyle w:val="Nadpis11"/>
        <w:rPr>
          <w:b w:val="0"/>
          <w:sz w:val="2"/>
          <w:szCs w:val="2"/>
          <w:lang w:val="en-GB"/>
        </w:rPr>
      </w:pPr>
    </w:p>
    <w:tbl>
      <w:tblPr>
        <w:tblW w:w="9669" w:type="dxa"/>
        <w:tblInd w:w="-20" w:type="dxa"/>
        <w:tblCellMar>
          <w:left w:w="0" w:type="dxa"/>
          <w:right w:w="0" w:type="dxa"/>
        </w:tblCellMar>
        <w:tblLook w:val="00A0" w:firstRow="1" w:lastRow="0" w:firstColumn="1" w:lastColumn="0" w:noHBand="0" w:noVBand="0"/>
      </w:tblPr>
      <w:tblGrid>
        <w:gridCol w:w="1718"/>
        <w:gridCol w:w="210"/>
        <w:gridCol w:w="7741"/>
      </w:tblGrid>
      <w:tr w:rsidR="0011055D" w:rsidRPr="006E725C" w14:paraId="6344EFA7" w14:textId="77777777" w:rsidTr="00C07C2F">
        <w:trPr>
          <w:trHeight w:val="145"/>
        </w:trPr>
        <w:tc>
          <w:tcPr>
            <w:tcW w:w="1718" w:type="dxa"/>
            <w:shd w:val="clear" w:color="auto" w:fill="auto"/>
            <w:tcMar>
              <w:left w:w="0" w:type="dxa"/>
            </w:tcMar>
          </w:tcPr>
          <w:p w14:paraId="6E2EEB22" w14:textId="1411C261" w:rsidR="0011055D" w:rsidRPr="006E725C" w:rsidRDefault="0011055D" w:rsidP="00C07C2F">
            <w:pPr>
              <w:pStyle w:val="Marginlie"/>
              <w:rPr>
                <w:lang w:val="en-GB"/>
              </w:rPr>
            </w:pPr>
            <w:r w:rsidRPr="006E725C">
              <w:rPr>
                <w:lang w:val="en-GB"/>
              </w:rPr>
              <w:t>St</w:t>
            </w:r>
            <w:r w:rsidR="005D33A3" w:rsidRPr="006E725C">
              <w:rPr>
                <w:lang w:val="en-GB"/>
              </w:rPr>
              <w:t xml:space="preserve">ate debt ascended to record size, the indebtedness growth rate was however the lowest in the last four years. </w:t>
            </w:r>
          </w:p>
        </w:tc>
        <w:tc>
          <w:tcPr>
            <w:tcW w:w="210" w:type="dxa"/>
            <w:shd w:val="clear" w:color="auto" w:fill="auto"/>
            <w:tcMar>
              <w:left w:w="0" w:type="dxa"/>
            </w:tcMar>
          </w:tcPr>
          <w:p w14:paraId="18FF772F" w14:textId="77777777" w:rsidR="0011055D" w:rsidRPr="006E725C" w:rsidRDefault="0011055D" w:rsidP="00C07C2F">
            <w:pPr>
              <w:pStyle w:val="Textpoznpodarou"/>
              <w:jc w:val="both"/>
              <w:rPr>
                <w:spacing w:val="-4"/>
                <w:lang w:val="en-GB"/>
              </w:rPr>
            </w:pPr>
          </w:p>
        </w:tc>
        <w:tc>
          <w:tcPr>
            <w:tcW w:w="7741" w:type="dxa"/>
            <w:shd w:val="clear" w:color="auto" w:fill="auto"/>
            <w:tcMar>
              <w:left w:w="0" w:type="dxa"/>
            </w:tcMar>
          </w:tcPr>
          <w:p w14:paraId="1B8BF50F" w14:textId="0A032898" w:rsidR="0011055D" w:rsidRPr="006E725C" w:rsidRDefault="0011055D" w:rsidP="00C07C2F">
            <w:pPr>
              <w:spacing w:after="200"/>
              <w:rPr>
                <w:color w:val="0D0D0D" w:themeColor="text1" w:themeTint="F2"/>
                <w:spacing w:val="-4"/>
                <w:lang w:val="en-GB"/>
              </w:rPr>
            </w:pPr>
            <w:r w:rsidRPr="006E725C">
              <w:rPr>
                <w:color w:val="0D0D0D" w:themeColor="text1" w:themeTint="F2"/>
                <w:spacing w:val="-4"/>
                <w:lang w:val="en-GB"/>
              </w:rPr>
              <w:t>St</w:t>
            </w:r>
            <w:r w:rsidR="005D33A3" w:rsidRPr="006E725C">
              <w:rPr>
                <w:color w:val="0D0D0D" w:themeColor="text1" w:themeTint="F2"/>
                <w:spacing w:val="-4"/>
                <w:lang w:val="en-GB"/>
              </w:rPr>
              <w:t xml:space="preserve">ate debt ascended to record </w:t>
            </w:r>
            <w:r w:rsidRPr="006E725C">
              <w:rPr>
                <w:color w:val="0D0D0D" w:themeColor="text1" w:themeTint="F2"/>
                <w:spacing w:val="-4"/>
                <w:lang w:val="en-GB"/>
              </w:rPr>
              <w:t xml:space="preserve">3 111 </w:t>
            </w:r>
            <w:r w:rsidR="009C0832">
              <w:rPr>
                <w:color w:val="0D0D0D" w:themeColor="text1" w:themeTint="F2"/>
                <w:spacing w:val="-4"/>
                <w:lang w:val="en-GB"/>
              </w:rPr>
              <w:t>CZK bn</w:t>
            </w:r>
            <w:r w:rsidR="005D33A3" w:rsidRPr="006E725C">
              <w:rPr>
                <w:color w:val="0D0D0D" w:themeColor="text1" w:themeTint="F2"/>
                <w:spacing w:val="-4"/>
                <w:lang w:val="en-GB"/>
              </w:rPr>
              <w:t xml:space="preserve"> at the end of year 2023</w:t>
            </w:r>
            <w:r w:rsidRPr="006E725C">
              <w:rPr>
                <w:color w:val="0D0D0D" w:themeColor="text1" w:themeTint="F2"/>
                <w:spacing w:val="-4"/>
                <w:lang w:val="en-GB"/>
              </w:rPr>
              <w:t xml:space="preserve">. </w:t>
            </w:r>
            <w:r w:rsidR="0042459A" w:rsidRPr="006E725C">
              <w:rPr>
                <w:color w:val="0D0D0D" w:themeColor="text1" w:themeTint="F2"/>
                <w:spacing w:val="-4"/>
                <w:lang w:val="en-GB"/>
              </w:rPr>
              <w:t xml:space="preserve">It increased by </w:t>
            </w:r>
            <w:r w:rsidRPr="006E725C">
              <w:rPr>
                <w:color w:val="0D0D0D" w:themeColor="text1" w:themeTint="F2"/>
                <w:spacing w:val="-4"/>
                <w:lang w:val="en-GB"/>
              </w:rPr>
              <w:t>216</w:t>
            </w:r>
            <w:r w:rsidR="0042459A" w:rsidRPr="006E725C">
              <w:rPr>
                <w:color w:val="0D0D0D" w:themeColor="text1" w:themeTint="F2"/>
                <w:spacing w:val="-4"/>
                <w:lang w:val="en-GB"/>
              </w:rPr>
              <w:t xml:space="preserve"> </w:t>
            </w:r>
            <w:r w:rsidR="009C0832">
              <w:rPr>
                <w:color w:val="0D0D0D" w:themeColor="text1" w:themeTint="F2"/>
                <w:spacing w:val="-4"/>
                <w:lang w:val="en-GB"/>
              </w:rPr>
              <w:t>CZK bn</w:t>
            </w:r>
            <w:r w:rsidR="0042459A" w:rsidRPr="006E725C">
              <w:rPr>
                <w:color w:val="0D0D0D" w:themeColor="text1" w:themeTint="F2"/>
                <w:spacing w:val="-4"/>
                <w:lang w:val="en-GB"/>
              </w:rPr>
              <w:t xml:space="preserve"> year-on-year, </w:t>
            </w:r>
            <w:r w:rsidR="008A3D90" w:rsidRPr="006E725C">
              <w:rPr>
                <w:color w:val="0D0D0D" w:themeColor="text1" w:themeTint="F2"/>
                <w:spacing w:val="-4"/>
                <w:lang w:val="en-GB"/>
              </w:rPr>
              <w:t>i.e.,</w:t>
            </w:r>
            <w:r w:rsidR="0042459A" w:rsidRPr="006E725C">
              <w:rPr>
                <w:color w:val="0D0D0D" w:themeColor="text1" w:themeTint="F2"/>
                <w:spacing w:val="-4"/>
                <w:lang w:val="en-GB"/>
              </w:rPr>
              <w:t xml:space="preserve"> approximately one half less than during years </w:t>
            </w:r>
            <w:r w:rsidRPr="006E725C">
              <w:rPr>
                <w:color w:val="0D0D0D" w:themeColor="text1" w:themeTint="F2"/>
                <w:spacing w:val="-4"/>
                <w:lang w:val="en-GB"/>
              </w:rPr>
              <w:t>2020, 2021 a</w:t>
            </w:r>
            <w:r w:rsidR="0042459A" w:rsidRPr="006E725C">
              <w:rPr>
                <w:color w:val="0D0D0D" w:themeColor="text1" w:themeTint="F2"/>
                <w:spacing w:val="-4"/>
                <w:lang w:val="en-GB"/>
              </w:rPr>
              <w:t>nd</w:t>
            </w:r>
            <w:r w:rsidRPr="006E725C">
              <w:rPr>
                <w:color w:val="0D0D0D" w:themeColor="text1" w:themeTint="F2"/>
                <w:spacing w:val="-4"/>
                <w:lang w:val="en-GB"/>
              </w:rPr>
              <w:t xml:space="preserve"> 2022.</w:t>
            </w:r>
            <w:r w:rsidR="0042459A" w:rsidRPr="006E725C">
              <w:rPr>
                <w:color w:val="0D0D0D" w:themeColor="text1" w:themeTint="F2"/>
                <w:spacing w:val="-4"/>
                <w:lang w:val="en-GB"/>
              </w:rPr>
              <w:t xml:space="preserve"> Indebtedness pace moderations is linked to the decrease of the above adopted short-term </w:t>
            </w:r>
            <w:r w:rsidR="008A3D90" w:rsidRPr="006E725C">
              <w:rPr>
                <w:color w:val="0D0D0D" w:themeColor="text1" w:themeTint="F2"/>
                <w:spacing w:val="-4"/>
                <w:lang w:val="en-GB"/>
              </w:rPr>
              <w:t>foreign</w:t>
            </w:r>
            <w:r w:rsidR="0042459A" w:rsidRPr="006E725C">
              <w:rPr>
                <w:color w:val="0D0D0D" w:themeColor="text1" w:themeTint="F2"/>
                <w:spacing w:val="-4"/>
                <w:lang w:val="en-GB"/>
              </w:rPr>
              <w:t xml:space="preserve"> loans and at the same time </w:t>
            </w:r>
            <w:r w:rsidR="008A3D90" w:rsidRPr="006E725C">
              <w:rPr>
                <w:color w:val="0D0D0D" w:themeColor="text1" w:themeTint="F2"/>
                <w:spacing w:val="-4"/>
                <w:lang w:val="en-GB"/>
              </w:rPr>
              <w:t xml:space="preserve">to the increase of repaid loans. Consequently, the external debt shrank by 47.4% during the last year </w:t>
            </w:r>
            <w:r w:rsidRPr="006E725C">
              <w:rPr>
                <w:color w:val="0D0D0D" w:themeColor="text1" w:themeTint="F2"/>
                <w:spacing w:val="-4"/>
                <w:lang w:val="en-GB"/>
              </w:rPr>
              <w:t>(</w:t>
            </w:r>
            <w:r w:rsidR="008A3D90" w:rsidRPr="006E725C">
              <w:rPr>
                <w:color w:val="0D0D0D" w:themeColor="text1" w:themeTint="F2"/>
                <w:spacing w:val="-4"/>
                <w:lang w:val="en-GB"/>
              </w:rPr>
              <w:t xml:space="preserve">to </w:t>
            </w:r>
            <w:r w:rsidRPr="006E725C">
              <w:rPr>
                <w:color w:val="0D0D0D" w:themeColor="text1" w:themeTint="F2"/>
                <w:spacing w:val="-4"/>
                <w:lang w:val="en-GB"/>
              </w:rPr>
              <w:t>152</w:t>
            </w:r>
            <w:r w:rsidR="008A3D90" w:rsidRPr="006E725C">
              <w:rPr>
                <w:color w:val="0D0D0D" w:themeColor="text1" w:themeTint="F2"/>
                <w:spacing w:val="-4"/>
                <w:lang w:val="en-GB"/>
              </w:rPr>
              <w:t xml:space="preserve"> </w:t>
            </w:r>
            <w:r w:rsidR="009C0832">
              <w:rPr>
                <w:color w:val="0D0D0D" w:themeColor="text1" w:themeTint="F2"/>
                <w:spacing w:val="-4"/>
                <w:lang w:val="en-GB"/>
              </w:rPr>
              <w:t>CZK bn</w:t>
            </w:r>
            <w:r w:rsidRPr="006E725C">
              <w:rPr>
                <w:color w:val="0D0D0D" w:themeColor="text1" w:themeTint="F2"/>
                <w:spacing w:val="-4"/>
                <w:lang w:val="en-GB"/>
              </w:rPr>
              <w:t xml:space="preserve">). </w:t>
            </w:r>
            <w:r w:rsidR="008A3D90" w:rsidRPr="006E725C">
              <w:rPr>
                <w:color w:val="0D0D0D" w:themeColor="text1" w:themeTint="F2"/>
                <w:spacing w:val="-4"/>
                <w:lang w:val="en-GB"/>
              </w:rPr>
              <w:t xml:space="preserve">The internal debt however increased by </w:t>
            </w:r>
            <w:r w:rsidRPr="006E725C">
              <w:rPr>
                <w:color w:val="0D0D0D" w:themeColor="text1" w:themeTint="F2"/>
                <w:spacing w:val="-4"/>
                <w:lang w:val="en-GB"/>
              </w:rPr>
              <w:t>13</w:t>
            </w:r>
            <w:r w:rsidR="008A3D90" w:rsidRPr="006E725C">
              <w:rPr>
                <w:color w:val="0D0D0D" w:themeColor="text1" w:themeTint="F2"/>
                <w:spacing w:val="-4"/>
                <w:lang w:val="en-GB"/>
              </w:rPr>
              <w:t>.</w:t>
            </w:r>
            <w:r w:rsidRPr="006E725C">
              <w:rPr>
                <w:color w:val="0D0D0D" w:themeColor="text1" w:themeTint="F2"/>
                <w:spacing w:val="-4"/>
                <w:lang w:val="en-GB"/>
              </w:rPr>
              <w:t xml:space="preserve">5%, </w:t>
            </w:r>
            <w:r w:rsidR="008A3D90" w:rsidRPr="006E725C">
              <w:rPr>
                <w:color w:val="0D0D0D" w:themeColor="text1" w:themeTint="F2"/>
                <w:spacing w:val="-4"/>
                <w:lang w:val="en-GB"/>
              </w:rPr>
              <w:t xml:space="preserve">mainly because of continuing high issue of medium and long-term state bonds, higher volume of state treasury bills also had a partial effect. </w:t>
            </w:r>
          </w:p>
        </w:tc>
      </w:tr>
      <w:tr w:rsidR="0011055D" w:rsidRPr="006E725C" w14:paraId="121F7445" w14:textId="77777777" w:rsidTr="00C07C2F">
        <w:trPr>
          <w:trHeight w:val="145"/>
        </w:trPr>
        <w:tc>
          <w:tcPr>
            <w:tcW w:w="1718" w:type="dxa"/>
            <w:shd w:val="clear" w:color="auto" w:fill="auto"/>
            <w:tcMar>
              <w:left w:w="0" w:type="dxa"/>
            </w:tcMar>
          </w:tcPr>
          <w:p w14:paraId="66AAC424" w14:textId="54BD0BA1" w:rsidR="0011055D" w:rsidRPr="006E725C" w:rsidRDefault="0063373E" w:rsidP="00C07C2F">
            <w:pPr>
              <w:pStyle w:val="Marginlie"/>
              <w:rPr>
                <w:color w:val="0D0D0D" w:themeColor="text1" w:themeTint="F2"/>
                <w:lang w:val="en-GB"/>
              </w:rPr>
            </w:pPr>
            <w:r w:rsidRPr="006E725C">
              <w:rPr>
                <w:color w:val="0D0D0D" w:themeColor="text1" w:themeTint="F2"/>
                <w:lang w:val="en-GB"/>
              </w:rPr>
              <w:t>Budget deficit of the government sector stayed the same for Q</w:t>
            </w:r>
            <w:r w:rsidR="0011055D" w:rsidRPr="006E725C">
              <w:rPr>
                <w:color w:val="0D0D0D" w:themeColor="text1" w:themeTint="F2"/>
                <w:lang w:val="en-GB"/>
              </w:rPr>
              <w:t>1</w:t>
            </w:r>
            <w:r w:rsidRPr="006E725C">
              <w:rPr>
                <w:color w:val="0D0D0D" w:themeColor="text1" w:themeTint="F2"/>
                <w:lang w:val="en-GB"/>
              </w:rPr>
              <w:t xml:space="preserve"> till Q</w:t>
            </w:r>
            <w:r w:rsidR="0011055D" w:rsidRPr="006E725C">
              <w:rPr>
                <w:color w:val="0D0D0D" w:themeColor="text1" w:themeTint="F2"/>
                <w:lang w:val="en-GB"/>
              </w:rPr>
              <w:t>3</w:t>
            </w:r>
            <w:r w:rsidRPr="006E725C">
              <w:rPr>
                <w:color w:val="0D0D0D" w:themeColor="text1" w:themeTint="F2"/>
                <w:lang w:val="en-GB"/>
              </w:rPr>
              <w:t xml:space="preserve"> year-on-year. </w:t>
            </w:r>
            <w:r w:rsidR="0011055D" w:rsidRPr="006E725C">
              <w:rPr>
                <w:color w:val="0D0D0D" w:themeColor="text1" w:themeTint="F2"/>
                <w:lang w:val="en-GB"/>
              </w:rPr>
              <w:t xml:space="preserve"> </w:t>
            </w:r>
          </w:p>
          <w:p w14:paraId="40337730" w14:textId="77777777" w:rsidR="0011055D" w:rsidRPr="006E725C" w:rsidRDefault="0011055D" w:rsidP="00C07C2F">
            <w:pPr>
              <w:pStyle w:val="Marginlie"/>
              <w:rPr>
                <w:color w:val="0D0D0D" w:themeColor="text1" w:themeTint="F2"/>
                <w:lang w:val="en-GB"/>
              </w:rPr>
            </w:pPr>
          </w:p>
          <w:p w14:paraId="11704BAD" w14:textId="77777777" w:rsidR="0011055D" w:rsidRPr="006E725C" w:rsidRDefault="0011055D" w:rsidP="00C07C2F">
            <w:pPr>
              <w:pStyle w:val="Marginlie"/>
              <w:rPr>
                <w:color w:val="0D0D0D" w:themeColor="text1" w:themeTint="F2"/>
                <w:lang w:val="en-GB"/>
              </w:rPr>
            </w:pPr>
          </w:p>
          <w:p w14:paraId="1C13DA28" w14:textId="77777777" w:rsidR="0011055D" w:rsidRPr="006E725C" w:rsidRDefault="0011055D" w:rsidP="00C07C2F">
            <w:pPr>
              <w:pStyle w:val="Marginlie"/>
              <w:rPr>
                <w:color w:val="0D0D0D" w:themeColor="text1" w:themeTint="F2"/>
                <w:lang w:val="en-GB"/>
              </w:rPr>
            </w:pPr>
          </w:p>
          <w:p w14:paraId="40A4EDBF" w14:textId="77777777" w:rsidR="0011055D" w:rsidRPr="006E725C" w:rsidRDefault="0011055D" w:rsidP="00C07C2F">
            <w:pPr>
              <w:pStyle w:val="Marginlie"/>
              <w:rPr>
                <w:color w:val="0D0D0D" w:themeColor="text1" w:themeTint="F2"/>
                <w:lang w:val="en-GB"/>
              </w:rPr>
            </w:pPr>
          </w:p>
          <w:p w14:paraId="1241A197" w14:textId="77777777" w:rsidR="0011055D" w:rsidRPr="006E725C" w:rsidRDefault="0011055D" w:rsidP="00C07C2F">
            <w:pPr>
              <w:pStyle w:val="Marginlie"/>
              <w:rPr>
                <w:color w:val="0D0D0D" w:themeColor="text1" w:themeTint="F2"/>
                <w:lang w:val="en-GB"/>
              </w:rPr>
            </w:pPr>
          </w:p>
          <w:p w14:paraId="1DEDFA00" w14:textId="13CDA2C3" w:rsidR="0011055D" w:rsidRDefault="0011055D" w:rsidP="00C07C2F">
            <w:pPr>
              <w:pStyle w:val="Marginlie"/>
              <w:rPr>
                <w:color w:val="0D0D0D" w:themeColor="text1" w:themeTint="F2"/>
                <w:lang w:val="en-GB"/>
              </w:rPr>
            </w:pPr>
          </w:p>
          <w:p w14:paraId="52E9C305" w14:textId="148CDD77" w:rsidR="002E7C7A" w:rsidRDefault="002E7C7A" w:rsidP="00C07C2F">
            <w:pPr>
              <w:pStyle w:val="Marginlie"/>
              <w:rPr>
                <w:color w:val="0D0D0D" w:themeColor="text1" w:themeTint="F2"/>
                <w:lang w:val="en-GB"/>
              </w:rPr>
            </w:pPr>
          </w:p>
          <w:p w14:paraId="7B18E5B5" w14:textId="77777777" w:rsidR="002E7C7A" w:rsidRPr="006E725C" w:rsidRDefault="002E7C7A" w:rsidP="00C07C2F">
            <w:pPr>
              <w:pStyle w:val="Marginlie"/>
              <w:rPr>
                <w:color w:val="0D0D0D" w:themeColor="text1" w:themeTint="F2"/>
                <w:lang w:val="en-GB"/>
              </w:rPr>
            </w:pPr>
          </w:p>
          <w:p w14:paraId="4D9CA073" w14:textId="77777777" w:rsidR="0011055D" w:rsidRPr="006E725C" w:rsidRDefault="0011055D" w:rsidP="00C07C2F">
            <w:pPr>
              <w:pStyle w:val="Marginlie"/>
              <w:rPr>
                <w:color w:val="0D0D0D" w:themeColor="text1" w:themeTint="F2"/>
                <w:lang w:val="en-GB"/>
              </w:rPr>
            </w:pPr>
          </w:p>
          <w:p w14:paraId="0161EFFC" w14:textId="56E2BD95" w:rsidR="0011055D" w:rsidRPr="006E725C" w:rsidRDefault="0063373E" w:rsidP="00C07C2F">
            <w:pPr>
              <w:pStyle w:val="Marginlie"/>
              <w:rPr>
                <w:color w:val="0D0D0D" w:themeColor="text1" w:themeTint="F2"/>
                <w:lang w:val="en-GB"/>
              </w:rPr>
            </w:pPr>
            <w:r w:rsidRPr="006E725C">
              <w:rPr>
                <w:color w:val="0D0D0D" w:themeColor="text1" w:themeTint="F2"/>
                <w:lang w:val="en-GB"/>
              </w:rPr>
              <w:lastRenderedPageBreak/>
              <w:t xml:space="preserve">Year-on-year growth of the absolute size of debt again exceeded the budget deficit. </w:t>
            </w:r>
            <w:r w:rsidR="005D33A3" w:rsidRPr="006E725C">
              <w:rPr>
                <w:color w:val="0D0D0D" w:themeColor="text1" w:themeTint="F2"/>
                <w:lang w:val="en-GB"/>
              </w:rPr>
              <w:t xml:space="preserve">Thanks to brisk nominal growth of GDP, the indebtedness rate dropped year-on-year. </w:t>
            </w:r>
            <w:r w:rsidR="0011055D" w:rsidRPr="006E725C">
              <w:rPr>
                <w:color w:val="0D0D0D" w:themeColor="text1" w:themeTint="F2"/>
                <w:lang w:val="en-GB"/>
              </w:rPr>
              <w:t xml:space="preserve"> </w:t>
            </w:r>
          </w:p>
        </w:tc>
        <w:tc>
          <w:tcPr>
            <w:tcW w:w="210" w:type="dxa"/>
            <w:shd w:val="clear" w:color="auto" w:fill="auto"/>
            <w:tcMar>
              <w:left w:w="0" w:type="dxa"/>
            </w:tcMar>
          </w:tcPr>
          <w:p w14:paraId="25403A24" w14:textId="77777777" w:rsidR="0011055D" w:rsidRPr="006E725C" w:rsidRDefault="0011055D" w:rsidP="00C07C2F">
            <w:pPr>
              <w:pStyle w:val="Textpoznpodarou"/>
              <w:jc w:val="both"/>
              <w:rPr>
                <w:color w:val="0D0D0D" w:themeColor="text1" w:themeTint="F2"/>
                <w:spacing w:val="-4"/>
                <w:lang w:val="en-GB"/>
              </w:rPr>
            </w:pPr>
          </w:p>
        </w:tc>
        <w:tc>
          <w:tcPr>
            <w:tcW w:w="7741" w:type="dxa"/>
            <w:shd w:val="clear" w:color="auto" w:fill="auto"/>
            <w:tcMar>
              <w:left w:w="0" w:type="dxa"/>
            </w:tcMar>
          </w:tcPr>
          <w:p w14:paraId="2C033545" w14:textId="3E21F6E9" w:rsidR="0011055D" w:rsidRPr="006E725C" w:rsidRDefault="0011055D" w:rsidP="00C07C2F">
            <w:pPr>
              <w:rPr>
                <w:color w:val="0D0D0D" w:themeColor="text1" w:themeTint="F2"/>
                <w:spacing w:val="-4"/>
                <w:lang w:val="en-GB"/>
              </w:rPr>
            </w:pPr>
            <w:r w:rsidRPr="006E725C">
              <w:rPr>
                <w:color w:val="0D0D0D" w:themeColor="text1" w:themeTint="F2"/>
                <w:spacing w:val="-4"/>
                <w:lang w:val="en-GB"/>
              </w:rPr>
              <w:t>Se</w:t>
            </w:r>
            <w:r w:rsidR="00CB01F1" w:rsidRPr="006E725C">
              <w:rPr>
                <w:color w:val="0D0D0D" w:themeColor="text1" w:themeTint="F2"/>
                <w:spacing w:val="-4"/>
                <w:lang w:val="en-GB"/>
              </w:rPr>
              <w:t xml:space="preserve">ctor of government institutions </w:t>
            </w:r>
            <w:r w:rsidRPr="006E725C">
              <w:rPr>
                <w:color w:val="0D0D0D" w:themeColor="text1" w:themeTint="F2"/>
                <w:spacing w:val="-4"/>
                <w:lang w:val="en-GB"/>
              </w:rPr>
              <w:t>(VI)</w:t>
            </w:r>
            <w:r w:rsidR="00CB01F1" w:rsidRPr="006E725C">
              <w:rPr>
                <w:color w:val="0D0D0D" w:themeColor="text1" w:themeTint="F2"/>
                <w:spacing w:val="-4"/>
                <w:lang w:val="en-GB"/>
              </w:rPr>
              <w:t xml:space="preserve"> in the CR managed a deficit of </w:t>
            </w:r>
            <w:r w:rsidRPr="006E725C">
              <w:rPr>
                <w:color w:val="0D0D0D" w:themeColor="text1" w:themeTint="F2"/>
                <w:spacing w:val="-4"/>
                <w:lang w:val="en-GB"/>
              </w:rPr>
              <w:t>117</w:t>
            </w:r>
            <w:r w:rsidR="00CB01F1" w:rsidRPr="006E725C">
              <w:rPr>
                <w:color w:val="0D0D0D" w:themeColor="text1" w:themeTint="F2"/>
                <w:spacing w:val="-4"/>
                <w:lang w:val="en-GB"/>
              </w:rPr>
              <w:t xml:space="preserve"> </w:t>
            </w:r>
            <w:r w:rsidR="009C0832">
              <w:rPr>
                <w:color w:val="0D0D0D" w:themeColor="text1" w:themeTint="F2"/>
                <w:spacing w:val="-4"/>
                <w:lang w:val="en-GB"/>
              </w:rPr>
              <w:t>CZK bn</w:t>
            </w:r>
            <w:r w:rsidRPr="006E725C">
              <w:rPr>
                <w:rStyle w:val="Znakapoznpodarou"/>
                <w:color w:val="0D0D0D" w:themeColor="text1" w:themeTint="F2"/>
                <w:spacing w:val="-4"/>
                <w:lang w:val="en-GB"/>
              </w:rPr>
              <w:footnoteReference w:id="31"/>
            </w:r>
            <w:r w:rsidR="00CB01F1" w:rsidRPr="006E725C">
              <w:rPr>
                <w:color w:val="0D0D0D" w:themeColor="text1" w:themeTint="F2"/>
                <w:spacing w:val="-4"/>
                <w:lang w:val="en-GB"/>
              </w:rPr>
              <w:t xml:space="preserve"> in the CR in Q1 to Q3 2023</w:t>
            </w:r>
            <w:r w:rsidR="00CB01F1" w:rsidRPr="006E725C">
              <w:rPr>
                <w:rStyle w:val="Znakapoznpodarou"/>
                <w:color w:val="0D0D0D" w:themeColor="text1" w:themeTint="F2"/>
                <w:spacing w:val="-4"/>
                <w:lang w:val="en-GB"/>
              </w:rPr>
              <w:footnoteReference w:id="32"/>
            </w:r>
            <w:r w:rsidRPr="006E725C">
              <w:rPr>
                <w:color w:val="0D0D0D" w:themeColor="text1" w:themeTint="F2"/>
                <w:spacing w:val="-4"/>
                <w:lang w:val="en-GB"/>
              </w:rPr>
              <w:t xml:space="preserve">, </w:t>
            </w:r>
            <w:r w:rsidR="00CB01F1" w:rsidRPr="006E725C">
              <w:rPr>
                <w:color w:val="0D0D0D" w:themeColor="text1" w:themeTint="F2"/>
                <w:spacing w:val="-4"/>
                <w:lang w:val="en-GB"/>
              </w:rPr>
              <w:t xml:space="preserve">nearly identical as in the same period of the previous year. </w:t>
            </w:r>
            <w:r w:rsidR="005E23A3" w:rsidRPr="006E725C">
              <w:rPr>
                <w:color w:val="0D0D0D" w:themeColor="text1" w:themeTint="F2"/>
                <w:spacing w:val="-4"/>
                <w:lang w:val="en-GB"/>
              </w:rPr>
              <w:t xml:space="preserve">Given the stagnation of the deep deficit of central government institutions </w:t>
            </w:r>
            <w:r w:rsidRPr="006E725C">
              <w:rPr>
                <w:color w:val="0D0D0D" w:themeColor="text1" w:themeTint="F2"/>
                <w:spacing w:val="-4"/>
                <w:lang w:val="en-GB"/>
              </w:rPr>
              <w:t>(</w:t>
            </w:r>
            <w:r w:rsidR="00CB01F1" w:rsidRPr="006E725C">
              <w:rPr>
                <w:color w:val="0D0D0D" w:themeColor="text1" w:themeTint="F2"/>
                <w:spacing w:val="-4"/>
                <w:lang w:val="en-GB"/>
              </w:rPr>
              <w:t>which financed key extraordinary expenditures connected to the solution of the impact of higher inflation or integration of refugees from Ukraine</w:t>
            </w:r>
            <w:r w:rsidRPr="006E725C">
              <w:rPr>
                <w:color w:val="0D0D0D" w:themeColor="text1" w:themeTint="F2"/>
                <w:spacing w:val="-4"/>
                <w:lang w:val="en-GB"/>
              </w:rPr>
              <w:t xml:space="preserve">) </w:t>
            </w:r>
            <w:r w:rsidR="00CB01F1" w:rsidRPr="006E725C">
              <w:rPr>
                <w:color w:val="0D0D0D" w:themeColor="text1" w:themeTint="F2"/>
                <w:spacing w:val="-4"/>
                <w:lang w:val="en-GB"/>
              </w:rPr>
              <w:t xml:space="preserve">mild increase of the surplus of local government institutions arose </w:t>
            </w:r>
            <w:r w:rsidRPr="006E725C">
              <w:rPr>
                <w:color w:val="0D0D0D" w:themeColor="text1" w:themeTint="F2"/>
                <w:spacing w:val="-4"/>
                <w:lang w:val="en-GB"/>
              </w:rPr>
              <w:t>(</w:t>
            </w:r>
            <w:r w:rsidR="00CB01F1" w:rsidRPr="006E725C">
              <w:rPr>
                <w:color w:val="0D0D0D" w:themeColor="text1" w:themeTint="F2"/>
                <w:spacing w:val="-4"/>
                <w:lang w:val="en-GB"/>
              </w:rPr>
              <w:t xml:space="preserve">to record </w:t>
            </w:r>
            <w:r w:rsidRPr="006E725C">
              <w:rPr>
                <w:color w:val="0D0D0D" w:themeColor="text1" w:themeTint="F2"/>
                <w:spacing w:val="-4"/>
                <w:lang w:val="en-GB"/>
              </w:rPr>
              <w:t>93</w:t>
            </w:r>
            <w:r w:rsidR="00CB01F1" w:rsidRPr="006E725C">
              <w:rPr>
                <w:color w:val="0D0D0D" w:themeColor="text1" w:themeTint="F2"/>
                <w:spacing w:val="-4"/>
                <w:lang w:val="en-GB"/>
              </w:rPr>
              <w:t xml:space="preserve"> bn</w:t>
            </w:r>
            <w:r w:rsidRPr="006E725C">
              <w:rPr>
                <w:color w:val="0D0D0D" w:themeColor="text1" w:themeTint="F2"/>
                <w:spacing w:val="-4"/>
                <w:lang w:val="en-GB"/>
              </w:rPr>
              <w:t>),</w:t>
            </w:r>
            <w:r w:rsidR="00CB01F1" w:rsidRPr="006E725C">
              <w:rPr>
                <w:color w:val="0D0D0D" w:themeColor="text1" w:themeTint="F2"/>
                <w:spacing w:val="-4"/>
                <w:lang w:val="en-GB"/>
              </w:rPr>
              <w:t xml:space="preserve"> on the contrary the positive balance of </w:t>
            </w:r>
            <w:r w:rsidR="005E23A3" w:rsidRPr="006E725C">
              <w:rPr>
                <w:color w:val="0D0D0D" w:themeColor="text1" w:themeTint="F2"/>
                <w:spacing w:val="-4"/>
                <w:lang w:val="en-GB"/>
              </w:rPr>
              <w:t xml:space="preserve">budget of health insurance companies slightly worsened </w:t>
            </w:r>
            <w:r w:rsidRPr="006E725C">
              <w:rPr>
                <w:color w:val="0D0D0D" w:themeColor="text1" w:themeTint="F2"/>
                <w:spacing w:val="-4"/>
                <w:lang w:val="en-GB"/>
              </w:rPr>
              <w:t>(</w:t>
            </w:r>
            <w:r w:rsidR="005E23A3" w:rsidRPr="006E725C">
              <w:rPr>
                <w:color w:val="0D0D0D" w:themeColor="text1" w:themeTint="F2"/>
                <w:spacing w:val="-4"/>
                <w:lang w:val="en-GB"/>
              </w:rPr>
              <w:t xml:space="preserve">from </w:t>
            </w:r>
            <w:r w:rsidRPr="006E725C">
              <w:rPr>
                <w:color w:val="0D0D0D" w:themeColor="text1" w:themeTint="F2"/>
                <w:spacing w:val="-4"/>
                <w:lang w:val="en-GB"/>
              </w:rPr>
              <w:t>15</w:t>
            </w:r>
            <w:r w:rsidR="005E23A3" w:rsidRPr="006E725C">
              <w:rPr>
                <w:color w:val="0D0D0D" w:themeColor="text1" w:themeTint="F2"/>
                <w:spacing w:val="-4"/>
                <w:lang w:val="en-GB"/>
              </w:rPr>
              <w:t xml:space="preserve"> bn to </w:t>
            </w:r>
            <w:r w:rsidRPr="006E725C">
              <w:rPr>
                <w:color w:val="0D0D0D" w:themeColor="text1" w:themeTint="F2"/>
                <w:spacing w:val="-4"/>
                <w:lang w:val="en-GB"/>
              </w:rPr>
              <w:t>4</w:t>
            </w:r>
            <w:r w:rsidR="005E23A3" w:rsidRPr="006E725C">
              <w:rPr>
                <w:color w:val="0D0D0D" w:themeColor="text1" w:themeTint="F2"/>
                <w:spacing w:val="-4"/>
                <w:lang w:val="en-GB"/>
              </w:rPr>
              <w:t xml:space="preserve"> bn</w:t>
            </w:r>
            <w:r w:rsidRPr="006E725C">
              <w:rPr>
                <w:color w:val="0D0D0D" w:themeColor="text1" w:themeTint="F2"/>
                <w:spacing w:val="-4"/>
                <w:lang w:val="en-GB"/>
              </w:rPr>
              <w:t xml:space="preserve">). </w:t>
            </w:r>
            <w:r w:rsidR="005E23A3" w:rsidRPr="006E725C">
              <w:rPr>
                <w:color w:val="0D0D0D" w:themeColor="text1" w:themeTint="F2"/>
                <w:spacing w:val="-4"/>
                <w:lang w:val="en-GB"/>
              </w:rPr>
              <w:t xml:space="preserve">Revenues of the whole sector </w:t>
            </w:r>
            <w:r w:rsidRPr="006E725C">
              <w:rPr>
                <w:color w:val="0D0D0D" w:themeColor="text1" w:themeTint="F2"/>
                <w:spacing w:val="-4"/>
                <w:lang w:val="en-GB"/>
              </w:rPr>
              <w:t xml:space="preserve">VI </w:t>
            </w:r>
            <w:r w:rsidR="005E23A3" w:rsidRPr="006E725C">
              <w:rPr>
                <w:color w:val="0D0D0D" w:themeColor="text1" w:themeTint="F2"/>
                <w:spacing w:val="-4"/>
                <w:lang w:val="en-GB"/>
              </w:rPr>
              <w:t xml:space="preserve">increased by 10.8% year-on-year last year for the three quarters, mainly due to the current taxes on income </w:t>
            </w:r>
            <w:r w:rsidRPr="006E725C">
              <w:rPr>
                <w:color w:val="0D0D0D" w:themeColor="text1" w:themeTint="F2"/>
                <w:spacing w:val="-4"/>
                <w:lang w:val="en-GB"/>
              </w:rPr>
              <w:t>(+72</w:t>
            </w:r>
            <w:r w:rsidR="005E23A3" w:rsidRPr="006E725C">
              <w:rPr>
                <w:color w:val="0D0D0D" w:themeColor="text1" w:themeTint="F2"/>
                <w:spacing w:val="-4"/>
                <w:lang w:val="en-GB"/>
              </w:rPr>
              <w:t xml:space="preserve"> </w:t>
            </w:r>
            <w:r w:rsidR="009C0832">
              <w:rPr>
                <w:color w:val="0D0D0D" w:themeColor="text1" w:themeTint="F2"/>
                <w:spacing w:val="-4"/>
                <w:lang w:val="en-GB"/>
              </w:rPr>
              <w:t>CZK bn</w:t>
            </w:r>
            <w:r w:rsidRPr="006E725C">
              <w:rPr>
                <w:color w:val="0D0D0D" w:themeColor="text1" w:themeTint="F2"/>
                <w:spacing w:val="-4"/>
                <w:lang w:val="en-GB"/>
              </w:rPr>
              <w:t>),</w:t>
            </w:r>
            <w:r w:rsidR="005E23A3" w:rsidRPr="006E725C">
              <w:rPr>
                <w:color w:val="0D0D0D" w:themeColor="text1" w:themeTint="F2"/>
                <w:spacing w:val="-4"/>
                <w:lang w:val="en-GB"/>
              </w:rPr>
              <w:t xml:space="preserve"> received social contributions </w:t>
            </w:r>
            <w:r w:rsidRPr="006E725C">
              <w:rPr>
                <w:color w:val="0D0D0D" w:themeColor="text1" w:themeTint="F2"/>
                <w:spacing w:val="-4"/>
                <w:lang w:val="en-GB"/>
              </w:rPr>
              <w:t>(+61</w:t>
            </w:r>
            <w:r w:rsidR="005E23A3" w:rsidRPr="006E725C">
              <w:rPr>
                <w:color w:val="0D0D0D" w:themeColor="text1" w:themeTint="F2"/>
                <w:spacing w:val="-4"/>
                <w:lang w:val="en-GB"/>
              </w:rPr>
              <w:t xml:space="preserve"> bn</w:t>
            </w:r>
            <w:r w:rsidRPr="006E725C">
              <w:rPr>
                <w:color w:val="0D0D0D" w:themeColor="text1" w:themeTint="F2"/>
                <w:spacing w:val="-4"/>
                <w:lang w:val="en-GB"/>
              </w:rPr>
              <w:t>)</w:t>
            </w:r>
            <w:r w:rsidR="005E23A3" w:rsidRPr="006E725C">
              <w:rPr>
                <w:color w:val="0D0D0D" w:themeColor="text1" w:themeTint="F2"/>
                <w:spacing w:val="-4"/>
                <w:lang w:val="en-GB"/>
              </w:rPr>
              <w:t xml:space="preserve"> or growing importance of received dividends.</w:t>
            </w:r>
            <w:r w:rsidR="004E5342" w:rsidRPr="006E725C">
              <w:rPr>
                <w:color w:val="0D0D0D" w:themeColor="text1" w:themeTint="F2"/>
                <w:spacing w:val="-4"/>
                <w:lang w:val="en-GB"/>
              </w:rPr>
              <w:t xml:space="preserve"> In </w:t>
            </w:r>
            <w:r w:rsidR="0074333D" w:rsidRPr="006E725C">
              <w:rPr>
                <w:color w:val="0D0D0D" w:themeColor="text1" w:themeTint="F2"/>
                <w:spacing w:val="-4"/>
                <w:lang w:val="en-GB"/>
              </w:rPr>
              <w:t>contrast,</w:t>
            </w:r>
            <w:r w:rsidR="004E5342" w:rsidRPr="006E725C">
              <w:rPr>
                <w:color w:val="0D0D0D" w:themeColor="text1" w:themeTint="F2"/>
                <w:spacing w:val="-4"/>
                <w:lang w:val="en-GB"/>
              </w:rPr>
              <w:t xml:space="preserve"> the influence of VAT and consumer taxes weakened. Total expenditures </w:t>
            </w:r>
            <w:r w:rsidRPr="006E725C">
              <w:rPr>
                <w:color w:val="0D0D0D" w:themeColor="text1" w:themeTint="F2"/>
                <w:spacing w:val="-4"/>
                <w:lang w:val="en-GB"/>
              </w:rPr>
              <w:t xml:space="preserve">VI </w:t>
            </w:r>
            <w:r w:rsidR="004E5342" w:rsidRPr="006E725C">
              <w:rPr>
                <w:color w:val="0D0D0D" w:themeColor="text1" w:themeTint="F2"/>
                <w:spacing w:val="-4"/>
                <w:lang w:val="en-GB"/>
              </w:rPr>
              <w:t xml:space="preserve">analogically increased by </w:t>
            </w:r>
            <w:r w:rsidRPr="006E725C">
              <w:rPr>
                <w:color w:val="0D0D0D" w:themeColor="text1" w:themeTint="F2"/>
                <w:spacing w:val="-4"/>
                <w:lang w:val="en-GB"/>
              </w:rPr>
              <w:t>10</w:t>
            </w:r>
            <w:r w:rsidR="004E5342" w:rsidRPr="006E725C">
              <w:rPr>
                <w:color w:val="0D0D0D" w:themeColor="text1" w:themeTint="F2"/>
                <w:spacing w:val="-4"/>
                <w:lang w:val="en-GB"/>
              </w:rPr>
              <w:t>.</w:t>
            </w:r>
            <w:r w:rsidRPr="006E725C">
              <w:rPr>
                <w:color w:val="0D0D0D" w:themeColor="text1" w:themeTint="F2"/>
                <w:spacing w:val="-4"/>
                <w:lang w:val="en-GB"/>
              </w:rPr>
              <w:t xml:space="preserve">2%, </w:t>
            </w:r>
            <w:r w:rsidR="004E5342" w:rsidRPr="006E725C">
              <w:rPr>
                <w:color w:val="0D0D0D" w:themeColor="text1" w:themeTint="F2"/>
                <w:spacing w:val="-4"/>
                <w:lang w:val="en-GB"/>
              </w:rPr>
              <w:t xml:space="preserve">which was the result of mostly social </w:t>
            </w:r>
            <w:r w:rsidR="004E5342" w:rsidRPr="006E725C">
              <w:rPr>
                <w:color w:val="0D0D0D" w:themeColor="text1" w:themeTint="F2"/>
                <w:spacing w:val="-4"/>
                <w:lang w:val="en-GB"/>
              </w:rPr>
              <w:lastRenderedPageBreak/>
              <w:t xml:space="preserve">benefits and natural social transfers </w:t>
            </w:r>
            <w:r w:rsidRPr="006E725C">
              <w:rPr>
                <w:color w:val="0D0D0D" w:themeColor="text1" w:themeTint="F2"/>
                <w:spacing w:val="-4"/>
                <w:lang w:val="en-GB"/>
              </w:rPr>
              <w:t>(+96</w:t>
            </w:r>
            <w:r w:rsidR="004E5342" w:rsidRPr="006E725C">
              <w:rPr>
                <w:color w:val="0D0D0D" w:themeColor="text1" w:themeTint="F2"/>
                <w:spacing w:val="-4"/>
                <w:lang w:val="en-GB"/>
              </w:rPr>
              <w:t xml:space="preserve"> </w:t>
            </w:r>
            <w:r w:rsidR="009C0832">
              <w:rPr>
                <w:color w:val="0D0D0D" w:themeColor="text1" w:themeTint="F2"/>
                <w:spacing w:val="-4"/>
                <w:lang w:val="en-GB"/>
              </w:rPr>
              <w:t>CZK bn</w:t>
            </w:r>
            <w:r w:rsidRPr="006E725C">
              <w:rPr>
                <w:color w:val="0D0D0D" w:themeColor="text1" w:themeTint="F2"/>
                <w:spacing w:val="-4"/>
                <w:lang w:val="en-GB"/>
              </w:rPr>
              <w:t>)</w:t>
            </w:r>
            <w:r w:rsidR="004E5342" w:rsidRPr="006E725C">
              <w:rPr>
                <w:color w:val="0D0D0D" w:themeColor="text1" w:themeTint="F2"/>
                <w:spacing w:val="-4"/>
                <w:lang w:val="en-GB"/>
              </w:rPr>
              <w:t xml:space="preserve">, paid out subsidies </w:t>
            </w:r>
            <w:r w:rsidRPr="006E725C">
              <w:rPr>
                <w:color w:val="0D0D0D" w:themeColor="text1" w:themeTint="F2"/>
                <w:spacing w:val="-4"/>
                <w:lang w:val="en-GB"/>
              </w:rPr>
              <w:t>(+40</w:t>
            </w:r>
            <w:r w:rsidR="004E5342" w:rsidRPr="006E725C">
              <w:rPr>
                <w:color w:val="0D0D0D" w:themeColor="text1" w:themeTint="F2"/>
                <w:spacing w:val="-4"/>
                <w:lang w:val="en-GB"/>
              </w:rPr>
              <w:t xml:space="preserve"> bn</w:t>
            </w:r>
            <w:r w:rsidRPr="006E725C">
              <w:rPr>
                <w:color w:val="0D0D0D" w:themeColor="text1" w:themeTint="F2"/>
                <w:spacing w:val="-4"/>
                <w:lang w:val="en-GB"/>
              </w:rPr>
              <w:t>) a</w:t>
            </w:r>
            <w:r w:rsidR="004E5342" w:rsidRPr="006E725C">
              <w:rPr>
                <w:color w:val="0D0D0D" w:themeColor="text1" w:themeTint="F2"/>
                <w:spacing w:val="-4"/>
                <w:lang w:val="en-GB"/>
              </w:rPr>
              <w:t xml:space="preserve">nd compensations to employees </w:t>
            </w:r>
            <w:r w:rsidRPr="006E725C">
              <w:rPr>
                <w:color w:val="0D0D0D" w:themeColor="text1" w:themeTint="F2"/>
                <w:spacing w:val="-4"/>
                <w:lang w:val="en-GB"/>
              </w:rPr>
              <w:t>(+40</w:t>
            </w:r>
            <w:r w:rsidR="004E5342" w:rsidRPr="006E725C">
              <w:rPr>
                <w:color w:val="0D0D0D" w:themeColor="text1" w:themeTint="F2"/>
                <w:spacing w:val="-4"/>
                <w:lang w:val="en-GB"/>
              </w:rPr>
              <w:t xml:space="preserve"> bn</w:t>
            </w:r>
            <w:r w:rsidRPr="006E725C">
              <w:rPr>
                <w:color w:val="0D0D0D" w:themeColor="text1" w:themeTint="F2"/>
                <w:spacing w:val="-4"/>
                <w:lang w:val="en-GB"/>
              </w:rPr>
              <w:t>),</w:t>
            </w:r>
            <w:r w:rsidR="004E5342" w:rsidRPr="006E725C">
              <w:rPr>
                <w:color w:val="0D0D0D" w:themeColor="text1" w:themeTint="F2"/>
                <w:spacing w:val="-4"/>
                <w:lang w:val="en-GB"/>
              </w:rPr>
              <w:t xml:space="preserve"> whose pro-growth role however strengthened against year </w:t>
            </w:r>
            <w:r w:rsidRPr="006E725C">
              <w:rPr>
                <w:color w:val="0D0D0D" w:themeColor="text1" w:themeTint="F2"/>
                <w:spacing w:val="-4"/>
                <w:lang w:val="en-GB"/>
              </w:rPr>
              <w:t>2022.</w:t>
            </w:r>
            <w:r w:rsidR="004E5342" w:rsidRPr="006E725C">
              <w:rPr>
                <w:color w:val="0D0D0D" w:themeColor="text1" w:themeTint="F2"/>
                <w:spacing w:val="-4"/>
                <w:lang w:val="en-GB"/>
              </w:rPr>
              <w:t xml:space="preserve"> Seasonally adjusted budget deficit </w:t>
            </w:r>
            <w:r w:rsidRPr="006E725C">
              <w:rPr>
                <w:color w:val="0D0D0D" w:themeColor="text1" w:themeTint="F2"/>
                <w:spacing w:val="-4"/>
                <w:lang w:val="en-GB"/>
              </w:rPr>
              <w:t>VI</w:t>
            </w:r>
            <w:r w:rsidR="004E5342" w:rsidRPr="006E725C">
              <w:rPr>
                <w:color w:val="0D0D0D" w:themeColor="text1" w:themeTint="F2"/>
                <w:spacing w:val="-4"/>
                <w:lang w:val="en-GB"/>
              </w:rPr>
              <w:t xml:space="preserve"> attained the size of </w:t>
            </w:r>
            <w:r w:rsidRPr="006E725C">
              <w:rPr>
                <w:color w:val="0D0D0D" w:themeColor="text1" w:themeTint="F2"/>
                <w:spacing w:val="-4"/>
                <w:lang w:val="en-GB"/>
              </w:rPr>
              <w:t>3</w:t>
            </w:r>
            <w:r w:rsidR="005F51D8" w:rsidRPr="006E725C">
              <w:rPr>
                <w:color w:val="0D0D0D" w:themeColor="text1" w:themeTint="F2"/>
                <w:spacing w:val="-4"/>
                <w:lang w:val="en-GB"/>
              </w:rPr>
              <w:t>.</w:t>
            </w:r>
            <w:r w:rsidRPr="006E725C">
              <w:rPr>
                <w:color w:val="0D0D0D" w:themeColor="text1" w:themeTint="F2"/>
                <w:spacing w:val="-4"/>
                <w:lang w:val="en-GB"/>
              </w:rPr>
              <w:t>1%</w:t>
            </w:r>
            <w:r w:rsidR="005F51D8" w:rsidRPr="006E725C">
              <w:rPr>
                <w:color w:val="0D0D0D" w:themeColor="text1" w:themeTint="F2"/>
                <w:spacing w:val="-4"/>
                <w:lang w:val="en-GB"/>
              </w:rPr>
              <w:t xml:space="preserve"> of GDP in Q3 2023 and nearly did not change since the beginning of the year. </w:t>
            </w:r>
            <w:r w:rsidRPr="006E725C">
              <w:rPr>
                <w:color w:val="0D0D0D" w:themeColor="text1" w:themeTint="F2"/>
                <w:spacing w:val="-4"/>
                <w:lang w:val="en-GB"/>
              </w:rPr>
              <w:t>Nomin</w:t>
            </w:r>
            <w:r w:rsidR="005F51D8" w:rsidRPr="006E725C">
              <w:rPr>
                <w:color w:val="0D0D0D" w:themeColor="text1" w:themeTint="F2"/>
                <w:spacing w:val="-4"/>
                <w:lang w:val="en-GB"/>
              </w:rPr>
              <w:t xml:space="preserve">al debt </w:t>
            </w:r>
            <w:r w:rsidRPr="006E725C">
              <w:rPr>
                <w:color w:val="0D0D0D" w:themeColor="text1" w:themeTint="F2"/>
                <w:spacing w:val="-4"/>
                <w:lang w:val="en-GB"/>
              </w:rPr>
              <w:t xml:space="preserve">VI </w:t>
            </w:r>
            <w:r w:rsidR="005F51D8" w:rsidRPr="006E725C">
              <w:rPr>
                <w:color w:val="0D0D0D" w:themeColor="text1" w:themeTint="F2"/>
                <w:spacing w:val="-4"/>
                <w:lang w:val="en-GB"/>
              </w:rPr>
              <w:t xml:space="preserve">reached </w:t>
            </w:r>
            <w:r w:rsidRPr="006E725C">
              <w:rPr>
                <w:color w:val="0D0D0D" w:themeColor="text1" w:themeTint="F2"/>
                <w:spacing w:val="-4"/>
                <w:lang w:val="en-GB"/>
              </w:rPr>
              <w:t xml:space="preserve">3 214 </w:t>
            </w:r>
            <w:r w:rsidR="009C0832">
              <w:rPr>
                <w:color w:val="0D0D0D" w:themeColor="text1" w:themeTint="F2"/>
                <w:spacing w:val="-4"/>
                <w:lang w:val="en-GB"/>
              </w:rPr>
              <w:t>CZK bn</w:t>
            </w:r>
            <w:r w:rsidR="005F51D8" w:rsidRPr="006E725C">
              <w:rPr>
                <w:color w:val="0D0D0D" w:themeColor="text1" w:themeTint="F2"/>
                <w:spacing w:val="-4"/>
                <w:lang w:val="en-GB"/>
              </w:rPr>
              <w:t xml:space="preserve"> at the end of Q3 2023 and increased by 231 bn year-on-year. </w:t>
            </w:r>
            <w:r w:rsidR="00A37311" w:rsidRPr="006E725C">
              <w:rPr>
                <w:color w:val="0D0D0D" w:themeColor="text1" w:themeTint="F2"/>
                <w:spacing w:val="-4"/>
                <w:lang w:val="en-GB"/>
              </w:rPr>
              <w:t xml:space="preserve">The growth of debt significantly exceeded the attained budget deficit VI similarly to the period of years </w:t>
            </w:r>
            <w:r w:rsidRPr="006E725C">
              <w:rPr>
                <w:color w:val="0D0D0D" w:themeColor="text1" w:themeTint="F2"/>
                <w:spacing w:val="-4"/>
                <w:lang w:val="en-GB"/>
              </w:rPr>
              <w:t>2020–2022</w:t>
            </w:r>
            <w:r w:rsidR="00A37311" w:rsidRPr="006E725C">
              <w:rPr>
                <w:color w:val="0D0D0D" w:themeColor="text1" w:themeTint="F2"/>
                <w:spacing w:val="-4"/>
                <w:lang w:val="en-GB"/>
              </w:rPr>
              <w:t xml:space="preserve">. The rate of indebtedness of sector </w:t>
            </w:r>
            <w:r w:rsidRPr="006E725C">
              <w:rPr>
                <w:color w:val="0D0D0D" w:themeColor="text1" w:themeTint="F2"/>
                <w:spacing w:val="-4"/>
                <w:lang w:val="en-GB"/>
              </w:rPr>
              <w:t xml:space="preserve">VI </w:t>
            </w:r>
            <w:r w:rsidR="00A37311" w:rsidRPr="006E725C">
              <w:rPr>
                <w:color w:val="0D0D0D" w:themeColor="text1" w:themeTint="F2"/>
                <w:spacing w:val="-4"/>
                <w:lang w:val="en-GB"/>
              </w:rPr>
              <w:t xml:space="preserve">reached </w:t>
            </w:r>
            <w:r w:rsidRPr="006E725C">
              <w:rPr>
                <w:color w:val="0D0D0D" w:themeColor="text1" w:themeTint="F2"/>
                <w:spacing w:val="-4"/>
                <w:lang w:val="en-GB"/>
              </w:rPr>
              <w:t>44</w:t>
            </w:r>
            <w:r w:rsidR="00A37311" w:rsidRPr="006E725C">
              <w:rPr>
                <w:color w:val="0D0D0D" w:themeColor="text1" w:themeTint="F2"/>
                <w:spacing w:val="-4"/>
                <w:lang w:val="en-GB"/>
              </w:rPr>
              <w:t>.</w:t>
            </w:r>
            <w:r w:rsidRPr="006E725C">
              <w:rPr>
                <w:color w:val="0D0D0D" w:themeColor="text1" w:themeTint="F2"/>
                <w:spacing w:val="-4"/>
                <w:lang w:val="en-GB"/>
              </w:rPr>
              <w:t>5%</w:t>
            </w:r>
            <w:r w:rsidR="00A37311" w:rsidRPr="006E725C">
              <w:rPr>
                <w:color w:val="0D0D0D" w:themeColor="text1" w:themeTint="F2"/>
                <w:spacing w:val="-4"/>
                <w:lang w:val="en-GB"/>
              </w:rPr>
              <w:t xml:space="preserve"> of GDP in Q3 </w:t>
            </w:r>
            <w:r w:rsidRPr="006E725C">
              <w:rPr>
                <w:color w:val="0D0D0D" w:themeColor="text1" w:themeTint="F2"/>
                <w:spacing w:val="-4"/>
                <w:lang w:val="en-GB"/>
              </w:rPr>
              <w:t>(45</w:t>
            </w:r>
            <w:r w:rsidR="00A37311" w:rsidRPr="006E725C">
              <w:rPr>
                <w:color w:val="0D0D0D" w:themeColor="text1" w:themeTint="F2"/>
                <w:spacing w:val="-4"/>
                <w:lang w:val="en-GB"/>
              </w:rPr>
              <w:t>.</w:t>
            </w:r>
            <w:r w:rsidRPr="006E725C">
              <w:rPr>
                <w:color w:val="0D0D0D" w:themeColor="text1" w:themeTint="F2"/>
                <w:spacing w:val="-4"/>
                <w:lang w:val="en-GB"/>
              </w:rPr>
              <w:t>2%</w:t>
            </w:r>
            <w:r w:rsidR="00A37311" w:rsidRPr="006E725C">
              <w:rPr>
                <w:color w:val="0D0D0D" w:themeColor="text1" w:themeTint="F2"/>
                <w:spacing w:val="-4"/>
                <w:lang w:val="en-GB"/>
              </w:rPr>
              <w:t xml:space="preserve"> one year earlier</w:t>
            </w:r>
            <w:r w:rsidRPr="006E725C">
              <w:rPr>
                <w:color w:val="0D0D0D" w:themeColor="text1" w:themeTint="F2"/>
                <w:spacing w:val="-4"/>
                <w:lang w:val="en-GB"/>
              </w:rPr>
              <w:t xml:space="preserve">). </w:t>
            </w:r>
            <w:r w:rsidR="00A37311" w:rsidRPr="006E725C">
              <w:rPr>
                <w:color w:val="0D0D0D" w:themeColor="text1" w:themeTint="F2"/>
                <w:spacing w:val="-4"/>
                <w:lang w:val="en-GB"/>
              </w:rPr>
              <w:t>Year-on-year decrease of indebtedness</w:t>
            </w:r>
            <w:r w:rsidRPr="006E725C">
              <w:rPr>
                <w:rStyle w:val="Znakapoznpodarou"/>
                <w:color w:val="0D0D0D" w:themeColor="text1" w:themeTint="F2"/>
                <w:spacing w:val="-4"/>
                <w:lang w:val="en-GB"/>
              </w:rPr>
              <w:footnoteReference w:id="33"/>
            </w:r>
            <w:r w:rsidRPr="006E725C">
              <w:rPr>
                <w:color w:val="0D0D0D" w:themeColor="text1" w:themeTint="F2"/>
                <w:spacing w:val="-4"/>
                <w:lang w:val="en-GB"/>
              </w:rPr>
              <w:t xml:space="preserve"> </w:t>
            </w:r>
            <w:r w:rsidR="00A37311" w:rsidRPr="006E725C">
              <w:rPr>
                <w:color w:val="0D0D0D" w:themeColor="text1" w:themeTint="F2"/>
                <w:spacing w:val="-4"/>
                <w:lang w:val="en-GB"/>
              </w:rPr>
              <w:t xml:space="preserve">occurred for the first time in the last one and a half years. </w:t>
            </w:r>
          </w:p>
        </w:tc>
      </w:tr>
      <w:tr w:rsidR="0011055D" w:rsidRPr="006E725C" w14:paraId="334E58EE" w14:textId="77777777" w:rsidTr="00C07C2F">
        <w:trPr>
          <w:trHeight w:val="145"/>
        </w:trPr>
        <w:tc>
          <w:tcPr>
            <w:tcW w:w="1718" w:type="dxa"/>
            <w:shd w:val="clear" w:color="auto" w:fill="auto"/>
            <w:tcMar>
              <w:left w:w="0" w:type="dxa"/>
            </w:tcMar>
          </w:tcPr>
          <w:p w14:paraId="5BBC2EE1" w14:textId="1A8D8CEB" w:rsidR="0011055D" w:rsidRPr="006E725C" w:rsidRDefault="00284229" w:rsidP="00C07C2F">
            <w:pPr>
              <w:pStyle w:val="Marginlie"/>
              <w:rPr>
                <w:lang w:val="en-GB"/>
              </w:rPr>
            </w:pPr>
            <w:r w:rsidRPr="006E725C">
              <w:rPr>
                <w:lang w:val="en-GB"/>
              </w:rPr>
              <w:lastRenderedPageBreak/>
              <w:t>After increase of public finance imbalance in H</w:t>
            </w:r>
            <w:r w:rsidR="0011055D" w:rsidRPr="006E725C">
              <w:rPr>
                <w:lang w:val="en-GB"/>
              </w:rPr>
              <w:t>2</w:t>
            </w:r>
            <w:r w:rsidRPr="006E725C">
              <w:rPr>
                <w:lang w:val="en-GB"/>
              </w:rPr>
              <w:t xml:space="preserve"> </w:t>
            </w:r>
            <w:r w:rsidR="0011055D" w:rsidRPr="006E725C">
              <w:rPr>
                <w:lang w:val="en-GB"/>
              </w:rPr>
              <w:t>2022</w:t>
            </w:r>
            <w:r w:rsidRPr="006E725C">
              <w:rPr>
                <w:lang w:val="en-GB"/>
              </w:rPr>
              <w:t xml:space="preserve">, the budget deficits gradually stabilized in the majority of EU states. </w:t>
            </w:r>
          </w:p>
          <w:p w14:paraId="5D5F4B96" w14:textId="77777777" w:rsidR="0011055D" w:rsidRPr="006E725C" w:rsidRDefault="0011055D" w:rsidP="00C07C2F">
            <w:pPr>
              <w:pStyle w:val="Marginlie"/>
              <w:rPr>
                <w:lang w:val="en-GB"/>
              </w:rPr>
            </w:pPr>
          </w:p>
          <w:p w14:paraId="2BE3938F" w14:textId="77777777" w:rsidR="0011055D" w:rsidRPr="006E725C" w:rsidRDefault="0011055D" w:rsidP="00C07C2F">
            <w:pPr>
              <w:pStyle w:val="Marginlie"/>
              <w:rPr>
                <w:lang w:val="en-GB"/>
              </w:rPr>
            </w:pPr>
          </w:p>
          <w:p w14:paraId="54A09529" w14:textId="77777777" w:rsidR="0011055D" w:rsidRPr="006E725C" w:rsidRDefault="0011055D" w:rsidP="00C07C2F">
            <w:pPr>
              <w:pStyle w:val="Marginlie"/>
              <w:rPr>
                <w:lang w:val="en-GB"/>
              </w:rPr>
            </w:pPr>
          </w:p>
          <w:p w14:paraId="2F873949" w14:textId="77777777" w:rsidR="0011055D" w:rsidRPr="006E725C" w:rsidRDefault="0011055D" w:rsidP="00C07C2F">
            <w:pPr>
              <w:pStyle w:val="Marginlie"/>
              <w:rPr>
                <w:lang w:val="en-GB"/>
              </w:rPr>
            </w:pPr>
          </w:p>
          <w:p w14:paraId="71AD74DE" w14:textId="77777777" w:rsidR="0011055D" w:rsidRPr="006E725C" w:rsidRDefault="0011055D" w:rsidP="00C07C2F">
            <w:pPr>
              <w:pStyle w:val="Marginlie"/>
              <w:rPr>
                <w:lang w:val="en-GB"/>
              </w:rPr>
            </w:pPr>
          </w:p>
          <w:p w14:paraId="26695034" w14:textId="56694186" w:rsidR="0011055D" w:rsidRPr="006E725C" w:rsidRDefault="00A37311" w:rsidP="00C07C2F">
            <w:pPr>
              <w:pStyle w:val="Marginlie"/>
              <w:rPr>
                <w:lang w:val="en-GB"/>
              </w:rPr>
            </w:pPr>
            <w:r w:rsidRPr="006E725C">
              <w:rPr>
                <w:lang w:val="en-GB"/>
              </w:rPr>
              <w:t xml:space="preserve">The deficit of the sector of government institutions deepened in the number of states of Central and North Europe. </w:t>
            </w:r>
            <w:r w:rsidR="0011055D" w:rsidRPr="006E725C">
              <w:rPr>
                <w:lang w:val="en-GB"/>
              </w:rPr>
              <w:t xml:space="preserve"> </w:t>
            </w:r>
          </w:p>
        </w:tc>
        <w:tc>
          <w:tcPr>
            <w:tcW w:w="210" w:type="dxa"/>
            <w:shd w:val="clear" w:color="auto" w:fill="auto"/>
            <w:tcMar>
              <w:left w:w="0" w:type="dxa"/>
            </w:tcMar>
          </w:tcPr>
          <w:p w14:paraId="31368F91" w14:textId="77777777" w:rsidR="0011055D" w:rsidRPr="006E725C" w:rsidRDefault="0011055D" w:rsidP="00C07C2F">
            <w:pPr>
              <w:pStyle w:val="Textpoznpodarou"/>
              <w:jc w:val="both"/>
              <w:rPr>
                <w:spacing w:val="-4"/>
                <w:lang w:val="en-GB"/>
              </w:rPr>
            </w:pPr>
          </w:p>
        </w:tc>
        <w:tc>
          <w:tcPr>
            <w:tcW w:w="7741" w:type="dxa"/>
            <w:shd w:val="clear" w:color="auto" w:fill="auto"/>
            <w:tcMar>
              <w:left w:w="0" w:type="dxa"/>
            </w:tcMar>
          </w:tcPr>
          <w:p w14:paraId="152E7BC1" w14:textId="736D506D" w:rsidR="0011055D" w:rsidRPr="006E725C" w:rsidRDefault="00284229" w:rsidP="00C07C2F">
            <w:pPr>
              <w:rPr>
                <w:spacing w:val="-4"/>
                <w:lang w:val="en-GB"/>
              </w:rPr>
            </w:pPr>
            <w:r w:rsidRPr="006E725C">
              <w:rPr>
                <w:color w:val="0D0D0D" w:themeColor="text1" w:themeTint="F2"/>
                <w:spacing w:val="-4"/>
                <w:lang w:val="en-GB"/>
              </w:rPr>
              <w:t xml:space="preserve">The shape of public finances stabilized in the EU last year following the sharp deterioration during year </w:t>
            </w:r>
            <w:r w:rsidR="0011055D" w:rsidRPr="006E725C">
              <w:rPr>
                <w:color w:val="0D0D0D" w:themeColor="text1" w:themeTint="F2"/>
                <w:spacing w:val="-4"/>
                <w:lang w:val="en-GB"/>
              </w:rPr>
              <w:t>2022</w:t>
            </w:r>
            <w:r w:rsidRPr="006E725C">
              <w:rPr>
                <w:color w:val="0D0D0D" w:themeColor="text1" w:themeTint="F2"/>
                <w:spacing w:val="-4"/>
                <w:lang w:val="en-GB"/>
              </w:rPr>
              <w:t xml:space="preserve">. After subsiding of the last year price acceleration for energies, the need for extraordinary public expenditures partially mitigated. On the other side the continuing very weak economic growth of the majority of European economies adversely left its mark also on the revenues of sector </w:t>
            </w:r>
            <w:r w:rsidR="0011055D" w:rsidRPr="006E725C">
              <w:rPr>
                <w:color w:val="0D0D0D" w:themeColor="text1" w:themeTint="F2"/>
                <w:spacing w:val="-4"/>
                <w:lang w:val="en-GB"/>
              </w:rPr>
              <w:t>VI (</w:t>
            </w:r>
            <w:r w:rsidRPr="006E725C">
              <w:rPr>
                <w:color w:val="0D0D0D" w:themeColor="text1" w:themeTint="F2"/>
                <w:spacing w:val="-4"/>
                <w:lang w:val="en-GB"/>
              </w:rPr>
              <w:t>these in relation to GDP remained below the level from year 2022 last year</w:t>
            </w:r>
            <w:r w:rsidR="0011055D" w:rsidRPr="006E725C">
              <w:rPr>
                <w:color w:val="0D0D0D" w:themeColor="text1" w:themeTint="F2"/>
                <w:spacing w:val="-4"/>
                <w:lang w:val="en-GB"/>
              </w:rPr>
              <w:t xml:space="preserve">). </w:t>
            </w:r>
            <w:r w:rsidR="002C3B72" w:rsidRPr="006E725C">
              <w:rPr>
                <w:color w:val="0D0D0D" w:themeColor="text1" w:themeTint="F2"/>
                <w:spacing w:val="-4"/>
                <w:lang w:val="en-GB"/>
              </w:rPr>
              <w:t xml:space="preserve">The budget deficit (after seasonal adjustment) VI was </w:t>
            </w:r>
            <w:r w:rsidR="0011055D" w:rsidRPr="006E725C">
              <w:rPr>
                <w:color w:val="0D0D0D" w:themeColor="text1" w:themeTint="F2"/>
                <w:spacing w:val="-4"/>
                <w:lang w:val="en-GB"/>
              </w:rPr>
              <w:t>2</w:t>
            </w:r>
            <w:r w:rsidR="002C3B72" w:rsidRPr="006E725C">
              <w:rPr>
                <w:color w:val="0D0D0D" w:themeColor="text1" w:themeTint="F2"/>
                <w:spacing w:val="-4"/>
                <w:lang w:val="en-GB"/>
              </w:rPr>
              <w:t>.</w:t>
            </w:r>
            <w:r w:rsidR="0011055D" w:rsidRPr="006E725C">
              <w:rPr>
                <w:color w:val="0D0D0D" w:themeColor="text1" w:themeTint="F2"/>
                <w:spacing w:val="-4"/>
                <w:lang w:val="en-GB"/>
              </w:rPr>
              <w:t>8%</w:t>
            </w:r>
            <w:r w:rsidR="002C3B72" w:rsidRPr="006E725C">
              <w:rPr>
                <w:color w:val="0D0D0D" w:themeColor="text1" w:themeTint="F2"/>
                <w:spacing w:val="-4"/>
                <w:lang w:val="en-GB"/>
              </w:rPr>
              <w:t xml:space="preserve"> of GDP in the EU in Q3 2023</w:t>
            </w:r>
            <w:r w:rsidR="0011055D" w:rsidRPr="006E725C">
              <w:rPr>
                <w:color w:val="0D0D0D" w:themeColor="text1" w:themeTint="F2"/>
                <w:spacing w:val="-4"/>
                <w:lang w:val="en-GB"/>
              </w:rPr>
              <w:t xml:space="preserve">, </w:t>
            </w:r>
            <w:r w:rsidR="002A7B05" w:rsidRPr="006E725C">
              <w:rPr>
                <w:color w:val="0D0D0D" w:themeColor="text1" w:themeTint="F2"/>
                <w:spacing w:val="-4"/>
                <w:lang w:val="en-GB"/>
              </w:rPr>
              <w:t xml:space="preserve">which was by </w:t>
            </w:r>
            <w:r w:rsidR="0011055D" w:rsidRPr="006E725C">
              <w:rPr>
                <w:color w:val="0D0D0D" w:themeColor="text1" w:themeTint="F2"/>
                <w:spacing w:val="-4"/>
                <w:lang w:val="en-GB"/>
              </w:rPr>
              <w:t>0</w:t>
            </w:r>
            <w:r w:rsidR="002A7B05" w:rsidRPr="006E725C">
              <w:rPr>
                <w:color w:val="0D0D0D" w:themeColor="text1" w:themeTint="F2"/>
                <w:spacing w:val="-4"/>
                <w:lang w:val="en-GB"/>
              </w:rPr>
              <w:t>.</w:t>
            </w:r>
            <w:r w:rsidR="0011055D" w:rsidRPr="006E725C">
              <w:rPr>
                <w:color w:val="0D0D0D" w:themeColor="text1" w:themeTint="F2"/>
                <w:spacing w:val="-4"/>
                <w:lang w:val="en-GB"/>
              </w:rPr>
              <w:t>2 p.</w:t>
            </w:r>
            <w:r w:rsidR="002A7B05" w:rsidRPr="006E725C">
              <w:rPr>
                <w:color w:val="0D0D0D" w:themeColor="text1" w:themeTint="F2"/>
                <w:spacing w:val="-4"/>
                <w:lang w:val="en-GB"/>
              </w:rPr>
              <w:t xml:space="preserve">p. less than in the previous quarter and by whole </w:t>
            </w:r>
            <w:r w:rsidR="0011055D" w:rsidRPr="006E725C">
              <w:rPr>
                <w:color w:val="0D0D0D" w:themeColor="text1" w:themeTint="F2"/>
                <w:spacing w:val="-4"/>
                <w:lang w:val="en-GB"/>
              </w:rPr>
              <w:t>1 p.</w:t>
            </w:r>
            <w:r w:rsidR="002A7B05" w:rsidRPr="006E725C">
              <w:rPr>
                <w:color w:val="0D0D0D" w:themeColor="text1" w:themeTint="F2"/>
                <w:spacing w:val="-4"/>
                <w:lang w:val="en-GB"/>
              </w:rPr>
              <w:t xml:space="preserve">p. better result in comparison to the same period of the preceding year. Hungary </w:t>
            </w:r>
            <w:r w:rsidR="0011055D" w:rsidRPr="006E725C">
              <w:rPr>
                <w:color w:val="0D0D0D" w:themeColor="text1" w:themeTint="F2"/>
                <w:spacing w:val="-4"/>
                <w:lang w:val="en-GB"/>
              </w:rPr>
              <w:t>(−7</w:t>
            </w:r>
            <w:r w:rsidR="002A7B05" w:rsidRPr="006E725C">
              <w:rPr>
                <w:color w:val="0D0D0D" w:themeColor="text1" w:themeTint="F2"/>
                <w:spacing w:val="-4"/>
                <w:lang w:val="en-GB"/>
              </w:rPr>
              <w:t>.</w:t>
            </w:r>
            <w:r w:rsidR="0011055D" w:rsidRPr="006E725C">
              <w:rPr>
                <w:color w:val="0D0D0D" w:themeColor="text1" w:themeTint="F2"/>
                <w:spacing w:val="-4"/>
                <w:lang w:val="en-GB"/>
              </w:rPr>
              <w:t>3%</w:t>
            </w:r>
            <w:r w:rsidR="002A7B05" w:rsidRPr="006E725C">
              <w:rPr>
                <w:color w:val="0D0D0D" w:themeColor="text1" w:themeTint="F2"/>
                <w:spacing w:val="-4"/>
                <w:lang w:val="en-GB"/>
              </w:rPr>
              <w:t xml:space="preserve"> of GDP</w:t>
            </w:r>
            <w:r w:rsidR="0011055D" w:rsidRPr="006E725C">
              <w:rPr>
                <w:color w:val="0D0D0D" w:themeColor="text1" w:themeTint="F2"/>
                <w:spacing w:val="-4"/>
                <w:lang w:val="en-GB"/>
              </w:rPr>
              <w:t>), It</w:t>
            </w:r>
            <w:r w:rsidR="002A7B05" w:rsidRPr="006E725C">
              <w:rPr>
                <w:color w:val="0D0D0D" w:themeColor="text1" w:themeTint="F2"/>
                <w:spacing w:val="-4"/>
                <w:lang w:val="en-GB"/>
              </w:rPr>
              <w:t xml:space="preserve">aly </w:t>
            </w:r>
            <w:r w:rsidR="0011055D" w:rsidRPr="006E725C">
              <w:rPr>
                <w:color w:val="0D0D0D" w:themeColor="text1" w:themeTint="F2"/>
                <w:spacing w:val="-4"/>
                <w:lang w:val="en-GB"/>
              </w:rPr>
              <w:t>(−7</w:t>
            </w:r>
            <w:r w:rsidR="002A7B05" w:rsidRPr="006E725C">
              <w:rPr>
                <w:color w:val="0D0D0D" w:themeColor="text1" w:themeTint="F2"/>
                <w:spacing w:val="-4"/>
                <w:lang w:val="en-GB"/>
              </w:rPr>
              <w:t>.</w:t>
            </w:r>
            <w:r w:rsidR="0011055D" w:rsidRPr="006E725C">
              <w:rPr>
                <w:color w:val="0D0D0D" w:themeColor="text1" w:themeTint="F2"/>
                <w:spacing w:val="-4"/>
                <w:lang w:val="en-GB"/>
              </w:rPr>
              <w:t>1%), R</w:t>
            </w:r>
            <w:r w:rsidR="002A7B05" w:rsidRPr="006E725C">
              <w:rPr>
                <w:color w:val="0D0D0D" w:themeColor="text1" w:themeTint="F2"/>
                <w:spacing w:val="-4"/>
                <w:lang w:val="en-GB"/>
              </w:rPr>
              <w:t xml:space="preserve">omania </w:t>
            </w:r>
            <w:r w:rsidR="00E82AB6" w:rsidRPr="006E725C">
              <w:rPr>
                <w:color w:val="0D0D0D" w:themeColor="text1" w:themeTint="F2"/>
                <w:spacing w:val="-4"/>
                <w:lang w:val="en-GB"/>
              </w:rPr>
              <w:t>(−5</w:t>
            </w:r>
            <w:r w:rsidR="002A7B05" w:rsidRPr="006E725C">
              <w:rPr>
                <w:color w:val="0D0D0D" w:themeColor="text1" w:themeTint="F2"/>
                <w:spacing w:val="-4"/>
                <w:lang w:val="en-GB"/>
              </w:rPr>
              <w:t>.</w:t>
            </w:r>
            <w:r w:rsidR="00E82AB6" w:rsidRPr="006E725C">
              <w:rPr>
                <w:color w:val="0D0D0D" w:themeColor="text1" w:themeTint="F2"/>
                <w:spacing w:val="-4"/>
                <w:lang w:val="en-GB"/>
              </w:rPr>
              <w:t>7%) a</w:t>
            </w:r>
            <w:r w:rsidR="002A7B05" w:rsidRPr="006E725C">
              <w:rPr>
                <w:color w:val="0D0D0D" w:themeColor="text1" w:themeTint="F2"/>
                <w:spacing w:val="-4"/>
                <w:lang w:val="en-GB"/>
              </w:rPr>
              <w:t xml:space="preserve">nd Slovakia </w:t>
            </w:r>
            <w:r w:rsidR="00E82AB6" w:rsidRPr="006E725C">
              <w:rPr>
                <w:color w:val="0D0D0D" w:themeColor="text1" w:themeTint="F2"/>
                <w:spacing w:val="-4"/>
                <w:lang w:val="en-GB"/>
              </w:rPr>
              <w:t>(−5</w:t>
            </w:r>
            <w:r w:rsidR="002A7B05" w:rsidRPr="006E725C">
              <w:rPr>
                <w:color w:val="0D0D0D" w:themeColor="text1" w:themeTint="F2"/>
                <w:spacing w:val="-4"/>
                <w:lang w:val="en-GB"/>
              </w:rPr>
              <w:t>.</w:t>
            </w:r>
            <w:r w:rsidR="00E82AB6" w:rsidRPr="006E725C">
              <w:rPr>
                <w:color w:val="0D0D0D" w:themeColor="text1" w:themeTint="F2"/>
                <w:spacing w:val="-4"/>
                <w:lang w:val="en-GB"/>
              </w:rPr>
              <w:t>5%)</w:t>
            </w:r>
            <w:r w:rsidR="002A7B05" w:rsidRPr="006E725C">
              <w:rPr>
                <w:color w:val="0D0D0D" w:themeColor="text1" w:themeTint="F2"/>
                <w:spacing w:val="-4"/>
                <w:lang w:val="en-GB"/>
              </w:rPr>
              <w:t xml:space="preserve"> was hit by the relatively highest deficit in Q1 to Q3 2023.</w:t>
            </w:r>
            <w:r w:rsidR="00E82AB6" w:rsidRPr="006E725C">
              <w:rPr>
                <w:color w:val="0D0D0D" w:themeColor="text1" w:themeTint="F2"/>
                <w:spacing w:val="-4"/>
                <w:lang w:val="en-GB"/>
              </w:rPr>
              <w:t xml:space="preserve"> </w:t>
            </w:r>
            <w:r w:rsidR="00CD0373" w:rsidRPr="006E725C">
              <w:rPr>
                <w:color w:val="0D0D0D" w:themeColor="text1" w:themeTint="F2"/>
                <w:spacing w:val="-4"/>
                <w:lang w:val="en-GB"/>
              </w:rPr>
              <w:t xml:space="preserve">On the contrary, only Denmark, Ireland, Portugal and Cyprus achieved more significant surplus </w:t>
            </w:r>
            <w:r w:rsidR="0011055D" w:rsidRPr="006E725C">
              <w:rPr>
                <w:color w:val="0D0D0D" w:themeColor="text1" w:themeTint="F2"/>
                <w:spacing w:val="-4"/>
                <w:lang w:val="en-GB"/>
              </w:rPr>
              <w:t>(</w:t>
            </w:r>
            <w:r w:rsidR="00CD0373" w:rsidRPr="006E725C">
              <w:rPr>
                <w:color w:val="0D0D0D" w:themeColor="text1" w:themeTint="F2"/>
                <w:spacing w:val="-4"/>
                <w:lang w:val="en-GB"/>
              </w:rPr>
              <w:t xml:space="preserve">above </w:t>
            </w:r>
            <w:r w:rsidR="0011055D" w:rsidRPr="006E725C">
              <w:rPr>
                <w:color w:val="0D0D0D" w:themeColor="text1" w:themeTint="F2"/>
                <w:spacing w:val="-4"/>
                <w:lang w:val="en-GB"/>
              </w:rPr>
              <w:t>1%</w:t>
            </w:r>
            <w:r w:rsidR="00CD0373" w:rsidRPr="006E725C">
              <w:rPr>
                <w:color w:val="0D0D0D" w:themeColor="text1" w:themeTint="F2"/>
                <w:spacing w:val="-4"/>
                <w:lang w:val="en-GB"/>
              </w:rPr>
              <w:t xml:space="preserve"> of GDP</w:t>
            </w:r>
            <w:r w:rsidR="0011055D" w:rsidRPr="006E725C">
              <w:rPr>
                <w:color w:val="0D0D0D" w:themeColor="text1" w:themeTint="F2"/>
                <w:spacing w:val="-4"/>
                <w:lang w:val="en-GB"/>
              </w:rPr>
              <w:t>)</w:t>
            </w:r>
            <w:r w:rsidR="00CD0373" w:rsidRPr="006E725C">
              <w:rPr>
                <w:color w:val="0D0D0D" w:themeColor="text1" w:themeTint="F2"/>
                <w:spacing w:val="-4"/>
                <w:lang w:val="en-GB"/>
              </w:rPr>
              <w:t xml:space="preserve">. </w:t>
            </w:r>
            <w:r w:rsidR="009A049C" w:rsidRPr="006E725C">
              <w:rPr>
                <w:color w:val="0D0D0D" w:themeColor="text1" w:themeTint="F2"/>
                <w:spacing w:val="-4"/>
                <w:lang w:val="en-GB"/>
              </w:rPr>
              <w:t xml:space="preserve">The deficit deepened in the majority of states year-on-year </w:t>
            </w:r>
            <w:r w:rsidR="0011055D" w:rsidRPr="006E725C">
              <w:rPr>
                <w:color w:val="0D0D0D" w:themeColor="text1" w:themeTint="F2"/>
                <w:spacing w:val="-4"/>
                <w:lang w:val="en-GB"/>
              </w:rPr>
              <w:t>(</w:t>
            </w:r>
            <w:r w:rsidR="009A049C" w:rsidRPr="006E725C">
              <w:rPr>
                <w:color w:val="0D0D0D" w:themeColor="text1" w:themeTint="F2"/>
                <w:spacing w:val="-4"/>
                <w:lang w:val="en-GB"/>
              </w:rPr>
              <w:t>since the situation was still stabilised in the area of public deficits in H</w:t>
            </w:r>
            <w:r w:rsidR="0011055D" w:rsidRPr="006E725C">
              <w:rPr>
                <w:color w:val="0D0D0D" w:themeColor="text1" w:themeTint="F2"/>
                <w:spacing w:val="-4"/>
                <w:lang w:val="en-GB"/>
              </w:rPr>
              <w:t>1</w:t>
            </w:r>
            <w:r w:rsidR="009A049C" w:rsidRPr="006E725C">
              <w:rPr>
                <w:color w:val="0D0D0D" w:themeColor="text1" w:themeTint="F2"/>
                <w:spacing w:val="-4"/>
                <w:lang w:val="en-GB"/>
              </w:rPr>
              <w:t xml:space="preserve"> </w:t>
            </w:r>
            <w:r w:rsidR="0011055D" w:rsidRPr="006E725C">
              <w:rPr>
                <w:color w:val="0D0D0D" w:themeColor="text1" w:themeTint="F2"/>
                <w:spacing w:val="-4"/>
                <w:lang w:val="en-GB"/>
              </w:rPr>
              <w:t xml:space="preserve">2022). </w:t>
            </w:r>
            <w:r w:rsidR="009A049C" w:rsidRPr="006E725C">
              <w:rPr>
                <w:color w:val="0D0D0D" w:themeColor="text1" w:themeTint="F2"/>
                <w:spacing w:val="-4"/>
                <w:lang w:val="en-GB"/>
              </w:rPr>
              <w:t xml:space="preserve">It dropped the most in Slovakia </w:t>
            </w:r>
            <w:r w:rsidR="0011055D" w:rsidRPr="006E725C">
              <w:rPr>
                <w:color w:val="0D0D0D" w:themeColor="text1" w:themeTint="F2"/>
                <w:spacing w:val="-4"/>
                <w:lang w:val="en-GB"/>
              </w:rPr>
              <w:t>(</w:t>
            </w:r>
            <w:r w:rsidR="009A049C" w:rsidRPr="006E725C">
              <w:rPr>
                <w:color w:val="0D0D0D" w:themeColor="text1" w:themeTint="F2"/>
                <w:spacing w:val="-4"/>
                <w:lang w:val="en-GB"/>
              </w:rPr>
              <w:t xml:space="preserve">from </w:t>
            </w:r>
            <w:r w:rsidR="0011055D" w:rsidRPr="006E725C">
              <w:rPr>
                <w:color w:val="0D0D0D" w:themeColor="text1" w:themeTint="F2"/>
                <w:spacing w:val="-4"/>
                <w:lang w:val="en-GB"/>
              </w:rPr>
              <w:t>−1</w:t>
            </w:r>
            <w:r w:rsidR="009A049C" w:rsidRPr="006E725C">
              <w:rPr>
                <w:color w:val="0D0D0D" w:themeColor="text1" w:themeTint="F2"/>
                <w:spacing w:val="-4"/>
                <w:lang w:val="en-GB"/>
              </w:rPr>
              <w:t>.</w:t>
            </w:r>
            <w:r w:rsidR="0011055D" w:rsidRPr="006E725C">
              <w:rPr>
                <w:color w:val="0D0D0D" w:themeColor="text1" w:themeTint="F2"/>
                <w:spacing w:val="-4"/>
                <w:lang w:val="en-GB"/>
              </w:rPr>
              <w:t>7%</w:t>
            </w:r>
            <w:r w:rsidR="009A049C" w:rsidRPr="006E725C">
              <w:rPr>
                <w:color w:val="0D0D0D" w:themeColor="text1" w:themeTint="F2"/>
                <w:spacing w:val="-4"/>
                <w:lang w:val="en-GB"/>
              </w:rPr>
              <w:t xml:space="preserve"> to </w:t>
            </w:r>
            <w:r w:rsidR="0011055D" w:rsidRPr="006E725C">
              <w:rPr>
                <w:color w:val="0D0D0D" w:themeColor="text1" w:themeTint="F2"/>
                <w:spacing w:val="-4"/>
                <w:lang w:val="en-GB"/>
              </w:rPr>
              <w:t>−5</w:t>
            </w:r>
            <w:r w:rsidR="009A049C" w:rsidRPr="006E725C">
              <w:rPr>
                <w:color w:val="0D0D0D" w:themeColor="text1" w:themeTint="F2"/>
                <w:spacing w:val="-4"/>
                <w:lang w:val="en-GB"/>
              </w:rPr>
              <w:t>.</w:t>
            </w:r>
            <w:r w:rsidR="0011055D" w:rsidRPr="006E725C">
              <w:rPr>
                <w:color w:val="0D0D0D" w:themeColor="text1" w:themeTint="F2"/>
                <w:spacing w:val="-4"/>
                <w:lang w:val="en-GB"/>
              </w:rPr>
              <w:t>5%</w:t>
            </w:r>
            <w:r w:rsidR="009A049C" w:rsidRPr="006E725C">
              <w:rPr>
                <w:color w:val="0D0D0D" w:themeColor="text1" w:themeTint="F2"/>
                <w:spacing w:val="-4"/>
                <w:lang w:val="en-GB"/>
              </w:rPr>
              <w:t xml:space="preserve"> of GDP</w:t>
            </w:r>
            <w:r w:rsidR="0011055D" w:rsidRPr="006E725C">
              <w:rPr>
                <w:color w:val="0D0D0D" w:themeColor="text1" w:themeTint="F2"/>
                <w:spacing w:val="-4"/>
                <w:lang w:val="en-GB"/>
              </w:rPr>
              <w:t>),</w:t>
            </w:r>
            <w:r w:rsidR="009A049C" w:rsidRPr="006E725C">
              <w:rPr>
                <w:color w:val="0D0D0D" w:themeColor="text1" w:themeTint="F2"/>
                <w:spacing w:val="-4"/>
                <w:lang w:val="en-GB"/>
              </w:rPr>
              <w:t xml:space="preserve"> with mild distance then in Poland, Sweden, Hungary, Estonia and Finland. </w:t>
            </w:r>
            <w:r w:rsidR="002A7B05" w:rsidRPr="006E725C">
              <w:rPr>
                <w:color w:val="0D0D0D" w:themeColor="text1" w:themeTint="F2"/>
                <w:spacing w:val="-4"/>
                <w:lang w:val="en-GB"/>
              </w:rPr>
              <w:t xml:space="preserve">The deficit remained near 3% of GDP in the EU in both years, </w:t>
            </w:r>
            <w:r w:rsidR="009A049C" w:rsidRPr="006E725C">
              <w:rPr>
                <w:color w:val="0D0D0D" w:themeColor="text1" w:themeTint="F2"/>
                <w:spacing w:val="-4"/>
                <w:lang w:val="en-GB"/>
              </w:rPr>
              <w:t>similarly</w:t>
            </w:r>
            <w:r w:rsidR="002A7B05" w:rsidRPr="006E725C">
              <w:rPr>
                <w:color w:val="0D0D0D" w:themeColor="text1" w:themeTint="F2"/>
                <w:spacing w:val="-4"/>
                <w:lang w:val="en-GB"/>
              </w:rPr>
              <w:t xml:space="preserve"> to the CR. </w:t>
            </w:r>
          </w:p>
        </w:tc>
      </w:tr>
      <w:tr w:rsidR="0011055D" w:rsidRPr="006E725C" w14:paraId="4945A3CE" w14:textId="77777777" w:rsidTr="00C07C2F">
        <w:trPr>
          <w:trHeight w:val="145"/>
        </w:trPr>
        <w:tc>
          <w:tcPr>
            <w:tcW w:w="1718" w:type="dxa"/>
            <w:shd w:val="clear" w:color="auto" w:fill="auto"/>
            <w:tcMar>
              <w:left w:w="0" w:type="dxa"/>
            </w:tcMar>
          </w:tcPr>
          <w:p w14:paraId="25B2F888" w14:textId="556EEC92" w:rsidR="0011055D" w:rsidRPr="006E725C" w:rsidRDefault="00A37311" w:rsidP="00A37311">
            <w:pPr>
              <w:pStyle w:val="Marginlie"/>
              <w:rPr>
                <w:lang w:val="en-GB"/>
              </w:rPr>
            </w:pPr>
            <w:r w:rsidRPr="006E725C">
              <w:rPr>
                <w:lang w:val="en-GB"/>
              </w:rPr>
              <w:t xml:space="preserve">Decrease of the rate of indebtedness continues in </w:t>
            </w:r>
            <w:r w:rsidR="000F45A2" w:rsidRPr="006E725C">
              <w:rPr>
                <w:lang w:val="en-GB"/>
              </w:rPr>
              <w:t>the</w:t>
            </w:r>
            <w:r w:rsidRPr="006E725C">
              <w:rPr>
                <w:lang w:val="en-GB"/>
              </w:rPr>
              <w:t xml:space="preserve"> EU countries last year, even though at a slower pace. </w:t>
            </w:r>
          </w:p>
          <w:p w14:paraId="296A77A5" w14:textId="77777777" w:rsidR="00A37311" w:rsidRPr="006E725C" w:rsidRDefault="00A37311" w:rsidP="00A37311">
            <w:pPr>
              <w:pStyle w:val="Marginlie"/>
              <w:rPr>
                <w:lang w:val="en-GB"/>
              </w:rPr>
            </w:pPr>
          </w:p>
          <w:p w14:paraId="5DF5520B" w14:textId="77777777" w:rsidR="0011055D" w:rsidRPr="006E725C" w:rsidRDefault="0011055D" w:rsidP="00C07C2F">
            <w:pPr>
              <w:pStyle w:val="Marginlie"/>
              <w:rPr>
                <w:lang w:val="en-GB"/>
              </w:rPr>
            </w:pPr>
          </w:p>
          <w:p w14:paraId="27596BA1" w14:textId="77777777" w:rsidR="0011055D" w:rsidRPr="006E725C" w:rsidRDefault="0011055D" w:rsidP="00C07C2F">
            <w:pPr>
              <w:pStyle w:val="Marginlie"/>
              <w:rPr>
                <w:lang w:val="en-GB"/>
              </w:rPr>
            </w:pPr>
          </w:p>
          <w:p w14:paraId="2C82CE17" w14:textId="77777777" w:rsidR="0011055D" w:rsidRPr="006E725C" w:rsidRDefault="0011055D" w:rsidP="00C07C2F">
            <w:pPr>
              <w:pStyle w:val="Marginlie"/>
              <w:rPr>
                <w:lang w:val="en-GB"/>
              </w:rPr>
            </w:pPr>
          </w:p>
          <w:p w14:paraId="31291096" w14:textId="77777777" w:rsidR="0011055D" w:rsidRPr="006E725C" w:rsidRDefault="0011055D" w:rsidP="00C07C2F">
            <w:pPr>
              <w:pStyle w:val="Marginlie"/>
              <w:rPr>
                <w:lang w:val="en-GB"/>
              </w:rPr>
            </w:pPr>
          </w:p>
          <w:p w14:paraId="0F6E283B" w14:textId="23010E67" w:rsidR="0011055D" w:rsidRPr="006E725C" w:rsidRDefault="008A3D90" w:rsidP="00C07C2F">
            <w:pPr>
              <w:pStyle w:val="Marginlie"/>
              <w:rPr>
                <w:lang w:val="en-GB"/>
              </w:rPr>
            </w:pPr>
            <w:r w:rsidRPr="006E725C">
              <w:rPr>
                <w:lang w:val="en-GB"/>
              </w:rPr>
              <w:t xml:space="preserve">The CR indebtedness rate was the </w:t>
            </w:r>
            <w:r w:rsidR="00A37311" w:rsidRPr="006E725C">
              <w:rPr>
                <w:lang w:val="en-GB"/>
              </w:rPr>
              <w:t>ninth</w:t>
            </w:r>
            <w:r w:rsidRPr="006E725C">
              <w:rPr>
                <w:lang w:val="en-GB"/>
              </w:rPr>
              <w:t xml:space="preserve"> lowest in the Union, but its total increase was the highest among the states since the end of year 2</w:t>
            </w:r>
            <w:r w:rsidR="0011055D" w:rsidRPr="006E725C">
              <w:rPr>
                <w:lang w:val="en-GB"/>
              </w:rPr>
              <w:t>019</w:t>
            </w:r>
            <w:r w:rsidRPr="006E725C">
              <w:rPr>
                <w:lang w:val="en-GB"/>
              </w:rPr>
              <w:t xml:space="preserve">. </w:t>
            </w:r>
          </w:p>
        </w:tc>
        <w:tc>
          <w:tcPr>
            <w:tcW w:w="210" w:type="dxa"/>
            <w:shd w:val="clear" w:color="auto" w:fill="auto"/>
            <w:tcMar>
              <w:left w:w="0" w:type="dxa"/>
            </w:tcMar>
          </w:tcPr>
          <w:p w14:paraId="100A1BD4" w14:textId="77777777" w:rsidR="0011055D" w:rsidRPr="006E725C" w:rsidRDefault="0011055D" w:rsidP="00C07C2F">
            <w:pPr>
              <w:pStyle w:val="Textpoznpodarou"/>
              <w:jc w:val="both"/>
              <w:rPr>
                <w:spacing w:val="-4"/>
                <w:lang w:val="en-GB"/>
              </w:rPr>
            </w:pPr>
          </w:p>
        </w:tc>
        <w:tc>
          <w:tcPr>
            <w:tcW w:w="7741" w:type="dxa"/>
            <w:shd w:val="clear" w:color="auto" w:fill="auto"/>
            <w:tcMar>
              <w:left w:w="0" w:type="dxa"/>
            </w:tcMar>
          </w:tcPr>
          <w:p w14:paraId="6EDA56ED" w14:textId="14E621D7" w:rsidR="0011055D" w:rsidRPr="006E725C" w:rsidRDefault="00A37311" w:rsidP="0011055D">
            <w:pPr>
              <w:spacing w:after="0"/>
              <w:rPr>
                <w:spacing w:val="-4"/>
                <w:lang w:val="en-GB"/>
              </w:rPr>
            </w:pPr>
            <w:r w:rsidRPr="006E725C">
              <w:rPr>
                <w:spacing w:val="-4"/>
                <w:lang w:val="en-GB"/>
              </w:rPr>
              <w:t xml:space="preserve">The rate of indebtedness of the sector </w:t>
            </w:r>
            <w:r w:rsidR="0011055D" w:rsidRPr="006E725C">
              <w:rPr>
                <w:spacing w:val="-4"/>
                <w:lang w:val="en-GB"/>
              </w:rPr>
              <w:t xml:space="preserve">VI </w:t>
            </w:r>
            <w:r w:rsidRPr="006E725C">
              <w:rPr>
                <w:spacing w:val="-4"/>
                <w:lang w:val="en-GB"/>
              </w:rPr>
              <w:t xml:space="preserve">was </w:t>
            </w:r>
            <w:r w:rsidR="0011055D" w:rsidRPr="006E725C">
              <w:rPr>
                <w:spacing w:val="-4"/>
                <w:lang w:val="en-GB"/>
              </w:rPr>
              <w:t>82</w:t>
            </w:r>
            <w:r w:rsidRPr="006E725C">
              <w:rPr>
                <w:spacing w:val="-4"/>
                <w:lang w:val="en-GB"/>
              </w:rPr>
              <w:t>.</w:t>
            </w:r>
            <w:r w:rsidR="0011055D" w:rsidRPr="006E725C">
              <w:rPr>
                <w:spacing w:val="-4"/>
                <w:lang w:val="en-GB"/>
              </w:rPr>
              <w:t>6%</w:t>
            </w:r>
            <w:r w:rsidRPr="006E725C">
              <w:rPr>
                <w:spacing w:val="-4"/>
                <w:lang w:val="en-GB"/>
              </w:rPr>
              <w:t xml:space="preserve"> of GDP in the EU</w:t>
            </w:r>
            <w:r w:rsidR="0011055D" w:rsidRPr="006E725C">
              <w:rPr>
                <w:spacing w:val="-4"/>
                <w:lang w:val="en-GB"/>
              </w:rPr>
              <w:t>,</w:t>
            </w:r>
            <w:r w:rsidRPr="006E725C">
              <w:rPr>
                <w:spacing w:val="-4"/>
                <w:lang w:val="en-GB"/>
              </w:rPr>
              <w:t xml:space="preserve"> in that </w:t>
            </w:r>
            <w:r w:rsidR="0011055D" w:rsidRPr="006E725C">
              <w:rPr>
                <w:spacing w:val="-4"/>
                <w:lang w:val="en-GB"/>
              </w:rPr>
              <w:t>89</w:t>
            </w:r>
            <w:r w:rsidRPr="006E725C">
              <w:rPr>
                <w:spacing w:val="-4"/>
                <w:lang w:val="en-GB"/>
              </w:rPr>
              <w:t>.</w:t>
            </w:r>
            <w:r w:rsidR="0011055D" w:rsidRPr="006E725C">
              <w:rPr>
                <w:spacing w:val="-4"/>
                <w:lang w:val="en-GB"/>
              </w:rPr>
              <w:t>9%</w:t>
            </w:r>
            <w:r w:rsidRPr="006E725C">
              <w:rPr>
                <w:spacing w:val="-4"/>
                <w:lang w:val="en-GB"/>
              </w:rPr>
              <w:t xml:space="preserve"> of GDP in the euro area at the end of Q3. Quarter-on-quarter decrease of indebtedness thus lasted </w:t>
            </w:r>
            <w:r w:rsidR="0011055D" w:rsidRPr="006E725C">
              <w:rPr>
                <w:spacing w:val="-4"/>
                <w:lang w:val="en-GB"/>
              </w:rPr>
              <w:t>2</w:t>
            </w:r>
            <w:r w:rsidRPr="006E725C">
              <w:rPr>
                <w:spacing w:val="-4"/>
                <w:lang w:val="en-GB"/>
              </w:rPr>
              <w:t>.</w:t>
            </w:r>
            <w:r w:rsidR="0011055D" w:rsidRPr="006E725C">
              <w:rPr>
                <w:spacing w:val="-4"/>
                <w:lang w:val="en-GB"/>
              </w:rPr>
              <w:t>5</w:t>
            </w:r>
            <w:r w:rsidRPr="006E725C">
              <w:rPr>
                <w:spacing w:val="-4"/>
                <w:lang w:val="en-GB"/>
              </w:rPr>
              <w:t xml:space="preserve"> years, even though it took place at a slower pace last year. </w:t>
            </w:r>
            <w:r w:rsidR="009A049C" w:rsidRPr="006E725C">
              <w:rPr>
                <w:spacing w:val="-4"/>
                <w:lang w:val="en-GB"/>
              </w:rPr>
              <w:t>Compared to Q</w:t>
            </w:r>
            <w:r w:rsidR="0011055D" w:rsidRPr="006E725C">
              <w:rPr>
                <w:spacing w:val="-4"/>
                <w:lang w:val="en-GB"/>
              </w:rPr>
              <w:t>3</w:t>
            </w:r>
            <w:r w:rsidR="009A049C" w:rsidRPr="006E725C">
              <w:rPr>
                <w:spacing w:val="-4"/>
                <w:lang w:val="en-GB"/>
              </w:rPr>
              <w:t xml:space="preserve"> </w:t>
            </w:r>
            <w:r w:rsidR="0011055D" w:rsidRPr="006E725C">
              <w:rPr>
                <w:spacing w:val="-4"/>
                <w:lang w:val="en-GB"/>
              </w:rPr>
              <w:t>2022</w:t>
            </w:r>
            <w:r w:rsidR="009A049C" w:rsidRPr="006E725C">
              <w:rPr>
                <w:spacing w:val="-4"/>
                <w:lang w:val="en-GB"/>
              </w:rPr>
              <w:t xml:space="preserve">, the current indebtedness was lower in two thirds of the Union states </w:t>
            </w:r>
            <w:r w:rsidR="0011055D" w:rsidRPr="006E725C">
              <w:rPr>
                <w:spacing w:val="-4"/>
                <w:lang w:val="en-GB"/>
              </w:rPr>
              <w:t>(</w:t>
            </w:r>
            <w:r w:rsidR="009A049C" w:rsidRPr="006E725C">
              <w:rPr>
                <w:spacing w:val="-4"/>
                <w:lang w:val="en-GB"/>
              </w:rPr>
              <w:t xml:space="preserve">by precise </w:t>
            </w:r>
            <w:r w:rsidR="0011055D" w:rsidRPr="006E725C">
              <w:rPr>
                <w:spacing w:val="-4"/>
                <w:lang w:val="en-GB"/>
              </w:rPr>
              <w:t>2 p.</w:t>
            </w:r>
            <w:r w:rsidR="009A049C" w:rsidRPr="006E725C">
              <w:rPr>
                <w:spacing w:val="-4"/>
                <w:lang w:val="en-GB"/>
              </w:rPr>
              <w:t>p. in the whole EU</w:t>
            </w:r>
            <w:r w:rsidR="0011055D" w:rsidRPr="006E725C">
              <w:rPr>
                <w:spacing w:val="-4"/>
                <w:lang w:val="en-GB"/>
              </w:rPr>
              <w:t>),</w:t>
            </w:r>
            <w:r w:rsidR="009A049C" w:rsidRPr="006E725C">
              <w:rPr>
                <w:spacing w:val="-4"/>
                <w:lang w:val="en-GB"/>
              </w:rPr>
              <w:t xml:space="preserve"> the most in some highly indebted states </w:t>
            </w:r>
            <w:r w:rsidR="0011055D" w:rsidRPr="006E725C">
              <w:rPr>
                <w:spacing w:val="-4"/>
                <w:lang w:val="en-GB"/>
              </w:rPr>
              <w:t xml:space="preserve">– </w:t>
            </w:r>
            <w:r w:rsidR="009A049C" w:rsidRPr="006E725C">
              <w:rPr>
                <w:spacing w:val="-4"/>
                <w:lang w:val="en-GB"/>
              </w:rPr>
              <w:t xml:space="preserve">in Greece, Portugal, Cyprus </w:t>
            </w:r>
            <w:r w:rsidR="0011055D" w:rsidRPr="006E725C">
              <w:rPr>
                <w:spacing w:val="-4"/>
                <w:lang w:val="en-GB"/>
              </w:rPr>
              <w:t>(</w:t>
            </w:r>
            <w:r w:rsidR="009A049C" w:rsidRPr="006E725C">
              <w:rPr>
                <w:spacing w:val="-4"/>
                <w:lang w:val="en-GB"/>
              </w:rPr>
              <w:t xml:space="preserve">by more than </w:t>
            </w:r>
            <w:r w:rsidR="0011055D" w:rsidRPr="006E725C">
              <w:rPr>
                <w:spacing w:val="-4"/>
                <w:lang w:val="en-GB"/>
              </w:rPr>
              <w:t>10 p.</w:t>
            </w:r>
            <w:r w:rsidR="009A049C" w:rsidRPr="006E725C">
              <w:rPr>
                <w:spacing w:val="-4"/>
                <w:lang w:val="en-GB"/>
              </w:rPr>
              <w:t>p</w:t>
            </w:r>
            <w:r w:rsidR="0011055D" w:rsidRPr="006E725C">
              <w:rPr>
                <w:spacing w:val="-4"/>
                <w:lang w:val="en-GB"/>
              </w:rPr>
              <w:t xml:space="preserve">.), </w:t>
            </w:r>
            <w:r w:rsidR="009A049C" w:rsidRPr="006E725C">
              <w:rPr>
                <w:spacing w:val="-4"/>
                <w:lang w:val="en-GB"/>
              </w:rPr>
              <w:t xml:space="preserve">but also e.g., in Ireland </w:t>
            </w:r>
            <w:r w:rsidR="0011055D" w:rsidRPr="006E725C">
              <w:rPr>
                <w:spacing w:val="-4"/>
                <w:lang w:val="en-GB"/>
              </w:rPr>
              <w:t>(−4</w:t>
            </w:r>
            <w:r w:rsidR="009A049C" w:rsidRPr="006E725C">
              <w:rPr>
                <w:spacing w:val="-4"/>
                <w:lang w:val="en-GB"/>
              </w:rPr>
              <w:t>.</w:t>
            </w:r>
            <w:r w:rsidR="0011055D" w:rsidRPr="006E725C">
              <w:rPr>
                <w:spacing w:val="-4"/>
                <w:lang w:val="en-GB"/>
              </w:rPr>
              <w:t>9 p.</w:t>
            </w:r>
            <w:r w:rsidR="009A049C" w:rsidRPr="006E725C">
              <w:rPr>
                <w:spacing w:val="-4"/>
                <w:lang w:val="en-GB"/>
              </w:rPr>
              <w:t>p.</w:t>
            </w:r>
            <w:r w:rsidR="0011055D" w:rsidRPr="006E725C">
              <w:rPr>
                <w:spacing w:val="-4"/>
                <w:lang w:val="en-GB"/>
              </w:rPr>
              <w:t>) a</w:t>
            </w:r>
            <w:r w:rsidR="009A049C" w:rsidRPr="006E725C">
              <w:rPr>
                <w:spacing w:val="-4"/>
                <w:lang w:val="en-GB"/>
              </w:rPr>
              <w:t xml:space="preserve">nd Sweden </w:t>
            </w:r>
            <w:r w:rsidR="0011055D" w:rsidRPr="006E725C">
              <w:rPr>
                <w:spacing w:val="-4"/>
                <w:lang w:val="en-GB"/>
              </w:rPr>
              <w:t>(−4</w:t>
            </w:r>
            <w:r w:rsidR="009A049C" w:rsidRPr="006E725C">
              <w:rPr>
                <w:spacing w:val="-4"/>
                <w:lang w:val="en-GB"/>
              </w:rPr>
              <w:t>.</w:t>
            </w:r>
            <w:r w:rsidR="0011055D" w:rsidRPr="006E725C">
              <w:rPr>
                <w:spacing w:val="-4"/>
                <w:lang w:val="en-GB"/>
              </w:rPr>
              <w:t>0 p.</w:t>
            </w:r>
            <w:r w:rsidR="009A049C" w:rsidRPr="006E725C">
              <w:rPr>
                <w:spacing w:val="-4"/>
                <w:lang w:val="en-GB"/>
              </w:rPr>
              <w:t>p</w:t>
            </w:r>
            <w:r w:rsidR="0011055D" w:rsidRPr="006E725C">
              <w:rPr>
                <w:spacing w:val="-4"/>
                <w:lang w:val="en-GB"/>
              </w:rPr>
              <w:t xml:space="preserve">.). </w:t>
            </w:r>
            <w:r w:rsidR="009A049C" w:rsidRPr="006E725C">
              <w:rPr>
                <w:spacing w:val="-4"/>
                <w:lang w:val="en-GB"/>
              </w:rPr>
              <w:t xml:space="preserve">In contrast, the indebtedness heightened especially in Belgium </w:t>
            </w:r>
            <w:r w:rsidR="0011055D" w:rsidRPr="006E725C">
              <w:rPr>
                <w:spacing w:val="-4"/>
                <w:lang w:val="en-GB"/>
              </w:rPr>
              <w:t>(</w:t>
            </w:r>
            <w:r w:rsidR="009A049C" w:rsidRPr="006E725C">
              <w:rPr>
                <w:spacing w:val="-4"/>
                <w:lang w:val="en-GB"/>
              </w:rPr>
              <w:t xml:space="preserve">from </w:t>
            </w:r>
            <w:r w:rsidR="0011055D" w:rsidRPr="006E725C">
              <w:rPr>
                <w:spacing w:val="-4"/>
                <w:lang w:val="en-GB"/>
              </w:rPr>
              <w:t>105</w:t>
            </w:r>
            <w:r w:rsidR="009A049C" w:rsidRPr="006E725C">
              <w:rPr>
                <w:spacing w:val="-4"/>
                <w:lang w:val="en-GB"/>
              </w:rPr>
              <w:t>.</w:t>
            </w:r>
            <w:r w:rsidR="0011055D" w:rsidRPr="006E725C">
              <w:rPr>
                <w:spacing w:val="-4"/>
                <w:lang w:val="en-GB"/>
              </w:rPr>
              <w:t>6%</w:t>
            </w:r>
            <w:r w:rsidR="009A049C" w:rsidRPr="006E725C">
              <w:rPr>
                <w:spacing w:val="-4"/>
                <w:lang w:val="en-GB"/>
              </w:rPr>
              <w:t xml:space="preserve"> to </w:t>
            </w:r>
            <w:r w:rsidR="0011055D" w:rsidRPr="006E725C">
              <w:rPr>
                <w:spacing w:val="-4"/>
                <w:lang w:val="en-GB"/>
              </w:rPr>
              <w:t>108</w:t>
            </w:r>
            <w:r w:rsidR="009A049C" w:rsidRPr="006E725C">
              <w:rPr>
                <w:spacing w:val="-4"/>
                <w:lang w:val="en-GB"/>
              </w:rPr>
              <w:t>.</w:t>
            </w:r>
            <w:r w:rsidR="0011055D" w:rsidRPr="006E725C">
              <w:rPr>
                <w:spacing w:val="-4"/>
                <w:lang w:val="en-GB"/>
              </w:rPr>
              <w:t>0%</w:t>
            </w:r>
            <w:r w:rsidR="009A049C" w:rsidRPr="006E725C">
              <w:rPr>
                <w:spacing w:val="-4"/>
                <w:lang w:val="en-GB"/>
              </w:rPr>
              <w:t xml:space="preserve"> of GDP</w:t>
            </w:r>
            <w:r w:rsidR="0011055D" w:rsidRPr="006E725C">
              <w:rPr>
                <w:spacing w:val="-4"/>
                <w:lang w:val="en-GB"/>
              </w:rPr>
              <w:t xml:space="preserve">). </w:t>
            </w:r>
            <w:r w:rsidR="009A049C" w:rsidRPr="006E725C">
              <w:rPr>
                <w:spacing w:val="-4"/>
                <w:lang w:val="en-GB"/>
              </w:rPr>
              <w:t xml:space="preserve">The indebtedness rate in the CR was still </w:t>
            </w:r>
            <w:r w:rsidR="006428D3" w:rsidRPr="006E725C">
              <w:rPr>
                <w:spacing w:val="-4"/>
                <w:lang w:val="en-GB"/>
              </w:rPr>
              <w:t>“</w:t>
            </w:r>
            <w:r w:rsidR="009A049C" w:rsidRPr="006E725C">
              <w:rPr>
                <w:spacing w:val="-4"/>
                <w:lang w:val="en-GB"/>
              </w:rPr>
              <w:t>only</w:t>
            </w:r>
            <w:r w:rsidR="0074333D">
              <w:rPr>
                <w:spacing w:val="-4"/>
                <w:lang w:val="en-GB"/>
              </w:rPr>
              <w:t>”</w:t>
            </w:r>
            <w:r w:rsidR="009A049C" w:rsidRPr="006E725C">
              <w:rPr>
                <w:spacing w:val="-4"/>
                <w:lang w:val="en-GB"/>
              </w:rPr>
              <w:t xml:space="preserve"> one half against the euro area and the ninth lowest among the EU states </w:t>
            </w:r>
            <w:r w:rsidR="0011055D" w:rsidRPr="006E725C">
              <w:rPr>
                <w:spacing w:val="-4"/>
                <w:lang w:val="en-GB"/>
              </w:rPr>
              <w:t>(</w:t>
            </w:r>
            <w:r w:rsidR="009A049C" w:rsidRPr="006E725C">
              <w:rPr>
                <w:spacing w:val="-4"/>
                <w:lang w:val="en-GB"/>
              </w:rPr>
              <w:t xml:space="preserve">in that the fifth between its newest members </w:t>
            </w:r>
            <w:r w:rsidR="0011055D" w:rsidRPr="006E725C">
              <w:rPr>
                <w:spacing w:val="-4"/>
                <w:lang w:val="en-GB"/>
              </w:rPr>
              <w:t xml:space="preserve">– </w:t>
            </w:r>
            <w:r w:rsidR="009A049C" w:rsidRPr="006E725C">
              <w:rPr>
                <w:spacing w:val="-4"/>
                <w:lang w:val="en-GB"/>
              </w:rPr>
              <w:t>after Estonia, Bulgaria, Lithuania and Latvia</w:t>
            </w:r>
            <w:r w:rsidR="0011055D" w:rsidRPr="006E725C">
              <w:rPr>
                <w:spacing w:val="-4"/>
                <w:lang w:val="en-GB"/>
              </w:rPr>
              <w:t xml:space="preserve">). </w:t>
            </w:r>
            <w:r w:rsidR="0049505A" w:rsidRPr="006E725C">
              <w:rPr>
                <w:spacing w:val="-4"/>
                <w:lang w:val="en-GB"/>
              </w:rPr>
              <w:t xml:space="preserve">It however increased by </w:t>
            </w:r>
            <w:r w:rsidR="0011055D" w:rsidRPr="006E725C">
              <w:rPr>
                <w:spacing w:val="-4"/>
                <w:lang w:val="en-GB"/>
              </w:rPr>
              <w:t>14</w:t>
            </w:r>
            <w:r w:rsidR="0049505A" w:rsidRPr="006E725C">
              <w:rPr>
                <w:spacing w:val="-4"/>
                <w:lang w:val="en-GB"/>
              </w:rPr>
              <w:t>.</w:t>
            </w:r>
            <w:r w:rsidR="0011055D" w:rsidRPr="006E725C">
              <w:rPr>
                <w:spacing w:val="-4"/>
                <w:lang w:val="en-GB"/>
              </w:rPr>
              <w:t>5 p.</w:t>
            </w:r>
            <w:r w:rsidR="0049505A" w:rsidRPr="006E725C">
              <w:rPr>
                <w:spacing w:val="-4"/>
                <w:lang w:val="en-GB"/>
              </w:rPr>
              <w:t>p</w:t>
            </w:r>
            <w:r w:rsidR="0011055D" w:rsidRPr="006E725C">
              <w:rPr>
                <w:spacing w:val="-4"/>
                <w:lang w:val="en-GB"/>
              </w:rPr>
              <w:t>.</w:t>
            </w:r>
            <w:r w:rsidR="0049505A" w:rsidRPr="006E725C">
              <w:rPr>
                <w:spacing w:val="-4"/>
                <w:lang w:val="en-GB"/>
              </w:rPr>
              <w:t xml:space="preserve"> against the end of year 2019</w:t>
            </w:r>
            <w:r w:rsidR="0011055D" w:rsidRPr="006E725C">
              <w:rPr>
                <w:spacing w:val="-4"/>
                <w:lang w:val="en-GB"/>
              </w:rPr>
              <w:t xml:space="preserve"> (</w:t>
            </w:r>
            <w:r w:rsidR="0049505A" w:rsidRPr="006E725C">
              <w:rPr>
                <w:spacing w:val="-4"/>
                <w:lang w:val="en-GB"/>
              </w:rPr>
              <w:t>together with France the most in the EU</w:t>
            </w:r>
            <w:r w:rsidR="0011055D" w:rsidRPr="006E725C">
              <w:rPr>
                <w:spacing w:val="-4"/>
                <w:lang w:val="en-GB"/>
              </w:rPr>
              <w:t xml:space="preserve">), </w:t>
            </w:r>
            <w:r w:rsidR="002A7B05" w:rsidRPr="006E725C">
              <w:rPr>
                <w:spacing w:val="-4"/>
                <w:lang w:val="en-GB"/>
              </w:rPr>
              <w:t xml:space="preserve">nearly three times more than in Germany or the average for the Union. On the </w:t>
            </w:r>
            <w:r w:rsidR="0074333D" w:rsidRPr="006E725C">
              <w:rPr>
                <w:spacing w:val="-4"/>
                <w:lang w:val="en-GB"/>
              </w:rPr>
              <w:t>contrary,</w:t>
            </w:r>
            <w:r w:rsidR="002A7B05" w:rsidRPr="006E725C">
              <w:rPr>
                <w:spacing w:val="-4"/>
                <w:lang w:val="en-GB"/>
              </w:rPr>
              <w:t xml:space="preserve"> eight countries managed to </w:t>
            </w:r>
            <w:r w:rsidR="000F45A2" w:rsidRPr="006E725C">
              <w:rPr>
                <w:spacing w:val="-4"/>
                <w:lang w:val="en-GB"/>
              </w:rPr>
              <w:t>decrease</w:t>
            </w:r>
            <w:r w:rsidR="002A7B05" w:rsidRPr="006E725C">
              <w:rPr>
                <w:spacing w:val="-4"/>
                <w:lang w:val="en-GB"/>
              </w:rPr>
              <w:t xml:space="preserve"> the indebtedness for this period </w:t>
            </w:r>
            <w:r w:rsidR="0011055D" w:rsidRPr="006E725C">
              <w:rPr>
                <w:spacing w:val="-4"/>
                <w:lang w:val="en-GB"/>
              </w:rPr>
              <w:t xml:space="preserve">– </w:t>
            </w:r>
            <w:r w:rsidR="002A7B05" w:rsidRPr="006E725C">
              <w:rPr>
                <w:spacing w:val="-4"/>
                <w:lang w:val="en-GB"/>
              </w:rPr>
              <w:t xml:space="preserve">by more than </w:t>
            </w:r>
            <w:r w:rsidR="0011055D" w:rsidRPr="006E725C">
              <w:rPr>
                <w:spacing w:val="-4"/>
                <w:lang w:val="en-GB"/>
              </w:rPr>
              <w:t>13 p.</w:t>
            </w:r>
            <w:r w:rsidR="002A7B05" w:rsidRPr="006E725C">
              <w:rPr>
                <w:spacing w:val="-4"/>
                <w:lang w:val="en-GB"/>
              </w:rPr>
              <w:t xml:space="preserve">p. Greece, Cyprus and Ireland, milder also Sweden, Denmark and the Netherlands. Poland, where the indebtedness increased from </w:t>
            </w:r>
            <w:r w:rsidR="0011055D" w:rsidRPr="006E725C">
              <w:rPr>
                <w:spacing w:val="-4"/>
                <w:lang w:val="en-GB"/>
              </w:rPr>
              <w:t>45</w:t>
            </w:r>
            <w:r w:rsidR="002A7B05" w:rsidRPr="006E725C">
              <w:rPr>
                <w:spacing w:val="-4"/>
                <w:lang w:val="en-GB"/>
              </w:rPr>
              <w:t>.</w:t>
            </w:r>
            <w:r w:rsidR="0011055D" w:rsidRPr="006E725C">
              <w:rPr>
                <w:spacing w:val="-4"/>
                <w:lang w:val="en-GB"/>
              </w:rPr>
              <w:t xml:space="preserve">7% </w:t>
            </w:r>
            <w:r w:rsidR="002A7B05" w:rsidRPr="006E725C">
              <w:rPr>
                <w:spacing w:val="-4"/>
                <w:lang w:val="en-GB"/>
              </w:rPr>
              <w:t xml:space="preserve">to </w:t>
            </w:r>
            <w:r w:rsidR="0011055D" w:rsidRPr="006E725C">
              <w:rPr>
                <w:spacing w:val="-4"/>
                <w:lang w:val="en-GB"/>
              </w:rPr>
              <w:t>48</w:t>
            </w:r>
            <w:r w:rsidR="002A7B05" w:rsidRPr="006E725C">
              <w:rPr>
                <w:spacing w:val="-4"/>
                <w:lang w:val="en-GB"/>
              </w:rPr>
              <w:t>.</w:t>
            </w:r>
            <w:r w:rsidR="0011055D" w:rsidRPr="006E725C">
              <w:rPr>
                <w:spacing w:val="-4"/>
                <w:lang w:val="en-GB"/>
              </w:rPr>
              <w:t>7%</w:t>
            </w:r>
            <w:r w:rsidR="002A7B05" w:rsidRPr="006E725C">
              <w:rPr>
                <w:spacing w:val="-4"/>
                <w:lang w:val="en-GB"/>
              </w:rPr>
              <w:t xml:space="preserve"> of GDP fared relatively the best among the Central European states</w:t>
            </w:r>
            <w:r w:rsidR="0011055D" w:rsidRPr="006E725C">
              <w:rPr>
                <w:spacing w:val="-4"/>
                <w:lang w:val="en-GB"/>
              </w:rPr>
              <w:t>.</w:t>
            </w:r>
          </w:p>
        </w:tc>
      </w:tr>
    </w:tbl>
    <w:p w14:paraId="0FA9EA49" w14:textId="77777777" w:rsidR="0011055D" w:rsidRPr="006E725C" w:rsidRDefault="0011055D" w:rsidP="0011055D">
      <w:pPr>
        <w:pStyle w:val="Nadpis11"/>
        <w:rPr>
          <w:sz w:val="2"/>
          <w:szCs w:val="2"/>
          <w:lang w:val="en-GB"/>
        </w:rPr>
      </w:pPr>
    </w:p>
    <w:p w14:paraId="6FD91E5A" w14:textId="1416C17B" w:rsidR="00106BCC" w:rsidRPr="006E725C" w:rsidRDefault="00106BCC" w:rsidP="001E1AF1">
      <w:pPr>
        <w:pStyle w:val="Nadpis11"/>
        <w:rPr>
          <w:sz w:val="2"/>
          <w:szCs w:val="2"/>
          <w:lang w:val="en-GB"/>
        </w:rPr>
      </w:pPr>
    </w:p>
    <w:sectPr w:rsidR="00106BCC" w:rsidRPr="006E725C" w:rsidSect="001039E2">
      <w:headerReference w:type="even" r:id="rId14"/>
      <w:headerReference w:type="default" r:id="rId15"/>
      <w:footerReference w:type="even" r:id="rId16"/>
      <w:footerReference w:type="default" r:id="rId17"/>
      <w:pgSz w:w="11906" w:h="16838" w:code="9"/>
      <w:pgMar w:top="1134" w:right="1134" w:bottom="1418" w:left="1134" w:header="680" w:footer="737" w:gutter="0"/>
      <w:pgNumType w:start="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5E54" w14:textId="77777777" w:rsidR="003B4260" w:rsidRDefault="003B4260" w:rsidP="00E71A58">
      <w:r>
        <w:separator/>
      </w:r>
    </w:p>
  </w:endnote>
  <w:endnote w:type="continuationSeparator" w:id="0">
    <w:p w14:paraId="4A502AE6" w14:textId="77777777" w:rsidR="003B4260" w:rsidRDefault="003B426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1A4693AC" w:rsidR="003B4260" w:rsidRPr="00932443" w:rsidRDefault="003B4260"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039E2">
      <w:rPr>
        <w:szCs w:val="16"/>
      </w:rPr>
      <w:t>50</w:t>
    </w:r>
    <w:r w:rsidRPr="00932443">
      <w:rPr>
        <w:szCs w:val="16"/>
      </w:rPr>
      <w:fldChar w:fldCharType="end"/>
    </w:r>
    <w:r w:rsidRPr="00932443">
      <w:rPr>
        <w:szCs w:val="16"/>
      </w:rPr>
      <w:tab/>
    </w:r>
    <w:r>
      <w:rPr>
        <w:szCs w:val="16"/>
      </w:rPr>
      <w:t>year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183A21B9" w:rsidR="003B4260" w:rsidRPr="00932443" w:rsidRDefault="003B4260" w:rsidP="00FA6CB6">
    <w:pPr>
      <w:pStyle w:val="Zpat"/>
      <w:rPr>
        <w:szCs w:val="16"/>
      </w:rPr>
    </w:pPr>
    <w:r>
      <w:rPr>
        <w:lang w:eastAsia="cs-CZ"/>
      </w:rPr>
      <w:drawing>
        <wp:anchor distT="0" distB="0" distL="114300" distR="114300" simplePos="0" relativeHeight="251670016" behindDoc="0" locked="0" layoutInCell="1" allowOverlap="1" wp14:anchorId="61E29A61" wp14:editId="1E02F1E3">
          <wp:simplePos x="0" y="0"/>
          <wp:positionH relativeFrom="margin">
            <wp:posOffset>17145</wp:posOffset>
          </wp:positionH>
          <wp:positionV relativeFrom="paragraph">
            <wp:posOffset>-55657</wp:posOffset>
          </wp:positionV>
          <wp:extent cx="676910" cy="201930"/>
          <wp:effectExtent l="0" t="0" r="8890" b="7620"/>
          <wp:wrapNone/>
          <wp:docPr id="3"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year 2023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039E2">
      <w:rPr>
        <w:rStyle w:val="ZpatChar"/>
        <w:szCs w:val="16"/>
      </w:rPr>
      <w:t>51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3BD3" w14:textId="77777777" w:rsidR="003B4260" w:rsidRDefault="003B4260" w:rsidP="00A21B4D">
      <w:pPr>
        <w:spacing w:after="0"/>
      </w:pPr>
      <w:r>
        <w:separator/>
      </w:r>
    </w:p>
  </w:footnote>
  <w:footnote w:type="continuationSeparator" w:id="0">
    <w:p w14:paraId="225CD336" w14:textId="77777777" w:rsidR="003B4260" w:rsidRDefault="003B4260" w:rsidP="00E71A58">
      <w:r>
        <w:continuationSeparator/>
      </w:r>
    </w:p>
  </w:footnote>
  <w:footnote w:id="1">
    <w:p w14:paraId="218512E7" w14:textId="6BCDF4E8" w:rsidR="003B4260" w:rsidRPr="006C5C22" w:rsidRDefault="003B4260" w:rsidP="006C5C22">
      <w:pPr>
        <w:pStyle w:val="Textpoznpodarou"/>
        <w:jc w:val="both"/>
        <w:rPr>
          <w:rFonts w:eastAsia="Times New Roman"/>
          <w:spacing w:val="-2"/>
          <w:sz w:val="16"/>
          <w:szCs w:val="16"/>
          <w:lang w:val="en-GB"/>
        </w:rPr>
      </w:pPr>
      <w:r w:rsidRPr="008534DA">
        <w:rPr>
          <w:rStyle w:val="Znakapoznpodarou"/>
          <w:spacing w:val="-2"/>
          <w:sz w:val="16"/>
          <w:szCs w:val="16"/>
        </w:rPr>
        <w:footnoteRef/>
      </w:r>
      <w:r w:rsidRPr="008534DA">
        <w:rPr>
          <w:spacing w:val="-2"/>
          <w:sz w:val="16"/>
          <w:szCs w:val="16"/>
        </w:rPr>
        <w:t xml:space="preserve"> </w:t>
      </w:r>
      <w:r w:rsidRPr="006C5C22">
        <w:rPr>
          <w:rFonts w:eastAsia="Times New Roman"/>
          <w:spacing w:val="-2"/>
          <w:sz w:val="16"/>
          <w:szCs w:val="16"/>
          <w:lang w:val="en-GB"/>
        </w:rPr>
        <w:t xml:space="preserve">Unless stated otherwise, all data related to the state budget stem from the data of the Ministry of Finance regarding the treasury fulfilment. </w:t>
      </w:r>
    </w:p>
  </w:footnote>
  <w:footnote w:id="2">
    <w:p w14:paraId="0932F52C" w14:textId="70D84351" w:rsidR="003B4260" w:rsidRPr="00EF433F" w:rsidRDefault="003B4260" w:rsidP="006C5C22">
      <w:pPr>
        <w:pStyle w:val="Textpoznpodarou"/>
        <w:jc w:val="both"/>
        <w:rPr>
          <w:spacing w:val="-2"/>
          <w:sz w:val="16"/>
          <w:szCs w:val="16"/>
          <w:lang w:val="en-GB"/>
        </w:rPr>
      </w:pPr>
      <w:r w:rsidRPr="00EF433F">
        <w:rPr>
          <w:rStyle w:val="Znakapoznpodarou"/>
          <w:spacing w:val="-2"/>
          <w:sz w:val="16"/>
          <w:szCs w:val="16"/>
          <w:lang w:val="en-GB"/>
        </w:rPr>
        <w:footnoteRef/>
      </w:r>
      <w:r w:rsidRPr="00EF433F">
        <w:rPr>
          <w:spacing w:val="-2"/>
          <w:sz w:val="16"/>
          <w:szCs w:val="16"/>
          <w:lang w:val="en-GB"/>
        </w:rPr>
        <w:t xml:space="preserve"> </w:t>
      </w:r>
      <w:r w:rsidRPr="00E63B6E">
        <w:rPr>
          <w:sz w:val="16"/>
          <w:szCs w:val="16"/>
          <w:lang w:val="en-GB"/>
        </w:rPr>
        <w:t>Based on Act No. 449/2023 Coll., on the state budget for year 2023</w:t>
      </w:r>
      <w:r>
        <w:rPr>
          <w:sz w:val="16"/>
          <w:szCs w:val="16"/>
          <w:lang w:val="en-GB"/>
        </w:rPr>
        <w:t xml:space="preserve"> (from 30</w:t>
      </w:r>
      <w:r w:rsidRPr="00BA29B7">
        <w:rPr>
          <w:sz w:val="16"/>
          <w:szCs w:val="16"/>
          <w:vertAlign w:val="superscript"/>
          <w:lang w:val="en-GB"/>
        </w:rPr>
        <w:t>th</w:t>
      </w:r>
      <w:r>
        <w:rPr>
          <w:sz w:val="16"/>
          <w:szCs w:val="16"/>
          <w:lang w:val="en-GB"/>
        </w:rPr>
        <w:t xml:space="preserve"> November 2022) anticipating deficit of 295 bn CZK for the last year. </w:t>
      </w:r>
      <w:r w:rsidRPr="00EF433F">
        <w:rPr>
          <w:spacing w:val="-2"/>
          <w:sz w:val="16"/>
          <w:szCs w:val="16"/>
          <w:lang w:val="en-GB"/>
        </w:rPr>
        <w:t xml:space="preserve"> </w:t>
      </w:r>
    </w:p>
  </w:footnote>
  <w:footnote w:id="3">
    <w:p w14:paraId="02F456E1" w14:textId="7203B918" w:rsidR="003B4260" w:rsidRPr="00EF433F" w:rsidRDefault="003B4260" w:rsidP="006C5C22">
      <w:pPr>
        <w:autoSpaceDE w:val="0"/>
        <w:autoSpaceDN w:val="0"/>
        <w:adjustRightInd w:val="0"/>
        <w:spacing w:after="0" w:line="240" w:lineRule="auto"/>
        <w:rPr>
          <w:rFonts w:eastAsia="Calibri" w:cs="Arial"/>
          <w:spacing w:val="-2"/>
          <w:sz w:val="16"/>
          <w:szCs w:val="16"/>
          <w:lang w:val="en-GB" w:eastAsia="en-US"/>
        </w:rPr>
      </w:pPr>
      <w:r w:rsidRPr="00EF433F">
        <w:rPr>
          <w:rStyle w:val="Znakapoznpodarou"/>
          <w:spacing w:val="-2"/>
          <w:sz w:val="16"/>
          <w:szCs w:val="16"/>
          <w:lang w:val="en-GB"/>
        </w:rPr>
        <w:footnoteRef/>
      </w:r>
      <w:r w:rsidRPr="00EF433F">
        <w:rPr>
          <w:spacing w:val="-2"/>
          <w:sz w:val="16"/>
          <w:szCs w:val="16"/>
          <w:lang w:val="en-GB"/>
        </w:rPr>
        <w:t xml:space="preserve"> </w:t>
      </w:r>
      <w:r>
        <w:rPr>
          <w:spacing w:val="-2"/>
          <w:sz w:val="16"/>
          <w:szCs w:val="16"/>
          <w:lang w:val="en-GB"/>
        </w:rPr>
        <w:t>It relates to funds on programmes/projects form the EU and FM budget, which were pre-financed from the SB and consequently gradually reimbursed from the EU and FM budget. Without these funds, which are included in the approved budget with neutral impact, the last year</w:t>
      </w:r>
      <w:r>
        <w:rPr>
          <w:spacing w:val="-2"/>
          <w:sz w:val="16"/>
          <w:szCs w:val="16"/>
          <w:lang w:val="en-US"/>
        </w:rPr>
        <w:t>’</w:t>
      </w:r>
      <w:r w:rsidRPr="00BA29B7">
        <w:rPr>
          <w:spacing w:val="-2"/>
          <w:sz w:val="16"/>
          <w:szCs w:val="16"/>
          <w:lang w:val="en-GB"/>
        </w:rPr>
        <w:t xml:space="preserve">s </w:t>
      </w:r>
      <w:r>
        <w:rPr>
          <w:spacing w:val="-2"/>
          <w:sz w:val="16"/>
          <w:szCs w:val="16"/>
          <w:lang w:val="en-GB"/>
        </w:rPr>
        <w:t xml:space="preserve">deficit was </w:t>
      </w:r>
      <w:r w:rsidRPr="00EF433F">
        <w:rPr>
          <w:rFonts w:cs="Arial"/>
          <w:spacing w:val="-2"/>
          <w:sz w:val="16"/>
          <w:szCs w:val="16"/>
          <w:lang w:val="en-GB" w:eastAsia="en-US"/>
        </w:rPr>
        <w:t>299</w:t>
      </w:r>
      <w:r>
        <w:rPr>
          <w:rFonts w:cs="Arial"/>
          <w:spacing w:val="-2"/>
          <w:sz w:val="16"/>
          <w:szCs w:val="16"/>
          <w:lang w:val="en-GB" w:eastAsia="en-US"/>
        </w:rPr>
        <w:t>.</w:t>
      </w:r>
      <w:r w:rsidRPr="00EF433F">
        <w:rPr>
          <w:rFonts w:cs="Arial"/>
          <w:spacing w:val="-2"/>
          <w:sz w:val="16"/>
          <w:szCs w:val="16"/>
          <w:lang w:val="en-GB" w:eastAsia="en-US"/>
        </w:rPr>
        <w:t>4</w:t>
      </w:r>
      <w:r w:rsidRPr="00EF433F">
        <w:rPr>
          <w:rFonts w:eastAsia="Calibri" w:cs="Arial"/>
          <w:spacing w:val="-2"/>
          <w:sz w:val="16"/>
          <w:szCs w:val="16"/>
          <w:lang w:val="en-GB" w:eastAsia="en-US"/>
        </w:rPr>
        <w:t xml:space="preserve"> </w:t>
      </w:r>
      <w:r>
        <w:rPr>
          <w:rFonts w:eastAsia="Calibri" w:cs="Arial"/>
          <w:spacing w:val="-2"/>
          <w:sz w:val="16"/>
          <w:szCs w:val="16"/>
          <w:lang w:val="en-GB" w:eastAsia="en-US"/>
        </w:rPr>
        <w:t xml:space="preserve">bn CZK </w:t>
      </w:r>
      <w:r w:rsidRPr="00EF433F">
        <w:rPr>
          <w:rFonts w:eastAsia="Calibri" w:cs="Arial"/>
          <w:spacing w:val="-2"/>
          <w:sz w:val="16"/>
          <w:szCs w:val="16"/>
          <w:lang w:val="en-GB" w:eastAsia="en-US"/>
        </w:rPr>
        <w:t>(</w:t>
      </w:r>
      <w:r>
        <w:rPr>
          <w:rFonts w:eastAsia="Calibri" w:cs="Arial"/>
          <w:spacing w:val="-2"/>
          <w:sz w:val="16"/>
          <w:szCs w:val="16"/>
          <w:lang w:val="en-GB" w:eastAsia="en-US"/>
        </w:rPr>
        <w:t xml:space="preserve">by </w:t>
      </w:r>
      <w:r w:rsidRPr="00EF433F">
        <w:rPr>
          <w:rFonts w:eastAsia="Calibri" w:cs="Arial"/>
          <w:spacing w:val="-2"/>
          <w:sz w:val="16"/>
          <w:szCs w:val="16"/>
          <w:lang w:val="en-GB" w:eastAsia="en-US"/>
        </w:rPr>
        <w:t>17</w:t>
      </w:r>
      <w:r>
        <w:rPr>
          <w:rFonts w:eastAsia="Calibri" w:cs="Arial"/>
          <w:spacing w:val="-2"/>
          <w:sz w:val="16"/>
          <w:szCs w:val="16"/>
          <w:lang w:val="en-GB" w:eastAsia="en-US"/>
        </w:rPr>
        <w:t>.</w:t>
      </w:r>
      <w:r w:rsidRPr="00EF433F">
        <w:rPr>
          <w:rFonts w:eastAsia="Calibri" w:cs="Arial"/>
          <w:spacing w:val="-2"/>
          <w:sz w:val="16"/>
          <w:szCs w:val="16"/>
          <w:lang w:val="en-GB" w:eastAsia="en-US"/>
        </w:rPr>
        <w:t>3</w:t>
      </w:r>
      <w:r>
        <w:rPr>
          <w:rFonts w:eastAsia="Calibri" w:cs="Arial"/>
          <w:spacing w:val="-2"/>
          <w:sz w:val="16"/>
          <w:szCs w:val="16"/>
          <w:lang w:val="en-GB" w:eastAsia="en-US"/>
        </w:rPr>
        <w:t xml:space="preserve"> bn less year-on-year</w:t>
      </w:r>
      <w:r w:rsidRPr="00EF433F">
        <w:rPr>
          <w:rFonts w:eastAsia="Calibri" w:cs="Arial"/>
          <w:spacing w:val="-2"/>
          <w:sz w:val="16"/>
          <w:szCs w:val="16"/>
          <w:lang w:val="en-GB" w:eastAsia="en-US"/>
        </w:rPr>
        <w:t>).</w:t>
      </w:r>
    </w:p>
  </w:footnote>
  <w:footnote w:id="4">
    <w:p w14:paraId="72B5AA8F" w14:textId="6EBF2407" w:rsidR="003B4260" w:rsidRPr="00EF433F" w:rsidRDefault="003B4260" w:rsidP="006C5C22">
      <w:pPr>
        <w:pStyle w:val="Textpoznpodarou"/>
        <w:jc w:val="both"/>
        <w:rPr>
          <w:spacing w:val="-2"/>
          <w:sz w:val="16"/>
          <w:szCs w:val="16"/>
          <w:lang w:val="en-GB"/>
        </w:rPr>
      </w:pPr>
      <w:r w:rsidRPr="00EF433F">
        <w:rPr>
          <w:rStyle w:val="Znakapoznpodarou"/>
          <w:spacing w:val="-2"/>
          <w:sz w:val="16"/>
          <w:szCs w:val="16"/>
          <w:lang w:val="en-GB"/>
        </w:rPr>
        <w:footnoteRef/>
      </w:r>
      <w:r w:rsidRPr="00EF433F">
        <w:rPr>
          <w:spacing w:val="-2"/>
          <w:sz w:val="16"/>
          <w:szCs w:val="16"/>
          <w:lang w:val="en-GB"/>
        </w:rPr>
        <w:t xml:space="preserve"> </w:t>
      </w:r>
      <w:r>
        <w:rPr>
          <w:spacing w:val="-2"/>
          <w:sz w:val="16"/>
          <w:szCs w:val="16"/>
          <w:lang w:val="en-GB"/>
        </w:rPr>
        <w:t xml:space="preserve">From January till May, in total the record deficit was reported in the amount of </w:t>
      </w:r>
      <w:r w:rsidRPr="00EF433F">
        <w:rPr>
          <w:spacing w:val="-2"/>
          <w:sz w:val="16"/>
          <w:szCs w:val="16"/>
          <w:lang w:val="en-GB"/>
        </w:rPr>
        <w:t>271.4</w:t>
      </w:r>
      <w:r>
        <w:rPr>
          <w:spacing w:val="-2"/>
          <w:sz w:val="16"/>
          <w:szCs w:val="16"/>
          <w:lang w:val="en-GB"/>
        </w:rPr>
        <w:t xml:space="preserve"> bn CZK</w:t>
      </w:r>
      <w:r w:rsidRPr="00EF433F">
        <w:rPr>
          <w:spacing w:val="-2"/>
          <w:sz w:val="16"/>
          <w:szCs w:val="16"/>
          <w:lang w:val="en-GB"/>
        </w:rPr>
        <w:t xml:space="preserve">. </w:t>
      </w:r>
      <w:r>
        <w:rPr>
          <w:spacing w:val="-2"/>
          <w:sz w:val="16"/>
          <w:szCs w:val="16"/>
          <w:lang w:val="en-GB"/>
        </w:rPr>
        <w:t xml:space="preserve">On the contrary the surplus reached </w:t>
      </w:r>
      <w:r w:rsidRPr="00EF433F">
        <w:rPr>
          <w:spacing w:val="-2"/>
          <w:sz w:val="16"/>
          <w:szCs w:val="16"/>
          <w:lang w:val="en-GB"/>
        </w:rPr>
        <w:t>90</w:t>
      </w:r>
      <w:r>
        <w:rPr>
          <w:spacing w:val="-2"/>
          <w:sz w:val="16"/>
          <w:szCs w:val="16"/>
          <w:lang w:val="en-GB"/>
        </w:rPr>
        <w:t>.</w:t>
      </w:r>
      <w:r w:rsidRPr="00EF433F">
        <w:rPr>
          <w:spacing w:val="-2"/>
          <w:sz w:val="16"/>
          <w:szCs w:val="16"/>
          <w:lang w:val="en-GB"/>
        </w:rPr>
        <w:t>6</w:t>
      </w:r>
      <w:r>
        <w:rPr>
          <w:spacing w:val="-2"/>
          <w:sz w:val="16"/>
          <w:szCs w:val="16"/>
          <w:lang w:val="en-GB"/>
        </w:rPr>
        <w:t xml:space="preserve"> bn from June till September</w:t>
      </w:r>
      <w:r w:rsidRPr="00EF433F">
        <w:rPr>
          <w:spacing w:val="-2"/>
          <w:sz w:val="16"/>
          <w:szCs w:val="16"/>
          <w:lang w:val="en-GB"/>
        </w:rPr>
        <w:t>.</w:t>
      </w:r>
    </w:p>
  </w:footnote>
  <w:footnote w:id="5">
    <w:p w14:paraId="3E5D3254" w14:textId="73890312" w:rsidR="003B4260" w:rsidRPr="00940207" w:rsidRDefault="003B4260" w:rsidP="00E06436">
      <w:pPr>
        <w:pStyle w:val="Textpoznpodarou"/>
        <w:jc w:val="both"/>
        <w:rPr>
          <w:spacing w:val="-2"/>
          <w:sz w:val="16"/>
          <w:szCs w:val="16"/>
          <w:lang w:val="en-GB"/>
        </w:rPr>
      </w:pPr>
      <w:r w:rsidRPr="008534DA">
        <w:rPr>
          <w:rStyle w:val="Znakapoznpodarou"/>
          <w:spacing w:val="-2"/>
          <w:sz w:val="16"/>
          <w:szCs w:val="16"/>
        </w:rPr>
        <w:footnoteRef/>
      </w:r>
      <w:r w:rsidRPr="008534DA">
        <w:rPr>
          <w:spacing w:val="-2"/>
          <w:sz w:val="16"/>
          <w:szCs w:val="16"/>
        </w:rPr>
        <w:t xml:space="preserve"> </w:t>
      </w:r>
      <w:r w:rsidRPr="00940207">
        <w:rPr>
          <w:spacing w:val="-2"/>
          <w:sz w:val="16"/>
          <w:szCs w:val="16"/>
          <w:lang w:val="en-GB"/>
        </w:rPr>
        <w:t>It relates to the social security insurance and active employment policy.</w:t>
      </w:r>
    </w:p>
  </w:footnote>
  <w:footnote w:id="6">
    <w:p w14:paraId="18608D2C" w14:textId="2B2C820B" w:rsidR="003B4260" w:rsidRPr="00940207" w:rsidRDefault="003B4260" w:rsidP="00E06436">
      <w:pPr>
        <w:pStyle w:val="Textpoznpodarou"/>
        <w:jc w:val="both"/>
        <w:rPr>
          <w:spacing w:val="-2"/>
          <w:sz w:val="16"/>
          <w:szCs w:val="16"/>
          <w:lang w:val="en-GB"/>
        </w:rPr>
      </w:pPr>
      <w:r w:rsidRPr="00940207">
        <w:rPr>
          <w:rStyle w:val="Znakapoznpodarou"/>
          <w:spacing w:val="-2"/>
          <w:sz w:val="16"/>
          <w:szCs w:val="16"/>
          <w:lang w:val="en-GB"/>
        </w:rPr>
        <w:footnoteRef/>
      </w:r>
      <w:r w:rsidRPr="00940207">
        <w:rPr>
          <w:spacing w:val="-2"/>
          <w:sz w:val="16"/>
          <w:szCs w:val="16"/>
          <w:lang w:val="en-GB"/>
        </w:rPr>
        <w:t xml:space="preserve"> It manifested via the weakening growth pace of employment as well as nominal average wages. In addition, the introduction of relief for employers enabling shorter job contracts to selected group of employees </w:t>
      </w:r>
      <w:r w:rsidRPr="00940207">
        <w:rPr>
          <w:sz w:val="16"/>
          <w:szCs w:val="16"/>
          <w:lang w:val="en-GB"/>
        </w:rPr>
        <w:t xml:space="preserve">(e.g. parents of smaller children, </w:t>
      </w:r>
      <w:r>
        <w:rPr>
          <w:sz w:val="16"/>
          <w:szCs w:val="16"/>
          <w:lang w:val="en-GB"/>
        </w:rPr>
        <w:t xml:space="preserve">persons caring for relatives or persons above </w:t>
      </w:r>
      <w:r w:rsidRPr="00940207">
        <w:rPr>
          <w:sz w:val="16"/>
          <w:szCs w:val="16"/>
          <w:lang w:val="en-GB"/>
        </w:rPr>
        <w:t xml:space="preserve">55 </w:t>
      </w:r>
      <w:r>
        <w:rPr>
          <w:sz w:val="16"/>
          <w:szCs w:val="16"/>
          <w:lang w:val="en-GB"/>
        </w:rPr>
        <w:t>years of age</w:t>
      </w:r>
      <w:r w:rsidRPr="00940207">
        <w:rPr>
          <w:sz w:val="16"/>
          <w:szCs w:val="16"/>
          <w:lang w:val="en-GB"/>
        </w:rPr>
        <w:t xml:space="preserve">) </w:t>
      </w:r>
      <w:r>
        <w:rPr>
          <w:sz w:val="16"/>
          <w:szCs w:val="16"/>
          <w:lang w:val="en-GB"/>
        </w:rPr>
        <w:t xml:space="preserve">or increase of levy rates for hazardous occupations </w:t>
      </w:r>
      <w:r w:rsidRPr="00940207">
        <w:rPr>
          <w:sz w:val="16"/>
          <w:szCs w:val="16"/>
          <w:lang w:val="en-GB"/>
        </w:rPr>
        <w:t xml:space="preserve">also impacted the collection of insurance. </w:t>
      </w:r>
    </w:p>
  </w:footnote>
  <w:footnote w:id="7">
    <w:p w14:paraId="4B147D7E" w14:textId="13A88BCE" w:rsidR="003B4260" w:rsidRPr="00940207" w:rsidRDefault="003B4260" w:rsidP="0068020C">
      <w:pPr>
        <w:pStyle w:val="Textpoznpodarou"/>
        <w:jc w:val="both"/>
        <w:rPr>
          <w:spacing w:val="-2"/>
          <w:lang w:val="en-GB"/>
        </w:rPr>
      </w:pPr>
      <w:r w:rsidRPr="00940207">
        <w:rPr>
          <w:rStyle w:val="Znakapoznpodarou"/>
          <w:spacing w:val="-2"/>
          <w:sz w:val="16"/>
          <w:szCs w:val="16"/>
          <w:lang w:val="en-GB"/>
        </w:rPr>
        <w:footnoteRef/>
      </w:r>
      <w:r w:rsidRPr="00940207">
        <w:rPr>
          <w:spacing w:val="-2"/>
          <w:lang w:val="en-GB"/>
        </w:rPr>
        <w:t xml:space="preserve"> </w:t>
      </w:r>
      <w:r w:rsidRPr="00940207">
        <w:rPr>
          <w:spacing w:val="-2"/>
          <w:sz w:val="16"/>
          <w:szCs w:val="16"/>
          <w:lang w:val="en-GB"/>
        </w:rPr>
        <w:t xml:space="preserve">Annual collections of these temporarily introduced “sector” taxes from businesses from the unexpected profits and levies from the excess income was primarily estimated on 100 </w:t>
      </w:r>
      <w:r>
        <w:rPr>
          <w:spacing w:val="-2"/>
          <w:sz w:val="16"/>
          <w:szCs w:val="16"/>
          <w:lang w:val="en-GB"/>
        </w:rPr>
        <w:t>bn CZK</w:t>
      </w:r>
      <w:r w:rsidRPr="00940207">
        <w:rPr>
          <w:spacing w:val="-2"/>
          <w:sz w:val="16"/>
          <w:szCs w:val="16"/>
          <w:lang w:val="en-GB"/>
        </w:rPr>
        <w:t xml:space="preserve">. For its key component – tax on unexpected profits – the original budget estimate of the annual collection was revised already last year in April (from 85 </w:t>
      </w:r>
      <w:r>
        <w:rPr>
          <w:spacing w:val="-2"/>
          <w:sz w:val="16"/>
          <w:szCs w:val="16"/>
          <w:lang w:val="en-GB"/>
        </w:rPr>
        <w:t>bn CZK</w:t>
      </w:r>
      <w:r w:rsidRPr="00940207">
        <w:rPr>
          <w:spacing w:val="-2"/>
          <w:sz w:val="16"/>
          <w:szCs w:val="16"/>
          <w:lang w:val="en-GB"/>
        </w:rPr>
        <w:t xml:space="preserve"> to 28 bn), partial correction of the anticipated yield was made in august (to 46 </w:t>
      </w:r>
      <w:r>
        <w:rPr>
          <w:spacing w:val="-2"/>
          <w:sz w:val="16"/>
          <w:szCs w:val="16"/>
          <w:lang w:val="en-GB"/>
        </w:rPr>
        <w:t>bn CZK</w:t>
      </w:r>
      <w:r w:rsidRPr="00940207">
        <w:rPr>
          <w:spacing w:val="-2"/>
          <w:sz w:val="16"/>
          <w:szCs w:val="16"/>
          <w:lang w:val="en-GB"/>
        </w:rPr>
        <w:t>).</w:t>
      </w:r>
    </w:p>
  </w:footnote>
  <w:footnote w:id="8">
    <w:p w14:paraId="6C1F2090" w14:textId="22E53C4C" w:rsidR="003B4260" w:rsidRPr="00940207" w:rsidRDefault="003B4260" w:rsidP="00E06436">
      <w:pPr>
        <w:pStyle w:val="Textpoznpodarou"/>
        <w:jc w:val="both"/>
        <w:rPr>
          <w:spacing w:val="-2"/>
          <w:sz w:val="16"/>
          <w:szCs w:val="16"/>
          <w:lang w:val="en-GB"/>
        </w:rPr>
      </w:pPr>
      <w:r w:rsidRPr="00940207">
        <w:rPr>
          <w:rStyle w:val="Znakapoznpodarou"/>
          <w:spacing w:val="-2"/>
          <w:sz w:val="16"/>
          <w:szCs w:val="16"/>
          <w:lang w:val="en-GB"/>
        </w:rPr>
        <w:footnoteRef/>
      </w:r>
      <w:r w:rsidRPr="00940207">
        <w:rPr>
          <w:spacing w:val="-2"/>
          <w:sz w:val="16"/>
          <w:szCs w:val="16"/>
          <w:lang w:val="en-GB"/>
        </w:rPr>
        <w:t xml:space="preserve"> </w:t>
      </w:r>
      <w:r w:rsidRPr="00940207">
        <w:rPr>
          <w:sz w:val="16"/>
          <w:szCs w:val="16"/>
          <w:lang w:val="en-GB"/>
        </w:rPr>
        <w:t>It applies to energy, petrochemical and mining companies and also involves large banks. Vast majority of the collection of this tax however (88%) fl</w:t>
      </w:r>
      <w:r>
        <w:rPr>
          <w:sz w:val="16"/>
          <w:szCs w:val="16"/>
          <w:lang w:val="en-GB"/>
        </w:rPr>
        <w:t xml:space="preserve">owed </w:t>
      </w:r>
      <w:r w:rsidRPr="00940207">
        <w:rPr>
          <w:sz w:val="16"/>
          <w:szCs w:val="16"/>
          <w:lang w:val="en-GB"/>
        </w:rPr>
        <w:t xml:space="preserve">into the SB only from the energy industry. </w:t>
      </w:r>
      <w:r w:rsidRPr="00940207">
        <w:rPr>
          <w:spacing w:val="-2"/>
          <w:sz w:val="16"/>
          <w:szCs w:val="16"/>
          <w:lang w:val="en-GB"/>
        </w:rPr>
        <w:t xml:space="preserve"> </w:t>
      </w:r>
    </w:p>
  </w:footnote>
  <w:footnote w:id="9">
    <w:p w14:paraId="013133B2" w14:textId="49B9E25D" w:rsidR="003B4260" w:rsidRPr="00940207" w:rsidRDefault="003B4260" w:rsidP="00E06436">
      <w:pPr>
        <w:pStyle w:val="Textpoznpodarou"/>
        <w:jc w:val="both"/>
        <w:rPr>
          <w:sz w:val="16"/>
          <w:szCs w:val="16"/>
          <w:lang w:val="en-GB"/>
        </w:rPr>
      </w:pPr>
      <w:r w:rsidRPr="00940207">
        <w:rPr>
          <w:rStyle w:val="Znakapoznpodarou"/>
          <w:spacing w:val="-2"/>
          <w:sz w:val="16"/>
          <w:szCs w:val="16"/>
          <w:lang w:val="en-GB"/>
        </w:rPr>
        <w:footnoteRef/>
      </w:r>
      <w:r w:rsidRPr="00940207">
        <w:rPr>
          <w:spacing w:val="-2"/>
          <w:sz w:val="16"/>
          <w:szCs w:val="16"/>
          <w:lang w:val="en-GB"/>
        </w:rPr>
        <w:t xml:space="preserve"> This levy </w:t>
      </w:r>
      <w:r w:rsidRPr="00940207">
        <w:rPr>
          <w:sz w:val="16"/>
          <w:szCs w:val="16"/>
          <w:lang w:val="en-GB"/>
        </w:rPr>
        <w:t>(taxed by 90% rate) presents a difference between real income and ceiling of the market income from the sale of electricity above the given limit (for the time period from 1</w:t>
      </w:r>
      <w:r w:rsidRPr="00940207">
        <w:rPr>
          <w:sz w:val="16"/>
          <w:szCs w:val="16"/>
          <w:vertAlign w:val="superscript"/>
          <w:lang w:val="en-GB"/>
        </w:rPr>
        <w:t>st</w:t>
      </w:r>
      <w:r w:rsidRPr="00940207">
        <w:rPr>
          <w:sz w:val="16"/>
          <w:szCs w:val="16"/>
          <w:lang w:val="en-GB"/>
        </w:rPr>
        <w:t xml:space="preserve"> December 2022 till the end of year 2023).</w:t>
      </w:r>
    </w:p>
  </w:footnote>
  <w:footnote w:id="10">
    <w:p w14:paraId="5798DF0C" w14:textId="279ADC83" w:rsidR="003B4260" w:rsidRPr="00940207" w:rsidRDefault="003B4260" w:rsidP="00E06436">
      <w:pPr>
        <w:pStyle w:val="Textpoznpodarou"/>
        <w:jc w:val="both"/>
        <w:rPr>
          <w:sz w:val="16"/>
          <w:szCs w:val="16"/>
          <w:lang w:val="en-GB"/>
        </w:rPr>
      </w:pPr>
      <w:r w:rsidRPr="00940207">
        <w:rPr>
          <w:rStyle w:val="Znakapoznpodarou"/>
          <w:sz w:val="16"/>
          <w:szCs w:val="16"/>
          <w:lang w:val="en-GB"/>
        </w:rPr>
        <w:footnoteRef/>
      </w:r>
      <w:r w:rsidRPr="00940207">
        <w:rPr>
          <w:sz w:val="16"/>
          <w:szCs w:val="16"/>
          <w:lang w:val="en-GB"/>
        </w:rPr>
        <w:t xml:space="preserve"> Gross operational surplus of the non-financial businesses increased by 16% year-on-year in year </w:t>
      </w:r>
      <w:r w:rsidRPr="00940207">
        <w:rPr>
          <w:spacing w:val="-4"/>
          <w:sz w:val="16"/>
          <w:szCs w:val="16"/>
          <w:lang w:val="en-GB"/>
        </w:rPr>
        <w:t>2022 (it also increased similarly in Q1 to Q3 2023), rate of profit of these businesses equalled 47% in year</w:t>
      </w:r>
      <w:r>
        <w:rPr>
          <w:spacing w:val="-4"/>
          <w:sz w:val="16"/>
          <w:szCs w:val="16"/>
          <w:lang w:val="en-GB"/>
        </w:rPr>
        <w:t xml:space="preserve"> </w:t>
      </w:r>
      <w:r w:rsidRPr="00940207">
        <w:rPr>
          <w:spacing w:val="-4"/>
          <w:sz w:val="16"/>
          <w:szCs w:val="16"/>
          <w:lang w:val="en-GB"/>
        </w:rPr>
        <w:t>2022, 48.7% then in Q1 to Q3 2023%.</w:t>
      </w:r>
    </w:p>
  </w:footnote>
  <w:footnote w:id="11">
    <w:p w14:paraId="1EB1AFB8" w14:textId="122F3264" w:rsidR="003B4260" w:rsidRPr="00940207" w:rsidRDefault="003B4260" w:rsidP="00F157DD">
      <w:pPr>
        <w:pStyle w:val="Textpoznpodarou"/>
        <w:jc w:val="both"/>
        <w:rPr>
          <w:spacing w:val="-6"/>
          <w:sz w:val="16"/>
          <w:szCs w:val="16"/>
          <w:lang w:val="en-GB"/>
        </w:rPr>
      </w:pPr>
      <w:r w:rsidRPr="00940207">
        <w:rPr>
          <w:rStyle w:val="Znakapoznpodarou"/>
          <w:spacing w:val="-6"/>
          <w:sz w:val="16"/>
          <w:szCs w:val="16"/>
          <w:lang w:val="en-GB"/>
        </w:rPr>
        <w:footnoteRef/>
      </w:r>
      <w:r w:rsidRPr="00940207">
        <w:rPr>
          <w:spacing w:val="-6"/>
          <w:sz w:val="16"/>
          <w:szCs w:val="16"/>
          <w:lang w:val="en-GB"/>
        </w:rPr>
        <w:t xml:space="preserve"> </w:t>
      </w:r>
      <w:r w:rsidRPr="00940207">
        <w:rPr>
          <w:sz w:val="16"/>
          <w:szCs w:val="16"/>
          <w:lang w:val="en-GB"/>
        </w:rPr>
        <w:t>State-wide collection of ITNP from dependent activity (at the level of all public budgets</w:t>
      </w:r>
      <w:r w:rsidRPr="00940207">
        <w:rPr>
          <w:spacing w:val="-4"/>
          <w:sz w:val="16"/>
          <w:szCs w:val="16"/>
          <w:lang w:val="en-GB"/>
        </w:rPr>
        <w:t xml:space="preserve">) hovered only slightly above the level of year 2017 last year and lagged by 18% behind the record size from year 2019. Reducing the tax burden on labour since year 2021 played a key role here (abolition of the so called super gross wage). </w:t>
      </w:r>
    </w:p>
  </w:footnote>
  <w:footnote w:id="12">
    <w:p w14:paraId="21AEFB6A" w14:textId="083DC7F1" w:rsidR="003B4260" w:rsidRPr="0072306E" w:rsidRDefault="003B4260" w:rsidP="0072306E">
      <w:pPr>
        <w:pStyle w:val="Textpoznpodarou"/>
        <w:jc w:val="both"/>
        <w:rPr>
          <w:sz w:val="16"/>
          <w:szCs w:val="16"/>
          <w:lang w:val="en-GB"/>
        </w:rPr>
      </w:pPr>
      <w:r w:rsidRPr="00855CAD">
        <w:rPr>
          <w:rStyle w:val="Znakapoznpodarou"/>
          <w:sz w:val="16"/>
          <w:szCs w:val="16"/>
        </w:rPr>
        <w:footnoteRef/>
      </w:r>
      <w:r w:rsidRPr="00855CAD">
        <w:rPr>
          <w:sz w:val="16"/>
          <w:szCs w:val="16"/>
        </w:rPr>
        <w:t xml:space="preserve"> </w:t>
      </w:r>
      <w:r w:rsidRPr="0072306E">
        <w:rPr>
          <w:sz w:val="16"/>
          <w:szCs w:val="16"/>
          <w:lang w:val="en-GB"/>
        </w:rPr>
        <w:t>R</w:t>
      </w:r>
      <w:r>
        <w:rPr>
          <w:sz w:val="16"/>
          <w:szCs w:val="16"/>
          <w:lang w:val="en-GB"/>
        </w:rPr>
        <w:t xml:space="preserve">eal expenditures on the final consumption of domestic households slightly increased at the end of the last year against Q3 and the decrease of expenditures in the year-on-year comparison (lasting continuously nearly two years) practically halted. </w:t>
      </w:r>
    </w:p>
  </w:footnote>
  <w:footnote w:id="13">
    <w:p w14:paraId="50EFD59E" w14:textId="6733E8CA" w:rsidR="003B4260" w:rsidRPr="0072306E" w:rsidRDefault="003B4260" w:rsidP="0072306E">
      <w:pPr>
        <w:pStyle w:val="Textpoznpodarou"/>
        <w:jc w:val="both"/>
        <w:rPr>
          <w:sz w:val="16"/>
          <w:szCs w:val="16"/>
          <w:lang w:val="en-GB"/>
        </w:rPr>
      </w:pPr>
      <w:r w:rsidRPr="0072306E">
        <w:rPr>
          <w:rStyle w:val="Znakapoznpodarou"/>
          <w:sz w:val="16"/>
          <w:szCs w:val="16"/>
          <w:lang w:val="en-GB"/>
        </w:rPr>
        <w:footnoteRef/>
      </w:r>
      <w:r w:rsidRPr="0072306E">
        <w:rPr>
          <w:sz w:val="16"/>
          <w:szCs w:val="16"/>
          <w:lang w:val="en-GB"/>
        </w:rPr>
        <w:t xml:space="preserve"> </w:t>
      </w:r>
      <w:r>
        <w:rPr>
          <w:sz w:val="16"/>
          <w:szCs w:val="16"/>
          <w:lang w:val="en-GB"/>
        </w:rPr>
        <w:t xml:space="preserve">It relates to the increase from </w:t>
      </w:r>
      <w:r w:rsidRPr="00DE4882">
        <w:rPr>
          <w:sz w:val="16"/>
          <w:szCs w:val="16"/>
          <w:lang w:val="en-GB"/>
        </w:rPr>
        <w:t>1</w:t>
      </w:r>
      <w:r>
        <w:rPr>
          <w:sz w:val="16"/>
          <w:szCs w:val="16"/>
          <w:lang w:val="en-GB"/>
        </w:rPr>
        <w:t xml:space="preserve"> to </w:t>
      </w:r>
      <w:r w:rsidRPr="00DE4882">
        <w:rPr>
          <w:sz w:val="16"/>
          <w:szCs w:val="16"/>
          <w:lang w:val="en-GB"/>
        </w:rPr>
        <w:t>2</w:t>
      </w:r>
      <w:r>
        <w:rPr>
          <w:sz w:val="16"/>
          <w:szCs w:val="16"/>
          <w:lang w:val="en-GB"/>
        </w:rPr>
        <w:t xml:space="preserve"> mil CZK, which became effective as of January </w:t>
      </w:r>
      <w:r w:rsidRPr="00DE4882">
        <w:rPr>
          <w:sz w:val="16"/>
          <w:szCs w:val="16"/>
          <w:lang w:val="en-GB"/>
        </w:rPr>
        <w:t>2023.</w:t>
      </w:r>
      <w:r>
        <w:rPr>
          <w:sz w:val="16"/>
          <w:szCs w:val="16"/>
          <w:lang w:val="en-GB"/>
        </w:rPr>
        <w:t xml:space="preserve"> Together with the widening of the flat rate scheme it reflected in the year-on-year reduction of the number of VAT payers. </w:t>
      </w:r>
    </w:p>
  </w:footnote>
  <w:footnote w:id="14">
    <w:p w14:paraId="1BE2EC83" w14:textId="6845DEA1" w:rsidR="003B4260" w:rsidRPr="00495DA8" w:rsidRDefault="003B4260" w:rsidP="00495DA8">
      <w:pPr>
        <w:pStyle w:val="Textpoznpodarou"/>
        <w:jc w:val="both"/>
        <w:rPr>
          <w:sz w:val="16"/>
          <w:szCs w:val="16"/>
          <w:lang w:val="en-GB"/>
        </w:rPr>
      </w:pPr>
      <w:r w:rsidRPr="0072306E">
        <w:rPr>
          <w:rStyle w:val="Znakapoznpodarou"/>
          <w:sz w:val="16"/>
          <w:szCs w:val="16"/>
          <w:lang w:val="en-GB"/>
        </w:rPr>
        <w:footnoteRef/>
      </w:r>
      <w:r w:rsidRPr="0072306E">
        <w:rPr>
          <w:sz w:val="16"/>
          <w:szCs w:val="16"/>
          <w:lang w:val="en-GB"/>
        </w:rPr>
        <w:t xml:space="preserve"> </w:t>
      </w:r>
      <w:r w:rsidRPr="00495DA8">
        <w:rPr>
          <w:sz w:val="16"/>
          <w:szCs w:val="16"/>
          <w:lang w:val="en-GB"/>
        </w:rPr>
        <w:t xml:space="preserve">It also includes the energy taxes and the digital services tax. </w:t>
      </w:r>
    </w:p>
  </w:footnote>
  <w:footnote w:id="15">
    <w:p w14:paraId="6B981675" w14:textId="42DA3036" w:rsidR="003B4260" w:rsidRPr="00495DA8" w:rsidRDefault="003B4260" w:rsidP="00495DA8">
      <w:pPr>
        <w:pStyle w:val="Textpoznpodarou"/>
        <w:jc w:val="both"/>
        <w:rPr>
          <w:sz w:val="16"/>
          <w:szCs w:val="16"/>
          <w:lang w:val="en-GB"/>
        </w:rPr>
      </w:pPr>
      <w:r w:rsidRPr="00495DA8">
        <w:rPr>
          <w:rStyle w:val="Znakapoznpodarou"/>
          <w:sz w:val="16"/>
          <w:szCs w:val="16"/>
          <w:lang w:val="en-GB"/>
        </w:rPr>
        <w:footnoteRef/>
      </w:r>
      <w:r w:rsidRPr="00495DA8">
        <w:rPr>
          <w:sz w:val="16"/>
          <w:szCs w:val="16"/>
          <w:lang w:val="en-GB"/>
        </w:rPr>
        <w:t xml:space="preserve"> </w:t>
      </w:r>
      <w:r>
        <w:rPr>
          <w:sz w:val="16"/>
          <w:szCs w:val="16"/>
          <w:lang w:val="en-GB"/>
        </w:rPr>
        <w:t xml:space="preserve">Collection of the consumption tax on heated tobacco products increased by 8.3% year-on-year for the three quarters last year. </w:t>
      </w:r>
    </w:p>
  </w:footnote>
  <w:footnote w:id="16">
    <w:p w14:paraId="44A28189" w14:textId="036ED61F" w:rsidR="003B4260" w:rsidRPr="00495DA8" w:rsidRDefault="003B4260" w:rsidP="00495DA8">
      <w:pPr>
        <w:pStyle w:val="Textpoznpodarou"/>
        <w:jc w:val="both"/>
        <w:rPr>
          <w:lang w:val="en-GB"/>
        </w:rPr>
      </w:pPr>
      <w:r w:rsidRPr="00495DA8">
        <w:rPr>
          <w:rStyle w:val="Znakapoznpodarou"/>
          <w:sz w:val="16"/>
          <w:szCs w:val="16"/>
          <w:lang w:val="en-GB"/>
        </w:rPr>
        <w:footnoteRef/>
      </w:r>
      <w:r w:rsidRPr="00495DA8">
        <w:rPr>
          <w:sz w:val="16"/>
          <w:szCs w:val="16"/>
          <w:lang w:val="en-GB"/>
        </w:rPr>
        <w:t xml:space="preserve"> </w:t>
      </w:r>
      <w:r>
        <w:rPr>
          <w:sz w:val="16"/>
          <w:szCs w:val="16"/>
          <w:lang w:val="en-GB"/>
        </w:rPr>
        <w:t xml:space="preserve">This increase occurred from August last year </w:t>
      </w:r>
      <w:r w:rsidRPr="00495DA8">
        <w:rPr>
          <w:sz w:val="16"/>
          <w:szCs w:val="16"/>
          <w:lang w:val="en-GB"/>
        </w:rPr>
        <w:t>(</w:t>
      </w:r>
      <w:r>
        <w:rPr>
          <w:sz w:val="16"/>
          <w:szCs w:val="16"/>
          <w:lang w:val="en-GB"/>
        </w:rPr>
        <w:t xml:space="preserve">by </w:t>
      </w:r>
      <w:r w:rsidRPr="00495DA8">
        <w:rPr>
          <w:sz w:val="16"/>
          <w:szCs w:val="16"/>
          <w:lang w:val="en-GB"/>
        </w:rPr>
        <w:t>1</w:t>
      </w:r>
      <w:r>
        <w:rPr>
          <w:sz w:val="16"/>
          <w:szCs w:val="16"/>
          <w:lang w:val="en-GB"/>
        </w:rPr>
        <w:t>.</w:t>
      </w:r>
      <w:r w:rsidRPr="00495DA8">
        <w:rPr>
          <w:sz w:val="16"/>
          <w:szCs w:val="16"/>
          <w:lang w:val="en-GB"/>
        </w:rPr>
        <w:t>5</w:t>
      </w:r>
      <w:r>
        <w:rPr>
          <w:sz w:val="16"/>
          <w:szCs w:val="16"/>
          <w:lang w:val="en-GB"/>
        </w:rPr>
        <w:t xml:space="preserve"> CZK per litre</w:t>
      </w:r>
      <w:r w:rsidRPr="00495DA8">
        <w:rPr>
          <w:sz w:val="16"/>
          <w:szCs w:val="16"/>
          <w:lang w:val="en-GB"/>
        </w:rPr>
        <w:t xml:space="preserve">). </w:t>
      </w:r>
      <w:r>
        <w:rPr>
          <w:sz w:val="16"/>
          <w:szCs w:val="16"/>
          <w:lang w:val="en-GB"/>
        </w:rPr>
        <w:t xml:space="preserve">Consumption tax rate on diesel fuel thus returned to the original size </w:t>
      </w:r>
      <w:r w:rsidRPr="00495DA8">
        <w:rPr>
          <w:sz w:val="16"/>
          <w:szCs w:val="16"/>
          <w:lang w:val="en-GB"/>
        </w:rPr>
        <w:t>(9</w:t>
      </w:r>
      <w:r>
        <w:rPr>
          <w:sz w:val="16"/>
          <w:szCs w:val="16"/>
          <w:lang w:val="en-GB"/>
        </w:rPr>
        <w:t>.</w:t>
      </w:r>
      <w:r w:rsidRPr="00495DA8">
        <w:rPr>
          <w:sz w:val="16"/>
          <w:szCs w:val="16"/>
          <w:lang w:val="en-GB"/>
        </w:rPr>
        <w:t>95</w:t>
      </w:r>
      <w:r>
        <w:rPr>
          <w:sz w:val="16"/>
          <w:szCs w:val="16"/>
          <w:lang w:val="en-GB"/>
        </w:rPr>
        <w:t xml:space="preserve"> CZK</w:t>
      </w:r>
      <w:r w:rsidRPr="00495DA8">
        <w:rPr>
          <w:sz w:val="16"/>
          <w:szCs w:val="16"/>
          <w:lang w:val="en-GB"/>
        </w:rPr>
        <w:t xml:space="preserve">/l) </w:t>
      </w:r>
      <w:r>
        <w:rPr>
          <w:sz w:val="16"/>
          <w:szCs w:val="16"/>
          <w:lang w:val="en-GB"/>
        </w:rPr>
        <w:t xml:space="preserve">valid until May </w:t>
      </w:r>
      <w:r w:rsidRPr="00495DA8">
        <w:rPr>
          <w:sz w:val="16"/>
          <w:szCs w:val="16"/>
          <w:lang w:val="en-GB"/>
        </w:rPr>
        <w:t xml:space="preserve">2022. </w:t>
      </w:r>
      <w:r>
        <w:rPr>
          <w:sz w:val="16"/>
          <w:szCs w:val="16"/>
          <w:lang w:val="en-GB"/>
        </w:rPr>
        <w:t xml:space="preserve">From </w:t>
      </w:r>
      <w:r w:rsidRPr="00495DA8">
        <w:rPr>
          <w:sz w:val="16"/>
          <w:szCs w:val="16"/>
          <w:lang w:val="en-GB"/>
        </w:rPr>
        <w:t>1</w:t>
      </w:r>
      <w:r w:rsidRPr="00F564D1">
        <w:rPr>
          <w:sz w:val="16"/>
          <w:szCs w:val="16"/>
          <w:vertAlign w:val="superscript"/>
          <w:lang w:val="en-GB"/>
        </w:rPr>
        <w:t>st</w:t>
      </w:r>
      <w:r>
        <w:rPr>
          <w:sz w:val="16"/>
          <w:szCs w:val="16"/>
          <w:lang w:val="en-GB"/>
        </w:rPr>
        <w:t xml:space="preserve"> June </w:t>
      </w:r>
      <w:r w:rsidRPr="00495DA8">
        <w:rPr>
          <w:sz w:val="16"/>
          <w:szCs w:val="16"/>
          <w:lang w:val="en-GB"/>
        </w:rPr>
        <w:t xml:space="preserve">2022 </w:t>
      </w:r>
      <w:r>
        <w:rPr>
          <w:sz w:val="16"/>
          <w:szCs w:val="16"/>
          <w:lang w:val="en-GB"/>
        </w:rPr>
        <w:t xml:space="preserve">till </w:t>
      </w:r>
      <w:r w:rsidRPr="00495DA8">
        <w:rPr>
          <w:sz w:val="16"/>
          <w:szCs w:val="16"/>
          <w:lang w:val="en-GB"/>
        </w:rPr>
        <w:t>30</w:t>
      </w:r>
      <w:r w:rsidRPr="00F564D1">
        <w:rPr>
          <w:sz w:val="16"/>
          <w:szCs w:val="16"/>
          <w:vertAlign w:val="superscript"/>
          <w:lang w:val="en-GB"/>
        </w:rPr>
        <w:t>th</w:t>
      </w:r>
      <w:r>
        <w:rPr>
          <w:sz w:val="16"/>
          <w:szCs w:val="16"/>
          <w:lang w:val="en-GB"/>
        </w:rPr>
        <w:t xml:space="preserve"> September </w:t>
      </w:r>
      <w:r w:rsidRPr="00495DA8">
        <w:rPr>
          <w:sz w:val="16"/>
          <w:szCs w:val="16"/>
          <w:lang w:val="en-GB"/>
        </w:rPr>
        <w:t xml:space="preserve">2022 </w:t>
      </w:r>
      <w:r>
        <w:rPr>
          <w:sz w:val="16"/>
          <w:szCs w:val="16"/>
          <w:lang w:val="en-GB"/>
        </w:rPr>
        <w:t>the consumption tax on unleaded petrol was also lowered</w:t>
      </w:r>
      <w:r w:rsidRPr="00495DA8">
        <w:rPr>
          <w:sz w:val="16"/>
          <w:szCs w:val="16"/>
          <w:lang w:val="en-GB"/>
        </w:rPr>
        <w:t>.</w:t>
      </w:r>
    </w:p>
  </w:footnote>
  <w:footnote w:id="17">
    <w:p w14:paraId="29504880" w14:textId="0369BD48" w:rsidR="003B4260" w:rsidRPr="00495DA8" w:rsidRDefault="003B4260" w:rsidP="00495DA8">
      <w:pPr>
        <w:spacing w:after="0" w:line="240" w:lineRule="auto"/>
        <w:rPr>
          <w:spacing w:val="-4"/>
          <w:lang w:val="en-GB"/>
        </w:rPr>
      </w:pPr>
      <w:r w:rsidRPr="00495DA8">
        <w:rPr>
          <w:rStyle w:val="Znakapoznpodarou"/>
          <w:spacing w:val="-4"/>
          <w:sz w:val="16"/>
          <w:szCs w:val="16"/>
          <w:lang w:val="en-GB"/>
        </w:rPr>
        <w:footnoteRef/>
      </w:r>
      <w:r w:rsidRPr="00495DA8">
        <w:rPr>
          <w:spacing w:val="-4"/>
          <w:sz w:val="16"/>
          <w:szCs w:val="16"/>
          <w:lang w:val="en-GB"/>
        </w:rPr>
        <w:t xml:space="preserve"> </w:t>
      </w:r>
      <w:r>
        <w:rPr>
          <w:spacing w:val="-4"/>
          <w:sz w:val="16"/>
          <w:szCs w:val="16"/>
          <w:lang w:val="en-GB"/>
        </w:rPr>
        <w:t>According to the CZSO figures, the consumption of diesel fuel increased by 1.3%</w:t>
      </w:r>
      <w:r w:rsidRPr="00495DA8">
        <w:rPr>
          <w:rFonts w:eastAsia="Calibri"/>
          <w:spacing w:val="-4"/>
          <w:sz w:val="16"/>
          <w:szCs w:val="16"/>
          <w:lang w:val="en-GB"/>
        </w:rPr>
        <w:t xml:space="preserve">, </w:t>
      </w:r>
      <w:r>
        <w:rPr>
          <w:rFonts w:eastAsia="Calibri"/>
          <w:spacing w:val="-4"/>
          <w:sz w:val="16"/>
          <w:szCs w:val="16"/>
          <w:lang w:val="en-GB"/>
        </w:rPr>
        <w:t xml:space="preserve">petrol by </w:t>
      </w:r>
      <w:r w:rsidRPr="00495DA8">
        <w:rPr>
          <w:rFonts w:eastAsia="Calibri"/>
          <w:spacing w:val="-4"/>
          <w:sz w:val="16"/>
          <w:szCs w:val="16"/>
          <w:lang w:val="en-GB"/>
        </w:rPr>
        <w:t>6</w:t>
      </w:r>
      <w:r>
        <w:rPr>
          <w:rFonts w:eastAsia="Calibri"/>
          <w:spacing w:val="-4"/>
          <w:sz w:val="16"/>
          <w:szCs w:val="16"/>
          <w:lang w:val="en-GB"/>
        </w:rPr>
        <w:t>.</w:t>
      </w:r>
      <w:r w:rsidRPr="00495DA8">
        <w:rPr>
          <w:rFonts w:eastAsia="Calibri"/>
          <w:spacing w:val="-4"/>
          <w:sz w:val="16"/>
          <w:szCs w:val="16"/>
          <w:lang w:val="en-GB"/>
        </w:rPr>
        <w:t>0% a</w:t>
      </w:r>
      <w:r>
        <w:rPr>
          <w:rFonts w:eastAsia="Calibri"/>
          <w:spacing w:val="-4"/>
          <w:sz w:val="16"/>
          <w:szCs w:val="16"/>
          <w:lang w:val="en-GB"/>
        </w:rPr>
        <w:t xml:space="preserve">nd jet kerosene by </w:t>
      </w:r>
      <w:r w:rsidRPr="00495DA8">
        <w:rPr>
          <w:rFonts w:eastAsia="Calibri"/>
          <w:spacing w:val="-4"/>
          <w:sz w:val="16"/>
          <w:szCs w:val="16"/>
          <w:lang w:val="en-GB"/>
        </w:rPr>
        <w:t>25%</w:t>
      </w:r>
      <w:r>
        <w:rPr>
          <w:rFonts w:eastAsia="Calibri"/>
          <w:spacing w:val="-4"/>
          <w:sz w:val="16"/>
          <w:szCs w:val="16"/>
          <w:lang w:val="en-GB"/>
        </w:rPr>
        <w:t xml:space="preserve"> from January till November 2023</w:t>
      </w:r>
      <w:r w:rsidRPr="00495DA8">
        <w:rPr>
          <w:rFonts w:eastAsia="Calibri"/>
          <w:spacing w:val="-4"/>
          <w:sz w:val="16"/>
          <w:szCs w:val="16"/>
          <w:lang w:val="en-GB"/>
        </w:rPr>
        <w:t xml:space="preserve">. </w:t>
      </w:r>
      <w:r>
        <w:rPr>
          <w:rFonts w:eastAsia="Calibri"/>
          <w:spacing w:val="-4"/>
          <w:sz w:val="16"/>
          <w:szCs w:val="16"/>
          <w:lang w:val="en-GB"/>
        </w:rPr>
        <w:t xml:space="preserve">Decreased occurred for other petroleum products </w:t>
      </w:r>
      <w:r w:rsidRPr="00495DA8">
        <w:rPr>
          <w:rFonts w:eastAsia="Calibri"/>
          <w:spacing w:val="-4"/>
          <w:sz w:val="16"/>
          <w:szCs w:val="16"/>
          <w:lang w:val="en-GB"/>
        </w:rPr>
        <w:t>(</w:t>
      </w:r>
      <w:r>
        <w:rPr>
          <w:rFonts w:eastAsia="Calibri"/>
          <w:spacing w:val="-4"/>
          <w:sz w:val="16"/>
          <w:szCs w:val="16"/>
          <w:lang w:val="en-GB"/>
        </w:rPr>
        <w:t>including e.g. refinery gas, air, technical petrol, paraffin and waxes</w:t>
      </w:r>
      <w:r w:rsidRPr="00495DA8">
        <w:rPr>
          <w:rFonts w:eastAsia="Calibri"/>
          <w:spacing w:val="-4"/>
          <w:sz w:val="16"/>
          <w:szCs w:val="16"/>
          <w:lang w:val="en-GB"/>
        </w:rPr>
        <w:t xml:space="preserve">, </w:t>
      </w:r>
      <w:r>
        <w:rPr>
          <w:rFonts w:eastAsia="Calibri"/>
          <w:spacing w:val="-4"/>
          <w:sz w:val="16"/>
          <w:szCs w:val="16"/>
          <w:lang w:val="en-GB"/>
        </w:rPr>
        <w:t>petroleum coke</w:t>
      </w:r>
      <w:r w:rsidRPr="00495DA8">
        <w:rPr>
          <w:rFonts w:eastAsia="Calibri"/>
          <w:spacing w:val="-4"/>
          <w:sz w:val="16"/>
          <w:szCs w:val="16"/>
          <w:lang w:val="en-GB"/>
        </w:rPr>
        <w:t>).</w:t>
      </w:r>
    </w:p>
  </w:footnote>
  <w:footnote w:id="18">
    <w:p w14:paraId="07FA2747" w14:textId="644B0FF1" w:rsidR="003B4260" w:rsidRPr="00495DA8" w:rsidRDefault="003B4260" w:rsidP="00495DA8">
      <w:pPr>
        <w:pStyle w:val="Textpoznpodarou"/>
        <w:jc w:val="both"/>
        <w:rPr>
          <w:sz w:val="16"/>
          <w:szCs w:val="16"/>
          <w:lang w:val="en-GB"/>
        </w:rPr>
      </w:pPr>
      <w:r w:rsidRPr="00495DA8">
        <w:rPr>
          <w:rStyle w:val="Znakapoznpodarou"/>
          <w:sz w:val="16"/>
          <w:szCs w:val="16"/>
          <w:lang w:val="en-GB"/>
        </w:rPr>
        <w:footnoteRef/>
      </w:r>
      <w:r w:rsidRPr="00495DA8">
        <w:rPr>
          <w:sz w:val="16"/>
          <w:szCs w:val="16"/>
          <w:lang w:val="en-GB"/>
        </w:rPr>
        <w:t xml:space="preserve"> </w:t>
      </w:r>
      <w:r>
        <w:rPr>
          <w:sz w:val="16"/>
          <w:szCs w:val="16"/>
          <w:lang w:val="en-GB"/>
        </w:rPr>
        <w:t>Vast majority of last year</w:t>
      </w:r>
      <w:r>
        <w:rPr>
          <w:sz w:val="16"/>
          <w:szCs w:val="16"/>
          <w:lang w:val="en-US"/>
        </w:rPr>
        <w:t xml:space="preserve">’s </w:t>
      </w:r>
      <w:r w:rsidRPr="003F54B4">
        <w:rPr>
          <w:sz w:val="16"/>
          <w:szCs w:val="16"/>
          <w:lang w:val="en-GB"/>
        </w:rPr>
        <w:t>reven</w:t>
      </w:r>
      <w:r>
        <w:rPr>
          <w:sz w:val="16"/>
          <w:szCs w:val="16"/>
          <w:lang w:val="en-GB"/>
        </w:rPr>
        <w:t xml:space="preserve">ues related to the previous programme period </w:t>
      </w:r>
      <w:r w:rsidRPr="00495DA8">
        <w:rPr>
          <w:sz w:val="16"/>
          <w:szCs w:val="16"/>
          <w:lang w:val="en-GB"/>
        </w:rPr>
        <w:t xml:space="preserve">(2014+). </w:t>
      </w:r>
      <w:r>
        <w:rPr>
          <w:sz w:val="16"/>
          <w:szCs w:val="16"/>
          <w:lang w:val="en-GB"/>
        </w:rPr>
        <w:t xml:space="preserve">The most weight significant revenues from the structural funds attained </w:t>
      </w:r>
      <w:r w:rsidRPr="00495DA8">
        <w:rPr>
          <w:sz w:val="16"/>
          <w:szCs w:val="16"/>
          <w:lang w:val="en-GB"/>
        </w:rPr>
        <w:t>51</w:t>
      </w:r>
      <w:r>
        <w:rPr>
          <w:sz w:val="16"/>
          <w:szCs w:val="16"/>
          <w:lang w:val="en-GB"/>
        </w:rPr>
        <w:t>.</w:t>
      </w:r>
      <w:r w:rsidRPr="00495DA8">
        <w:rPr>
          <w:sz w:val="16"/>
          <w:szCs w:val="16"/>
          <w:lang w:val="en-GB"/>
        </w:rPr>
        <w:t>0</w:t>
      </w:r>
      <w:r>
        <w:rPr>
          <w:sz w:val="16"/>
          <w:szCs w:val="16"/>
          <w:lang w:val="en-GB"/>
        </w:rPr>
        <w:t xml:space="preserve"> bn CZK </w:t>
      </w:r>
      <w:r w:rsidRPr="00495DA8">
        <w:rPr>
          <w:sz w:val="16"/>
          <w:szCs w:val="16"/>
          <w:lang w:val="en-GB"/>
        </w:rPr>
        <w:t>(</w:t>
      </w:r>
      <w:r>
        <w:rPr>
          <w:sz w:val="16"/>
          <w:szCs w:val="16"/>
          <w:lang w:val="en-GB"/>
        </w:rPr>
        <w:t xml:space="preserve">they fell year-on-year for the third time in a row, last time by </w:t>
      </w:r>
      <w:r w:rsidRPr="00495DA8">
        <w:rPr>
          <w:sz w:val="16"/>
          <w:szCs w:val="16"/>
          <w:lang w:val="en-GB"/>
        </w:rPr>
        <w:t>18</w:t>
      </w:r>
      <w:r>
        <w:rPr>
          <w:sz w:val="16"/>
          <w:szCs w:val="16"/>
          <w:lang w:val="en-GB"/>
        </w:rPr>
        <w:t>.</w:t>
      </w:r>
      <w:r w:rsidRPr="00495DA8">
        <w:rPr>
          <w:sz w:val="16"/>
          <w:szCs w:val="16"/>
          <w:lang w:val="en-GB"/>
        </w:rPr>
        <w:t xml:space="preserve">6%). </w:t>
      </w:r>
      <w:r>
        <w:rPr>
          <w:sz w:val="16"/>
          <w:szCs w:val="16"/>
          <w:lang w:val="en-GB"/>
        </w:rPr>
        <w:t xml:space="preserve">Resources on rural development decreased by more than one tenth </w:t>
      </w:r>
      <w:r w:rsidRPr="00495DA8">
        <w:rPr>
          <w:sz w:val="16"/>
          <w:szCs w:val="16"/>
          <w:lang w:val="en-GB"/>
        </w:rPr>
        <w:t>(</w:t>
      </w:r>
      <w:r>
        <w:rPr>
          <w:sz w:val="16"/>
          <w:szCs w:val="16"/>
          <w:lang w:val="en-GB"/>
        </w:rPr>
        <w:t xml:space="preserve">to </w:t>
      </w:r>
      <w:r w:rsidRPr="00495DA8">
        <w:rPr>
          <w:sz w:val="16"/>
          <w:szCs w:val="16"/>
          <w:lang w:val="en-GB"/>
        </w:rPr>
        <w:t>7</w:t>
      </w:r>
      <w:r>
        <w:rPr>
          <w:sz w:val="16"/>
          <w:szCs w:val="16"/>
          <w:lang w:val="en-GB"/>
        </w:rPr>
        <w:t>.</w:t>
      </w:r>
      <w:r w:rsidRPr="00495DA8">
        <w:rPr>
          <w:sz w:val="16"/>
          <w:szCs w:val="16"/>
          <w:lang w:val="en-GB"/>
        </w:rPr>
        <w:t>2</w:t>
      </w:r>
      <w:r>
        <w:rPr>
          <w:sz w:val="16"/>
          <w:szCs w:val="16"/>
          <w:lang w:val="en-GB"/>
        </w:rPr>
        <w:t xml:space="preserve"> bn</w:t>
      </w:r>
      <w:r w:rsidRPr="00495DA8">
        <w:rPr>
          <w:sz w:val="16"/>
          <w:szCs w:val="16"/>
          <w:lang w:val="en-GB"/>
        </w:rPr>
        <w:t>),</w:t>
      </w:r>
      <w:r>
        <w:rPr>
          <w:sz w:val="16"/>
          <w:szCs w:val="16"/>
          <w:lang w:val="en-GB"/>
        </w:rPr>
        <w:t xml:space="preserve"> on the contrary direct wages in agriculture remained traditionally stable </w:t>
      </w:r>
      <w:r w:rsidRPr="00495DA8">
        <w:rPr>
          <w:sz w:val="16"/>
          <w:szCs w:val="16"/>
          <w:lang w:val="en-GB"/>
        </w:rPr>
        <w:t>(20</w:t>
      </w:r>
      <w:r>
        <w:rPr>
          <w:sz w:val="16"/>
          <w:szCs w:val="16"/>
          <w:lang w:val="en-GB"/>
        </w:rPr>
        <w:t>.</w:t>
      </w:r>
      <w:r w:rsidRPr="00495DA8">
        <w:rPr>
          <w:sz w:val="16"/>
          <w:szCs w:val="16"/>
          <w:lang w:val="en-GB"/>
        </w:rPr>
        <w:t>5</w:t>
      </w:r>
      <w:r>
        <w:rPr>
          <w:sz w:val="16"/>
          <w:szCs w:val="16"/>
          <w:lang w:val="en-GB"/>
        </w:rPr>
        <w:t xml:space="preserve"> bn</w:t>
      </w:r>
      <w:r w:rsidRPr="00495DA8">
        <w:rPr>
          <w:sz w:val="16"/>
          <w:szCs w:val="16"/>
          <w:lang w:val="en-GB"/>
        </w:rPr>
        <w:t xml:space="preserve">). </w:t>
      </w:r>
      <w:r>
        <w:rPr>
          <w:sz w:val="16"/>
          <w:szCs w:val="16"/>
          <w:lang w:val="en-GB"/>
        </w:rPr>
        <w:t xml:space="preserve">The CR acquired </w:t>
      </w:r>
      <w:r w:rsidRPr="00495DA8">
        <w:rPr>
          <w:sz w:val="16"/>
          <w:szCs w:val="16"/>
          <w:lang w:val="en-GB"/>
        </w:rPr>
        <w:t xml:space="preserve">30 </w:t>
      </w:r>
      <w:r>
        <w:rPr>
          <w:sz w:val="16"/>
          <w:szCs w:val="16"/>
          <w:lang w:val="en-GB"/>
        </w:rPr>
        <w:t xml:space="preserve">bn CZK from the cohesion fund last year, by nearly one half more year-on-year. </w:t>
      </w:r>
      <w:r w:rsidRPr="00495DA8">
        <w:rPr>
          <w:sz w:val="16"/>
          <w:szCs w:val="16"/>
          <w:lang w:val="en-GB"/>
        </w:rPr>
        <w:t xml:space="preserve"> </w:t>
      </w:r>
    </w:p>
  </w:footnote>
  <w:footnote w:id="19">
    <w:p w14:paraId="22C17AEE" w14:textId="108D7837" w:rsidR="003B4260" w:rsidRPr="00B34CC8" w:rsidRDefault="003B4260" w:rsidP="00B34CC8">
      <w:pPr>
        <w:pStyle w:val="Textpoznpodarou"/>
        <w:jc w:val="both"/>
        <w:rPr>
          <w:sz w:val="16"/>
          <w:szCs w:val="16"/>
          <w:lang w:val="en-GB"/>
        </w:rPr>
      </w:pPr>
      <w:r w:rsidRPr="00495DA8">
        <w:rPr>
          <w:rStyle w:val="Znakapoznpodarou"/>
          <w:sz w:val="16"/>
          <w:szCs w:val="16"/>
          <w:lang w:val="en-GB"/>
        </w:rPr>
        <w:footnoteRef/>
      </w:r>
      <w:r w:rsidRPr="00495DA8">
        <w:rPr>
          <w:sz w:val="16"/>
          <w:szCs w:val="16"/>
          <w:lang w:val="en-GB"/>
        </w:rPr>
        <w:t xml:space="preserve"> </w:t>
      </w:r>
      <w:r>
        <w:rPr>
          <w:sz w:val="16"/>
          <w:szCs w:val="16"/>
          <w:lang w:val="en-GB"/>
        </w:rPr>
        <w:t>The average retirement pension increased by 4.7% during due adjustment last year in January</w:t>
      </w:r>
      <w:r w:rsidRPr="00B34CC8">
        <w:rPr>
          <w:sz w:val="16"/>
          <w:szCs w:val="16"/>
          <w:lang w:val="en-GB"/>
        </w:rPr>
        <w:t xml:space="preserve">, </w:t>
      </w:r>
      <w:r>
        <w:rPr>
          <w:sz w:val="16"/>
          <w:szCs w:val="16"/>
          <w:lang w:val="en-GB"/>
        </w:rPr>
        <w:t xml:space="preserve">by 3.9% in June during the extraordinary increase </w:t>
      </w:r>
      <w:r w:rsidRPr="00B34CC8">
        <w:rPr>
          <w:color w:val="0D0D0D" w:themeColor="text1" w:themeTint="F2"/>
          <w:spacing w:val="-4"/>
          <w:sz w:val="16"/>
          <w:szCs w:val="16"/>
          <w:lang w:val="en-GB"/>
        </w:rPr>
        <w:t>(</w:t>
      </w:r>
      <w:r>
        <w:rPr>
          <w:color w:val="0D0D0D" w:themeColor="text1" w:themeTint="F2"/>
          <w:spacing w:val="-4"/>
          <w:sz w:val="16"/>
          <w:szCs w:val="16"/>
          <w:lang w:val="en-GB"/>
        </w:rPr>
        <w:t>under already amended legislative conditions moderating the rate of growth of adjustment</w:t>
      </w:r>
      <w:r w:rsidRPr="00B34CC8">
        <w:rPr>
          <w:color w:val="0D0D0D" w:themeColor="text1" w:themeTint="F2"/>
          <w:spacing w:val="-4"/>
          <w:sz w:val="16"/>
          <w:szCs w:val="16"/>
          <w:lang w:val="en-GB"/>
        </w:rPr>
        <w:t>)</w:t>
      </w:r>
      <w:r>
        <w:rPr>
          <w:color w:val="0D0D0D" w:themeColor="text1" w:themeTint="F2"/>
          <w:spacing w:val="-4"/>
          <w:sz w:val="16"/>
          <w:szCs w:val="16"/>
          <w:lang w:val="en-GB"/>
        </w:rPr>
        <w:t xml:space="preserve">. The level of pensions </w:t>
      </w:r>
      <w:r w:rsidRPr="00B34CC8">
        <w:rPr>
          <w:color w:val="0D0D0D" w:themeColor="text1" w:themeTint="F2"/>
          <w:spacing w:val="-4"/>
          <w:sz w:val="16"/>
          <w:szCs w:val="16"/>
          <w:lang w:val="en-GB"/>
        </w:rPr>
        <w:t>(</w:t>
      </w:r>
      <w:r>
        <w:rPr>
          <w:color w:val="0D0D0D" w:themeColor="text1" w:themeTint="F2"/>
          <w:spacing w:val="-4"/>
          <w:sz w:val="16"/>
          <w:szCs w:val="16"/>
          <w:lang w:val="en-GB"/>
        </w:rPr>
        <w:t>especially of females</w:t>
      </w:r>
      <w:r w:rsidRPr="00B34CC8">
        <w:rPr>
          <w:color w:val="0D0D0D" w:themeColor="text1" w:themeTint="F2"/>
          <w:spacing w:val="-4"/>
          <w:sz w:val="16"/>
          <w:szCs w:val="16"/>
          <w:lang w:val="en-GB"/>
        </w:rPr>
        <w:t>)</w:t>
      </w:r>
      <w:r>
        <w:rPr>
          <w:color w:val="0D0D0D" w:themeColor="text1" w:themeTint="F2"/>
          <w:spacing w:val="-4"/>
          <w:sz w:val="16"/>
          <w:szCs w:val="16"/>
          <w:lang w:val="en-GB"/>
        </w:rPr>
        <w:t xml:space="preserve"> was also elevated by the newly introduced regular allowance per every raised child, child-rearing allowance (</w:t>
      </w:r>
      <w:r w:rsidRPr="00B34CC8">
        <w:rPr>
          <w:color w:val="0D0D0D" w:themeColor="text1" w:themeTint="F2"/>
          <w:spacing w:val="-4"/>
          <w:sz w:val="16"/>
          <w:szCs w:val="16"/>
          <w:lang w:val="en-GB"/>
        </w:rPr>
        <w:t>500</w:t>
      </w:r>
      <w:r>
        <w:rPr>
          <w:color w:val="0D0D0D" w:themeColor="text1" w:themeTint="F2"/>
          <w:spacing w:val="-4"/>
          <w:sz w:val="16"/>
          <w:szCs w:val="16"/>
          <w:lang w:val="en-GB"/>
        </w:rPr>
        <w:t xml:space="preserve"> CZK</w:t>
      </w:r>
      <w:r w:rsidRPr="00B34CC8">
        <w:rPr>
          <w:color w:val="0D0D0D" w:themeColor="text1" w:themeTint="F2"/>
          <w:spacing w:val="-4"/>
          <w:sz w:val="16"/>
          <w:szCs w:val="16"/>
          <w:lang w:val="en-GB"/>
        </w:rPr>
        <w:t>).</w:t>
      </w:r>
      <w:r w:rsidRPr="00B34CC8">
        <w:rPr>
          <w:sz w:val="16"/>
          <w:szCs w:val="16"/>
          <w:lang w:val="en-GB"/>
        </w:rPr>
        <w:t xml:space="preserve"> </w:t>
      </w:r>
      <w:r>
        <w:rPr>
          <w:sz w:val="16"/>
          <w:szCs w:val="16"/>
          <w:lang w:val="en-GB"/>
        </w:rPr>
        <w:t xml:space="preserve">The average monthly old age pension </w:t>
      </w:r>
      <w:r w:rsidRPr="00B34CC8">
        <w:rPr>
          <w:sz w:val="16"/>
          <w:szCs w:val="16"/>
          <w:lang w:val="en-GB"/>
        </w:rPr>
        <w:t>(</w:t>
      </w:r>
      <w:r>
        <w:rPr>
          <w:sz w:val="16"/>
          <w:szCs w:val="16"/>
          <w:lang w:val="en-GB"/>
        </w:rPr>
        <w:t>without overlap with other pensions</w:t>
      </w:r>
      <w:r w:rsidRPr="00B34CC8">
        <w:rPr>
          <w:sz w:val="16"/>
          <w:szCs w:val="16"/>
          <w:lang w:val="en-GB"/>
        </w:rPr>
        <w:t xml:space="preserve">) </w:t>
      </w:r>
      <w:r>
        <w:rPr>
          <w:sz w:val="16"/>
          <w:szCs w:val="16"/>
          <w:lang w:val="en-GB"/>
        </w:rPr>
        <w:t xml:space="preserve">was </w:t>
      </w:r>
      <w:r w:rsidRPr="00B34CC8">
        <w:rPr>
          <w:sz w:val="16"/>
          <w:szCs w:val="16"/>
          <w:lang w:val="en-GB"/>
        </w:rPr>
        <w:t xml:space="preserve">21 454 </w:t>
      </w:r>
      <w:r>
        <w:rPr>
          <w:sz w:val="16"/>
          <w:szCs w:val="16"/>
          <w:lang w:val="en-GB"/>
        </w:rPr>
        <w:t>CZK for males</w:t>
      </w:r>
      <w:r w:rsidRPr="00B34CC8">
        <w:rPr>
          <w:sz w:val="16"/>
          <w:szCs w:val="16"/>
          <w:lang w:val="en-GB"/>
        </w:rPr>
        <w:t>, 19</w:t>
      </w:r>
      <w:r>
        <w:rPr>
          <w:sz w:val="16"/>
          <w:szCs w:val="16"/>
          <w:lang w:val="en-GB"/>
        </w:rPr>
        <w:t> </w:t>
      </w:r>
      <w:r w:rsidRPr="00B34CC8">
        <w:rPr>
          <w:sz w:val="16"/>
          <w:szCs w:val="16"/>
          <w:lang w:val="en-GB"/>
        </w:rPr>
        <w:t>063</w:t>
      </w:r>
      <w:r>
        <w:rPr>
          <w:sz w:val="16"/>
          <w:szCs w:val="16"/>
          <w:lang w:val="en-GB"/>
        </w:rPr>
        <w:t xml:space="preserve"> CZK for females last year in December. Resulting from the introduction of “child-raising”</w:t>
      </w:r>
      <w:r w:rsidRPr="00B34CC8">
        <w:rPr>
          <w:sz w:val="16"/>
          <w:szCs w:val="16"/>
          <w:lang w:val="en-GB"/>
        </w:rPr>
        <w:t xml:space="preserve"> </w:t>
      </w:r>
      <w:r>
        <w:rPr>
          <w:sz w:val="16"/>
          <w:szCs w:val="16"/>
          <w:lang w:val="en-GB"/>
        </w:rPr>
        <w:t xml:space="preserve">the difference in the level of pensions markedly narrowed between males and females. </w:t>
      </w:r>
    </w:p>
  </w:footnote>
  <w:footnote w:id="20">
    <w:p w14:paraId="7395AF69" w14:textId="25AA7958" w:rsidR="003B4260" w:rsidRPr="00B34CC8" w:rsidRDefault="003B4260" w:rsidP="00B34CC8">
      <w:pPr>
        <w:pStyle w:val="Textpoznpodarou"/>
        <w:jc w:val="both"/>
        <w:rPr>
          <w:sz w:val="16"/>
          <w:szCs w:val="16"/>
          <w:lang w:val="en-GB"/>
        </w:rPr>
      </w:pPr>
      <w:r w:rsidRPr="00B34CC8">
        <w:rPr>
          <w:rStyle w:val="Znakapoznpodarou"/>
          <w:sz w:val="16"/>
          <w:szCs w:val="16"/>
          <w:lang w:val="en-GB"/>
        </w:rPr>
        <w:footnoteRef/>
      </w:r>
      <w:r w:rsidRPr="00B34CC8">
        <w:rPr>
          <w:sz w:val="16"/>
          <w:szCs w:val="16"/>
          <w:lang w:val="en-GB"/>
        </w:rPr>
        <w:t xml:space="preserve"> </w:t>
      </w:r>
      <w:r>
        <w:rPr>
          <w:sz w:val="16"/>
          <w:szCs w:val="16"/>
          <w:lang w:val="en-GB"/>
        </w:rPr>
        <w:t>Growth of the number of all rec</w:t>
      </w:r>
      <w:r w:rsidR="004A376B">
        <w:rPr>
          <w:sz w:val="16"/>
          <w:szCs w:val="16"/>
          <w:lang w:val="en-GB"/>
        </w:rPr>
        <w:t>ipients of permanently reduced</w:t>
      </w:r>
      <w:r>
        <w:rPr>
          <w:sz w:val="16"/>
          <w:szCs w:val="16"/>
          <w:lang w:val="en-GB"/>
        </w:rPr>
        <w:t xml:space="preserve"> old age pensions </w:t>
      </w:r>
      <w:r w:rsidRPr="00B34CC8">
        <w:rPr>
          <w:sz w:val="16"/>
          <w:szCs w:val="16"/>
          <w:lang w:val="en-GB"/>
        </w:rPr>
        <w:t>(</w:t>
      </w:r>
      <w:r>
        <w:rPr>
          <w:sz w:val="16"/>
          <w:szCs w:val="16"/>
          <w:lang w:val="en-GB"/>
        </w:rPr>
        <w:t>SOP</w:t>
      </w:r>
      <w:r w:rsidRPr="00B34CC8">
        <w:rPr>
          <w:sz w:val="16"/>
          <w:szCs w:val="16"/>
          <w:lang w:val="en-GB"/>
        </w:rPr>
        <w:t>)</w:t>
      </w:r>
      <w:r>
        <w:rPr>
          <w:sz w:val="16"/>
          <w:szCs w:val="16"/>
          <w:lang w:val="en-GB"/>
        </w:rPr>
        <w:t xml:space="preserve"> accelerated last year </w:t>
      </w:r>
      <w:r w:rsidRPr="00B34CC8">
        <w:rPr>
          <w:sz w:val="16"/>
          <w:szCs w:val="16"/>
          <w:lang w:val="en-GB"/>
        </w:rPr>
        <w:t>(</w:t>
      </w:r>
      <w:r>
        <w:rPr>
          <w:sz w:val="16"/>
          <w:szCs w:val="16"/>
          <w:lang w:val="en-GB"/>
        </w:rPr>
        <w:t xml:space="preserve">to </w:t>
      </w:r>
      <w:r w:rsidRPr="00B34CC8">
        <w:rPr>
          <w:sz w:val="16"/>
          <w:szCs w:val="16"/>
          <w:lang w:val="en-GB"/>
        </w:rPr>
        <w:t>7</w:t>
      </w:r>
      <w:r>
        <w:rPr>
          <w:sz w:val="16"/>
          <w:szCs w:val="16"/>
          <w:lang w:val="en-GB"/>
        </w:rPr>
        <w:t>.</w:t>
      </w:r>
      <w:r w:rsidRPr="00B34CC8">
        <w:rPr>
          <w:sz w:val="16"/>
          <w:szCs w:val="16"/>
          <w:lang w:val="en-GB"/>
        </w:rPr>
        <w:t>7%</w:t>
      </w:r>
      <w:r>
        <w:rPr>
          <w:sz w:val="16"/>
          <w:szCs w:val="16"/>
          <w:lang w:val="en-GB"/>
        </w:rPr>
        <w:t xml:space="preserve"> year-on-year in Q4, the most since year </w:t>
      </w:r>
      <w:r w:rsidRPr="00B34CC8">
        <w:rPr>
          <w:sz w:val="16"/>
          <w:szCs w:val="16"/>
          <w:lang w:val="en-GB"/>
        </w:rPr>
        <w:t>2012) a</w:t>
      </w:r>
      <w:r>
        <w:rPr>
          <w:sz w:val="16"/>
          <w:szCs w:val="16"/>
          <w:lang w:val="en-GB"/>
        </w:rPr>
        <w:t xml:space="preserve">nd their share on all old age pension recipients crossed the </w:t>
      </w:r>
      <w:r w:rsidRPr="00B34CC8">
        <w:rPr>
          <w:sz w:val="16"/>
          <w:szCs w:val="16"/>
          <w:lang w:val="en-GB"/>
        </w:rPr>
        <w:t>30%</w:t>
      </w:r>
      <w:r>
        <w:rPr>
          <w:sz w:val="16"/>
          <w:szCs w:val="16"/>
          <w:lang w:val="en-GB"/>
        </w:rPr>
        <w:t xml:space="preserve"> threshold</w:t>
      </w:r>
      <w:r w:rsidRPr="00B34CC8">
        <w:rPr>
          <w:sz w:val="16"/>
          <w:szCs w:val="16"/>
          <w:lang w:val="en-GB"/>
        </w:rPr>
        <w:t xml:space="preserve">. </w:t>
      </w:r>
      <w:r>
        <w:rPr>
          <w:sz w:val="16"/>
          <w:szCs w:val="16"/>
          <w:lang w:val="en-GB"/>
        </w:rPr>
        <w:t xml:space="preserve">Number of SOP do not include persons, which lodged the request for early retirement, but postponed the commencement of its payout. </w:t>
      </w:r>
    </w:p>
  </w:footnote>
  <w:footnote w:id="21">
    <w:p w14:paraId="50773CC4" w14:textId="36F7C8B6" w:rsidR="003B4260" w:rsidRPr="00B34CC8" w:rsidRDefault="003B4260" w:rsidP="00B34CC8">
      <w:pPr>
        <w:pStyle w:val="Textpoznpodarou"/>
        <w:jc w:val="both"/>
        <w:rPr>
          <w:rFonts w:cs="Arial"/>
          <w:color w:val="000000" w:themeColor="text1"/>
          <w:spacing w:val="-4"/>
          <w:sz w:val="16"/>
          <w:szCs w:val="16"/>
          <w:lang w:val="en-GB"/>
        </w:rPr>
      </w:pPr>
      <w:r w:rsidRPr="00B34CC8">
        <w:rPr>
          <w:rStyle w:val="Znakapoznpodarou"/>
          <w:spacing w:val="-4"/>
          <w:sz w:val="16"/>
          <w:szCs w:val="16"/>
          <w:lang w:val="en-GB"/>
        </w:rPr>
        <w:footnoteRef/>
      </w:r>
      <w:r w:rsidRPr="00B34CC8">
        <w:rPr>
          <w:spacing w:val="-4"/>
          <w:sz w:val="16"/>
          <w:szCs w:val="16"/>
          <w:lang w:val="en-GB"/>
        </w:rPr>
        <w:t xml:space="preserve"> It expresses the difference between the income from insurance on pensions and outlays on the pension insurance benefits </w:t>
      </w:r>
      <w:r w:rsidRPr="00B34CC8">
        <w:rPr>
          <w:rFonts w:cs="Arial"/>
          <w:color w:val="000000" w:themeColor="text1"/>
          <w:spacing w:val="-4"/>
          <w:sz w:val="16"/>
          <w:szCs w:val="16"/>
          <w:lang w:val="en-GB"/>
        </w:rPr>
        <w:t>(including the costs of its administration).</w:t>
      </w:r>
    </w:p>
  </w:footnote>
  <w:footnote w:id="22">
    <w:p w14:paraId="0962FB28" w14:textId="3405BCC6" w:rsidR="003B4260" w:rsidRPr="00B34CC8" w:rsidRDefault="003B4260" w:rsidP="00B34CC8">
      <w:pPr>
        <w:pStyle w:val="Textpoznpodarou"/>
        <w:jc w:val="both"/>
        <w:rPr>
          <w:spacing w:val="-4"/>
          <w:sz w:val="16"/>
          <w:szCs w:val="16"/>
          <w:lang w:val="en-GB"/>
        </w:rPr>
      </w:pPr>
      <w:r w:rsidRPr="00B34CC8">
        <w:rPr>
          <w:rStyle w:val="Znakapoznpodarou"/>
          <w:spacing w:val="-4"/>
          <w:sz w:val="16"/>
          <w:szCs w:val="16"/>
          <w:lang w:val="en-GB"/>
        </w:rPr>
        <w:footnoteRef/>
      </w:r>
      <w:r w:rsidRPr="00B34CC8">
        <w:rPr>
          <w:spacing w:val="-4"/>
          <w:sz w:val="16"/>
          <w:szCs w:val="16"/>
          <w:lang w:val="en-GB"/>
        </w:rPr>
        <w:t xml:space="preserve"> </w:t>
      </w:r>
      <w:r>
        <w:rPr>
          <w:spacing w:val="-4"/>
          <w:sz w:val="16"/>
          <w:szCs w:val="16"/>
          <w:lang w:val="en-GB"/>
        </w:rPr>
        <w:t xml:space="preserve">Admissible cost of housing is considered during the calculation of the benefit amount </w:t>
      </w:r>
      <w:r w:rsidRPr="00B34CC8">
        <w:rPr>
          <w:spacing w:val="-4"/>
          <w:sz w:val="16"/>
          <w:szCs w:val="16"/>
          <w:lang w:val="en-GB"/>
        </w:rPr>
        <w:t>(</w:t>
      </w:r>
      <w:r>
        <w:rPr>
          <w:spacing w:val="-4"/>
          <w:sz w:val="16"/>
          <w:szCs w:val="16"/>
          <w:lang w:val="en-GB"/>
        </w:rPr>
        <w:t>determined by the government regulation</w:t>
      </w:r>
      <w:r w:rsidRPr="00B34CC8">
        <w:rPr>
          <w:spacing w:val="-4"/>
          <w:sz w:val="16"/>
          <w:szCs w:val="16"/>
          <w:lang w:val="en-GB"/>
        </w:rPr>
        <w:t>)</w:t>
      </w:r>
      <w:r>
        <w:rPr>
          <w:spacing w:val="-4"/>
          <w:sz w:val="16"/>
          <w:szCs w:val="16"/>
          <w:lang w:val="en-GB"/>
        </w:rPr>
        <w:t xml:space="preserve"> since July 2023</w:t>
      </w:r>
      <w:r w:rsidRPr="00B34CC8">
        <w:rPr>
          <w:spacing w:val="-4"/>
          <w:sz w:val="16"/>
          <w:szCs w:val="16"/>
          <w:lang w:val="en-GB"/>
        </w:rPr>
        <w:t xml:space="preserve">, whose size is dependent on the number of persons and the form of housing. </w:t>
      </w:r>
    </w:p>
  </w:footnote>
  <w:footnote w:id="23">
    <w:p w14:paraId="3549D9BD" w14:textId="1F7A29BD" w:rsidR="003B4260" w:rsidRPr="00B34CC8" w:rsidRDefault="003B4260" w:rsidP="00B34CC8">
      <w:pPr>
        <w:pStyle w:val="Textpoznpodarou"/>
        <w:jc w:val="both"/>
        <w:rPr>
          <w:sz w:val="16"/>
          <w:szCs w:val="16"/>
          <w:lang w:val="en-GB"/>
        </w:rPr>
      </w:pPr>
      <w:r w:rsidRPr="00B34CC8">
        <w:rPr>
          <w:rStyle w:val="Znakapoznpodarou"/>
          <w:spacing w:val="-4"/>
          <w:sz w:val="16"/>
          <w:szCs w:val="16"/>
          <w:lang w:val="en-GB"/>
        </w:rPr>
        <w:footnoteRef/>
      </w:r>
      <w:r w:rsidRPr="00B34CC8">
        <w:rPr>
          <w:spacing w:val="-4"/>
          <w:sz w:val="16"/>
          <w:szCs w:val="16"/>
          <w:lang w:val="en-GB"/>
        </w:rPr>
        <w:t xml:space="preserve"> </w:t>
      </w:r>
      <w:r>
        <w:rPr>
          <w:spacing w:val="-4"/>
          <w:sz w:val="16"/>
          <w:szCs w:val="16"/>
          <w:lang w:val="en-GB"/>
        </w:rPr>
        <w:t xml:space="preserve">Expenditures on these benefits exceeded the revenues from the insurance also last year </w:t>
      </w:r>
      <w:r w:rsidRPr="00B34CC8">
        <w:rPr>
          <w:spacing w:val="-4"/>
          <w:sz w:val="16"/>
          <w:szCs w:val="16"/>
          <w:lang w:val="en-GB"/>
        </w:rPr>
        <w:t>(</w:t>
      </w:r>
      <w:r>
        <w:rPr>
          <w:spacing w:val="-4"/>
          <w:sz w:val="16"/>
          <w:szCs w:val="16"/>
          <w:lang w:val="en-GB"/>
        </w:rPr>
        <w:t>despite their fast growth</w:t>
      </w:r>
      <w:r w:rsidRPr="00B34CC8">
        <w:rPr>
          <w:spacing w:val="-4"/>
          <w:sz w:val="16"/>
          <w:szCs w:val="16"/>
          <w:lang w:val="en-GB"/>
        </w:rPr>
        <w:t>), t</w:t>
      </w:r>
      <w:r>
        <w:rPr>
          <w:spacing w:val="-4"/>
          <w:sz w:val="16"/>
          <w:szCs w:val="16"/>
          <w:lang w:val="en-GB"/>
        </w:rPr>
        <w:t xml:space="preserve">his deficit nevertheless decreased from </w:t>
      </w:r>
      <w:r w:rsidRPr="00B34CC8">
        <w:rPr>
          <w:spacing w:val="-4"/>
          <w:sz w:val="16"/>
          <w:szCs w:val="16"/>
          <w:lang w:val="en-GB"/>
        </w:rPr>
        <w:t>8</w:t>
      </w:r>
      <w:r>
        <w:rPr>
          <w:spacing w:val="-4"/>
          <w:sz w:val="16"/>
          <w:szCs w:val="16"/>
          <w:lang w:val="en-GB"/>
        </w:rPr>
        <w:t>.</w:t>
      </w:r>
      <w:r w:rsidRPr="00B34CC8">
        <w:rPr>
          <w:spacing w:val="-4"/>
          <w:sz w:val="16"/>
          <w:szCs w:val="16"/>
          <w:lang w:val="en-GB"/>
        </w:rPr>
        <w:t>0</w:t>
      </w:r>
      <w:r>
        <w:rPr>
          <w:spacing w:val="-4"/>
          <w:sz w:val="16"/>
          <w:szCs w:val="16"/>
          <w:lang w:val="en-GB"/>
        </w:rPr>
        <w:t xml:space="preserve"> bn CZK in year </w:t>
      </w:r>
      <w:r w:rsidRPr="00B34CC8">
        <w:rPr>
          <w:spacing w:val="-4"/>
          <w:sz w:val="16"/>
          <w:szCs w:val="16"/>
          <w:lang w:val="en-GB"/>
        </w:rPr>
        <w:t>2022</w:t>
      </w:r>
      <w:r>
        <w:rPr>
          <w:spacing w:val="-4"/>
          <w:sz w:val="16"/>
          <w:szCs w:val="16"/>
          <w:lang w:val="en-GB"/>
        </w:rPr>
        <w:t xml:space="preserve"> to last year’s </w:t>
      </w:r>
      <w:r w:rsidRPr="00B34CC8">
        <w:rPr>
          <w:spacing w:val="-4"/>
          <w:sz w:val="16"/>
          <w:szCs w:val="16"/>
          <w:lang w:val="en-GB"/>
        </w:rPr>
        <w:t>2</w:t>
      </w:r>
      <w:r>
        <w:rPr>
          <w:spacing w:val="-4"/>
          <w:sz w:val="16"/>
          <w:szCs w:val="16"/>
          <w:lang w:val="en-GB"/>
        </w:rPr>
        <w:t>.</w:t>
      </w:r>
      <w:r w:rsidRPr="00B34CC8">
        <w:rPr>
          <w:spacing w:val="-4"/>
          <w:sz w:val="16"/>
          <w:szCs w:val="16"/>
          <w:lang w:val="en-GB"/>
        </w:rPr>
        <w:t>7</w:t>
      </w:r>
      <w:r>
        <w:rPr>
          <w:spacing w:val="-4"/>
          <w:sz w:val="16"/>
          <w:szCs w:val="16"/>
          <w:lang w:val="en-GB"/>
        </w:rPr>
        <w:t xml:space="preserve"> bn</w:t>
      </w:r>
      <w:r w:rsidRPr="00B34CC8">
        <w:rPr>
          <w:spacing w:val="-4"/>
          <w:sz w:val="16"/>
          <w:szCs w:val="16"/>
          <w:lang w:val="en-GB"/>
        </w:rPr>
        <w:t>.</w:t>
      </w:r>
    </w:p>
  </w:footnote>
  <w:footnote w:id="24">
    <w:p w14:paraId="6D3307F1" w14:textId="4FD5E540" w:rsidR="003B4260" w:rsidRPr="00B34CC8" w:rsidRDefault="003B4260" w:rsidP="00B34CC8">
      <w:pPr>
        <w:pStyle w:val="Textpoznpodarou"/>
        <w:jc w:val="both"/>
        <w:rPr>
          <w:spacing w:val="-6"/>
          <w:sz w:val="16"/>
          <w:szCs w:val="16"/>
          <w:lang w:val="en-GB"/>
        </w:rPr>
      </w:pPr>
      <w:r w:rsidRPr="00B34CC8">
        <w:rPr>
          <w:rStyle w:val="Znakapoznpodarou"/>
          <w:spacing w:val="-6"/>
          <w:sz w:val="16"/>
          <w:szCs w:val="16"/>
          <w:lang w:val="en-GB"/>
        </w:rPr>
        <w:footnoteRef/>
      </w:r>
      <w:r w:rsidRPr="00B34CC8">
        <w:rPr>
          <w:spacing w:val="-6"/>
          <w:sz w:val="16"/>
          <w:szCs w:val="16"/>
          <w:lang w:val="en-GB"/>
        </w:rPr>
        <w:t xml:space="preserve"> </w:t>
      </w:r>
      <w:r>
        <w:rPr>
          <w:spacing w:val="-6"/>
          <w:sz w:val="16"/>
          <w:szCs w:val="16"/>
          <w:lang w:val="en-GB"/>
        </w:rPr>
        <w:t xml:space="preserve">Higher growth is connected to the raising of limit of benefits on special </w:t>
      </w:r>
      <w:r>
        <w:rPr>
          <w:spacing w:val="-6"/>
          <w:sz w:val="16"/>
          <w:szCs w:val="16"/>
        </w:rPr>
        <w:t xml:space="preserve">aid and on mobility. Number of recipients of these benefits was higher only by 2% year-on-year. </w:t>
      </w:r>
    </w:p>
  </w:footnote>
  <w:footnote w:id="25">
    <w:p w14:paraId="59C4920C" w14:textId="542D0C1D" w:rsidR="003B4260" w:rsidRPr="00B34CC8" w:rsidRDefault="003B4260" w:rsidP="00B34CC8">
      <w:pPr>
        <w:pStyle w:val="Textpoznpodarou"/>
        <w:jc w:val="both"/>
        <w:rPr>
          <w:spacing w:val="-4"/>
          <w:sz w:val="16"/>
          <w:szCs w:val="16"/>
          <w:lang w:val="en-GB"/>
        </w:rPr>
      </w:pPr>
      <w:r w:rsidRPr="00B34CC8">
        <w:rPr>
          <w:rStyle w:val="Znakapoznpodarou"/>
          <w:spacing w:val="-4"/>
          <w:sz w:val="16"/>
          <w:szCs w:val="16"/>
          <w:lang w:val="en-GB"/>
        </w:rPr>
        <w:footnoteRef/>
      </w:r>
      <w:r w:rsidRPr="00B34CC8">
        <w:rPr>
          <w:spacing w:val="-4"/>
          <w:sz w:val="16"/>
          <w:szCs w:val="16"/>
          <w:lang w:val="en-GB"/>
        </w:rPr>
        <w:t xml:space="preserve"> </w:t>
      </w:r>
      <w:r>
        <w:rPr>
          <w:spacing w:val="-4"/>
          <w:sz w:val="16"/>
          <w:szCs w:val="16"/>
          <w:lang w:val="en-GB"/>
        </w:rPr>
        <w:t>86 </w:t>
      </w:r>
      <w:r>
        <w:rPr>
          <w:sz w:val="16"/>
          <w:szCs w:val="16"/>
          <w:lang w:val="en-GB"/>
        </w:rPr>
        <w:t>thousand of registered job applicants (30.9% of their total number) were entitled to the unemployment benefit in December last year.</w:t>
      </w:r>
    </w:p>
  </w:footnote>
  <w:footnote w:id="26">
    <w:p w14:paraId="6523CCF8" w14:textId="1DF7489F" w:rsidR="003B4260" w:rsidRPr="00B34CC8" w:rsidRDefault="003B4260" w:rsidP="00B34CC8">
      <w:pPr>
        <w:pStyle w:val="Textpoznpodarou"/>
        <w:jc w:val="both"/>
        <w:rPr>
          <w:spacing w:val="-4"/>
          <w:sz w:val="16"/>
          <w:szCs w:val="16"/>
          <w:lang w:val="en-GB"/>
        </w:rPr>
      </w:pPr>
      <w:r w:rsidRPr="00B34CC8">
        <w:rPr>
          <w:rStyle w:val="Znakapoznpodarou"/>
          <w:spacing w:val="-4"/>
          <w:sz w:val="16"/>
          <w:szCs w:val="16"/>
          <w:lang w:val="en-GB"/>
        </w:rPr>
        <w:footnoteRef/>
      </w:r>
      <w:r w:rsidRPr="00B34CC8">
        <w:rPr>
          <w:spacing w:val="-4"/>
          <w:sz w:val="16"/>
          <w:szCs w:val="16"/>
          <w:lang w:val="en-GB"/>
        </w:rPr>
        <w:t xml:space="preserve"> T</w:t>
      </w:r>
      <w:r>
        <w:rPr>
          <w:spacing w:val="-4"/>
          <w:sz w:val="16"/>
          <w:szCs w:val="16"/>
          <w:lang w:val="en-GB"/>
        </w:rPr>
        <w:t xml:space="preserve">hus, they exceeded the so far record transfers from year 2021, which mainly consisted of support programmes for entrepreneurs in the peak period of the covid-19 pandemics, by one tenth. </w:t>
      </w:r>
    </w:p>
  </w:footnote>
  <w:footnote w:id="27">
    <w:p w14:paraId="297B348A" w14:textId="77347FA5" w:rsidR="003B4260" w:rsidRPr="00B34CC8" w:rsidRDefault="003B4260" w:rsidP="00E63BAE">
      <w:pPr>
        <w:pStyle w:val="Textpoznpodarou"/>
        <w:jc w:val="both"/>
        <w:rPr>
          <w:spacing w:val="-4"/>
          <w:sz w:val="16"/>
          <w:szCs w:val="16"/>
          <w:lang w:val="en-GB"/>
        </w:rPr>
      </w:pPr>
      <w:r w:rsidRPr="00B34CC8">
        <w:rPr>
          <w:rStyle w:val="Znakapoznpodarou"/>
          <w:spacing w:val="-4"/>
          <w:sz w:val="16"/>
          <w:szCs w:val="16"/>
          <w:lang w:val="en-GB"/>
        </w:rPr>
        <w:footnoteRef/>
      </w:r>
      <w:r w:rsidRPr="00B34CC8">
        <w:rPr>
          <w:spacing w:val="-4"/>
          <w:sz w:val="16"/>
          <w:szCs w:val="16"/>
          <w:lang w:val="en-GB"/>
        </w:rPr>
        <w:t xml:space="preserve"> </w:t>
      </w:r>
      <w:r>
        <w:rPr>
          <w:spacing w:val="-4"/>
          <w:sz w:val="16"/>
          <w:szCs w:val="16"/>
          <w:lang w:val="en-GB"/>
        </w:rPr>
        <w:t xml:space="preserve">The volume of resource on the wages of qualified teachers increased by 4% since January </w:t>
      </w:r>
      <w:r w:rsidRPr="00B34CC8">
        <w:rPr>
          <w:spacing w:val="-4"/>
          <w:sz w:val="16"/>
          <w:szCs w:val="16"/>
          <w:lang w:val="en-GB"/>
        </w:rPr>
        <w:t>2023</w:t>
      </w:r>
      <w:r>
        <w:rPr>
          <w:spacing w:val="-4"/>
          <w:sz w:val="16"/>
          <w:szCs w:val="16"/>
          <w:lang w:val="en-GB"/>
        </w:rPr>
        <w:t xml:space="preserve">, the increase for non-teaching workers occurred already since September </w:t>
      </w:r>
      <w:r w:rsidRPr="00B34CC8">
        <w:rPr>
          <w:spacing w:val="-4"/>
          <w:sz w:val="16"/>
          <w:szCs w:val="16"/>
          <w:lang w:val="en-GB"/>
        </w:rPr>
        <w:t xml:space="preserve">2022 (+8%). </w:t>
      </w:r>
    </w:p>
  </w:footnote>
  <w:footnote w:id="28">
    <w:p w14:paraId="769B61EE" w14:textId="1C178DF0" w:rsidR="003B4260" w:rsidRPr="002C64D1" w:rsidRDefault="003B4260" w:rsidP="00E63BAE">
      <w:pPr>
        <w:pStyle w:val="Textpoznpodarou"/>
        <w:jc w:val="both"/>
        <w:rPr>
          <w:spacing w:val="-4"/>
          <w:sz w:val="16"/>
          <w:szCs w:val="16"/>
          <w:lang w:val="en-GB"/>
        </w:rPr>
      </w:pPr>
      <w:r w:rsidRPr="002C64D1">
        <w:rPr>
          <w:rStyle w:val="Znakapoznpodarou"/>
          <w:spacing w:val="-4"/>
          <w:sz w:val="16"/>
          <w:szCs w:val="16"/>
          <w:lang w:val="en-GB"/>
        </w:rPr>
        <w:footnoteRef/>
      </w:r>
      <w:r w:rsidRPr="002C64D1">
        <w:rPr>
          <w:spacing w:val="-4"/>
          <w:sz w:val="16"/>
          <w:szCs w:val="16"/>
          <w:lang w:val="en-GB"/>
        </w:rPr>
        <w:t xml:space="preserve"> </w:t>
      </w:r>
      <w:r w:rsidRPr="002C64D1">
        <w:rPr>
          <w:spacing w:val="-2"/>
          <w:sz w:val="16"/>
          <w:szCs w:val="16"/>
          <w:lang w:val="en-GB"/>
        </w:rPr>
        <w:t>Net expenditures c</w:t>
      </w:r>
      <w:r w:rsidRPr="002C64D1">
        <w:rPr>
          <w:sz w:val="16"/>
          <w:szCs w:val="16"/>
          <w:lang w:val="en-GB"/>
        </w:rPr>
        <w:t xml:space="preserve">orrespond to the balance of the budget chapter State debt </w:t>
      </w:r>
      <w:r w:rsidRPr="002C64D1">
        <w:rPr>
          <w:spacing w:val="-2"/>
          <w:sz w:val="16"/>
          <w:szCs w:val="16"/>
          <w:lang w:val="en-GB"/>
        </w:rPr>
        <w:t xml:space="preserve">(no. 396). </w:t>
      </w:r>
      <w:r>
        <w:rPr>
          <w:spacing w:val="-2"/>
          <w:sz w:val="16"/>
          <w:szCs w:val="16"/>
          <w:lang w:val="en-GB"/>
        </w:rPr>
        <w:t xml:space="preserve">Payments of counter-inflationary state bonds to citizens had a major effect on the growth of expenditures here, rising interest rates of other instruments of debt financing and overall trend of growth of indebtedness from the preceding years </w:t>
      </w:r>
      <w:r>
        <w:rPr>
          <w:color w:val="0D0D0D" w:themeColor="text1" w:themeTint="F2"/>
          <w:spacing w:val="-4"/>
          <w:sz w:val="16"/>
          <w:szCs w:val="16"/>
          <w:lang w:val="en-GB"/>
        </w:rPr>
        <w:t>had a partial role then</w:t>
      </w:r>
      <w:r w:rsidRPr="002C64D1">
        <w:rPr>
          <w:color w:val="0D0D0D" w:themeColor="text1" w:themeTint="F2"/>
          <w:spacing w:val="-4"/>
          <w:sz w:val="16"/>
          <w:szCs w:val="16"/>
          <w:lang w:val="en-GB"/>
        </w:rPr>
        <w:t xml:space="preserve">. </w:t>
      </w:r>
    </w:p>
  </w:footnote>
  <w:footnote w:id="29">
    <w:p w14:paraId="4208D275" w14:textId="48F66ED2" w:rsidR="003B4260" w:rsidRPr="002C64D1" w:rsidRDefault="003B4260" w:rsidP="00E63BAE">
      <w:pPr>
        <w:pStyle w:val="Textpoznpodarou"/>
        <w:jc w:val="both"/>
        <w:rPr>
          <w:sz w:val="16"/>
          <w:szCs w:val="16"/>
          <w:lang w:val="en-GB"/>
        </w:rPr>
      </w:pPr>
      <w:r w:rsidRPr="002C64D1">
        <w:rPr>
          <w:rStyle w:val="Znakapoznpodarou"/>
          <w:spacing w:val="-4"/>
          <w:sz w:val="16"/>
          <w:szCs w:val="16"/>
          <w:lang w:val="en-GB"/>
        </w:rPr>
        <w:footnoteRef/>
      </w:r>
      <w:r w:rsidRPr="002C64D1">
        <w:rPr>
          <w:spacing w:val="-4"/>
          <w:sz w:val="16"/>
          <w:szCs w:val="16"/>
          <w:lang w:val="en-GB"/>
        </w:rPr>
        <w:t xml:space="preserve"> It represented the highest growth in the last five-year period. Still the last year’s increase mildly stayed behind the volume of paid out wages and salaries in the whole economy.  </w:t>
      </w:r>
    </w:p>
  </w:footnote>
  <w:footnote w:id="30">
    <w:p w14:paraId="3C01AC50" w14:textId="77777777" w:rsidR="00EB1C78" w:rsidRPr="00CF34C9" w:rsidRDefault="00EB1C78" w:rsidP="00CF34C9">
      <w:pPr>
        <w:pStyle w:val="Textpoznpodarou"/>
        <w:jc w:val="both"/>
        <w:rPr>
          <w:sz w:val="16"/>
          <w:szCs w:val="16"/>
          <w:lang w:val="en-GB"/>
        </w:rPr>
      </w:pPr>
      <w:r w:rsidRPr="00B770DF">
        <w:rPr>
          <w:rStyle w:val="Znakapoznpodarou"/>
          <w:sz w:val="16"/>
          <w:szCs w:val="16"/>
        </w:rPr>
        <w:footnoteRef/>
      </w:r>
      <w:r w:rsidRPr="00B770DF">
        <w:rPr>
          <w:sz w:val="16"/>
          <w:szCs w:val="16"/>
        </w:rPr>
        <w:t xml:space="preserve"> </w:t>
      </w:r>
      <w:r>
        <w:rPr>
          <w:sz w:val="16"/>
          <w:szCs w:val="16"/>
        </w:rPr>
        <w:t>Approved budget of</w:t>
      </w:r>
      <w:r>
        <w:rPr>
          <w:sz w:val="16"/>
          <w:szCs w:val="16"/>
          <w:lang w:val="en-GB"/>
        </w:rPr>
        <w:t xml:space="preserve"> the State fund for transport infrastructure counted thanks to the reinforcement of the principle of multi-source financing </w:t>
      </w:r>
      <w:r w:rsidRPr="00CF34C9">
        <w:rPr>
          <w:sz w:val="16"/>
          <w:szCs w:val="16"/>
          <w:lang w:val="en-GB"/>
        </w:rPr>
        <w:t>(</w:t>
      </w:r>
      <w:r>
        <w:rPr>
          <w:sz w:val="16"/>
          <w:szCs w:val="16"/>
          <w:lang w:val="en-GB"/>
        </w:rPr>
        <w:t>including new instruments of debt financing</w:t>
      </w:r>
      <w:r w:rsidRPr="00CF34C9">
        <w:rPr>
          <w:sz w:val="16"/>
          <w:szCs w:val="16"/>
          <w:lang w:val="en-GB"/>
        </w:rPr>
        <w:t>)</w:t>
      </w:r>
      <w:r>
        <w:rPr>
          <w:sz w:val="16"/>
          <w:szCs w:val="16"/>
          <w:lang w:val="en-GB"/>
        </w:rPr>
        <w:t xml:space="preserve"> with record revenues in the amount of </w:t>
      </w:r>
      <w:r w:rsidRPr="00CF34C9">
        <w:rPr>
          <w:sz w:val="16"/>
          <w:szCs w:val="16"/>
          <w:lang w:val="en-GB"/>
        </w:rPr>
        <w:t>150</w:t>
      </w:r>
      <w:r>
        <w:rPr>
          <w:sz w:val="16"/>
          <w:szCs w:val="16"/>
          <w:lang w:val="en-GB"/>
        </w:rPr>
        <w:t>.</w:t>
      </w:r>
      <w:r w:rsidRPr="00CF34C9">
        <w:rPr>
          <w:sz w:val="16"/>
          <w:szCs w:val="16"/>
          <w:lang w:val="en-GB"/>
        </w:rPr>
        <w:t>9</w:t>
      </w:r>
      <w:r>
        <w:rPr>
          <w:sz w:val="16"/>
          <w:szCs w:val="16"/>
          <w:lang w:val="en-GB"/>
        </w:rPr>
        <w:t xml:space="preserve"> bn CZK in year 2023</w:t>
      </w:r>
      <w:r w:rsidRPr="00CF34C9">
        <w:rPr>
          <w:sz w:val="16"/>
          <w:szCs w:val="16"/>
          <w:lang w:val="en-GB"/>
        </w:rPr>
        <w:t>.</w:t>
      </w:r>
    </w:p>
  </w:footnote>
  <w:footnote w:id="31">
    <w:p w14:paraId="5917E889" w14:textId="7138D234" w:rsidR="003B4260" w:rsidRPr="00CF34C9" w:rsidRDefault="003B4260" w:rsidP="00CF34C9">
      <w:pPr>
        <w:pStyle w:val="Textpoznpodarou"/>
        <w:jc w:val="both"/>
        <w:rPr>
          <w:spacing w:val="-4"/>
          <w:sz w:val="16"/>
          <w:szCs w:val="16"/>
          <w:lang w:val="en-GB"/>
        </w:rPr>
      </w:pPr>
      <w:r w:rsidRPr="00CF34C9">
        <w:rPr>
          <w:rStyle w:val="Znakapoznpodarou"/>
          <w:spacing w:val="-4"/>
          <w:sz w:val="16"/>
          <w:szCs w:val="16"/>
          <w:lang w:val="en-GB"/>
        </w:rPr>
        <w:footnoteRef/>
      </w:r>
      <w:r w:rsidRPr="00CF34C9">
        <w:rPr>
          <w:spacing w:val="-4"/>
          <w:sz w:val="16"/>
          <w:szCs w:val="16"/>
          <w:lang w:val="en-GB"/>
        </w:rPr>
        <w:t xml:space="preserve"> Unless stated otherwise, d</w:t>
      </w:r>
      <w:r w:rsidRPr="00CF34C9">
        <w:rPr>
          <w:sz w:val="16"/>
          <w:szCs w:val="16"/>
          <w:lang w:val="en-GB"/>
        </w:rPr>
        <w:t>ata regarding the budget balance of sector VI in the CR are expressed without seasonal adjustment.</w:t>
      </w:r>
    </w:p>
  </w:footnote>
  <w:footnote w:id="32">
    <w:p w14:paraId="60941BFF" w14:textId="77777777" w:rsidR="003B4260" w:rsidRPr="00CF34C9" w:rsidRDefault="003B4260" w:rsidP="00CB01F1">
      <w:pPr>
        <w:pStyle w:val="Textpoznpodarou"/>
        <w:jc w:val="both"/>
        <w:rPr>
          <w:spacing w:val="-4"/>
          <w:sz w:val="16"/>
          <w:szCs w:val="16"/>
          <w:lang w:val="en-GB"/>
        </w:rPr>
      </w:pPr>
      <w:r w:rsidRPr="00CF34C9">
        <w:rPr>
          <w:rStyle w:val="Znakapoznpodarou"/>
          <w:spacing w:val="-4"/>
          <w:sz w:val="16"/>
          <w:szCs w:val="16"/>
          <w:lang w:val="en-GB"/>
        </w:rPr>
        <w:footnoteRef/>
      </w:r>
      <w:r w:rsidRPr="00CF34C9">
        <w:rPr>
          <w:spacing w:val="-4"/>
          <w:sz w:val="16"/>
          <w:szCs w:val="16"/>
          <w:lang w:val="en-GB"/>
        </w:rPr>
        <w:t xml:space="preserve"> </w:t>
      </w:r>
      <w:r w:rsidRPr="00CF34C9">
        <w:rPr>
          <w:sz w:val="16"/>
          <w:szCs w:val="16"/>
          <w:lang w:val="en-GB"/>
        </w:rPr>
        <w:t>Data regarding the budget of government institutions for Q4 as well as the whole year 2023 will be published by the CZSO on 2</w:t>
      </w:r>
      <w:r w:rsidRPr="00CF34C9">
        <w:rPr>
          <w:sz w:val="16"/>
          <w:szCs w:val="16"/>
          <w:vertAlign w:val="superscript"/>
          <w:lang w:val="en-GB"/>
        </w:rPr>
        <w:t>nd</w:t>
      </w:r>
      <w:r w:rsidRPr="00CF34C9">
        <w:rPr>
          <w:sz w:val="16"/>
          <w:szCs w:val="16"/>
          <w:lang w:val="en-GB"/>
        </w:rPr>
        <w:t xml:space="preserve"> April 2024, Eurostat then on 22</w:t>
      </w:r>
      <w:r w:rsidRPr="00CF34C9">
        <w:rPr>
          <w:sz w:val="16"/>
          <w:szCs w:val="16"/>
          <w:vertAlign w:val="superscript"/>
          <w:lang w:val="en-GB"/>
        </w:rPr>
        <w:t xml:space="preserve">nd </w:t>
      </w:r>
      <w:r w:rsidRPr="00CF34C9">
        <w:rPr>
          <w:sz w:val="16"/>
          <w:szCs w:val="16"/>
          <w:lang w:val="en-GB"/>
        </w:rPr>
        <w:t xml:space="preserve">April. More detailed assessment of the development for Q3 2023 is contained in the publication Analysis of the sector accounts: </w:t>
      </w:r>
      <w:hyperlink r:id="rId1" w:history="1">
        <w:r w:rsidRPr="00CF34C9">
          <w:rPr>
            <w:rStyle w:val="Hypertextovodkaz"/>
            <w:spacing w:val="-4"/>
            <w:sz w:val="16"/>
            <w:szCs w:val="16"/>
            <w:lang w:val="en-GB"/>
          </w:rPr>
          <w:t>Analýza sektorových účtů:</w:t>
        </w:r>
      </w:hyperlink>
    </w:p>
  </w:footnote>
  <w:footnote w:id="33">
    <w:p w14:paraId="0540C111" w14:textId="6C1EF8EC" w:rsidR="003B4260" w:rsidRPr="00CF34C9" w:rsidRDefault="003B4260" w:rsidP="00CF34C9">
      <w:pPr>
        <w:pStyle w:val="Textpoznpodarou"/>
        <w:jc w:val="both"/>
        <w:rPr>
          <w:rFonts w:cs="Arial"/>
          <w:spacing w:val="-7"/>
          <w:sz w:val="16"/>
          <w:szCs w:val="16"/>
          <w:lang w:val="en-GB"/>
        </w:rPr>
      </w:pPr>
      <w:r w:rsidRPr="00CF34C9">
        <w:rPr>
          <w:rStyle w:val="Znakapoznpodarou"/>
          <w:rFonts w:cs="Arial"/>
          <w:spacing w:val="-7"/>
          <w:sz w:val="16"/>
          <w:szCs w:val="16"/>
          <w:lang w:val="en-GB"/>
        </w:rPr>
        <w:footnoteRef/>
      </w:r>
      <w:r w:rsidRPr="00CF34C9">
        <w:rPr>
          <w:rFonts w:cs="Arial"/>
          <w:spacing w:val="-7"/>
          <w:sz w:val="16"/>
          <w:szCs w:val="16"/>
          <w:lang w:val="en-GB"/>
        </w:rPr>
        <w:t xml:space="preserve"> Swiftly growing nominal GDP contributed to the year-on-year decrease of indebtedness −3.9 p.p. in Q3, on the contrary the effect of the nominal change of the debt arrived at + 3.2 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3CA608AA" w:rsidR="003B4260" w:rsidRDefault="003B4260" w:rsidP="00937AE2">
    <w:pPr>
      <w:pStyle w:val="Zhlav"/>
    </w:pPr>
    <w:r>
      <w:t>The Czech Economy Development</w:t>
    </w:r>
  </w:p>
  <w:p w14:paraId="3E881AB3" w14:textId="77777777" w:rsidR="003B4260" w:rsidRPr="006F5416" w:rsidRDefault="003B4260"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22785F80" w:rsidR="003B4260" w:rsidRDefault="003B4260" w:rsidP="00937AE2">
    <w:pPr>
      <w:pStyle w:val="Zhlav"/>
    </w:pPr>
    <w:r>
      <w:t>The Czech Economy Development</w:t>
    </w:r>
  </w:p>
  <w:p w14:paraId="57266714" w14:textId="77777777" w:rsidR="003B4260" w:rsidRPr="006F5416" w:rsidRDefault="003B4260"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1B2A5724"/>
    <w:multiLevelType w:val="hybridMultilevel"/>
    <w:tmpl w:val="0EA8A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5C59E0"/>
    <w:multiLevelType w:val="multilevel"/>
    <w:tmpl w:val="74A4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AB4B86"/>
    <w:multiLevelType w:val="multilevel"/>
    <w:tmpl w:val="52D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5280B15"/>
    <w:multiLevelType w:val="hybridMultilevel"/>
    <w:tmpl w:val="5156A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6C06F7"/>
    <w:multiLevelType w:val="multilevel"/>
    <w:tmpl w:val="AF4E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841503"/>
    <w:multiLevelType w:val="hybridMultilevel"/>
    <w:tmpl w:val="322E8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7D23EC3"/>
    <w:multiLevelType w:val="hybridMultilevel"/>
    <w:tmpl w:val="B65A4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5236EE"/>
    <w:multiLevelType w:val="hybridMultilevel"/>
    <w:tmpl w:val="CC2A1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3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4077D1"/>
    <w:multiLevelType w:val="multilevel"/>
    <w:tmpl w:val="B70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9A0FF0"/>
    <w:multiLevelType w:val="hybridMultilevel"/>
    <w:tmpl w:val="3D88D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067F0B9"/>
    <w:multiLevelType w:val="hybridMultilevel"/>
    <w:tmpl w:val="9B0C99B6"/>
    <w:lvl w:ilvl="0" w:tplc="5FC8F242">
      <w:start w:val="1"/>
      <w:numFmt w:val="bullet"/>
      <w:lvlText w:val=""/>
      <w:lvlJc w:val="left"/>
      <w:pPr>
        <w:ind w:left="720" w:hanging="360"/>
      </w:pPr>
      <w:rPr>
        <w:rFonts w:ascii="Symbol" w:hAnsi="Symbol" w:hint="default"/>
      </w:rPr>
    </w:lvl>
    <w:lvl w:ilvl="1" w:tplc="5E7298D6">
      <w:start w:val="1"/>
      <w:numFmt w:val="bullet"/>
      <w:lvlText w:val="o"/>
      <w:lvlJc w:val="left"/>
      <w:pPr>
        <w:ind w:left="1440" w:hanging="360"/>
      </w:pPr>
      <w:rPr>
        <w:rFonts w:ascii="Courier New" w:hAnsi="Courier New" w:hint="default"/>
      </w:rPr>
    </w:lvl>
    <w:lvl w:ilvl="2" w:tplc="F418EABE">
      <w:start w:val="1"/>
      <w:numFmt w:val="bullet"/>
      <w:lvlText w:val=""/>
      <w:lvlJc w:val="left"/>
      <w:pPr>
        <w:ind w:left="2160" w:hanging="360"/>
      </w:pPr>
      <w:rPr>
        <w:rFonts w:ascii="Wingdings" w:hAnsi="Wingdings" w:hint="default"/>
      </w:rPr>
    </w:lvl>
    <w:lvl w:ilvl="3" w:tplc="0F78DB5E">
      <w:start w:val="1"/>
      <w:numFmt w:val="bullet"/>
      <w:lvlText w:val=""/>
      <w:lvlJc w:val="left"/>
      <w:pPr>
        <w:ind w:left="2880" w:hanging="360"/>
      </w:pPr>
      <w:rPr>
        <w:rFonts w:ascii="Symbol" w:hAnsi="Symbol" w:hint="default"/>
      </w:rPr>
    </w:lvl>
    <w:lvl w:ilvl="4" w:tplc="29062F28">
      <w:start w:val="1"/>
      <w:numFmt w:val="bullet"/>
      <w:lvlText w:val="o"/>
      <w:lvlJc w:val="left"/>
      <w:pPr>
        <w:ind w:left="3600" w:hanging="360"/>
      </w:pPr>
      <w:rPr>
        <w:rFonts w:ascii="Courier New" w:hAnsi="Courier New" w:hint="default"/>
      </w:rPr>
    </w:lvl>
    <w:lvl w:ilvl="5" w:tplc="A1920AAC">
      <w:start w:val="1"/>
      <w:numFmt w:val="bullet"/>
      <w:lvlText w:val=""/>
      <w:lvlJc w:val="left"/>
      <w:pPr>
        <w:ind w:left="4320" w:hanging="360"/>
      </w:pPr>
      <w:rPr>
        <w:rFonts w:ascii="Wingdings" w:hAnsi="Wingdings" w:hint="default"/>
      </w:rPr>
    </w:lvl>
    <w:lvl w:ilvl="6" w:tplc="E4A63608">
      <w:start w:val="1"/>
      <w:numFmt w:val="bullet"/>
      <w:lvlText w:val=""/>
      <w:lvlJc w:val="left"/>
      <w:pPr>
        <w:ind w:left="5040" w:hanging="360"/>
      </w:pPr>
      <w:rPr>
        <w:rFonts w:ascii="Symbol" w:hAnsi="Symbol" w:hint="default"/>
      </w:rPr>
    </w:lvl>
    <w:lvl w:ilvl="7" w:tplc="320420C0">
      <w:start w:val="1"/>
      <w:numFmt w:val="bullet"/>
      <w:lvlText w:val="o"/>
      <w:lvlJc w:val="left"/>
      <w:pPr>
        <w:ind w:left="5760" w:hanging="360"/>
      </w:pPr>
      <w:rPr>
        <w:rFonts w:ascii="Courier New" w:hAnsi="Courier New" w:hint="default"/>
      </w:rPr>
    </w:lvl>
    <w:lvl w:ilvl="8" w:tplc="F24CCE7A">
      <w:start w:val="1"/>
      <w:numFmt w:val="bullet"/>
      <w:lvlText w:val=""/>
      <w:lvlJc w:val="left"/>
      <w:pPr>
        <w:ind w:left="6480" w:hanging="360"/>
      </w:pPr>
      <w:rPr>
        <w:rFonts w:ascii="Wingdings" w:hAnsi="Wingdings" w:hint="default"/>
      </w:rPr>
    </w:lvl>
  </w:abstractNum>
  <w:abstractNum w:abstractNumId="43" w15:restartNumberingAfterBreak="0">
    <w:nsid w:val="71CC6022"/>
    <w:multiLevelType w:val="multilevel"/>
    <w:tmpl w:val="70CA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819D0"/>
    <w:multiLevelType w:val="multilevel"/>
    <w:tmpl w:val="DBA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37"/>
  </w:num>
  <w:num w:numId="14">
    <w:abstractNumId w:val="14"/>
  </w:num>
  <w:num w:numId="15">
    <w:abstractNumId w:val="23"/>
  </w:num>
  <w:num w:numId="16">
    <w:abstractNumId w:val="18"/>
  </w:num>
  <w:num w:numId="17">
    <w:abstractNumId w:val="38"/>
  </w:num>
  <w:num w:numId="18">
    <w:abstractNumId w:val="29"/>
  </w:num>
  <w:num w:numId="19">
    <w:abstractNumId w:val="41"/>
  </w:num>
  <w:num w:numId="20">
    <w:abstractNumId w:val="44"/>
  </w:num>
  <w:num w:numId="21">
    <w:abstractNumId w:val="36"/>
  </w:num>
  <w:num w:numId="22">
    <w:abstractNumId w:val="22"/>
  </w:num>
  <w:num w:numId="23">
    <w:abstractNumId w:val="19"/>
  </w:num>
  <w:num w:numId="24">
    <w:abstractNumId w:val="20"/>
  </w:num>
  <w:num w:numId="25">
    <w:abstractNumId w:val="13"/>
  </w:num>
  <w:num w:numId="26">
    <w:abstractNumId w:val="31"/>
  </w:num>
  <w:num w:numId="27">
    <w:abstractNumId w:val="30"/>
  </w:num>
  <w:num w:numId="28">
    <w:abstractNumId w:val="10"/>
  </w:num>
  <w:num w:numId="29">
    <w:abstractNumId w:val="44"/>
  </w:num>
  <w:num w:numId="30">
    <w:abstractNumId w:val="32"/>
  </w:num>
  <w:num w:numId="31">
    <w:abstractNumId w:val="12"/>
  </w:num>
  <w:num w:numId="32">
    <w:abstractNumId w:val="46"/>
  </w:num>
  <w:num w:numId="33">
    <w:abstractNumId w:val="44"/>
  </w:num>
  <w:num w:numId="34">
    <w:abstractNumId w:val="11"/>
  </w:num>
  <w:num w:numId="35">
    <w:abstractNumId w:val="39"/>
  </w:num>
  <w:num w:numId="36">
    <w:abstractNumId w:val="33"/>
  </w:num>
  <w:num w:numId="37">
    <w:abstractNumId w:val="24"/>
  </w:num>
  <w:num w:numId="38">
    <w:abstractNumId w:val="28"/>
  </w:num>
  <w:num w:numId="39">
    <w:abstractNumId w:val="15"/>
  </w:num>
  <w:num w:numId="40">
    <w:abstractNumId w:val="26"/>
  </w:num>
  <w:num w:numId="41">
    <w:abstractNumId w:val="27"/>
  </w:num>
  <w:num w:numId="42">
    <w:abstractNumId w:val="45"/>
  </w:num>
  <w:num w:numId="43">
    <w:abstractNumId w:val="25"/>
  </w:num>
  <w:num w:numId="44">
    <w:abstractNumId w:val="16"/>
  </w:num>
  <w:num w:numId="45">
    <w:abstractNumId w:val="21"/>
  </w:num>
  <w:num w:numId="46">
    <w:abstractNumId w:val="35"/>
  </w:num>
  <w:num w:numId="47">
    <w:abstractNumId w:val="43"/>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1295"/>
    <w:rsid w:val="0000209D"/>
    <w:rsid w:val="00002566"/>
    <w:rsid w:val="00002AE5"/>
    <w:rsid w:val="00002D0D"/>
    <w:rsid w:val="0000370A"/>
    <w:rsid w:val="00003849"/>
    <w:rsid w:val="00003AAE"/>
    <w:rsid w:val="00003F5C"/>
    <w:rsid w:val="00004D5A"/>
    <w:rsid w:val="00004EA4"/>
    <w:rsid w:val="00005219"/>
    <w:rsid w:val="000056D5"/>
    <w:rsid w:val="00005D9E"/>
    <w:rsid w:val="000063D5"/>
    <w:rsid w:val="00006625"/>
    <w:rsid w:val="00006ABD"/>
    <w:rsid w:val="00006B67"/>
    <w:rsid w:val="00006BF3"/>
    <w:rsid w:val="00006C0B"/>
    <w:rsid w:val="000073A0"/>
    <w:rsid w:val="00007656"/>
    <w:rsid w:val="0000767A"/>
    <w:rsid w:val="00007ABE"/>
    <w:rsid w:val="00007D73"/>
    <w:rsid w:val="00010107"/>
    <w:rsid w:val="00010256"/>
    <w:rsid w:val="00010702"/>
    <w:rsid w:val="00010A2C"/>
    <w:rsid w:val="0001128E"/>
    <w:rsid w:val="00011912"/>
    <w:rsid w:val="000122C2"/>
    <w:rsid w:val="000129B7"/>
    <w:rsid w:val="000137BD"/>
    <w:rsid w:val="0001387D"/>
    <w:rsid w:val="00014715"/>
    <w:rsid w:val="00014ED0"/>
    <w:rsid w:val="00016420"/>
    <w:rsid w:val="00016BDB"/>
    <w:rsid w:val="00017B01"/>
    <w:rsid w:val="000200BE"/>
    <w:rsid w:val="000205D1"/>
    <w:rsid w:val="000209A4"/>
    <w:rsid w:val="00020F22"/>
    <w:rsid w:val="000210C0"/>
    <w:rsid w:val="0002195D"/>
    <w:rsid w:val="00021B76"/>
    <w:rsid w:val="00021D2F"/>
    <w:rsid w:val="00021DD9"/>
    <w:rsid w:val="00021E39"/>
    <w:rsid w:val="00021F9B"/>
    <w:rsid w:val="0002248B"/>
    <w:rsid w:val="000228AE"/>
    <w:rsid w:val="000233D1"/>
    <w:rsid w:val="000234D6"/>
    <w:rsid w:val="00023D29"/>
    <w:rsid w:val="00024348"/>
    <w:rsid w:val="00024377"/>
    <w:rsid w:val="00025C85"/>
    <w:rsid w:val="00026109"/>
    <w:rsid w:val="0002622B"/>
    <w:rsid w:val="000262B5"/>
    <w:rsid w:val="00026389"/>
    <w:rsid w:val="0002669F"/>
    <w:rsid w:val="000279E5"/>
    <w:rsid w:val="000305E0"/>
    <w:rsid w:val="00031AE0"/>
    <w:rsid w:val="00031BB2"/>
    <w:rsid w:val="000322EF"/>
    <w:rsid w:val="00032C3C"/>
    <w:rsid w:val="00033FCD"/>
    <w:rsid w:val="000348AF"/>
    <w:rsid w:val="00034B70"/>
    <w:rsid w:val="00034DF7"/>
    <w:rsid w:val="00034E58"/>
    <w:rsid w:val="00034E68"/>
    <w:rsid w:val="000350C8"/>
    <w:rsid w:val="000351E0"/>
    <w:rsid w:val="00036195"/>
    <w:rsid w:val="000366CD"/>
    <w:rsid w:val="000374B2"/>
    <w:rsid w:val="000376C0"/>
    <w:rsid w:val="00037D64"/>
    <w:rsid w:val="000400BD"/>
    <w:rsid w:val="000403A7"/>
    <w:rsid w:val="00040632"/>
    <w:rsid w:val="00040D93"/>
    <w:rsid w:val="00040EE0"/>
    <w:rsid w:val="00040F4C"/>
    <w:rsid w:val="00041AFC"/>
    <w:rsid w:val="00041CEC"/>
    <w:rsid w:val="00041D02"/>
    <w:rsid w:val="0004219A"/>
    <w:rsid w:val="00042596"/>
    <w:rsid w:val="00042A4A"/>
    <w:rsid w:val="00043033"/>
    <w:rsid w:val="00044183"/>
    <w:rsid w:val="0004431D"/>
    <w:rsid w:val="00044906"/>
    <w:rsid w:val="00044AAC"/>
    <w:rsid w:val="00046514"/>
    <w:rsid w:val="0004694F"/>
    <w:rsid w:val="00046CFC"/>
    <w:rsid w:val="00046F12"/>
    <w:rsid w:val="00046F2F"/>
    <w:rsid w:val="000472CA"/>
    <w:rsid w:val="00047AD4"/>
    <w:rsid w:val="00047D54"/>
    <w:rsid w:val="0005033D"/>
    <w:rsid w:val="00050541"/>
    <w:rsid w:val="0005054A"/>
    <w:rsid w:val="0005087F"/>
    <w:rsid w:val="00050A87"/>
    <w:rsid w:val="00051506"/>
    <w:rsid w:val="00051810"/>
    <w:rsid w:val="000522E4"/>
    <w:rsid w:val="00053713"/>
    <w:rsid w:val="0005434E"/>
    <w:rsid w:val="00054793"/>
    <w:rsid w:val="00054ED8"/>
    <w:rsid w:val="00055CB6"/>
    <w:rsid w:val="00055E2F"/>
    <w:rsid w:val="0005691D"/>
    <w:rsid w:val="0005704A"/>
    <w:rsid w:val="000572DD"/>
    <w:rsid w:val="00057B1E"/>
    <w:rsid w:val="00057CBA"/>
    <w:rsid w:val="00057EC1"/>
    <w:rsid w:val="0006033F"/>
    <w:rsid w:val="00060382"/>
    <w:rsid w:val="000610E1"/>
    <w:rsid w:val="000616AD"/>
    <w:rsid w:val="000620AE"/>
    <w:rsid w:val="00062113"/>
    <w:rsid w:val="000622A6"/>
    <w:rsid w:val="00062405"/>
    <w:rsid w:val="00062A71"/>
    <w:rsid w:val="00062D70"/>
    <w:rsid w:val="00062EC5"/>
    <w:rsid w:val="00062F22"/>
    <w:rsid w:val="00063975"/>
    <w:rsid w:val="00063CEA"/>
    <w:rsid w:val="00064013"/>
    <w:rsid w:val="0006444D"/>
    <w:rsid w:val="000645FC"/>
    <w:rsid w:val="00065296"/>
    <w:rsid w:val="0006533F"/>
    <w:rsid w:val="00065348"/>
    <w:rsid w:val="00065423"/>
    <w:rsid w:val="0006551C"/>
    <w:rsid w:val="0006558D"/>
    <w:rsid w:val="00065A75"/>
    <w:rsid w:val="000663F0"/>
    <w:rsid w:val="00066558"/>
    <w:rsid w:val="000671DB"/>
    <w:rsid w:val="00067363"/>
    <w:rsid w:val="00067982"/>
    <w:rsid w:val="00070A87"/>
    <w:rsid w:val="000712B3"/>
    <w:rsid w:val="00071A7C"/>
    <w:rsid w:val="00071B5D"/>
    <w:rsid w:val="00071E38"/>
    <w:rsid w:val="00072FF5"/>
    <w:rsid w:val="00073A5A"/>
    <w:rsid w:val="00073B01"/>
    <w:rsid w:val="0007474E"/>
    <w:rsid w:val="00074988"/>
    <w:rsid w:val="00075068"/>
    <w:rsid w:val="0007512B"/>
    <w:rsid w:val="00075551"/>
    <w:rsid w:val="000758F0"/>
    <w:rsid w:val="000763A1"/>
    <w:rsid w:val="000767F5"/>
    <w:rsid w:val="00076D90"/>
    <w:rsid w:val="0007735D"/>
    <w:rsid w:val="00077714"/>
    <w:rsid w:val="00077BB3"/>
    <w:rsid w:val="00077FF0"/>
    <w:rsid w:val="00081A55"/>
    <w:rsid w:val="00081BB4"/>
    <w:rsid w:val="00081EBA"/>
    <w:rsid w:val="0008263E"/>
    <w:rsid w:val="00082C19"/>
    <w:rsid w:val="00082F89"/>
    <w:rsid w:val="00083457"/>
    <w:rsid w:val="000834ED"/>
    <w:rsid w:val="000837CD"/>
    <w:rsid w:val="00083B7F"/>
    <w:rsid w:val="000842DB"/>
    <w:rsid w:val="000845BB"/>
    <w:rsid w:val="00084BFF"/>
    <w:rsid w:val="000851A9"/>
    <w:rsid w:val="00085395"/>
    <w:rsid w:val="00086896"/>
    <w:rsid w:val="00086AC1"/>
    <w:rsid w:val="00086D19"/>
    <w:rsid w:val="00087634"/>
    <w:rsid w:val="00087F2B"/>
    <w:rsid w:val="00090694"/>
    <w:rsid w:val="0009098B"/>
    <w:rsid w:val="00090EE2"/>
    <w:rsid w:val="00090FC6"/>
    <w:rsid w:val="0009122C"/>
    <w:rsid w:val="000913B1"/>
    <w:rsid w:val="0009290F"/>
    <w:rsid w:val="00092F51"/>
    <w:rsid w:val="00093093"/>
    <w:rsid w:val="00093241"/>
    <w:rsid w:val="000934D5"/>
    <w:rsid w:val="00093868"/>
    <w:rsid w:val="0009445D"/>
    <w:rsid w:val="00094A84"/>
    <w:rsid w:val="00095025"/>
    <w:rsid w:val="00095135"/>
    <w:rsid w:val="00095152"/>
    <w:rsid w:val="00095A60"/>
    <w:rsid w:val="0009626E"/>
    <w:rsid w:val="0009644D"/>
    <w:rsid w:val="0009653A"/>
    <w:rsid w:val="0009704A"/>
    <w:rsid w:val="00097191"/>
    <w:rsid w:val="000974D1"/>
    <w:rsid w:val="00097784"/>
    <w:rsid w:val="0009799E"/>
    <w:rsid w:val="000A07CB"/>
    <w:rsid w:val="000A0BC0"/>
    <w:rsid w:val="000A0CD8"/>
    <w:rsid w:val="000A1183"/>
    <w:rsid w:val="000A12ED"/>
    <w:rsid w:val="000A1D49"/>
    <w:rsid w:val="000A212B"/>
    <w:rsid w:val="000A242D"/>
    <w:rsid w:val="000A256D"/>
    <w:rsid w:val="000A2643"/>
    <w:rsid w:val="000A2778"/>
    <w:rsid w:val="000A288C"/>
    <w:rsid w:val="000A2E5F"/>
    <w:rsid w:val="000A385C"/>
    <w:rsid w:val="000A3A2C"/>
    <w:rsid w:val="000A3D9E"/>
    <w:rsid w:val="000A3FD4"/>
    <w:rsid w:val="000A4A54"/>
    <w:rsid w:val="000A4ED9"/>
    <w:rsid w:val="000A55C4"/>
    <w:rsid w:val="000A5858"/>
    <w:rsid w:val="000A589E"/>
    <w:rsid w:val="000A5DB7"/>
    <w:rsid w:val="000A6254"/>
    <w:rsid w:val="000A629B"/>
    <w:rsid w:val="000A6753"/>
    <w:rsid w:val="000A6D94"/>
    <w:rsid w:val="000A72BC"/>
    <w:rsid w:val="000A7377"/>
    <w:rsid w:val="000A74A4"/>
    <w:rsid w:val="000A74BB"/>
    <w:rsid w:val="000A76E0"/>
    <w:rsid w:val="000A775A"/>
    <w:rsid w:val="000A79B3"/>
    <w:rsid w:val="000A7D63"/>
    <w:rsid w:val="000A7FF4"/>
    <w:rsid w:val="000B03CC"/>
    <w:rsid w:val="000B1A37"/>
    <w:rsid w:val="000B25DA"/>
    <w:rsid w:val="000B28BD"/>
    <w:rsid w:val="000B3D72"/>
    <w:rsid w:val="000B4212"/>
    <w:rsid w:val="000B4309"/>
    <w:rsid w:val="000B4461"/>
    <w:rsid w:val="000B51CC"/>
    <w:rsid w:val="000B52D8"/>
    <w:rsid w:val="000B67B7"/>
    <w:rsid w:val="000B6A0A"/>
    <w:rsid w:val="000B75A7"/>
    <w:rsid w:val="000C0127"/>
    <w:rsid w:val="000C0190"/>
    <w:rsid w:val="000C0CA6"/>
    <w:rsid w:val="000C0EA8"/>
    <w:rsid w:val="000C13A2"/>
    <w:rsid w:val="000C1BF6"/>
    <w:rsid w:val="000C21E7"/>
    <w:rsid w:val="000C23EC"/>
    <w:rsid w:val="000C26A2"/>
    <w:rsid w:val="000C290E"/>
    <w:rsid w:val="000C30C3"/>
    <w:rsid w:val="000C3330"/>
    <w:rsid w:val="000C3408"/>
    <w:rsid w:val="000C3422"/>
    <w:rsid w:val="000C35AB"/>
    <w:rsid w:val="000C3F7B"/>
    <w:rsid w:val="000C4769"/>
    <w:rsid w:val="000C4D56"/>
    <w:rsid w:val="000C52FC"/>
    <w:rsid w:val="000C5DFA"/>
    <w:rsid w:val="000C6AFD"/>
    <w:rsid w:val="000C6C90"/>
    <w:rsid w:val="000C72B7"/>
    <w:rsid w:val="000C735A"/>
    <w:rsid w:val="000C77CF"/>
    <w:rsid w:val="000C7A79"/>
    <w:rsid w:val="000D0A26"/>
    <w:rsid w:val="000D0D18"/>
    <w:rsid w:val="000D127B"/>
    <w:rsid w:val="000D13CB"/>
    <w:rsid w:val="000D2196"/>
    <w:rsid w:val="000D2C2E"/>
    <w:rsid w:val="000D3058"/>
    <w:rsid w:val="000D310A"/>
    <w:rsid w:val="000D3EF4"/>
    <w:rsid w:val="000D4497"/>
    <w:rsid w:val="000D4761"/>
    <w:rsid w:val="000D4DC0"/>
    <w:rsid w:val="000D4E8E"/>
    <w:rsid w:val="000D55BA"/>
    <w:rsid w:val="000D5637"/>
    <w:rsid w:val="000D585E"/>
    <w:rsid w:val="000D5A03"/>
    <w:rsid w:val="000D5ED3"/>
    <w:rsid w:val="000D6A2D"/>
    <w:rsid w:val="000D6F4E"/>
    <w:rsid w:val="000D6FDA"/>
    <w:rsid w:val="000D71A4"/>
    <w:rsid w:val="000D73BB"/>
    <w:rsid w:val="000D78F5"/>
    <w:rsid w:val="000D7AC7"/>
    <w:rsid w:val="000D7C6F"/>
    <w:rsid w:val="000E04FD"/>
    <w:rsid w:val="000E0E96"/>
    <w:rsid w:val="000E298B"/>
    <w:rsid w:val="000E2C7D"/>
    <w:rsid w:val="000E3E56"/>
    <w:rsid w:val="000E440D"/>
    <w:rsid w:val="000E4AC5"/>
    <w:rsid w:val="000E5B90"/>
    <w:rsid w:val="000E5DB7"/>
    <w:rsid w:val="000E6253"/>
    <w:rsid w:val="000E6AC4"/>
    <w:rsid w:val="000E6E4D"/>
    <w:rsid w:val="000E6FBD"/>
    <w:rsid w:val="000E6FCB"/>
    <w:rsid w:val="000F001C"/>
    <w:rsid w:val="000F00AA"/>
    <w:rsid w:val="000F0848"/>
    <w:rsid w:val="000F090B"/>
    <w:rsid w:val="000F0E42"/>
    <w:rsid w:val="000F15F7"/>
    <w:rsid w:val="000F1AA2"/>
    <w:rsid w:val="000F378E"/>
    <w:rsid w:val="000F3B71"/>
    <w:rsid w:val="000F3F3B"/>
    <w:rsid w:val="000F45A2"/>
    <w:rsid w:val="000F4721"/>
    <w:rsid w:val="000F47E8"/>
    <w:rsid w:val="000F4C6D"/>
    <w:rsid w:val="000F4E9C"/>
    <w:rsid w:val="000F60E1"/>
    <w:rsid w:val="000F70E4"/>
    <w:rsid w:val="000F7269"/>
    <w:rsid w:val="000F76EA"/>
    <w:rsid w:val="000F7C7E"/>
    <w:rsid w:val="001005BD"/>
    <w:rsid w:val="00100A8B"/>
    <w:rsid w:val="00100F5C"/>
    <w:rsid w:val="00101B15"/>
    <w:rsid w:val="00101BF3"/>
    <w:rsid w:val="00101CDA"/>
    <w:rsid w:val="00102037"/>
    <w:rsid w:val="0010228E"/>
    <w:rsid w:val="0010343F"/>
    <w:rsid w:val="001039E2"/>
    <w:rsid w:val="00103DCB"/>
    <w:rsid w:val="00104C4C"/>
    <w:rsid w:val="00105015"/>
    <w:rsid w:val="001050E8"/>
    <w:rsid w:val="0010544F"/>
    <w:rsid w:val="001055D2"/>
    <w:rsid w:val="001057C2"/>
    <w:rsid w:val="00106BCC"/>
    <w:rsid w:val="00107124"/>
    <w:rsid w:val="001074C0"/>
    <w:rsid w:val="00107B0A"/>
    <w:rsid w:val="0011038E"/>
    <w:rsid w:val="0011055D"/>
    <w:rsid w:val="001112D2"/>
    <w:rsid w:val="001112DD"/>
    <w:rsid w:val="00111573"/>
    <w:rsid w:val="00112370"/>
    <w:rsid w:val="0011239B"/>
    <w:rsid w:val="001125EF"/>
    <w:rsid w:val="00112919"/>
    <w:rsid w:val="00112CAB"/>
    <w:rsid w:val="00112CEB"/>
    <w:rsid w:val="00113A77"/>
    <w:rsid w:val="0011440C"/>
    <w:rsid w:val="0011456E"/>
    <w:rsid w:val="00114C33"/>
    <w:rsid w:val="00114D5B"/>
    <w:rsid w:val="00114E3A"/>
    <w:rsid w:val="001150CE"/>
    <w:rsid w:val="001154D8"/>
    <w:rsid w:val="00115AA5"/>
    <w:rsid w:val="00115DD6"/>
    <w:rsid w:val="00116D3F"/>
    <w:rsid w:val="00117474"/>
    <w:rsid w:val="00117623"/>
    <w:rsid w:val="00117FEA"/>
    <w:rsid w:val="001200CF"/>
    <w:rsid w:val="001202B0"/>
    <w:rsid w:val="001208E3"/>
    <w:rsid w:val="001211F9"/>
    <w:rsid w:val="00121609"/>
    <w:rsid w:val="00121735"/>
    <w:rsid w:val="0012192F"/>
    <w:rsid w:val="001223CD"/>
    <w:rsid w:val="00122994"/>
    <w:rsid w:val="00123204"/>
    <w:rsid w:val="001238F5"/>
    <w:rsid w:val="00123C7D"/>
    <w:rsid w:val="00124B46"/>
    <w:rsid w:val="001257BE"/>
    <w:rsid w:val="001257E0"/>
    <w:rsid w:val="00125D69"/>
    <w:rsid w:val="00127263"/>
    <w:rsid w:val="0012799C"/>
    <w:rsid w:val="00127BC2"/>
    <w:rsid w:val="00127E15"/>
    <w:rsid w:val="00130654"/>
    <w:rsid w:val="001308F1"/>
    <w:rsid w:val="00130ACD"/>
    <w:rsid w:val="00130ADC"/>
    <w:rsid w:val="00130D9F"/>
    <w:rsid w:val="00132C4D"/>
    <w:rsid w:val="00133FC1"/>
    <w:rsid w:val="00134659"/>
    <w:rsid w:val="00135111"/>
    <w:rsid w:val="00135376"/>
    <w:rsid w:val="00136175"/>
    <w:rsid w:val="0013689F"/>
    <w:rsid w:val="00136A6F"/>
    <w:rsid w:val="00136C1A"/>
    <w:rsid w:val="001371E1"/>
    <w:rsid w:val="00137812"/>
    <w:rsid w:val="00137DE5"/>
    <w:rsid w:val="00137F06"/>
    <w:rsid w:val="001405FA"/>
    <w:rsid w:val="00140802"/>
    <w:rsid w:val="00140D1A"/>
    <w:rsid w:val="00141184"/>
    <w:rsid w:val="00141315"/>
    <w:rsid w:val="0014152B"/>
    <w:rsid w:val="00141740"/>
    <w:rsid w:val="00141AA0"/>
    <w:rsid w:val="00141AE4"/>
    <w:rsid w:val="001425C3"/>
    <w:rsid w:val="0014262D"/>
    <w:rsid w:val="00142B29"/>
    <w:rsid w:val="00143EED"/>
    <w:rsid w:val="00144108"/>
    <w:rsid w:val="00144440"/>
    <w:rsid w:val="00144588"/>
    <w:rsid w:val="001447DD"/>
    <w:rsid w:val="00145358"/>
    <w:rsid w:val="001459BC"/>
    <w:rsid w:val="00145B0F"/>
    <w:rsid w:val="00146B27"/>
    <w:rsid w:val="00146F76"/>
    <w:rsid w:val="0014779E"/>
    <w:rsid w:val="00147B13"/>
    <w:rsid w:val="001500D8"/>
    <w:rsid w:val="00150384"/>
    <w:rsid w:val="001504BA"/>
    <w:rsid w:val="00150860"/>
    <w:rsid w:val="001509D4"/>
    <w:rsid w:val="00150ECA"/>
    <w:rsid w:val="0015108F"/>
    <w:rsid w:val="00151707"/>
    <w:rsid w:val="0015218F"/>
    <w:rsid w:val="00152C86"/>
    <w:rsid w:val="00152EBC"/>
    <w:rsid w:val="00152F4F"/>
    <w:rsid w:val="00153264"/>
    <w:rsid w:val="0015329F"/>
    <w:rsid w:val="00154286"/>
    <w:rsid w:val="001544A1"/>
    <w:rsid w:val="00154CA1"/>
    <w:rsid w:val="001553B8"/>
    <w:rsid w:val="001554C2"/>
    <w:rsid w:val="00155571"/>
    <w:rsid w:val="00156D04"/>
    <w:rsid w:val="001571C0"/>
    <w:rsid w:val="001574FE"/>
    <w:rsid w:val="0015753D"/>
    <w:rsid w:val="00157984"/>
    <w:rsid w:val="00157CC9"/>
    <w:rsid w:val="001609AE"/>
    <w:rsid w:val="00160C21"/>
    <w:rsid w:val="001612DB"/>
    <w:rsid w:val="001612F4"/>
    <w:rsid w:val="00161553"/>
    <w:rsid w:val="0016216F"/>
    <w:rsid w:val="0016256B"/>
    <w:rsid w:val="00162F81"/>
    <w:rsid w:val="00163660"/>
    <w:rsid w:val="00163793"/>
    <w:rsid w:val="00163868"/>
    <w:rsid w:val="00164CA1"/>
    <w:rsid w:val="00165313"/>
    <w:rsid w:val="001659C3"/>
    <w:rsid w:val="00165DC6"/>
    <w:rsid w:val="00166593"/>
    <w:rsid w:val="001665AB"/>
    <w:rsid w:val="00166A55"/>
    <w:rsid w:val="00166D80"/>
    <w:rsid w:val="00167485"/>
    <w:rsid w:val="00167809"/>
    <w:rsid w:val="001679F5"/>
    <w:rsid w:val="00167B92"/>
    <w:rsid w:val="00167CB9"/>
    <w:rsid w:val="00167DD8"/>
    <w:rsid w:val="001705AD"/>
    <w:rsid w:val="001706D6"/>
    <w:rsid w:val="00170CFD"/>
    <w:rsid w:val="00170F1A"/>
    <w:rsid w:val="001714F2"/>
    <w:rsid w:val="00171FEA"/>
    <w:rsid w:val="00172F60"/>
    <w:rsid w:val="00173622"/>
    <w:rsid w:val="00173D32"/>
    <w:rsid w:val="0017448A"/>
    <w:rsid w:val="00174ED1"/>
    <w:rsid w:val="00175B9F"/>
    <w:rsid w:val="001762F4"/>
    <w:rsid w:val="001765D1"/>
    <w:rsid w:val="001777BA"/>
    <w:rsid w:val="00180DA4"/>
    <w:rsid w:val="00181029"/>
    <w:rsid w:val="00181276"/>
    <w:rsid w:val="00181BBC"/>
    <w:rsid w:val="00182D75"/>
    <w:rsid w:val="0018385F"/>
    <w:rsid w:val="00183BCF"/>
    <w:rsid w:val="00184017"/>
    <w:rsid w:val="001847BB"/>
    <w:rsid w:val="00184B08"/>
    <w:rsid w:val="00185010"/>
    <w:rsid w:val="001854F2"/>
    <w:rsid w:val="00185C22"/>
    <w:rsid w:val="00186A7F"/>
    <w:rsid w:val="00186BA9"/>
    <w:rsid w:val="00186FB2"/>
    <w:rsid w:val="00187D50"/>
    <w:rsid w:val="00190B4D"/>
    <w:rsid w:val="0019123D"/>
    <w:rsid w:val="0019196C"/>
    <w:rsid w:val="00191F6B"/>
    <w:rsid w:val="001926A9"/>
    <w:rsid w:val="00192BA8"/>
    <w:rsid w:val="00192F05"/>
    <w:rsid w:val="00194024"/>
    <w:rsid w:val="00194729"/>
    <w:rsid w:val="00194850"/>
    <w:rsid w:val="00195234"/>
    <w:rsid w:val="00195EA6"/>
    <w:rsid w:val="00196016"/>
    <w:rsid w:val="00196117"/>
    <w:rsid w:val="00197A70"/>
    <w:rsid w:val="00197A8B"/>
    <w:rsid w:val="00197C0F"/>
    <w:rsid w:val="00197D0E"/>
    <w:rsid w:val="001A0487"/>
    <w:rsid w:val="001A0675"/>
    <w:rsid w:val="001A0A37"/>
    <w:rsid w:val="001A164B"/>
    <w:rsid w:val="001A1F68"/>
    <w:rsid w:val="001A21FA"/>
    <w:rsid w:val="001A28C9"/>
    <w:rsid w:val="001A3474"/>
    <w:rsid w:val="001A422F"/>
    <w:rsid w:val="001A4A73"/>
    <w:rsid w:val="001A4D7C"/>
    <w:rsid w:val="001A4EF0"/>
    <w:rsid w:val="001A552F"/>
    <w:rsid w:val="001A5CB7"/>
    <w:rsid w:val="001A6042"/>
    <w:rsid w:val="001A6A14"/>
    <w:rsid w:val="001A6F58"/>
    <w:rsid w:val="001A70B1"/>
    <w:rsid w:val="001A7672"/>
    <w:rsid w:val="001B0738"/>
    <w:rsid w:val="001B1235"/>
    <w:rsid w:val="001B158D"/>
    <w:rsid w:val="001B1BBB"/>
    <w:rsid w:val="001B2CA9"/>
    <w:rsid w:val="001B3110"/>
    <w:rsid w:val="001B3328"/>
    <w:rsid w:val="001B37CA"/>
    <w:rsid w:val="001B3E38"/>
    <w:rsid w:val="001B40F5"/>
    <w:rsid w:val="001B4729"/>
    <w:rsid w:val="001B4DF6"/>
    <w:rsid w:val="001B4F0E"/>
    <w:rsid w:val="001B5292"/>
    <w:rsid w:val="001B5F40"/>
    <w:rsid w:val="001B6310"/>
    <w:rsid w:val="001B6C09"/>
    <w:rsid w:val="001B6E12"/>
    <w:rsid w:val="001B7A58"/>
    <w:rsid w:val="001B7E67"/>
    <w:rsid w:val="001B7FAD"/>
    <w:rsid w:val="001C05CD"/>
    <w:rsid w:val="001C082B"/>
    <w:rsid w:val="001C0F17"/>
    <w:rsid w:val="001C11A6"/>
    <w:rsid w:val="001C1B24"/>
    <w:rsid w:val="001C1B66"/>
    <w:rsid w:val="001C1BB5"/>
    <w:rsid w:val="001C1C72"/>
    <w:rsid w:val="001C24A7"/>
    <w:rsid w:val="001C24BB"/>
    <w:rsid w:val="001C2732"/>
    <w:rsid w:val="001C31A2"/>
    <w:rsid w:val="001C351D"/>
    <w:rsid w:val="001C3794"/>
    <w:rsid w:val="001C3855"/>
    <w:rsid w:val="001C41C1"/>
    <w:rsid w:val="001C4ABB"/>
    <w:rsid w:val="001C4B8F"/>
    <w:rsid w:val="001C4BB8"/>
    <w:rsid w:val="001C4D8C"/>
    <w:rsid w:val="001C4FD0"/>
    <w:rsid w:val="001C544D"/>
    <w:rsid w:val="001C5E46"/>
    <w:rsid w:val="001C6AB8"/>
    <w:rsid w:val="001C6B3B"/>
    <w:rsid w:val="001C7A26"/>
    <w:rsid w:val="001C7E3F"/>
    <w:rsid w:val="001D0EF1"/>
    <w:rsid w:val="001D0F32"/>
    <w:rsid w:val="001D16D0"/>
    <w:rsid w:val="001D1A44"/>
    <w:rsid w:val="001D1C56"/>
    <w:rsid w:val="001D1D2C"/>
    <w:rsid w:val="001D22C2"/>
    <w:rsid w:val="001D2C99"/>
    <w:rsid w:val="001D2FE3"/>
    <w:rsid w:val="001D3A7F"/>
    <w:rsid w:val="001D3B75"/>
    <w:rsid w:val="001D452E"/>
    <w:rsid w:val="001D54C1"/>
    <w:rsid w:val="001D556E"/>
    <w:rsid w:val="001D5DF2"/>
    <w:rsid w:val="001D6175"/>
    <w:rsid w:val="001D68B2"/>
    <w:rsid w:val="001D6B3F"/>
    <w:rsid w:val="001D6FE1"/>
    <w:rsid w:val="001D759D"/>
    <w:rsid w:val="001D7EFD"/>
    <w:rsid w:val="001D7F60"/>
    <w:rsid w:val="001E085B"/>
    <w:rsid w:val="001E0CAA"/>
    <w:rsid w:val="001E149B"/>
    <w:rsid w:val="001E155C"/>
    <w:rsid w:val="001E15CB"/>
    <w:rsid w:val="001E18A0"/>
    <w:rsid w:val="001E1AF1"/>
    <w:rsid w:val="001E297E"/>
    <w:rsid w:val="001E3306"/>
    <w:rsid w:val="001E34DC"/>
    <w:rsid w:val="001E3802"/>
    <w:rsid w:val="001E40B1"/>
    <w:rsid w:val="001E504C"/>
    <w:rsid w:val="001E52DE"/>
    <w:rsid w:val="001E56AC"/>
    <w:rsid w:val="001E5A17"/>
    <w:rsid w:val="001E6441"/>
    <w:rsid w:val="001E6B52"/>
    <w:rsid w:val="001E74C5"/>
    <w:rsid w:val="001F0A97"/>
    <w:rsid w:val="001F1236"/>
    <w:rsid w:val="001F18F2"/>
    <w:rsid w:val="001F2F90"/>
    <w:rsid w:val="001F3021"/>
    <w:rsid w:val="001F3C7C"/>
    <w:rsid w:val="001F4597"/>
    <w:rsid w:val="001F4826"/>
    <w:rsid w:val="001F4933"/>
    <w:rsid w:val="001F5918"/>
    <w:rsid w:val="001F59C8"/>
    <w:rsid w:val="001F5E33"/>
    <w:rsid w:val="001F6483"/>
    <w:rsid w:val="001F6CD3"/>
    <w:rsid w:val="001F75DA"/>
    <w:rsid w:val="001F7931"/>
    <w:rsid w:val="001F7CE0"/>
    <w:rsid w:val="00200085"/>
    <w:rsid w:val="002007D3"/>
    <w:rsid w:val="00201633"/>
    <w:rsid w:val="002019B5"/>
    <w:rsid w:val="00203332"/>
    <w:rsid w:val="002036E6"/>
    <w:rsid w:val="002038E8"/>
    <w:rsid w:val="00203CD5"/>
    <w:rsid w:val="00203D8F"/>
    <w:rsid w:val="00203DA4"/>
    <w:rsid w:val="0020460A"/>
    <w:rsid w:val="00204EA6"/>
    <w:rsid w:val="00205019"/>
    <w:rsid w:val="00205186"/>
    <w:rsid w:val="002062DE"/>
    <w:rsid w:val="00206516"/>
    <w:rsid w:val="00206598"/>
    <w:rsid w:val="002070CF"/>
    <w:rsid w:val="002071D5"/>
    <w:rsid w:val="002073FD"/>
    <w:rsid w:val="00207414"/>
    <w:rsid w:val="00207AB0"/>
    <w:rsid w:val="00207B33"/>
    <w:rsid w:val="00207E73"/>
    <w:rsid w:val="002102F8"/>
    <w:rsid w:val="002110EC"/>
    <w:rsid w:val="002111E5"/>
    <w:rsid w:val="0021149E"/>
    <w:rsid w:val="0021173B"/>
    <w:rsid w:val="002118B9"/>
    <w:rsid w:val="00211CFD"/>
    <w:rsid w:val="002125DC"/>
    <w:rsid w:val="00213691"/>
    <w:rsid w:val="002142C0"/>
    <w:rsid w:val="00214853"/>
    <w:rsid w:val="00215388"/>
    <w:rsid w:val="002165A2"/>
    <w:rsid w:val="00217993"/>
    <w:rsid w:val="00217BED"/>
    <w:rsid w:val="00217C5B"/>
    <w:rsid w:val="00217CC3"/>
    <w:rsid w:val="00220128"/>
    <w:rsid w:val="00220362"/>
    <w:rsid w:val="00220989"/>
    <w:rsid w:val="00220A43"/>
    <w:rsid w:val="0022139E"/>
    <w:rsid w:val="00222312"/>
    <w:rsid w:val="00222729"/>
    <w:rsid w:val="0022287B"/>
    <w:rsid w:val="002228DB"/>
    <w:rsid w:val="00223185"/>
    <w:rsid w:val="00223264"/>
    <w:rsid w:val="002233D6"/>
    <w:rsid w:val="00223E20"/>
    <w:rsid w:val="00224335"/>
    <w:rsid w:val="0022441D"/>
    <w:rsid w:val="00224574"/>
    <w:rsid w:val="00224BB6"/>
    <w:rsid w:val="00224E3F"/>
    <w:rsid w:val="00225000"/>
    <w:rsid w:val="0022521D"/>
    <w:rsid w:val="002252E0"/>
    <w:rsid w:val="00225396"/>
    <w:rsid w:val="002255F6"/>
    <w:rsid w:val="00225B43"/>
    <w:rsid w:val="00226032"/>
    <w:rsid w:val="002267F7"/>
    <w:rsid w:val="0022738D"/>
    <w:rsid w:val="00227605"/>
    <w:rsid w:val="00227850"/>
    <w:rsid w:val="00227A53"/>
    <w:rsid w:val="00227C6C"/>
    <w:rsid w:val="00227E2E"/>
    <w:rsid w:val="00227F36"/>
    <w:rsid w:val="00227F53"/>
    <w:rsid w:val="00230AFA"/>
    <w:rsid w:val="00230C6E"/>
    <w:rsid w:val="00230E21"/>
    <w:rsid w:val="00231066"/>
    <w:rsid w:val="002316A8"/>
    <w:rsid w:val="00231855"/>
    <w:rsid w:val="00231859"/>
    <w:rsid w:val="002320C9"/>
    <w:rsid w:val="0023288F"/>
    <w:rsid w:val="0023290A"/>
    <w:rsid w:val="00232B6D"/>
    <w:rsid w:val="0023359B"/>
    <w:rsid w:val="00233603"/>
    <w:rsid w:val="00233FE7"/>
    <w:rsid w:val="002340EF"/>
    <w:rsid w:val="00234B82"/>
    <w:rsid w:val="00236443"/>
    <w:rsid w:val="00236700"/>
    <w:rsid w:val="00236D2A"/>
    <w:rsid w:val="0023714F"/>
    <w:rsid w:val="00237C24"/>
    <w:rsid w:val="00237C8B"/>
    <w:rsid w:val="00240391"/>
    <w:rsid w:val="00240AF3"/>
    <w:rsid w:val="002418D5"/>
    <w:rsid w:val="00241A9F"/>
    <w:rsid w:val="00241B06"/>
    <w:rsid w:val="0024343A"/>
    <w:rsid w:val="002436BA"/>
    <w:rsid w:val="0024385F"/>
    <w:rsid w:val="002438DC"/>
    <w:rsid w:val="00244652"/>
    <w:rsid w:val="00244A15"/>
    <w:rsid w:val="00244BB9"/>
    <w:rsid w:val="002452D9"/>
    <w:rsid w:val="0024629B"/>
    <w:rsid w:val="0024649B"/>
    <w:rsid w:val="00246CAA"/>
    <w:rsid w:val="002470EB"/>
    <w:rsid w:val="00247319"/>
    <w:rsid w:val="0024799E"/>
    <w:rsid w:val="00247E60"/>
    <w:rsid w:val="00251001"/>
    <w:rsid w:val="002512B7"/>
    <w:rsid w:val="00251496"/>
    <w:rsid w:val="00251B08"/>
    <w:rsid w:val="00251C53"/>
    <w:rsid w:val="00251E6D"/>
    <w:rsid w:val="00252AB9"/>
    <w:rsid w:val="002532B1"/>
    <w:rsid w:val="00253952"/>
    <w:rsid w:val="00253C0F"/>
    <w:rsid w:val="00253F48"/>
    <w:rsid w:val="00254A01"/>
    <w:rsid w:val="00254FC3"/>
    <w:rsid w:val="00255452"/>
    <w:rsid w:val="002558C1"/>
    <w:rsid w:val="00256207"/>
    <w:rsid w:val="002565FC"/>
    <w:rsid w:val="002575F3"/>
    <w:rsid w:val="002601B4"/>
    <w:rsid w:val="00260374"/>
    <w:rsid w:val="002603E1"/>
    <w:rsid w:val="002605FE"/>
    <w:rsid w:val="0026120E"/>
    <w:rsid w:val="002617EE"/>
    <w:rsid w:val="00261DDB"/>
    <w:rsid w:val="00262582"/>
    <w:rsid w:val="0026291D"/>
    <w:rsid w:val="00262CF3"/>
    <w:rsid w:val="002632C6"/>
    <w:rsid w:val="002638DD"/>
    <w:rsid w:val="0026398B"/>
    <w:rsid w:val="00264309"/>
    <w:rsid w:val="00264992"/>
    <w:rsid w:val="00264B4F"/>
    <w:rsid w:val="00264B85"/>
    <w:rsid w:val="0026564B"/>
    <w:rsid w:val="00265C83"/>
    <w:rsid w:val="00265E85"/>
    <w:rsid w:val="00267B49"/>
    <w:rsid w:val="00267C51"/>
    <w:rsid w:val="002700D9"/>
    <w:rsid w:val="0027025F"/>
    <w:rsid w:val="002709CC"/>
    <w:rsid w:val="00270D25"/>
    <w:rsid w:val="00270D5D"/>
    <w:rsid w:val="00271022"/>
    <w:rsid w:val="00271389"/>
    <w:rsid w:val="00271465"/>
    <w:rsid w:val="00271A07"/>
    <w:rsid w:val="00271E47"/>
    <w:rsid w:val="00271E7B"/>
    <w:rsid w:val="002721F5"/>
    <w:rsid w:val="00272DF4"/>
    <w:rsid w:val="0027334D"/>
    <w:rsid w:val="002734AB"/>
    <w:rsid w:val="00273B51"/>
    <w:rsid w:val="00275062"/>
    <w:rsid w:val="002752AD"/>
    <w:rsid w:val="00275758"/>
    <w:rsid w:val="0027583D"/>
    <w:rsid w:val="002759C7"/>
    <w:rsid w:val="00275DEF"/>
    <w:rsid w:val="00275E0B"/>
    <w:rsid w:val="00275E43"/>
    <w:rsid w:val="0027609F"/>
    <w:rsid w:val="002763A2"/>
    <w:rsid w:val="002765D8"/>
    <w:rsid w:val="00276B33"/>
    <w:rsid w:val="00276FBB"/>
    <w:rsid w:val="002771D9"/>
    <w:rsid w:val="00277669"/>
    <w:rsid w:val="002778C8"/>
    <w:rsid w:val="002803A5"/>
    <w:rsid w:val="00280ACB"/>
    <w:rsid w:val="0028120B"/>
    <w:rsid w:val="002812E3"/>
    <w:rsid w:val="00281576"/>
    <w:rsid w:val="00282AD4"/>
    <w:rsid w:val="00282B3F"/>
    <w:rsid w:val="0028341F"/>
    <w:rsid w:val="002837AE"/>
    <w:rsid w:val="00283C13"/>
    <w:rsid w:val="00283F7B"/>
    <w:rsid w:val="0028405F"/>
    <w:rsid w:val="00284229"/>
    <w:rsid w:val="0028431A"/>
    <w:rsid w:val="002853FA"/>
    <w:rsid w:val="00285412"/>
    <w:rsid w:val="00286220"/>
    <w:rsid w:val="002868F0"/>
    <w:rsid w:val="00291043"/>
    <w:rsid w:val="0029110B"/>
    <w:rsid w:val="002915D0"/>
    <w:rsid w:val="00291640"/>
    <w:rsid w:val="0029237E"/>
    <w:rsid w:val="00292997"/>
    <w:rsid w:val="00292D82"/>
    <w:rsid w:val="00293D24"/>
    <w:rsid w:val="0029461A"/>
    <w:rsid w:val="00294977"/>
    <w:rsid w:val="00294A56"/>
    <w:rsid w:val="0029509B"/>
    <w:rsid w:val="00295369"/>
    <w:rsid w:val="0029588F"/>
    <w:rsid w:val="00295E96"/>
    <w:rsid w:val="00296878"/>
    <w:rsid w:val="00297256"/>
    <w:rsid w:val="00297560"/>
    <w:rsid w:val="00297A5C"/>
    <w:rsid w:val="00297D51"/>
    <w:rsid w:val="002A0044"/>
    <w:rsid w:val="002A0122"/>
    <w:rsid w:val="002A0132"/>
    <w:rsid w:val="002A016B"/>
    <w:rsid w:val="002A0D51"/>
    <w:rsid w:val="002A103E"/>
    <w:rsid w:val="002A16D4"/>
    <w:rsid w:val="002A1E4F"/>
    <w:rsid w:val="002A230C"/>
    <w:rsid w:val="002A2AF7"/>
    <w:rsid w:val="002A30ED"/>
    <w:rsid w:val="002A3209"/>
    <w:rsid w:val="002A34B5"/>
    <w:rsid w:val="002A38F3"/>
    <w:rsid w:val="002A3EA2"/>
    <w:rsid w:val="002A51AC"/>
    <w:rsid w:val="002A532A"/>
    <w:rsid w:val="002A5846"/>
    <w:rsid w:val="002A5D97"/>
    <w:rsid w:val="002A603E"/>
    <w:rsid w:val="002A63B9"/>
    <w:rsid w:val="002A6614"/>
    <w:rsid w:val="002A7089"/>
    <w:rsid w:val="002A70B9"/>
    <w:rsid w:val="002A7B05"/>
    <w:rsid w:val="002B060E"/>
    <w:rsid w:val="002B0692"/>
    <w:rsid w:val="002B1619"/>
    <w:rsid w:val="002B1AB8"/>
    <w:rsid w:val="002B3EF4"/>
    <w:rsid w:val="002B4845"/>
    <w:rsid w:val="002B5436"/>
    <w:rsid w:val="002B5567"/>
    <w:rsid w:val="002B5812"/>
    <w:rsid w:val="002B6D2D"/>
    <w:rsid w:val="002B72AA"/>
    <w:rsid w:val="002B75C0"/>
    <w:rsid w:val="002C0D7D"/>
    <w:rsid w:val="002C1110"/>
    <w:rsid w:val="002C1BC2"/>
    <w:rsid w:val="002C1F09"/>
    <w:rsid w:val="002C22A4"/>
    <w:rsid w:val="002C2551"/>
    <w:rsid w:val="002C260B"/>
    <w:rsid w:val="002C268F"/>
    <w:rsid w:val="002C27A6"/>
    <w:rsid w:val="002C31E4"/>
    <w:rsid w:val="002C398D"/>
    <w:rsid w:val="002C3B72"/>
    <w:rsid w:val="002C40D2"/>
    <w:rsid w:val="002C43BD"/>
    <w:rsid w:val="002C509F"/>
    <w:rsid w:val="002C5245"/>
    <w:rsid w:val="002C564A"/>
    <w:rsid w:val="002C59D8"/>
    <w:rsid w:val="002C5FEB"/>
    <w:rsid w:val="002C6494"/>
    <w:rsid w:val="002C64D1"/>
    <w:rsid w:val="002D05CB"/>
    <w:rsid w:val="002D0E59"/>
    <w:rsid w:val="002D191B"/>
    <w:rsid w:val="002D2380"/>
    <w:rsid w:val="002D25D3"/>
    <w:rsid w:val="002D26B8"/>
    <w:rsid w:val="002D2842"/>
    <w:rsid w:val="002D2C4F"/>
    <w:rsid w:val="002D2D0C"/>
    <w:rsid w:val="002D3A49"/>
    <w:rsid w:val="002D3EBB"/>
    <w:rsid w:val="002D40D0"/>
    <w:rsid w:val="002D4256"/>
    <w:rsid w:val="002D455C"/>
    <w:rsid w:val="002D495E"/>
    <w:rsid w:val="002D4AE8"/>
    <w:rsid w:val="002D6066"/>
    <w:rsid w:val="002D6A4C"/>
    <w:rsid w:val="002E02A1"/>
    <w:rsid w:val="002E1281"/>
    <w:rsid w:val="002E196A"/>
    <w:rsid w:val="002E1F8A"/>
    <w:rsid w:val="002E20C7"/>
    <w:rsid w:val="002E20CD"/>
    <w:rsid w:val="002E2137"/>
    <w:rsid w:val="002E222E"/>
    <w:rsid w:val="002E28D8"/>
    <w:rsid w:val="002E3080"/>
    <w:rsid w:val="002E3638"/>
    <w:rsid w:val="002E37D1"/>
    <w:rsid w:val="002E3BEE"/>
    <w:rsid w:val="002E4DCE"/>
    <w:rsid w:val="002E4E4C"/>
    <w:rsid w:val="002E4EA7"/>
    <w:rsid w:val="002E5846"/>
    <w:rsid w:val="002E631B"/>
    <w:rsid w:val="002E792B"/>
    <w:rsid w:val="002E7AEB"/>
    <w:rsid w:val="002E7B79"/>
    <w:rsid w:val="002E7C7A"/>
    <w:rsid w:val="002F044E"/>
    <w:rsid w:val="002F1B09"/>
    <w:rsid w:val="002F1D56"/>
    <w:rsid w:val="002F1DCB"/>
    <w:rsid w:val="002F1DE4"/>
    <w:rsid w:val="002F2D8A"/>
    <w:rsid w:val="002F333D"/>
    <w:rsid w:val="002F351A"/>
    <w:rsid w:val="002F357F"/>
    <w:rsid w:val="002F4027"/>
    <w:rsid w:val="002F46D6"/>
    <w:rsid w:val="002F498A"/>
    <w:rsid w:val="002F4AD8"/>
    <w:rsid w:val="002F5285"/>
    <w:rsid w:val="002F545A"/>
    <w:rsid w:val="002F5723"/>
    <w:rsid w:val="002F5820"/>
    <w:rsid w:val="002F64BB"/>
    <w:rsid w:val="002F7D9B"/>
    <w:rsid w:val="0030028C"/>
    <w:rsid w:val="00300AEB"/>
    <w:rsid w:val="00300C31"/>
    <w:rsid w:val="00300D42"/>
    <w:rsid w:val="00301294"/>
    <w:rsid w:val="003015C8"/>
    <w:rsid w:val="003017EC"/>
    <w:rsid w:val="00302165"/>
    <w:rsid w:val="00303AC8"/>
    <w:rsid w:val="00303BB4"/>
    <w:rsid w:val="00304439"/>
    <w:rsid w:val="00304771"/>
    <w:rsid w:val="00304D16"/>
    <w:rsid w:val="00304F9C"/>
    <w:rsid w:val="003052D4"/>
    <w:rsid w:val="00305863"/>
    <w:rsid w:val="003060D6"/>
    <w:rsid w:val="003060E9"/>
    <w:rsid w:val="00306147"/>
    <w:rsid w:val="0030617B"/>
    <w:rsid w:val="00306C5B"/>
    <w:rsid w:val="00306D98"/>
    <w:rsid w:val="003073BA"/>
    <w:rsid w:val="00307529"/>
    <w:rsid w:val="00307DB3"/>
    <w:rsid w:val="00307ED2"/>
    <w:rsid w:val="003106A6"/>
    <w:rsid w:val="0031076D"/>
    <w:rsid w:val="0031169A"/>
    <w:rsid w:val="00311AA6"/>
    <w:rsid w:val="00311C4D"/>
    <w:rsid w:val="00311D5F"/>
    <w:rsid w:val="003121AB"/>
    <w:rsid w:val="00312A85"/>
    <w:rsid w:val="00312F7E"/>
    <w:rsid w:val="003135C4"/>
    <w:rsid w:val="003144BC"/>
    <w:rsid w:val="00314879"/>
    <w:rsid w:val="00314D47"/>
    <w:rsid w:val="00315169"/>
    <w:rsid w:val="003153C8"/>
    <w:rsid w:val="00315524"/>
    <w:rsid w:val="00315561"/>
    <w:rsid w:val="00315D2C"/>
    <w:rsid w:val="00316A8B"/>
    <w:rsid w:val="00316B3D"/>
    <w:rsid w:val="00317660"/>
    <w:rsid w:val="00320336"/>
    <w:rsid w:val="0032058C"/>
    <w:rsid w:val="003208D0"/>
    <w:rsid w:val="003209D6"/>
    <w:rsid w:val="00320DB8"/>
    <w:rsid w:val="003217B9"/>
    <w:rsid w:val="003217DE"/>
    <w:rsid w:val="00321924"/>
    <w:rsid w:val="00321A92"/>
    <w:rsid w:val="00321AF1"/>
    <w:rsid w:val="00321EB6"/>
    <w:rsid w:val="00321ED1"/>
    <w:rsid w:val="003220A5"/>
    <w:rsid w:val="003221F0"/>
    <w:rsid w:val="0032331F"/>
    <w:rsid w:val="003238E0"/>
    <w:rsid w:val="00323A1C"/>
    <w:rsid w:val="00323A2F"/>
    <w:rsid w:val="00323A8E"/>
    <w:rsid w:val="00323EDA"/>
    <w:rsid w:val="003247E1"/>
    <w:rsid w:val="00324B59"/>
    <w:rsid w:val="0032525E"/>
    <w:rsid w:val="00325E46"/>
    <w:rsid w:val="00325EB7"/>
    <w:rsid w:val="0032656E"/>
    <w:rsid w:val="00326D81"/>
    <w:rsid w:val="0032788F"/>
    <w:rsid w:val="00327B15"/>
    <w:rsid w:val="003306F1"/>
    <w:rsid w:val="00332190"/>
    <w:rsid w:val="00332A98"/>
    <w:rsid w:val="003334BD"/>
    <w:rsid w:val="00333973"/>
    <w:rsid w:val="00333B99"/>
    <w:rsid w:val="00333CD0"/>
    <w:rsid w:val="0033448D"/>
    <w:rsid w:val="00334AD2"/>
    <w:rsid w:val="00334C7F"/>
    <w:rsid w:val="00334CB6"/>
    <w:rsid w:val="00334D87"/>
    <w:rsid w:val="00335CF6"/>
    <w:rsid w:val="0033709C"/>
    <w:rsid w:val="003370C5"/>
    <w:rsid w:val="00337224"/>
    <w:rsid w:val="003373C6"/>
    <w:rsid w:val="0033753A"/>
    <w:rsid w:val="003375E0"/>
    <w:rsid w:val="00337DD5"/>
    <w:rsid w:val="00340BF3"/>
    <w:rsid w:val="00341C6C"/>
    <w:rsid w:val="00341D26"/>
    <w:rsid w:val="00341EF0"/>
    <w:rsid w:val="00341F05"/>
    <w:rsid w:val="00342BA6"/>
    <w:rsid w:val="00342E43"/>
    <w:rsid w:val="0034335E"/>
    <w:rsid w:val="00343410"/>
    <w:rsid w:val="00343AA7"/>
    <w:rsid w:val="00343B41"/>
    <w:rsid w:val="00344668"/>
    <w:rsid w:val="00344940"/>
    <w:rsid w:val="0034506D"/>
    <w:rsid w:val="0034599A"/>
    <w:rsid w:val="00345F2D"/>
    <w:rsid w:val="00346234"/>
    <w:rsid w:val="003462D9"/>
    <w:rsid w:val="00346712"/>
    <w:rsid w:val="0034723F"/>
    <w:rsid w:val="00347247"/>
    <w:rsid w:val="0034741E"/>
    <w:rsid w:val="003474B6"/>
    <w:rsid w:val="0034770F"/>
    <w:rsid w:val="00347DD4"/>
    <w:rsid w:val="00350D81"/>
    <w:rsid w:val="00351894"/>
    <w:rsid w:val="00351DF5"/>
    <w:rsid w:val="003523A9"/>
    <w:rsid w:val="00352B43"/>
    <w:rsid w:val="00352C28"/>
    <w:rsid w:val="0035378B"/>
    <w:rsid w:val="0035383B"/>
    <w:rsid w:val="00353A78"/>
    <w:rsid w:val="00353B33"/>
    <w:rsid w:val="003541BB"/>
    <w:rsid w:val="00354502"/>
    <w:rsid w:val="00354931"/>
    <w:rsid w:val="00354B4A"/>
    <w:rsid w:val="00354F89"/>
    <w:rsid w:val="0035506D"/>
    <w:rsid w:val="003560FF"/>
    <w:rsid w:val="00356894"/>
    <w:rsid w:val="00356E17"/>
    <w:rsid w:val="003579A1"/>
    <w:rsid w:val="0036077F"/>
    <w:rsid w:val="00360A35"/>
    <w:rsid w:val="00360B1C"/>
    <w:rsid w:val="00360C86"/>
    <w:rsid w:val="00360F7A"/>
    <w:rsid w:val="00360FBC"/>
    <w:rsid w:val="00361537"/>
    <w:rsid w:val="00361B2D"/>
    <w:rsid w:val="00361FB7"/>
    <w:rsid w:val="0036242A"/>
    <w:rsid w:val="00362C23"/>
    <w:rsid w:val="00362DCA"/>
    <w:rsid w:val="00362E63"/>
    <w:rsid w:val="00362E90"/>
    <w:rsid w:val="00364F8B"/>
    <w:rsid w:val="00364FA0"/>
    <w:rsid w:val="003650A1"/>
    <w:rsid w:val="003657F3"/>
    <w:rsid w:val="00365844"/>
    <w:rsid w:val="00365F61"/>
    <w:rsid w:val="0036624C"/>
    <w:rsid w:val="003666F0"/>
    <w:rsid w:val="003672B6"/>
    <w:rsid w:val="00367B15"/>
    <w:rsid w:val="00367F84"/>
    <w:rsid w:val="00370384"/>
    <w:rsid w:val="0037039F"/>
    <w:rsid w:val="003712BC"/>
    <w:rsid w:val="003712D8"/>
    <w:rsid w:val="00372164"/>
    <w:rsid w:val="00372507"/>
    <w:rsid w:val="003738BD"/>
    <w:rsid w:val="00373FFC"/>
    <w:rsid w:val="00374263"/>
    <w:rsid w:val="003746F0"/>
    <w:rsid w:val="0037480D"/>
    <w:rsid w:val="00374A20"/>
    <w:rsid w:val="00374AB7"/>
    <w:rsid w:val="00374B96"/>
    <w:rsid w:val="00374E21"/>
    <w:rsid w:val="0037537A"/>
    <w:rsid w:val="0037708B"/>
    <w:rsid w:val="00377B2E"/>
    <w:rsid w:val="003805A3"/>
    <w:rsid w:val="00380C9B"/>
    <w:rsid w:val="003810F0"/>
    <w:rsid w:val="0038159D"/>
    <w:rsid w:val="003815D4"/>
    <w:rsid w:val="003818DC"/>
    <w:rsid w:val="00381A55"/>
    <w:rsid w:val="00382446"/>
    <w:rsid w:val="00382513"/>
    <w:rsid w:val="00383388"/>
    <w:rsid w:val="003834F8"/>
    <w:rsid w:val="003838D0"/>
    <w:rsid w:val="003840C2"/>
    <w:rsid w:val="00384327"/>
    <w:rsid w:val="00384A89"/>
    <w:rsid w:val="00384CB8"/>
    <w:rsid w:val="00385086"/>
    <w:rsid w:val="00385D98"/>
    <w:rsid w:val="0038744D"/>
    <w:rsid w:val="00387518"/>
    <w:rsid w:val="0038775D"/>
    <w:rsid w:val="00387EDC"/>
    <w:rsid w:val="00390306"/>
    <w:rsid w:val="003908A6"/>
    <w:rsid w:val="0039109D"/>
    <w:rsid w:val="003914C2"/>
    <w:rsid w:val="00391636"/>
    <w:rsid w:val="00391989"/>
    <w:rsid w:val="00391A6C"/>
    <w:rsid w:val="003927F6"/>
    <w:rsid w:val="0039398D"/>
    <w:rsid w:val="00393B3F"/>
    <w:rsid w:val="0039402D"/>
    <w:rsid w:val="003957FE"/>
    <w:rsid w:val="0039645E"/>
    <w:rsid w:val="00396739"/>
    <w:rsid w:val="003967D9"/>
    <w:rsid w:val="003970CA"/>
    <w:rsid w:val="003978B1"/>
    <w:rsid w:val="00397B61"/>
    <w:rsid w:val="003A04F6"/>
    <w:rsid w:val="003A0837"/>
    <w:rsid w:val="003A18CA"/>
    <w:rsid w:val="003A1A73"/>
    <w:rsid w:val="003A1FA7"/>
    <w:rsid w:val="003A2B4D"/>
    <w:rsid w:val="003A2BCE"/>
    <w:rsid w:val="003A2D12"/>
    <w:rsid w:val="003A2EBA"/>
    <w:rsid w:val="003A32DB"/>
    <w:rsid w:val="003A36FA"/>
    <w:rsid w:val="003A3D27"/>
    <w:rsid w:val="003A45E3"/>
    <w:rsid w:val="003A46B8"/>
    <w:rsid w:val="003A478C"/>
    <w:rsid w:val="003A4964"/>
    <w:rsid w:val="003A4A38"/>
    <w:rsid w:val="003A5295"/>
    <w:rsid w:val="003A5525"/>
    <w:rsid w:val="003A5889"/>
    <w:rsid w:val="003A5C8C"/>
    <w:rsid w:val="003A689E"/>
    <w:rsid w:val="003A6B38"/>
    <w:rsid w:val="003A6B83"/>
    <w:rsid w:val="003A6C97"/>
    <w:rsid w:val="003A722F"/>
    <w:rsid w:val="003A7373"/>
    <w:rsid w:val="003A7CF7"/>
    <w:rsid w:val="003A7D09"/>
    <w:rsid w:val="003B039F"/>
    <w:rsid w:val="003B0834"/>
    <w:rsid w:val="003B0DF4"/>
    <w:rsid w:val="003B1F9D"/>
    <w:rsid w:val="003B2504"/>
    <w:rsid w:val="003B2A8D"/>
    <w:rsid w:val="003B2AD1"/>
    <w:rsid w:val="003B2D2E"/>
    <w:rsid w:val="003B376A"/>
    <w:rsid w:val="003B4260"/>
    <w:rsid w:val="003B4538"/>
    <w:rsid w:val="003B461F"/>
    <w:rsid w:val="003B483F"/>
    <w:rsid w:val="003B4998"/>
    <w:rsid w:val="003B4A56"/>
    <w:rsid w:val="003B5A32"/>
    <w:rsid w:val="003B5B59"/>
    <w:rsid w:val="003B68C5"/>
    <w:rsid w:val="003B709D"/>
    <w:rsid w:val="003B7B50"/>
    <w:rsid w:val="003C0B07"/>
    <w:rsid w:val="003C160A"/>
    <w:rsid w:val="003C19B1"/>
    <w:rsid w:val="003C2034"/>
    <w:rsid w:val="003C23ED"/>
    <w:rsid w:val="003C2557"/>
    <w:rsid w:val="003C2CE7"/>
    <w:rsid w:val="003C2DB8"/>
    <w:rsid w:val="003C3490"/>
    <w:rsid w:val="003C3512"/>
    <w:rsid w:val="003C3608"/>
    <w:rsid w:val="003C3A87"/>
    <w:rsid w:val="003C3AE8"/>
    <w:rsid w:val="003C3D2C"/>
    <w:rsid w:val="003C4058"/>
    <w:rsid w:val="003C4E13"/>
    <w:rsid w:val="003C58A5"/>
    <w:rsid w:val="003C6221"/>
    <w:rsid w:val="003C63D7"/>
    <w:rsid w:val="003C68CC"/>
    <w:rsid w:val="003C74CD"/>
    <w:rsid w:val="003C7E62"/>
    <w:rsid w:val="003D12B9"/>
    <w:rsid w:val="003D147D"/>
    <w:rsid w:val="003D1E7A"/>
    <w:rsid w:val="003D242B"/>
    <w:rsid w:val="003D2492"/>
    <w:rsid w:val="003D28BE"/>
    <w:rsid w:val="003D29AA"/>
    <w:rsid w:val="003D2A99"/>
    <w:rsid w:val="003D3232"/>
    <w:rsid w:val="003D3B79"/>
    <w:rsid w:val="003D4AED"/>
    <w:rsid w:val="003D5C43"/>
    <w:rsid w:val="003D5EBF"/>
    <w:rsid w:val="003D5F28"/>
    <w:rsid w:val="003D60C1"/>
    <w:rsid w:val="003D6869"/>
    <w:rsid w:val="003D6920"/>
    <w:rsid w:val="003D6982"/>
    <w:rsid w:val="003D7B43"/>
    <w:rsid w:val="003E0249"/>
    <w:rsid w:val="003E08A4"/>
    <w:rsid w:val="003E105C"/>
    <w:rsid w:val="003E1EF8"/>
    <w:rsid w:val="003E2DFB"/>
    <w:rsid w:val="003E30FB"/>
    <w:rsid w:val="003E347A"/>
    <w:rsid w:val="003E4466"/>
    <w:rsid w:val="003E4C91"/>
    <w:rsid w:val="003E502A"/>
    <w:rsid w:val="003E52D8"/>
    <w:rsid w:val="003E62F1"/>
    <w:rsid w:val="003E6451"/>
    <w:rsid w:val="003E6597"/>
    <w:rsid w:val="003E6ED5"/>
    <w:rsid w:val="003E6F84"/>
    <w:rsid w:val="003F0148"/>
    <w:rsid w:val="003F07A8"/>
    <w:rsid w:val="003F1750"/>
    <w:rsid w:val="003F1E67"/>
    <w:rsid w:val="003F3051"/>
    <w:rsid w:val="003F313C"/>
    <w:rsid w:val="003F33B1"/>
    <w:rsid w:val="003F33B9"/>
    <w:rsid w:val="003F3583"/>
    <w:rsid w:val="003F37FC"/>
    <w:rsid w:val="003F3E76"/>
    <w:rsid w:val="003F4318"/>
    <w:rsid w:val="003F4B2C"/>
    <w:rsid w:val="003F4C00"/>
    <w:rsid w:val="003F54B4"/>
    <w:rsid w:val="003F54DF"/>
    <w:rsid w:val="003F551C"/>
    <w:rsid w:val="003F626D"/>
    <w:rsid w:val="003F72ED"/>
    <w:rsid w:val="003F7447"/>
    <w:rsid w:val="003F7D23"/>
    <w:rsid w:val="00400050"/>
    <w:rsid w:val="004002C8"/>
    <w:rsid w:val="00400468"/>
    <w:rsid w:val="0040099D"/>
    <w:rsid w:val="00400A68"/>
    <w:rsid w:val="004016CB"/>
    <w:rsid w:val="00401B23"/>
    <w:rsid w:val="00402222"/>
    <w:rsid w:val="00402689"/>
    <w:rsid w:val="00402ADB"/>
    <w:rsid w:val="0040368D"/>
    <w:rsid w:val="00403926"/>
    <w:rsid w:val="00403D1D"/>
    <w:rsid w:val="00403F57"/>
    <w:rsid w:val="0040444F"/>
    <w:rsid w:val="004046BD"/>
    <w:rsid w:val="00404BAB"/>
    <w:rsid w:val="00404D5C"/>
    <w:rsid w:val="00405318"/>
    <w:rsid w:val="004059D2"/>
    <w:rsid w:val="004060C9"/>
    <w:rsid w:val="004066D0"/>
    <w:rsid w:val="00406C2E"/>
    <w:rsid w:val="00406CDA"/>
    <w:rsid w:val="00406EB0"/>
    <w:rsid w:val="00406FBE"/>
    <w:rsid w:val="00407711"/>
    <w:rsid w:val="00407911"/>
    <w:rsid w:val="00407C13"/>
    <w:rsid w:val="0041018E"/>
    <w:rsid w:val="004103F6"/>
    <w:rsid w:val="00410638"/>
    <w:rsid w:val="00411826"/>
    <w:rsid w:val="00411F34"/>
    <w:rsid w:val="0041231B"/>
    <w:rsid w:val="00412511"/>
    <w:rsid w:val="004125C2"/>
    <w:rsid w:val="00412DFA"/>
    <w:rsid w:val="00413465"/>
    <w:rsid w:val="004135BB"/>
    <w:rsid w:val="004149AC"/>
    <w:rsid w:val="0041501E"/>
    <w:rsid w:val="00415452"/>
    <w:rsid w:val="004158D3"/>
    <w:rsid w:val="004158F7"/>
    <w:rsid w:val="004159C3"/>
    <w:rsid w:val="00415A57"/>
    <w:rsid w:val="00415E0D"/>
    <w:rsid w:val="00416097"/>
    <w:rsid w:val="0041650F"/>
    <w:rsid w:val="00416566"/>
    <w:rsid w:val="00416DAC"/>
    <w:rsid w:val="00416DDF"/>
    <w:rsid w:val="00416E9B"/>
    <w:rsid w:val="00417106"/>
    <w:rsid w:val="00417256"/>
    <w:rsid w:val="0041779F"/>
    <w:rsid w:val="00417DAE"/>
    <w:rsid w:val="00417DAF"/>
    <w:rsid w:val="00420880"/>
    <w:rsid w:val="00421179"/>
    <w:rsid w:val="00421DE7"/>
    <w:rsid w:val="004225D7"/>
    <w:rsid w:val="00423623"/>
    <w:rsid w:val="0042459A"/>
    <w:rsid w:val="0042470E"/>
    <w:rsid w:val="0042507B"/>
    <w:rsid w:val="00425352"/>
    <w:rsid w:val="00425381"/>
    <w:rsid w:val="00426BB5"/>
    <w:rsid w:val="00426C99"/>
    <w:rsid w:val="00426F72"/>
    <w:rsid w:val="004272BE"/>
    <w:rsid w:val="00427538"/>
    <w:rsid w:val="004306C2"/>
    <w:rsid w:val="00430939"/>
    <w:rsid w:val="00430C96"/>
    <w:rsid w:val="004310BA"/>
    <w:rsid w:val="0043174F"/>
    <w:rsid w:val="00431BFF"/>
    <w:rsid w:val="00432199"/>
    <w:rsid w:val="004322C4"/>
    <w:rsid w:val="00432337"/>
    <w:rsid w:val="004328F8"/>
    <w:rsid w:val="00432A58"/>
    <w:rsid w:val="00432FC7"/>
    <w:rsid w:val="004331C3"/>
    <w:rsid w:val="00433C17"/>
    <w:rsid w:val="00434617"/>
    <w:rsid w:val="00434BBB"/>
    <w:rsid w:val="00434DE9"/>
    <w:rsid w:val="00435051"/>
    <w:rsid w:val="00435C69"/>
    <w:rsid w:val="004360FB"/>
    <w:rsid w:val="004364BA"/>
    <w:rsid w:val="00436764"/>
    <w:rsid w:val="00437CED"/>
    <w:rsid w:val="004407BF"/>
    <w:rsid w:val="00440900"/>
    <w:rsid w:val="00440D2A"/>
    <w:rsid w:val="0044121D"/>
    <w:rsid w:val="00441822"/>
    <w:rsid w:val="00441BF6"/>
    <w:rsid w:val="00441C64"/>
    <w:rsid w:val="00441D2B"/>
    <w:rsid w:val="00441F8B"/>
    <w:rsid w:val="00442085"/>
    <w:rsid w:val="0044227A"/>
    <w:rsid w:val="0044279E"/>
    <w:rsid w:val="0044356B"/>
    <w:rsid w:val="004441A0"/>
    <w:rsid w:val="00445861"/>
    <w:rsid w:val="00445A8E"/>
    <w:rsid w:val="00446613"/>
    <w:rsid w:val="00446D44"/>
    <w:rsid w:val="004504E7"/>
    <w:rsid w:val="0045078A"/>
    <w:rsid w:val="0045086D"/>
    <w:rsid w:val="00450DAB"/>
    <w:rsid w:val="0045125B"/>
    <w:rsid w:val="00451794"/>
    <w:rsid w:val="004519E2"/>
    <w:rsid w:val="00451E25"/>
    <w:rsid w:val="00451EF1"/>
    <w:rsid w:val="0045220F"/>
    <w:rsid w:val="00452E60"/>
    <w:rsid w:val="0045321B"/>
    <w:rsid w:val="00454871"/>
    <w:rsid w:val="004548F7"/>
    <w:rsid w:val="00454D31"/>
    <w:rsid w:val="00454E5B"/>
    <w:rsid w:val="00455833"/>
    <w:rsid w:val="00455AE3"/>
    <w:rsid w:val="00456C88"/>
    <w:rsid w:val="00456FB5"/>
    <w:rsid w:val="00456FE5"/>
    <w:rsid w:val="00457490"/>
    <w:rsid w:val="0045778B"/>
    <w:rsid w:val="0045786C"/>
    <w:rsid w:val="00457953"/>
    <w:rsid w:val="00457AC5"/>
    <w:rsid w:val="004604D8"/>
    <w:rsid w:val="00460656"/>
    <w:rsid w:val="00460964"/>
    <w:rsid w:val="00460FB3"/>
    <w:rsid w:val="00462236"/>
    <w:rsid w:val="00463091"/>
    <w:rsid w:val="00463D3C"/>
    <w:rsid w:val="00464851"/>
    <w:rsid w:val="00464BF5"/>
    <w:rsid w:val="00464F2B"/>
    <w:rsid w:val="00465432"/>
    <w:rsid w:val="00465862"/>
    <w:rsid w:val="00466595"/>
    <w:rsid w:val="00466B3E"/>
    <w:rsid w:val="0046746A"/>
    <w:rsid w:val="004675AC"/>
    <w:rsid w:val="00467B14"/>
    <w:rsid w:val="004705FC"/>
    <w:rsid w:val="004707FE"/>
    <w:rsid w:val="00470EDC"/>
    <w:rsid w:val="00472418"/>
    <w:rsid w:val="0047276D"/>
    <w:rsid w:val="00472AF6"/>
    <w:rsid w:val="00473482"/>
    <w:rsid w:val="004740A0"/>
    <w:rsid w:val="00474646"/>
    <w:rsid w:val="00474A04"/>
    <w:rsid w:val="00476240"/>
    <w:rsid w:val="00476439"/>
    <w:rsid w:val="00476450"/>
    <w:rsid w:val="004769BF"/>
    <w:rsid w:val="004769E1"/>
    <w:rsid w:val="00476AEE"/>
    <w:rsid w:val="0047735C"/>
    <w:rsid w:val="0047766A"/>
    <w:rsid w:val="004776BC"/>
    <w:rsid w:val="00477820"/>
    <w:rsid w:val="00477B96"/>
    <w:rsid w:val="00480802"/>
    <w:rsid w:val="00480BAE"/>
    <w:rsid w:val="00480CAC"/>
    <w:rsid w:val="00480D7F"/>
    <w:rsid w:val="00480E30"/>
    <w:rsid w:val="0048139F"/>
    <w:rsid w:val="004819AD"/>
    <w:rsid w:val="00481E1D"/>
    <w:rsid w:val="00481E40"/>
    <w:rsid w:val="00482405"/>
    <w:rsid w:val="004826A7"/>
    <w:rsid w:val="004828DA"/>
    <w:rsid w:val="004830BB"/>
    <w:rsid w:val="00483359"/>
    <w:rsid w:val="0048368C"/>
    <w:rsid w:val="0048372F"/>
    <w:rsid w:val="0048399F"/>
    <w:rsid w:val="004839DD"/>
    <w:rsid w:val="00483A0C"/>
    <w:rsid w:val="004841CC"/>
    <w:rsid w:val="00484ECE"/>
    <w:rsid w:val="00485775"/>
    <w:rsid w:val="00485E82"/>
    <w:rsid w:val="00485F19"/>
    <w:rsid w:val="00486132"/>
    <w:rsid w:val="0048686D"/>
    <w:rsid w:val="00486A1C"/>
    <w:rsid w:val="00486A4D"/>
    <w:rsid w:val="004878F0"/>
    <w:rsid w:val="00487DBA"/>
    <w:rsid w:val="004915CB"/>
    <w:rsid w:val="00491A2B"/>
    <w:rsid w:val="004920FA"/>
    <w:rsid w:val="004924DC"/>
    <w:rsid w:val="00492580"/>
    <w:rsid w:val="00492879"/>
    <w:rsid w:val="00493CA0"/>
    <w:rsid w:val="00493D35"/>
    <w:rsid w:val="00493E85"/>
    <w:rsid w:val="00493E8B"/>
    <w:rsid w:val="004945C1"/>
    <w:rsid w:val="00494AA4"/>
    <w:rsid w:val="0049505A"/>
    <w:rsid w:val="00495145"/>
    <w:rsid w:val="0049531F"/>
    <w:rsid w:val="00495BE3"/>
    <w:rsid w:val="00495DA8"/>
    <w:rsid w:val="00496F61"/>
    <w:rsid w:val="004970F9"/>
    <w:rsid w:val="004979A5"/>
    <w:rsid w:val="004A0144"/>
    <w:rsid w:val="004A036E"/>
    <w:rsid w:val="004A0389"/>
    <w:rsid w:val="004A0498"/>
    <w:rsid w:val="004A06B0"/>
    <w:rsid w:val="004A0A22"/>
    <w:rsid w:val="004A0D0E"/>
    <w:rsid w:val="004A14E4"/>
    <w:rsid w:val="004A204E"/>
    <w:rsid w:val="004A26A5"/>
    <w:rsid w:val="004A27F0"/>
    <w:rsid w:val="004A310A"/>
    <w:rsid w:val="004A3212"/>
    <w:rsid w:val="004A3454"/>
    <w:rsid w:val="004A376B"/>
    <w:rsid w:val="004A37CD"/>
    <w:rsid w:val="004A3BE4"/>
    <w:rsid w:val="004A40D9"/>
    <w:rsid w:val="004A48CE"/>
    <w:rsid w:val="004A49A5"/>
    <w:rsid w:val="004A4D3C"/>
    <w:rsid w:val="004A4F8A"/>
    <w:rsid w:val="004A52AB"/>
    <w:rsid w:val="004A5494"/>
    <w:rsid w:val="004A5D4E"/>
    <w:rsid w:val="004A61C5"/>
    <w:rsid w:val="004A620D"/>
    <w:rsid w:val="004A62A0"/>
    <w:rsid w:val="004A71A4"/>
    <w:rsid w:val="004A7604"/>
    <w:rsid w:val="004A77DF"/>
    <w:rsid w:val="004A7DC0"/>
    <w:rsid w:val="004B0866"/>
    <w:rsid w:val="004B09C2"/>
    <w:rsid w:val="004B1417"/>
    <w:rsid w:val="004B1627"/>
    <w:rsid w:val="004B2249"/>
    <w:rsid w:val="004B305C"/>
    <w:rsid w:val="004B31B8"/>
    <w:rsid w:val="004B339A"/>
    <w:rsid w:val="004B37F2"/>
    <w:rsid w:val="004B4C83"/>
    <w:rsid w:val="004B4DA5"/>
    <w:rsid w:val="004B51F8"/>
    <w:rsid w:val="004B55B7"/>
    <w:rsid w:val="004B591D"/>
    <w:rsid w:val="004B599A"/>
    <w:rsid w:val="004B5BFA"/>
    <w:rsid w:val="004B619E"/>
    <w:rsid w:val="004B6468"/>
    <w:rsid w:val="004B6EF8"/>
    <w:rsid w:val="004B7125"/>
    <w:rsid w:val="004B7480"/>
    <w:rsid w:val="004B74DC"/>
    <w:rsid w:val="004B756A"/>
    <w:rsid w:val="004B7FB1"/>
    <w:rsid w:val="004C0970"/>
    <w:rsid w:val="004C0B3F"/>
    <w:rsid w:val="004C0F87"/>
    <w:rsid w:val="004C2346"/>
    <w:rsid w:val="004C25F9"/>
    <w:rsid w:val="004C2735"/>
    <w:rsid w:val="004C2794"/>
    <w:rsid w:val="004C29F0"/>
    <w:rsid w:val="004C2BB6"/>
    <w:rsid w:val="004C2BE7"/>
    <w:rsid w:val="004C2C2D"/>
    <w:rsid w:val="004C3027"/>
    <w:rsid w:val="004C3119"/>
    <w:rsid w:val="004C384C"/>
    <w:rsid w:val="004C3867"/>
    <w:rsid w:val="004C3CE4"/>
    <w:rsid w:val="004C3DB0"/>
    <w:rsid w:val="004C439A"/>
    <w:rsid w:val="004C43F9"/>
    <w:rsid w:val="004C4720"/>
    <w:rsid w:val="004C4CD0"/>
    <w:rsid w:val="004C5060"/>
    <w:rsid w:val="004C515E"/>
    <w:rsid w:val="004C5165"/>
    <w:rsid w:val="004C583F"/>
    <w:rsid w:val="004C589C"/>
    <w:rsid w:val="004C5A25"/>
    <w:rsid w:val="004C5AE8"/>
    <w:rsid w:val="004C5F7F"/>
    <w:rsid w:val="004C6E0E"/>
    <w:rsid w:val="004C70DC"/>
    <w:rsid w:val="004D0211"/>
    <w:rsid w:val="004D0794"/>
    <w:rsid w:val="004D0C17"/>
    <w:rsid w:val="004D1685"/>
    <w:rsid w:val="004D17A6"/>
    <w:rsid w:val="004D1A7B"/>
    <w:rsid w:val="004D2621"/>
    <w:rsid w:val="004D270A"/>
    <w:rsid w:val="004D2D31"/>
    <w:rsid w:val="004D2E03"/>
    <w:rsid w:val="004D3296"/>
    <w:rsid w:val="004D3EB3"/>
    <w:rsid w:val="004D3EC2"/>
    <w:rsid w:val="004D4056"/>
    <w:rsid w:val="004D4452"/>
    <w:rsid w:val="004D45B5"/>
    <w:rsid w:val="004D4CB0"/>
    <w:rsid w:val="004D58C0"/>
    <w:rsid w:val="004D5B0F"/>
    <w:rsid w:val="004D63BA"/>
    <w:rsid w:val="004D6B28"/>
    <w:rsid w:val="004D75BC"/>
    <w:rsid w:val="004D7626"/>
    <w:rsid w:val="004D76A4"/>
    <w:rsid w:val="004D7804"/>
    <w:rsid w:val="004E0434"/>
    <w:rsid w:val="004E085C"/>
    <w:rsid w:val="004E086D"/>
    <w:rsid w:val="004E12DF"/>
    <w:rsid w:val="004E186A"/>
    <w:rsid w:val="004E1A40"/>
    <w:rsid w:val="004E1C97"/>
    <w:rsid w:val="004E1DB2"/>
    <w:rsid w:val="004E200A"/>
    <w:rsid w:val="004E23FC"/>
    <w:rsid w:val="004E2409"/>
    <w:rsid w:val="004E261D"/>
    <w:rsid w:val="004E28B1"/>
    <w:rsid w:val="004E3927"/>
    <w:rsid w:val="004E3B7F"/>
    <w:rsid w:val="004E5342"/>
    <w:rsid w:val="004E563C"/>
    <w:rsid w:val="004E57BF"/>
    <w:rsid w:val="004E5C94"/>
    <w:rsid w:val="004E5F41"/>
    <w:rsid w:val="004E6011"/>
    <w:rsid w:val="004E6CEE"/>
    <w:rsid w:val="004E6DE6"/>
    <w:rsid w:val="004E70DD"/>
    <w:rsid w:val="004E765E"/>
    <w:rsid w:val="004E7815"/>
    <w:rsid w:val="004E7BF7"/>
    <w:rsid w:val="004F06F5"/>
    <w:rsid w:val="004F12A4"/>
    <w:rsid w:val="004F1456"/>
    <w:rsid w:val="004F1A07"/>
    <w:rsid w:val="004F253F"/>
    <w:rsid w:val="004F296F"/>
    <w:rsid w:val="004F33A0"/>
    <w:rsid w:val="004F36FA"/>
    <w:rsid w:val="004F3873"/>
    <w:rsid w:val="004F3A15"/>
    <w:rsid w:val="004F3BD2"/>
    <w:rsid w:val="004F46ED"/>
    <w:rsid w:val="004F4995"/>
    <w:rsid w:val="004F49A3"/>
    <w:rsid w:val="004F4C99"/>
    <w:rsid w:val="004F4F69"/>
    <w:rsid w:val="004F5358"/>
    <w:rsid w:val="004F601B"/>
    <w:rsid w:val="004F61D5"/>
    <w:rsid w:val="004F63C1"/>
    <w:rsid w:val="004F6484"/>
    <w:rsid w:val="004F6539"/>
    <w:rsid w:val="004F6A3E"/>
    <w:rsid w:val="00501188"/>
    <w:rsid w:val="00502372"/>
    <w:rsid w:val="00503D54"/>
    <w:rsid w:val="0050461B"/>
    <w:rsid w:val="005046CE"/>
    <w:rsid w:val="005048E2"/>
    <w:rsid w:val="00505FC8"/>
    <w:rsid w:val="00506603"/>
    <w:rsid w:val="0050682C"/>
    <w:rsid w:val="0050689D"/>
    <w:rsid w:val="00506ACA"/>
    <w:rsid w:val="00506F41"/>
    <w:rsid w:val="0050736A"/>
    <w:rsid w:val="0050753E"/>
    <w:rsid w:val="005077F5"/>
    <w:rsid w:val="005108C0"/>
    <w:rsid w:val="0051094F"/>
    <w:rsid w:val="00510BC5"/>
    <w:rsid w:val="00511217"/>
    <w:rsid w:val="00511873"/>
    <w:rsid w:val="00511BAF"/>
    <w:rsid w:val="00511E2E"/>
    <w:rsid w:val="00512461"/>
    <w:rsid w:val="00512585"/>
    <w:rsid w:val="00512749"/>
    <w:rsid w:val="00512A2F"/>
    <w:rsid w:val="00513B7E"/>
    <w:rsid w:val="00513E9D"/>
    <w:rsid w:val="005140CB"/>
    <w:rsid w:val="0051432A"/>
    <w:rsid w:val="0051475D"/>
    <w:rsid w:val="00514B11"/>
    <w:rsid w:val="00514DED"/>
    <w:rsid w:val="00515485"/>
    <w:rsid w:val="00515BD0"/>
    <w:rsid w:val="00515BE9"/>
    <w:rsid w:val="00515C74"/>
    <w:rsid w:val="00515CEB"/>
    <w:rsid w:val="0051630F"/>
    <w:rsid w:val="0051672B"/>
    <w:rsid w:val="00517113"/>
    <w:rsid w:val="0052007E"/>
    <w:rsid w:val="00520098"/>
    <w:rsid w:val="0052032E"/>
    <w:rsid w:val="0052185B"/>
    <w:rsid w:val="0052199F"/>
    <w:rsid w:val="00521CAD"/>
    <w:rsid w:val="0052200D"/>
    <w:rsid w:val="00522425"/>
    <w:rsid w:val="00522A1B"/>
    <w:rsid w:val="00522E01"/>
    <w:rsid w:val="0052337A"/>
    <w:rsid w:val="00523F39"/>
    <w:rsid w:val="00524385"/>
    <w:rsid w:val="005246BE"/>
    <w:rsid w:val="00525137"/>
    <w:rsid w:val="005251DD"/>
    <w:rsid w:val="00525AA7"/>
    <w:rsid w:val="00527510"/>
    <w:rsid w:val="0052762C"/>
    <w:rsid w:val="0052792D"/>
    <w:rsid w:val="0053012B"/>
    <w:rsid w:val="005301A6"/>
    <w:rsid w:val="00530A68"/>
    <w:rsid w:val="00530AD4"/>
    <w:rsid w:val="0053129F"/>
    <w:rsid w:val="00531C5A"/>
    <w:rsid w:val="00532C44"/>
    <w:rsid w:val="00532CE7"/>
    <w:rsid w:val="00532D8B"/>
    <w:rsid w:val="0053324C"/>
    <w:rsid w:val="00533A8D"/>
    <w:rsid w:val="00534068"/>
    <w:rsid w:val="0053417E"/>
    <w:rsid w:val="005344D9"/>
    <w:rsid w:val="00534A28"/>
    <w:rsid w:val="00535018"/>
    <w:rsid w:val="00535782"/>
    <w:rsid w:val="0053595E"/>
    <w:rsid w:val="00537389"/>
    <w:rsid w:val="00537571"/>
    <w:rsid w:val="00540056"/>
    <w:rsid w:val="00540313"/>
    <w:rsid w:val="005410E2"/>
    <w:rsid w:val="00541508"/>
    <w:rsid w:val="00541AE3"/>
    <w:rsid w:val="00543498"/>
    <w:rsid w:val="00544011"/>
    <w:rsid w:val="00544BE5"/>
    <w:rsid w:val="00544C1D"/>
    <w:rsid w:val="00544E6E"/>
    <w:rsid w:val="005453A3"/>
    <w:rsid w:val="005455D1"/>
    <w:rsid w:val="005455F6"/>
    <w:rsid w:val="0054582F"/>
    <w:rsid w:val="0054632B"/>
    <w:rsid w:val="00546F77"/>
    <w:rsid w:val="00546FC7"/>
    <w:rsid w:val="00547F9D"/>
    <w:rsid w:val="005500F9"/>
    <w:rsid w:val="00550160"/>
    <w:rsid w:val="00550249"/>
    <w:rsid w:val="00550540"/>
    <w:rsid w:val="00550544"/>
    <w:rsid w:val="005519E2"/>
    <w:rsid w:val="00551E16"/>
    <w:rsid w:val="005523A8"/>
    <w:rsid w:val="00552F2C"/>
    <w:rsid w:val="00553007"/>
    <w:rsid w:val="005536CA"/>
    <w:rsid w:val="00553A25"/>
    <w:rsid w:val="005547EB"/>
    <w:rsid w:val="00554863"/>
    <w:rsid w:val="00555122"/>
    <w:rsid w:val="005552A2"/>
    <w:rsid w:val="005555E0"/>
    <w:rsid w:val="0055599F"/>
    <w:rsid w:val="00556D68"/>
    <w:rsid w:val="0055707B"/>
    <w:rsid w:val="005570D6"/>
    <w:rsid w:val="00557245"/>
    <w:rsid w:val="00557D13"/>
    <w:rsid w:val="00557E0E"/>
    <w:rsid w:val="00557E45"/>
    <w:rsid w:val="005605F3"/>
    <w:rsid w:val="00560C41"/>
    <w:rsid w:val="00560C68"/>
    <w:rsid w:val="00560CAC"/>
    <w:rsid w:val="005610EA"/>
    <w:rsid w:val="00561D85"/>
    <w:rsid w:val="00561F44"/>
    <w:rsid w:val="00562B4D"/>
    <w:rsid w:val="00562DB1"/>
    <w:rsid w:val="0056347A"/>
    <w:rsid w:val="00563E41"/>
    <w:rsid w:val="00563EB8"/>
    <w:rsid w:val="005647BF"/>
    <w:rsid w:val="005648F8"/>
    <w:rsid w:val="00564AF1"/>
    <w:rsid w:val="00564D10"/>
    <w:rsid w:val="00564FA3"/>
    <w:rsid w:val="00565083"/>
    <w:rsid w:val="005650BF"/>
    <w:rsid w:val="005650DC"/>
    <w:rsid w:val="005655DB"/>
    <w:rsid w:val="00565A9E"/>
    <w:rsid w:val="00565E88"/>
    <w:rsid w:val="00567339"/>
    <w:rsid w:val="005678EE"/>
    <w:rsid w:val="00567910"/>
    <w:rsid w:val="00570270"/>
    <w:rsid w:val="00570464"/>
    <w:rsid w:val="00570601"/>
    <w:rsid w:val="00570BC3"/>
    <w:rsid w:val="00571766"/>
    <w:rsid w:val="0057182A"/>
    <w:rsid w:val="00571AF0"/>
    <w:rsid w:val="00571E59"/>
    <w:rsid w:val="00572079"/>
    <w:rsid w:val="00572900"/>
    <w:rsid w:val="00572FDF"/>
    <w:rsid w:val="00573602"/>
    <w:rsid w:val="0057364B"/>
    <w:rsid w:val="00573C67"/>
    <w:rsid w:val="00574773"/>
    <w:rsid w:val="005761EC"/>
    <w:rsid w:val="00576353"/>
    <w:rsid w:val="00576B08"/>
    <w:rsid w:val="00576E34"/>
    <w:rsid w:val="00577247"/>
    <w:rsid w:val="0057789F"/>
    <w:rsid w:val="00577C07"/>
    <w:rsid w:val="00577DB1"/>
    <w:rsid w:val="00577FEC"/>
    <w:rsid w:val="00580180"/>
    <w:rsid w:val="00580AD3"/>
    <w:rsid w:val="00580DE7"/>
    <w:rsid w:val="005810E1"/>
    <w:rsid w:val="00581B64"/>
    <w:rsid w:val="00581CF3"/>
    <w:rsid w:val="005820CD"/>
    <w:rsid w:val="00582A12"/>
    <w:rsid w:val="005830BB"/>
    <w:rsid w:val="005831AA"/>
    <w:rsid w:val="005832A1"/>
    <w:rsid w:val="00583BDD"/>
    <w:rsid w:val="00583E52"/>
    <w:rsid w:val="00583FFD"/>
    <w:rsid w:val="00584132"/>
    <w:rsid w:val="00584252"/>
    <w:rsid w:val="005848DD"/>
    <w:rsid w:val="0058519A"/>
    <w:rsid w:val="005855B4"/>
    <w:rsid w:val="005856BD"/>
    <w:rsid w:val="00585983"/>
    <w:rsid w:val="00585C85"/>
    <w:rsid w:val="005865AF"/>
    <w:rsid w:val="005868C6"/>
    <w:rsid w:val="00586BCA"/>
    <w:rsid w:val="00586DC4"/>
    <w:rsid w:val="00587038"/>
    <w:rsid w:val="00587319"/>
    <w:rsid w:val="00590218"/>
    <w:rsid w:val="00590608"/>
    <w:rsid w:val="00590B28"/>
    <w:rsid w:val="005911BE"/>
    <w:rsid w:val="00591273"/>
    <w:rsid w:val="00591E9E"/>
    <w:rsid w:val="005927A4"/>
    <w:rsid w:val="00593152"/>
    <w:rsid w:val="00593389"/>
    <w:rsid w:val="00593FE6"/>
    <w:rsid w:val="00594309"/>
    <w:rsid w:val="00594538"/>
    <w:rsid w:val="00594B24"/>
    <w:rsid w:val="005956A3"/>
    <w:rsid w:val="00595958"/>
    <w:rsid w:val="00595CAB"/>
    <w:rsid w:val="0059622E"/>
    <w:rsid w:val="0059684D"/>
    <w:rsid w:val="00597671"/>
    <w:rsid w:val="00597BBF"/>
    <w:rsid w:val="005A0280"/>
    <w:rsid w:val="005A040C"/>
    <w:rsid w:val="005A0463"/>
    <w:rsid w:val="005A046F"/>
    <w:rsid w:val="005A05DF"/>
    <w:rsid w:val="005A0948"/>
    <w:rsid w:val="005A0A03"/>
    <w:rsid w:val="005A0BB3"/>
    <w:rsid w:val="005A10F2"/>
    <w:rsid w:val="005A16C0"/>
    <w:rsid w:val="005A2156"/>
    <w:rsid w:val="005A21E0"/>
    <w:rsid w:val="005A2401"/>
    <w:rsid w:val="005A28FF"/>
    <w:rsid w:val="005A2C09"/>
    <w:rsid w:val="005A3778"/>
    <w:rsid w:val="005A37B0"/>
    <w:rsid w:val="005A3B90"/>
    <w:rsid w:val="005A3DF8"/>
    <w:rsid w:val="005A53E4"/>
    <w:rsid w:val="005A5549"/>
    <w:rsid w:val="005A566A"/>
    <w:rsid w:val="005A56E0"/>
    <w:rsid w:val="005A6E21"/>
    <w:rsid w:val="005A70CA"/>
    <w:rsid w:val="005A7ABD"/>
    <w:rsid w:val="005A7CF8"/>
    <w:rsid w:val="005A7E84"/>
    <w:rsid w:val="005B00FF"/>
    <w:rsid w:val="005B0B9B"/>
    <w:rsid w:val="005B0EDA"/>
    <w:rsid w:val="005B1042"/>
    <w:rsid w:val="005B121D"/>
    <w:rsid w:val="005B16AB"/>
    <w:rsid w:val="005B1705"/>
    <w:rsid w:val="005B1A0C"/>
    <w:rsid w:val="005B26B0"/>
    <w:rsid w:val="005B362D"/>
    <w:rsid w:val="005B41C9"/>
    <w:rsid w:val="005B4277"/>
    <w:rsid w:val="005B427B"/>
    <w:rsid w:val="005B44E6"/>
    <w:rsid w:val="005B4853"/>
    <w:rsid w:val="005B521C"/>
    <w:rsid w:val="005B591B"/>
    <w:rsid w:val="005B623D"/>
    <w:rsid w:val="005B6CA1"/>
    <w:rsid w:val="005B70EB"/>
    <w:rsid w:val="005B770C"/>
    <w:rsid w:val="005C02F0"/>
    <w:rsid w:val="005C06ED"/>
    <w:rsid w:val="005C0A57"/>
    <w:rsid w:val="005C0CE1"/>
    <w:rsid w:val="005C11B8"/>
    <w:rsid w:val="005C179F"/>
    <w:rsid w:val="005C1B24"/>
    <w:rsid w:val="005C216C"/>
    <w:rsid w:val="005C2609"/>
    <w:rsid w:val="005C2B30"/>
    <w:rsid w:val="005C38FB"/>
    <w:rsid w:val="005C412B"/>
    <w:rsid w:val="005C41AF"/>
    <w:rsid w:val="005C43EC"/>
    <w:rsid w:val="005C45DD"/>
    <w:rsid w:val="005C4620"/>
    <w:rsid w:val="005C4704"/>
    <w:rsid w:val="005C4CB1"/>
    <w:rsid w:val="005C61BE"/>
    <w:rsid w:val="005C63A5"/>
    <w:rsid w:val="005C64FD"/>
    <w:rsid w:val="005C6783"/>
    <w:rsid w:val="005C70AB"/>
    <w:rsid w:val="005C7C79"/>
    <w:rsid w:val="005C7CA0"/>
    <w:rsid w:val="005D015C"/>
    <w:rsid w:val="005D1472"/>
    <w:rsid w:val="005D1A8A"/>
    <w:rsid w:val="005D33A3"/>
    <w:rsid w:val="005D3F06"/>
    <w:rsid w:val="005D4608"/>
    <w:rsid w:val="005D48E0"/>
    <w:rsid w:val="005D4B73"/>
    <w:rsid w:val="005D533D"/>
    <w:rsid w:val="005D5645"/>
    <w:rsid w:val="005D5802"/>
    <w:rsid w:val="005D5AA9"/>
    <w:rsid w:val="005D5B60"/>
    <w:rsid w:val="005D66E6"/>
    <w:rsid w:val="005D7119"/>
    <w:rsid w:val="005D76C8"/>
    <w:rsid w:val="005D7833"/>
    <w:rsid w:val="005D7890"/>
    <w:rsid w:val="005D7AAF"/>
    <w:rsid w:val="005E0A95"/>
    <w:rsid w:val="005E0E74"/>
    <w:rsid w:val="005E19C1"/>
    <w:rsid w:val="005E2194"/>
    <w:rsid w:val="005E23A3"/>
    <w:rsid w:val="005E24F0"/>
    <w:rsid w:val="005E2542"/>
    <w:rsid w:val="005E3113"/>
    <w:rsid w:val="005E34D1"/>
    <w:rsid w:val="005E36FE"/>
    <w:rsid w:val="005E3F66"/>
    <w:rsid w:val="005E490F"/>
    <w:rsid w:val="005E4B04"/>
    <w:rsid w:val="005E4BC9"/>
    <w:rsid w:val="005E5314"/>
    <w:rsid w:val="005E53DC"/>
    <w:rsid w:val="005E6C6A"/>
    <w:rsid w:val="005E764D"/>
    <w:rsid w:val="005E7724"/>
    <w:rsid w:val="005E7BB3"/>
    <w:rsid w:val="005E7C78"/>
    <w:rsid w:val="005F04A7"/>
    <w:rsid w:val="005F0B43"/>
    <w:rsid w:val="005F10B3"/>
    <w:rsid w:val="005F114F"/>
    <w:rsid w:val="005F18C5"/>
    <w:rsid w:val="005F18E4"/>
    <w:rsid w:val="005F1CCA"/>
    <w:rsid w:val="005F247B"/>
    <w:rsid w:val="005F2A08"/>
    <w:rsid w:val="005F36CC"/>
    <w:rsid w:val="005F3A6F"/>
    <w:rsid w:val="005F3B48"/>
    <w:rsid w:val="005F3EB1"/>
    <w:rsid w:val="005F413E"/>
    <w:rsid w:val="005F466B"/>
    <w:rsid w:val="005F46D8"/>
    <w:rsid w:val="005F480F"/>
    <w:rsid w:val="005F5156"/>
    <w:rsid w:val="005F51D8"/>
    <w:rsid w:val="005F5271"/>
    <w:rsid w:val="005F5469"/>
    <w:rsid w:val="005F63F3"/>
    <w:rsid w:val="005F66F0"/>
    <w:rsid w:val="005F6A64"/>
    <w:rsid w:val="005F6D7F"/>
    <w:rsid w:val="005F6DFE"/>
    <w:rsid w:val="005F7174"/>
    <w:rsid w:val="005F7B79"/>
    <w:rsid w:val="00600D6E"/>
    <w:rsid w:val="0060120D"/>
    <w:rsid w:val="006017C1"/>
    <w:rsid w:val="00601818"/>
    <w:rsid w:val="00601ADE"/>
    <w:rsid w:val="00601EEF"/>
    <w:rsid w:val="0060255A"/>
    <w:rsid w:val="006027E2"/>
    <w:rsid w:val="00602998"/>
    <w:rsid w:val="00602D7F"/>
    <w:rsid w:val="00602EB3"/>
    <w:rsid w:val="0060342F"/>
    <w:rsid w:val="006035A1"/>
    <w:rsid w:val="0060364A"/>
    <w:rsid w:val="0060393D"/>
    <w:rsid w:val="00603BA8"/>
    <w:rsid w:val="00604307"/>
    <w:rsid w:val="0060487F"/>
    <w:rsid w:val="00604EAD"/>
    <w:rsid w:val="0060513F"/>
    <w:rsid w:val="006062DA"/>
    <w:rsid w:val="006065E2"/>
    <w:rsid w:val="00606635"/>
    <w:rsid w:val="0060694B"/>
    <w:rsid w:val="00607E1D"/>
    <w:rsid w:val="006104FB"/>
    <w:rsid w:val="00611092"/>
    <w:rsid w:val="006116FF"/>
    <w:rsid w:val="0061176D"/>
    <w:rsid w:val="00611EA8"/>
    <w:rsid w:val="0061200F"/>
    <w:rsid w:val="00612756"/>
    <w:rsid w:val="00612A2F"/>
    <w:rsid w:val="00612AAE"/>
    <w:rsid w:val="00612B07"/>
    <w:rsid w:val="00612FD9"/>
    <w:rsid w:val="006139E0"/>
    <w:rsid w:val="00613E1C"/>
    <w:rsid w:val="006146C5"/>
    <w:rsid w:val="00614D35"/>
    <w:rsid w:val="006156B4"/>
    <w:rsid w:val="00615ADD"/>
    <w:rsid w:val="00615DAF"/>
    <w:rsid w:val="00615EA5"/>
    <w:rsid w:val="00616254"/>
    <w:rsid w:val="0061672A"/>
    <w:rsid w:val="00616E05"/>
    <w:rsid w:val="00617985"/>
    <w:rsid w:val="00617C0F"/>
    <w:rsid w:val="00620641"/>
    <w:rsid w:val="00620B77"/>
    <w:rsid w:val="00621190"/>
    <w:rsid w:val="0062131B"/>
    <w:rsid w:val="00621435"/>
    <w:rsid w:val="00621E26"/>
    <w:rsid w:val="006224EA"/>
    <w:rsid w:val="0062263A"/>
    <w:rsid w:val="006227DF"/>
    <w:rsid w:val="00622EFA"/>
    <w:rsid w:val="0062326B"/>
    <w:rsid w:val="006234A0"/>
    <w:rsid w:val="006236C8"/>
    <w:rsid w:val="00624093"/>
    <w:rsid w:val="0062415E"/>
    <w:rsid w:val="00625370"/>
    <w:rsid w:val="00625A84"/>
    <w:rsid w:val="00626079"/>
    <w:rsid w:val="00626B3B"/>
    <w:rsid w:val="00626B8F"/>
    <w:rsid w:val="006275B5"/>
    <w:rsid w:val="006300DB"/>
    <w:rsid w:val="006309CF"/>
    <w:rsid w:val="00631198"/>
    <w:rsid w:val="00631698"/>
    <w:rsid w:val="00631B14"/>
    <w:rsid w:val="00631E44"/>
    <w:rsid w:val="0063373E"/>
    <w:rsid w:val="00634C57"/>
    <w:rsid w:val="00634CE7"/>
    <w:rsid w:val="00634F30"/>
    <w:rsid w:val="006350D5"/>
    <w:rsid w:val="00635AA6"/>
    <w:rsid w:val="00635EBE"/>
    <w:rsid w:val="0063642C"/>
    <w:rsid w:val="006376B3"/>
    <w:rsid w:val="00637858"/>
    <w:rsid w:val="006403E6"/>
    <w:rsid w:val="006404A7"/>
    <w:rsid w:val="00640A38"/>
    <w:rsid w:val="00640E6B"/>
    <w:rsid w:val="00641242"/>
    <w:rsid w:val="00641787"/>
    <w:rsid w:val="0064179B"/>
    <w:rsid w:val="00641E2C"/>
    <w:rsid w:val="00642338"/>
    <w:rsid w:val="00642489"/>
    <w:rsid w:val="006428D3"/>
    <w:rsid w:val="0064402D"/>
    <w:rsid w:val="00644055"/>
    <w:rsid w:val="00644137"/>
    <w:rsid w:val="006445BC"/>
    <w:rsid w:val="0064478C"/>
    <w:rsid w:val="00644938"/>
    <w:rsid w:val="00645160"/>
    <w:rsid w:val="006451E4"/>
    <w:rsid w:val="0064574B"/>
    <w:rsid w:val="00645B33"/>
    <w:rsid w:val="006475A3"/>
    <w:rsid w:val="00647D47"/>
    <w:rsid w:val="00647EDF"/>
    <w:rsid w:val="00650A4F"/>
    <w:rsid w:val="00650E38"/>
    <w:rsid w:val="00650FFC"/>
    <w:rsid w:val="0065153D"/>
    <w:rsid w:val="006516CB"/>
    <w:rsid w:val="006523F5"/>
    <w:rsid w:val="00652444"/>
    <w:rsid w:val="006529A6"/>
    <w:rsid w:val="00652E30"/>
    <w:rsid w:val="00653542"/>
    <w:rsid w:val="00653BD0"/>
    <w:rsid w:val="00654110"/>
    <w:rsid w:val="006545E7"/>
    <w:rsid w:val="00654659"/>
    <w:rsid w:val="006547CD"/>
    <w:rsid w:val="00654DCC"/>
    <w:rsid w:val="00655F54"/>
    <w:rsid w:val="00656C5D"/>
    <w:rsid w:val="00656CFB"/>
    <w:rsid w:val="00656D25"/>
    <w:rsid w:val="00657964"/>
    <w:rsid w:val="00657E87"/>
    <w:rsid w:val="0066063F"/>
    <w:rsid w:val="00660D2D"/>
    <w:rsid w:val="0066110B"/>
    <w:rsid w:val="00661C41"/>
    <w:rsid w:val="00661EC9"/>
    <w:rsid w:val="00662469"/>
    <w:rsid w:val="0066411C"/>
    <w:rsid w:val="00664205"/>
    <w:rsid w:val="00664647"/>
    <w:rsid w:val="00664803"/>
    <w:rsid w:val="00664B35"/>
    <w:rsid w:val="0066502F"/>
    <w:rsid w:val="006652B9"/>
    <w:rsid w:val="006653CC"/>
    <w:rsid w:val="00665501"/>
    <w:rsid w:val="00665982"/>
    <w:rsid w:val="00665AAC"/>
    <w:rsid w:val="00665BA4"/>
    <w:rsid w:val="00666BF3"/>
    <w:rsid w:val="00667748"/>
    <w:rsid w:val="00667856"/>
    <w:rsid w:val="006679A1"/>
    <w:rsid w:val="00667AF2"/>
    <w:rsid w:val="00670489"/>
    <w:rsid w:val="006710C9"/>
    <w:rsid w:val="00671CFE"/>
    <w:rsid w:val="00671D85"/>
    <w:rsid w:val="00672586"/>
    <w:rsid w:val="006727BC"/>
    <w:rsid w:val="00673006"/>
    <w:rsid w:val="00673392"/>
    <w:rsid w:val="0067404B"/>
    <w:rsid w:val="006741CD"/>
    <w:rsid w:val="006745DF"/>
    <w:rsid w:val="00674BAC"/>
    <w:rsid w:val="00674D89"/>
    <w:rsid w:val="00674DF4"/>
    <w:rsid w:val="0067514E"/>
    <w:rsid w:val="00675A15"/>
    <w:rsid w:val="00675E37"/>
    <w:rsid w:val="0067635D"/>
    <w:rsid w:val="00676736"/>
    <w:rsid w:val="006769A4"/>
    <w:rsid w:val="006769C6"/>
    <w:rsid w:val="00676D76"/>
    <w:rsid w:val="00676F9F"/>
    <w:rsid w:val="00677519"/>
    <w:rsid w:val="00677591"/>
    <w:rsid w:val="00677594"/>
    <w:rsid w:val="00677FA3"/>
    <w:rsid w:val="0068020C"/>
    <w:rsid w:val="0068032F"/>
    <w:rsid w:val="00680D37"/>
    <w:rsid w:val="0068174E"/>
    <w:rsid w:val="00681DCE"/>
    <w:rsid w:val="00682110"/>
    <w:rsid w:val="0068260E"/>
    <w:rsid w:val="006846B3"/>
    <w:rsid w:val="006849E7"/>
    <w:rsid w:val="006849F8"/>
    <w:rsid w:val="00684B9B"/>
    <w:rsid w:val="00684D59"/>
    <w:rsid w:val="00684E25"/>
    <w:rsid w:val="006858A4"/>
    <w:rsid w:val="00685C08"/>
    <w:rsid w:val="00685C8C"/>
    <w:rsid w:val="00686718"/>
    <w:rsid w:val="00686BFA"/>
    <w:rsid w:val="00686DED"/>
    <w:rsid w:val="00686FD2"/>
    <w:rsid w:val="0068706C"/>
    <w:rsid w:val="006875A0"/>
    <w:rsid w:val="006878C6"/>
    <w:rsid w:val="00687D27"/>
    <w:rsid w:val="00687E40"/>
    <w:rsid w:val="00691943"/>
    <w:rsid w:val="00693361"/>
    <w:rsid w:val="00693550"/>
    <w:rsid w:val="00694622"/>
    <w:rsid w:val="00695065"/>
    <w:rsid w:val="00695651"/>
    <w:rsid w:val="00695BEF"/>
    <w:rsid w:val="006961FC"/>
    <w:rsid w:val="00696251"/>
    <w:rsid w:val="006966C7"/>
    <w:rsid w:val="006968C1"/>
    <w:rsid w:val="006977F6"/>
    <w:rsid w:val="00697A13"/>
    <w:rsid w:val="00697FC2"/>
    <w:rsid w:val="006A0DD4"/>
    <w:rsid w:val="006A109C"/>
    <w:rsid w:val="006A3CAF"/>
    <w:rsid w:val="006A41B9"/>
    <w:rsid w:val="006A4E6C"/>
    <w:rsid w:val="006A4E91"/>
    <w:rsid w:val="006A521C"/>
    <w:rsid w:val="006A5C69"/>
    <w:rsid w:val="006A5F27"/>
    <w:rsid w:val="006A5F4B"/>
    <w:rsid w:val="006A6114"/>
    <w:rsid w:val="006A6565"/>
    <w:rsid w:val="006A6BE3"/>
    <w:rsid w:val="006A7665"/>
    <w:rsid w:val="006A7691"/>
    <w:rsid w:val="006A7EE2"/>
    <w:rsid w:val="006B0409"/>
    <w:rsid w:val="006B0514"/>
    <w:rsid w:val="006B0F92"/>
    <w:rsid w:val="006B13F2"/>
    <w:rsid w:val="006B2785"/>
    <w:rsid w:val="006B27C7"/>
    <w:rsid w:val="006B2A1F"/>
    <w:rsid w:val="006B340F"/>
    <w:rsid w:val="006B344A"/>
    <w:rsid w:val="006B39E1"/>
    <w:rsid w:val="006B55DF"/>
    <w:rsid w:val="006B58C9"/>
    <w:rsid w:val="006B5F9A"/>
    <w:rsid w:val="006B60ED"/>
    <w:rsid w:val="006B614C"/>
    <w:rsid w:val="006B6C82"/>
    <w:rsid w:val="006B6CC5"/>
    <w:rsid w:val="006B6CF6"/>
    <w:rsid w:val="006B74AC"/>
    <w:rsid w:val="006B757B"/>
    <w:rsid w:val="006B78D8"/>
    <w:rsid w:val="006B79EA"/>
    <w:rsid w:val="006B7EA8"/>
    <w:rsid w:val="006C0C5D"/>
    <w:rsid w:val="006C113F"/>
    <w:rsid w:val="006C123E"/>
    <w:rsid w:val="006C15A1"/>
    <w:rsid w:val="006C1752"/>
    <w:rsid w:val="006C1DDC"/>
    <w:rsid w:val="006C1F77"/>
    <w:rsid w:val="006C1F94"/>
    <w:rsid w:val="006C28CA"/>
    <w:rsid w:val="006C2A0B"/>
    <w:rsid w:val="006C2B31"/>
    <w:rsid w:val="006C2BBF"/>
    <w:rsid w:val="006C2FBD"/>
    <w:rsid w:val="006C3336"/>
    <w:rsid w:val="006C3495"/>
    <w:rsid w:val="006C3742"/>
    <w:rsid w:val="006C4355"/>
    <w:rsid w:val="006C4587"/>
    <w:rsid w:val="006C469D"/>
    <w:rsid w:val="006C46B5"/>
    <w:rsid w:val="006C484F"/>
    <w:rsid w:val="006C501A"/>
    <w:rsid w:val="006C52EC"/>
    <w:rsid w:val="006C5506"/>
    <w:rsid w:val="006C56D4"/>
    <w:rsid w:val="006C5C22"/>
    <w:rsid w:val="006C65FF"/>
    <w:rsid w:val="006C6681"/>
    <w:rsid w:val="006C683C"/>
    <w:rsid w:val="006C6924"/>
    <w:rsid w:val="006C6C1E"/>
    <w:rsid w:val="006C7076"/>
    <w:rsid w:val="006C7981"/>
    <w:rsid w:val="006C7AEC"/>
    <w:rsid w:val="006C7CA6"/>
    <w:rsid w:val="006D12FB"/>
    <w:rsid w:val="006D156E"/>
    <w:rsid w:val="006D15D3"/>
    <w:rsid w:val="006D18B3"/>
    <w:rsid w:val="006D1BA2"/>
    <w:rsid w:val="006D1E89"/>
    <w:rsid w:val="006D26CE"/>
    <w:rsid w:val="006D2CE1"/>
    <w:rsid w:val="006D3045"/>
    <w:rsid w:val="006D317E"/>
    <w:rsid w:val="006D3E8A"/>
    <w:rsid w:val="006D47D9"/>
    <w:rsid w:val="006D49BA"/>
    <w:rsid w:val="006D4BA3"/>
    <w:rsid w:val="006D4F1E"/>
    <w:rsid w:val="006D5C7F"/>
    <w:rsid w:val="006D61F6"/>
    <w:rsid w:val="006D66DD"/>
    <w:rsid w:val="006D766A"/>
    <w:rsid w:val="006D7F30"/>
    <w:rsid w:val="006E1081"/>
    <w:rsid w:val="006E1332"/>
    <w:rsid w:val="006E13F6"/>
    <w:rsid w:val="006E19CB"/>
    <w:rsid w:val="006E279A"/>
    <w:rsid w:val="006E313B"/>
    <w:rsid w:val="006E34B2"/>
    <w:rsid w:val="006E3553"/>
    <w:rsid w:val="006E3A45"/>
    <w:rsid w:val="006E4078"/>
    <w:rsid w:val="006E51C4"/>
    <w:rsid w:val="006E53AD"/>
    <w:rsid w:val="006E58CB"/>
    <w:rsid w:val="006E594C"/>
    <w:rsid w:val="006E6A93"/>
    <w:rsid w:val="006E7227"/>
    <w:rsid w:val="006E725C"/>
    <w:rsid w:val="006E761A"/>
    <w:rsid w:val="006F0646"/>
    <w:rsid w:val="006F0741"/>
    <w:rsid w:val="006F1C27"/>
    <w:rsid w:val="006F2575"/>
    <w:rsid w:val="006F29CB"/>
    <w:rsid w:val="006F2A65"/>
    <w:rsid w:val="006F3DD6"/>
    <w:rsid w:val="006F40DF"/>
    <w:rsid w:val="006F42BB"/>
    <w:rsid w:val="006F438E"/>
    <w:rsid w:val="006F440B"/>
    <w:rsid w:val="006F48A3"/>
    <w:rsid w:val="006F4DA4"/>
    <w:rsid w:val="006F5416"/>
    <w:rsid w:val="006F5CB9"/>
    <w:rsid w:val="006F60EE"/>
    <w:rsid w:val="006F61FB"/>
    <w:rsid w:val="006F624B"/>
    <w:rsid w:val="006F6D87"/>
    <w:rsid w:val="006F6FF2"/>
    <w:rsid w:val="006F79FB"/>
    <w:rsid w:val="007008A9"/>
    <w:rsid w:val="00700E8A"/>
    <w:rsid w:val="007018A4"/>
    <w:rsid w:val="0070284F"/>
    <w:rsid w:val="00702D15"/>
    <w:rsid w:val="0070398A"/>
    <w:rsid w:val="007039C4"/>
    <w:rsid w:val="007045FD"/>
    <w:rsid w:val="0070494B"/>
    <w:rsid w:val="00705242"/>
    <w:rsid w:val="0070540C"/>
    <w:rsid w:val="007055E0"/>
    <w:rsid w:val="007056ED"/>
    <w:rsid w:val="00705F4E"/>
    <w:rsid w:val="0070658E"/>
    <w:rsid w:val="007065C5"/>
    <w:rsid w:val="007068E1"/>
    <w:rsid w:val="00706AA0"/>
    <w:rsid w:val="00706AD4"/>
    <w:rsid w:val="00707150"/>
    <w:rsid w:val="007079E5"/>
    <w:rsid w:val="00707CA3"/>
    <w:rsid w:val="00707FD9"/>
    <w:rsid w:val="00710CE8"/>
    <w:rsid w:val="00711A9E"/>
    <w:rsid w:val="007124D7"/>
    <w:rsid w:val="00712C20"/>
    <w:rsid w:val="00712E1F"/>
    <w:rsid w:val="007132CA"/>
    <w:rsid w:val="0071333D"/>
    <w:rsid w:val="00713549"/>
    <w:rsid w:val="0071399A"/>
    <w:rsid w:val="007140BE"/>
    <w:rsid w:val="007147AB"/>
    <w:rsid w:val="00715231"/>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1BC1"/>
    <w:rsid w:val="00721BE1"/>
    <w:rsid w:val="00722727"/>
    <w:rsid w:val="00722777"/>
    <w:rsid w:val="0072306E"/>
    <w:rsid w:val="00723401"/>
    <w:rsid w:val="00723435"/>
    <w:rsid w:val="00723436"/>
    <w:rsid w:val="0072396B"/>
    <w:rsid w:val="007240E2"/>
    <w:rsid w:val="0072454C"/>
    <w:rsid w:val="0072583E"/>
    <w:rsid w:val="0072594F"/>
    <w:rsid w:val="00725B5F"/>
    <w:rsid w:val="00725BB5"/>
    <w:rsid w:val="00726788"/>
    <w:rsid w:val="00727C02"/>
    <w:rsid w:val="00727EE2"/>
    <w:rsid w:val="0073008E"/>
    <w:rsid w:val="00730884"/>
    <w:rsid w:val="00730A8B"/>
    <w:rsid w:val="00730AE8"/>
    <w:rsid w:val="00730CB4"/>
    <w:rsid w:val="00730D59"/>
    <w:rsid w:val="00730F1B"/>
    <w:rsid w:val="0073186D"/>
    <w:rsid w:val="007324A6"/>
    <w:rsid w:val="0073261D"/>
    <w:rsid w:val="0073333D"/>
    <w:rsid w:val="007343D9"/>
    <w:rsid w:val="00734F71"/>
    <w:rsid w:val="00735448"/>
    <w:rsid w:val="00735749"/>
    <w:rsid w:val="00736F07"/>
    <w:rsid w:val="00737557"/>
    <w:rsid w:val="007377BD"/>
    <w:rsid w:val="00737DEC"/>
    <w:rsid w:val="0074004D"/>
    <w:rsid w:val="00741493"/>
    <w:rsid w:val="00741B6B"/>
    <w:rsid w:val="00741F2A"/>
    <w:rsid w:val="0074333D"/>
    <w:rsid w:val="007434E5"/>
    <w:rsid w:val="00743884"/>
    <w:rsid w:val="007446AB"/>
    <w:rsid w:val="0074499B"/>
    <w:rsid w:val="007449D6"/>
    <w:rsid w:val="00744FC1"/>
    <w:rsid w:val="0074501E"/>
    <w:rsid w:val="007450BF"/>
    <w:rsid w:val="0074518B"/>
    <w:rsid w:val="0074599A"/>
    <w:rsid w:val="00746EE5"/>
    <w:rsid w:val="00746F45"/>
    <w:rsid w:val="007471A1"/>
    <w:rsid w:val="007477BD"/>
    <w:rsid w:val="007477DA"/>
    <w:rsid w:val="007477ED"/>
    <w:rsid w:val="00747EE9"/>
    <w:rsid w:val="0075016F"/>
    <w:rsid w:val="007520B6"/>
    <w:rsid w:val="00752180"/>
    <w:rsid w:val="00752323"/>
    <w:rsid w:val="007532B7"/>
    <w:rsid w:val="00753CAB"/>
    <w:rsid w:val="00754A70"/>
    <w:rsid w:val="00754BC9"/>
    <w:rsid w:val="00754FB0"/>
    <w:rsid w:val="00755202"/>
    <w:rsid w:val="00755D3A"/>
    <w:rsid w:val="00757241"/>
    <w:rsid w:val="0075751D"/>
    <w:rsid w:val="0075763E"/>
    <w:rsid w:val="007578D3"/>
    <w:rsid w:val="00757D7C"/>
    <w:rsid w:val="007601AE"/>
    <w:rsid w:val="007601D2"/>
    <w:rsid w:val="007602CF"/>
    <w:rsid w:val="00760391"/>
    <w:rsid w:val="0076052B"/>
    <w:rsid w:val="007609C6"/>
    <w:rsid w:val="007615F3"/>
    <w:rsid w:val="00761625"/>
    <w:rsid w:val="0076175D"/>
    <w:rsid w:val="0076190A"/>
    <w:rsid w:val="00761A96"/>
    <w:rsid w:val="00761CB5"/>
    <w:rsid w:val="00761F7B"/>
    <w:rsid w:val="007629D5"/>
    <w:rsid w:val="007635F8"/>
    <w:rsid w:val="0076384E"/>
    <w:rsid w:val="00763A88"/>
    <w:rsid w:val="00763B23"/>
    <w:rsid w:val="00763B85"/>
    <w:rsid w:val="00763DAC"/>
    <w:rsid w:val="00764341"/>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5CC"/>
    <w:rsid w:val="00772DAB"/>
    <w:rsid w:val="00772FF9"/>
    <w:rsid w:val="0077348B"/>
    <w:rsid w:val="00773B76"/>
    <w:rsid w:val="00773BF4"/>
    <w:rsid w:val="00773F5D"/>
    <w:rsid w:val="00774269"/>
    <w:rsid w:val="007743DB"/>
    <w:rsid w:val="0077452E"/>
    <w:rsid w:val="00774D2C"/>
    <w:rsid w:val="00775E00"/>
    <w:rsid w:val="0077605B"/>
    <w:rsid w:val="00776169"/>
    <w:rsid w:val="00776527"/>
    <w:rsid w:val="00776783"/>
    <w:rsid w:val="00777040"/>
    <w:rsid w:val="00777CE6"/>
    <w:rsid w:val="00777D57"/>
    <w:rsid w:val="00780BF0"/>
    <w:rsid w:val="00780EF1"/>
    <w:rsid w:val="007819B2"/>
    <w:rsid w:val="00781A91"/>
    <w:rsid w:val="00781AD3"/>
    <w:rsid w:val="00781B70"/>
    <w:rsid w:val="00781F36"/>
    <w:rsid w:val="00782E4D"/>
    <w:rsid w:val="00783339"/>
    <w:rsid w:val="00783576"/>
    <w:rsid w:val="00783810"/>
    <w:rsid w:val="007838D8"/>
    <w:rsid w:val="00784276"/>
    <w:rsid w:val="0078440C"/>
    <w:rsid w:val="00784980"/>
    <w:rsid w:val="00784D45"/>
    <w:rsid w:val="007853FD"/>
    <w:rsid w:val="00785778"/>
    <w:rsid w:val="00786C87"/>
    <w:rsid w:val="00786CD1"/>
    <w:rsid w:val="007873BE"/>
    <w:rsid w:val="0078755E"/>
    <w:rsid w:val="007877C9"/>
    <w:rsid w:val="00790764"/>
    <w:rsid w:val="007907D5"/>
    <w:rsid w:val="0079085F"/>
    <w:rsid w:val="00790E96"/>
    <w:rsid w:val="00791005"/>
    <w:rsid w:val="0079139B"/>
    <w:rsid w:val="00793D78"/>
    <w:rsid w:val="007940EB"/>
    <w:rsid w:val="0079420B"/>
    <w:rsid w:val="0079453C"/>
    <w:rsid w:val="0079457A"/>
    <w:rsid w:val="00794677"/>
    <w:rsid w:val="00795367"/>
    <w:rsid w:val="00795759"/>
    <w:rsid w:val="00795788"/>
    <w:rsid w:val="00795B47"/>
    <w:rsid w:val="00797D3C"/>
    <w:rsid w:val="007A0B5E"/>
    <w:rsid w:val="007A0C93"/>
    <w:rsid w:val="007A147A"/>
    <w:rsid w:val="007A15BA"/>
    <w:rsid w:val="007A16E3"/>
    <w:rsid w:val="007A170B"/>
    <w:rsid w:val="007A20EB"/>
    <w:rsid w:val="007A236B"/>
    <w:rsid w:val="007A282C"/>
    <w:rsid w:val="007A293C"/>
    <w:rsid w:val="007A2A3A"/>
    <w:rsid w:val="007A33E2"/>
    <w:rsid w:val="007A3CAF"/>
    <w:rsid w:val="007A4551"/>
    <w:rsid w:val="007A4664"/>
    <w:rsid w:val="007A4782"/>
    <w:rsid w:val="007A516D"/>
    <w:rsid w:val="007A51C9"/>
    <w:rsid w:val="007A5E65"/>
    <w:rsid w:val="007A5FEE"/>
    <w:rsid w:val="007A65E1"/>
    <w:rsid w:val="007A6A6E"/>
    <w:rsid w:val="007A6AAA"/>
    <w:rsid w:val="007A6FF6"/>
    <w:rsid w:val="007A7033"/>
    <w:rsid w:val="007A775D"/>
    <w:rsid w:val="007B02AD"/>
    <w:rsid w:val="007B04B0"/>
    <w:rsid w:val="007B0834"/>
    <w:rsid w:val="007B0E83"/>
    <w:rsid w:val="007B112B"/>
    <w:rsid w:val="007B11FA"/>
    <w:rsid w:val="007B1396"/>
    <w:rsid w:val="007B16D6"/>
    <w:rsid w:val="007B1D1B"/>
    <w:rsid w:val="007B1E3F"/>
    <w:rsid w:val="007B2011"/>
    <w:rsid w:val="007B2221"/>
    <w:rsid w:val="007B23E7"/>
    <w:rsid w:val="007B2CFE"/>
    <w:rsid w:val="007B309B"/>
    <w:rsid w:val="007B37AB"/>
    <w:rsid w:val="007B3BB3"/>
    <w:rsid w:val="007B3D5E"/>
    <w:rsid w:val="007B3DCB"/>
    <w:rsid w:val="007B46BF"/>
    <w:rsid w:val="007B54AE"/>
    <w:rsid w:val="007B5725"/>
    <w:rsid w:val="007B5C1F"/>
    <w:rsid w:val="007B5D3E"/>
    <w:rsid w:val="007B5F59"/>
    <w:rsid w:val="007B6319"/>
    <w:rsid w:val="007B6689"/>
    <w:rsid w:val="007B6747"/>
    <w:rsid w:val="007B6F72"/>
    <w:rsid w:val="007B74AA"/>
    <w:rsid w:val="007B756F"/>
    <w:rsid w:val="007B7AD3"/>
    <w:rsid w:val="007B7D1A"/>
    <w:rsid w:val="007C0D78"/>
    <w:rsid w:val="007C10BD"/>
    <w:rsid w:val="007C162D"/>
    <w:rsid w:val="007C1A03"/>
    <w:rsid w:val="007C1A88"/>
    <w:rsid w:val="007C1DD4"/>
    <w:rsid w:val="007C1F0C"/>
    <w:rsid w:val="007C1FFB"/>
    <w:rsid w:val="007C2767"/>
    <w:rsid w:val="007C2D94"/>
    <w:rsid w:val="007C4A6B"/>
    <w:rsid w:val="007C5F92"/>
    <w:rsid w:val="007C6227"/>
    <w:rsid w:val="007C6319"/>
    <w:rsid w:val="007C634E"/>
    <w:rsid w:val="007C63DB"/>
    <w:rsid w:val="007C64F7"/>
    <w:rsid w:val="007C6970"/>
    <w:rsid w:val="007C6BBD"/>
    <w:rsid w:val="007C6D89"/>
    <w:rsid w:val="007C6F5E"/>
    <w:rsid w:val="007D0382"/>
    <w:rsid w:val="007D08F2"/>
    <w:rsid w:val="007D0F6B"/>
    <w:rsid w:val="007D14FE"/>
    <w:rsid w:val="007D1A1F"/>
    <w:rsid w:val="007D213B"/>
    <w:rsid w:val="007D2783"/>
    <w:rsid w:val="007D2E18"/>
    <w:rsid w:val="007D3A68"/>
    <w:rsid w:val="007D3EF3"/>
    <w:rsid w:val="007D40DF"/>
    <w:rsid w:val="007D42E5"/>
    <w:rsid w:val="007D4458"/>
    <w:rsid w:val="007D4FA5"/>
    <w:rsid w:val="007D579C"/>
    <w:rsid w:val="007D62F0"/>
    <w:rsid w:val="007D65C3"/>
    <w:rsid w:val="007D6AF9"/>
    <w:rsid w:val="007D7646"/>
    <w:rsid w:val="007D7763"/>
    <w:rsid w:val="007D7F4F"/>
    <w:rsid w:val="007E01E9"/>
    <w:rsid w:val="007E0535"/>
    <w:rsid w:val="007E07F2"/>
    <w:rsid w:val="007E0D4A"/>
    <w:rsid w:val="007E0E91"/>
    <w:rsid w:val="007E1788"/>
    <w:rsid w:val="007E1EE3"/>
    <w:rsid w:val="007E29B4"/>
    <w:rsid w:val="007E2C81"/>
    <w:rsid w:val="007E2DD4"/>
    <w:rsid w:val="007E2F12"/>
    <w:rsid w:val="007E32AE"/>
    <w:rsid w:val="007E354A"/>
    <w:rsid w:val="007E3627"/>
    <w:rsid w:val="007E413C"/>
    <w:rsid w:val="007E435A"/>
    <w:rsid w:val="007E445C"/>
    <w:rsid w:val="007E49F7"/>
    <w:rsid w:val="007E4C70"/>
    <w:rsid w:val="007E5149"/>
    <w:rsid w:val="007E532F"/>
    <w:rsid w:val="007E5759"/>
    <w:rsid w:val="007E585C"/>
    <w:rsid w:val="007E5B19"/>
    <w:rsid w:val="007E5B5F"/>
    <w:rsid w:val="007E69C6"/>
    <w:rsid w:val="007E78B6"/>
    <w:rsid w:val="007E7E61"/>
    <w:rsid w:val="007F0845"/>
    <w:rsid w:val="007F0873"/>
    <w:rsid w:val="007F20F3"/>
    <w:rsid w:val="007F2353"/>
    <w:rsid w:val="007F2390"/>
    <w:rsid w:val="007F2CAC"/>
    <w:rsid w:val="007F2DFD"/>
    <w:rsid w:val="007F3546"/>
    <w:rsid w:val="007F3CB6"/>
    <w:rsid w:val="007F4740"/>
    <w:rsid w:val="007F595A"/>
    <w:rsid w:val="007F5C38"/>
    <w:rsid w:val="007F708D"/>
    <w:rsid w:val="007F727E"/>
    <w:rsid w:val="007F72E3"/>
    <w:rsid w:val="007F7E3F"/>
    <w:rsid w:val="008006B3"/>
    <w:rsid w:val="00800B63"/>
    <w:rsid w:val="0080158A"/>
    <w:rsid w:val="00801BFE"/>
    <w:rsid w:val="00801E13"/>
    <w:rsid w:val="00802791"/>
    <w:rsid w:val="00802B5F"/>
    <w:rsid w:val="00803008"/>
    <w:rsid w:val="00803069"/>
    <w:rsid w:val="0080346B"/>
    <w:rsid w:val="00803E08"/>
    <w:rsid w:val="00804155"/>
    <w:rsid w:val="00804C40"/>
    <w:rsid w:val="00804C9F"/>
    <w:rsid w:val="008054A3"/>
    <w:rsid w:val="0080559E"/>
    <w:rsid w:val="00805AF3"/>
    <w:rsid w:val="0080621E"/>
    <w:rsid w:val="00806955"/>
    <w:rsid w:val="00806C9C"/>
    <w:rsid w:val="008071B1"/>
    <w:rsid w:val="0080734C"/>
    <w:rsid w:val="00807BC0"/>
    <w:rsid w:val="00807C82"/>
    <w:rsid w:val="008107EE"/>
    <w:rsid w:val="008117CC"/>
    <w:rsid w:val="00811FF8"/>
    <w:rsid w:val="0081249F"/>
    <w:rsid w:val="00812708"/>
    <w:rsid w:val="00813D58"/>
    <w:rsid w:val="00813DCA"/>
    <w:rsid w:val="008147B9"/>
    <w:rsid w:val="00814F45"/>
    <w:rsid w:val="00815B3A"/>
    <w:rsid w:val="00815EE3"/>
    <w:rsid w:val="008161A6"/>
    <w:rsid w:val="008165B8"/>
    <w:rsid w:val="00816905"/>
    <w:rsid w:val="00816D98"/>
    <w:rsid w:val="00816E42"/>
    <w:rsid w:val="00817040"/>
    <w:rsid w:val="00817A17"/>
    <w:rsid w:val="00817EC1"/>
    <w:rsid w:val="0082112D"/>
    <w:rsid w:val="00821624"/>
    <w:rsid w:val="008217C1"/>
    <w:rsid w:val="00821B4F"/>
    <w:rsid w:val="00821FF6"/>
    <w:rsid w:val="00822574"/>
    <w:rsid w:val="00822980"/>
    <w:rsid w:val="00822F08"/>
    <w:rsid w:val="00824BA6"/>
    <w:rsid w:val="00824BF4"/>
    <w:rsid w:val="00825007"/>
    <w:rsid w:val="00825120"/>
    <w:rsid w:val="0082528D"/>
    <w:rsid w:val="00825C4D"/>
    <w:rsid w:val="0082654E"/>
    <w:rsid w:val="00826A08"/>
    <w:rsid w:val="00826AC0"/>
    <w:rsid w:val="00826C77"/>
    <w:rsid w:val="00826D45"/>
    <w:rsid w:val="00827186"/>
    <w:rsid w:val="00827C8E"/>
    <w:rsid w:val="00830569"/>
    <w:rsid w:val="00830AEA"/>
    <w:rsid w:val="00830E86"/>
    <w:rsid w:val="0083143E"/>
    <w:rsid w:val="008315B8"/>
    <w:rsid w:val="008315D5"/>
    <w:rsid w:val="00831CDE"/>
    <w:rsid w:val="00831F2B"/>
    <w:rsid w:val="008320CF"/>
    <w:rsid w:val="0083245D"/>
    <w:rsid w:val="008324A3"/>
    <w:rsid w:val="00832A1C"/>
    <w:rsid w:val="00832F77"/>
    <w:rsid w:val="00834304"/>
    <w:rsid w:val="008343CE"/>
    <w:rsid w:val="0083471A"/>
    <w:rsid w:val="00834FAA"/>
    <w:rsid w:val="00835495"/>
    <w:rsid w:val="008354FB"/>
    <w:rsid w:val="008357DA"/>
    <w:rsid w:val="00835FF1"/>
    <w:rsid w:val="00836086"/>
    <w:rsid w:val="0083630F"/>
    <w:rsid w:val="00836A06"/>
    <w:rsid w:val="008374BC"/>
    <w:rsid w:val="008379D6"/>
    <w:rsid w:val="00837E48"/>
    <w:rsid w:val="00840293"/>
    <w:rsid w:val="008402AD"/>
    <w:rsid w:val="008408D4"/>
    <w:rsid w:val="00840C73"/>
    <w:rsid w:val="008414EE"/>
    <w:rsid w:val="008417B5"/>
    <w:rsid w:val="00841901"/>
    <w:rsid w:val="00842701"/>
    <w:rsid w:val="0084473C"/>
    <w:rsid w:val="00844998"/>
    <w:rsid w:val="008458A0"/>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294C"/>
    <w:rsid w:val="00852B1F"/>
    <w:rsid w:val="00853282"/>
    <w:rsid w:val="0085334C"/>
    <w:rsid w:val="00853CE7"/>
    <w:rsid w:val="00854291"/>
    <w:rsid w:val="00854806"/>
    <w:rsid w:val="00855408"/>
    <w:rsid w:val="00855D03"/>
    <w:rsid w:val="00856030"/>
    <w:rsid w:val="00856AA1"/>
    <w:rsid w:val="00856D65"/>
    <w:rsid w:val="00856FA4"/>
    <w:rsid w:val="008603CA"/>
    <w:rsid w:val="00860D79"/>
    <w:rsid w:val="00861B41"/>
    <w:rsid w:val="00861B9F"/>
    <w:rsid w:val="00861BE3"/>
    <w:rsid w:val="00861EB6"/>
    <w:rsid w:val="008620A3"/>
    <w:rsid w:val="008625D3"/>
    <w:rsid w:val="00862C0A"/>
    <w:rsid w:val="00862C86"/>
    <w:rsid w:val="00863434"/>
    <w:rsid w:val="0086344F"/>
    <w:rsid w:val="008641AC"/>
    <w:rsid w:val="0086484F"/>
    <w:rsid w:val="00865C4B"/>
    <w:rsid w:val="00865DDD"/>
    <w:rsid w:val="00865E4C"/>
    <w:rsid w:val="00865E80"/>
    <w:rsid w:val="00866074"/>
    <w:rsid w:val="00867546"/>
    <w:rsid w:val="0086796D"/>
    <w:rsid w:val="00867DAB"/>
    <w:rsid w:val="0087000B"/>
    <w:rsid w:val="008701E4"/>
    <w:rsid w:val="008704E9"/>
    <w:rsid w:val="008705FB"/>
    <w:rsid w:val="00870ECD"/>
    <w:rsid w:val="00871B86"/>
    <w:rsid w:val="0087347C"/>
    <w:rsid w:val="008734E7"/>
    <w:rsid w:val="0087368D"/>
    <w:rsid w:val="008740CC"/>
    <w:rsid w:val="0087442A"/>
    <w:rsid w:val="00874578"/>
    <w:rsid w:val="00874904"/>
    <w:rsid w:val="00874FE8"/>
    <w:rsid w:val="00875A32"/>
    <w:rsid w:val="00875CC1"/>
    <w:rsid w:val="00876086"/>
    <w:rsid w:val="00876651"/>
    <w:rsid w:val="00876E83"/>
    <w:rsid w:val="0087722C"/>
    <w:rsid w:val="008772BC"/>
    <w:rsid w:val="00877957"/>
    <w:rsid w:val="00880A0E"/>
    <w:rsid w:val="00880DD7"/>
    <w:rsid w:val="008817FE"/>
    <w:rsid w:val="008819EB"/>
    <w:rsid w:val="00881CD7"/>
    <w:rsid w:val="00881DFE"/>
    <w:rsid w:val="00882911"/>
    <w:rsid w:val="00882F6E"/>
    <w:rsid w:val="00883202"/>
    <w:rsid w:val="00884E02"/>
    <w:rsid w:val="0088502B"/>
    <w:rsid w:val="00885D40"/>
    <w:rsid w:val="0088657A"/>
    <w:rsid w:val="00886E94"/>
    <w:rsid w:val="008873D4"/>
    <w:rsid w:val="008902A5"/>
    <w:rsid w:val="00890CB1"/>
    <w:rsid w:val="00891EDF"/>
    <w:rsid w:val="00892872"/>
    <w:rsid w:val="0089296D"/>
    <w:rsid w:val="00893E85"/>
    <w:rsid w:val="00893EBE"/>
    <w:rsid w:val="00893F50"/>
    <w:rsid w:val="00894031"/>
    <w:rsid w:val="00894C5D"/>
    <w:rsid w:val="00895508"/>
    <w:rsid w:val="0089570B"/>
    <w:rsid w:val="00895797"/>
    <w:rsid w:val="008962CD"/>
    <w:rsid w:val="008967E9"/>
    <w:rsid w:val="00896A5C"/>
    <w:rsid w:val="00896DF6"/>
    <w:rsid w:val="00897155"/>
    <w:rsid w:val="008972D2"/>
    <w:rsid w:val="0089754C"/>
    <w:rsid w:val="00897CFA"/>
    <w:rsid w:val="008A0659"/>
    <w:rsid w:val="008A0ADD"/>
    <w:rsid w:val="008A0D27"/>
    <w:rsid w:val="008A1C59"/>
    <w:rsid w:val="008A2254"/>
    <w:rsid w:val="008A37E2"/>
    <w:rsid w:val="008A388E"/>
    <w:rsid w:val="008A394E"/>
    <w:rsid w:val="008A3C28"/>
    <w:rsid w:val="008A3CBA"/>
    <w:rsid w:val="008A3D90"/>
    <w:rsid w:val="008A4278"/>
    <w:rsid w:val="008A4B59"/>
    <w:rsid w:val="008A55F4"/>
    <w:rsid w:val="008A63E1"/>
    <w:rsid w:val="008A66B7"/>
    <w:rsid w:val="008A68BB"/>
    <w:rsid w:val="008A6AA5"/>
    <w:rsid w:val="008A7127"/>
    <w:rsid w:val="008B02E7"/>
    <w:rsid w:val="008B0472"/>
    <w:rsid w:val="008B0CBA"/>
    <w:rsid w:val="008B1850"/>
    <w:rsid w:val="008B1860"/>
    <w:rsid w:val="008B2639"/>
    <w:rsid w:val="008B3537"/>
    <w:rsid w:val="008B35C1"/>
    <w:rsid w:val="008B3690"/>
    <w:rsid w:val="008B3A80"/>
    <w:rsid w:val="008B3AEC"/>
    <w:rsid w:val="008B3C07"/>
    <w:rsid w:val="008B3C6E"/>
    <w:rsid w:val="008B3F7B"/>
    <w:rsid w:val="008B43CA"/>
    <w:rsid w:val="008B4575"/>
    <w:rsid w:val="008B4758"/>
    <w:rsid w:val="008B51B7"/>
    <w:rsid w:val="008B5324"/>
    <w:rsid w:val="008B5C99"/>
    <w:rsid w:val="008B6106"/>
    <w:rsid w:val="008B65A8"/>
    <w:rsid w:val="008B697D"/>
    <w:rsid w:val="008B7C02"/>
    <w:rsid w:val="008B7D2B"/>
    <w:rsid w:val="008B7EF9"/>
    <w:rsid w:val="008C0049"/>
    <w:rsid w:val="008C025A"/>
    <w:rsid w:val="008C0314"/>
    <w:rsid w:val="008C056C"/>
    <w:rsid w:val="008C0654"/>
    <w:rsid w:val="008C0680"/>
    <w:rsid w:val="008C0E88"/>
    <w:rsid w:val="008C0EBE"/>
    <w:rsid w:val="008C1717"/>
    <w:rsid w:val="008C17F0"/>
    <w:rsid w:val="008C1D26"/>
    <w:rsid w:val="008C301D"/>
    <w:rsid w:val="008C3A32"/>
    <w:rsid w:val="008C3B05"/>
    <w:rsid w:val="008C451F"/>
    <w:rsid w:val="008C471B"/>
    <w:rsid w:val="008C4B50"/>
    <w:rsid w:val="008C5A37"/>
    <w:rsid w:val="008C6CD6"/>
    <w:rsid w:val="008C7303"/>
    <w:rsid w:val="008C7569"/>
    <w:rsid w:val="008C79C3"/>
    <w:rsid w:val="008D006F"/>
    <w:rsid w:val="008D033D"/>
    <w:rsid w:val="008D06A2"/>
    <w:rsid w:val="008D0C2A"/>
    <w:rsid w:val="008D0DBD"/>
    <w:rsid w:val="008D117E"/>
    <w:rsid w:val="008D127E"/>
    <w:rsid w:val="008D1CA8"/>
    <w:rsid w:val="008D1E0A"/>
    <w:rsid w:val="008D1E6A"/>
    <w:rsid w:val="008D1FD3"/>
    <w:rsid w:val="008D2304"/>
    <w:rsid w:val="008D2407"/>
    <w:rsid w:val="008D2A16"/>
    <w:rsid w:val="008D2AAF"/>
    <w:rsid w:val="008D2ABB"/>
    <w:rsid w:val="008D2AEC"/>
    <w:rsid w:val="008D2CB5"/>
    <w:rsid w:val="008D3295"/>
    <w:rsid w:val="008D33F5"/>
    <w:rsid w:val="008D35E4"/>
    <w:rsid w:val="008D3ACD"/>
    <w:rsid w:val="008D3D21"/>
    <w:rsid w:val="008D3ECE"/>
    <w:rsid w:val="008D400B"/>
    <w:rsid w:val="008D50FA"/>
    <w:rsid w:val="008D6C3A"/>
    <w:rsid w:val="008D70E2"/>
    <w:rsid w:val="008D7F47"/>
    <w:rsid w:val="008D7FF4"/>
    <w:rsid w:val="008E0001"/>
    <w:rsid w:val="008E0243"/>
    <w:rsid w:val="008E039E"/>
    <w:rsid w:val="008E1697"/>
    <w:rsid w:val="008E18EC"/>
    <w:rsid w:val="008E292B"/>
    <w:rsid w:val="008E2C57"/>
    <w:rsid w:val="008E31FF"/>
    <w:rsid w:val="008E3287"/>
    <w:rsid w:val="008E38E4"/>
    <w:rsid w:val="008E3D0D"/>
    <w:rsid w:val="008E3DFA"/>
    <w:rsid w:val="008E419B"/>
    <w:rsid w:val="008E4566"/>
    <w:rsid w:val="008E487E"/>
    <w:rsid w:val="008E4C65"/>
    <w:rsid w:val="008E51EB"/>
    <w:rsid w:val="008E5274"/>
    <w:rsid w:val="008E5746"/>
    <w:rsid w:val="008E64D7"/>
    <w:rsid w:val="008E6DCB"/>
    <w:rsid w:val="008E6E5D"/>
    <w:rsid w:val="008E6F06"/>
    <w:rsid w:val="008E7000"/>
    <w:rsid w:val="008E7039"/>
    <w:rsid w:val="008E723E"/>
    <w:rsid w:val="008E7B8E"/>
    <w:rsid w:val="008E7FC9"/>
    <w:rsid w:val="008F0107"/>
    <w:rsid w:val="008F029B"/>
    <w:rsid w:val="008F0589"/>
    <w:rsid w:val="008F130B"/>
    <w:rsid w:val="008F26D4"/>
    <w:rsid w:val="008F2A5D"/>
    <w:rsid w:val="008F2BC7"/>
    <w:rsid w:val="008F2E83"/>
    <w:rsid w:val="008F3636"/>
    <w:rsid w:val="008F3E91"/>
    <w:rsid w:val="008F3FC9"/>
    <w:rsid w:val="008F418F"/>
    <w:rsid w:val="008F4D9C"/>
    <w:rsid w:val="008F509F"/>
    <w:rsid w:val="008F525A"/>
    <w:rsid w:val="008F5383"/>
    <w:rsid w:val="008F585B"/>
    <w:rsid w:val="008F631F"/>
    <w:rsid w:val="008F77CC"/>
    <w:rsid w:val="008F7FB0"/>
    <w:rsid w:val="009003A8"/>
    <w:rsid w:val="009005E4"/>
    <w:rsid w:val="00900977"/>
    <w:rsid w:val="0090165B"/>
    <w:rsid w:val="00901D43"/>
    <w:rsid w:val="00901F6D"/>
    <w:rsid w:val="009021DA"/>
    <w:rsid w:val="00902337"/>
    <w:rsid w:val="00902500"/>
    <w:rsid w:val="00902EFF"/>
    <w:rsid w:val="0090356D"/>
    <w:rsid w:val="00903A8E"/>
    <w:rsid w:val="0090432C"/>
    <w:rsid w:val="00904F96"/>
    <w:rsid w:val="009052A3"/>
    <w:rsid w:val="00905314"/>
    <w:rsid w:val="009056D7"/>
    <w:rsid w:val="00905B8D"/>
    <w:rsid w:val="00906401"/>
    <w:rsid w:val="009065CB"/>
    <w:rsid w:val="0090674A"/>
    <w:rsid w:val="009067EA"/>
    <w:rsid w:val="00906860"/>
    <w:rsid w:val="00906B79"/>
    <w:rsid w:val="0090786F"/>
    <w:rsid w:val="0091001E"/>
    <w:rsid w:val="009101D4"/>
    <w:rsid w:val="00910702"/>
    <w:rsid w:val="00910C18"/>
    <w:rsid w:val="009110F7"/>
    <w:rsid w:val="009112E3"/>
    <w:rsid w:val="0091155E"/>
    <w:rsid w:val="00912437"/>
    <w:rsid w:val="00912A92"/>
    <w:rsid w:val="00912AF9"/>
    <w:rsid w:val="00913237"/>
    <w:rsid w:val="00913B36"/>
    <w:rsid w:val="0091476D"/>
    <w:rsid w:val="00914DFA"/>
    <w:rsid w:val="009154EF"/>
    <w:rsid w:val="00915D07"/>
    <w:rsid w:val="009162AE"/>
    <w:rsid w:val="009165BB"/>
    <w:rsid w:val="00917154"/>
    <w:rsid w:val="00917251"/>
    <w:rsid w:val="0091728D"/>
    <w:rsid w:val="0092008B"/>
    <w:rsid w:val="0092036B"/>
    <w:rsid w:val="009203CC"/>
    <w:rsid w:val="00920EC4"/>
    <w:rsid w:val="0092180B"/>
    <w:rsid w:val="00921F14"/>
    <w:rsid w:val="0092292F"/>
    <w:rsid w:val="00922D28"/>
    <w:rsid w:val="00923322"/>
    <w:rsid w:val="009233B9"/>
    <w:rsid w:val="00923CB0"/>
    <w:rsid w:val="00923D8C"/>
    <w:rsid w:val="00924871"/>
    <w:rsid w:val="00924AC8"/>
    <w:rsid w:val="00925429"/>
    <w:rsid w:val="00925488"/>
    <w:rsid w:val="00925615"/>
    <w:rsid w:val="00925795"/>
    <w:rsid w:val="0092597A"/>
    <w:rsid w:val="00926520"/>
    <w:rsid w:val="0092691E"/>
    <w:rsid w:val="00926B2B"/>
    <w:rsid w:val="00926CF0"/>
    <w:rsid w:val="009273A9"/>
    <w:rsid w:val="00930251"/>
    <w:rsid w:val="0093033E"/>
    <w:rsid w:val="009305FC"/>
    <w:rsid w:val="00930FB1"/>
    <w:rsid w:val="0093104E"/>
    <w:rsid w:val="0093139F"/>
    <w:rsid w:val="00932117"/>
    <w:rsid w:val="00932239"/>
    <w:rsid w:val="00932443"/>
    <w:rsid w:val="00932A09"/>
    <w:rsid w:val="00932B32"/>
    <w:rsid w:val="00932E00"/>
    <w:rsid w:val="00932F66"/>
    <w:rsid w:val="0093305E"/>
    <w:rsid w:val="009332D2"/>
    <w:rsid w:val="00933959"/>
    <w:rsid w:val="00933E43"/>
    <w:rsid w:val="00933F4A"/>
    <w:rsid w:val="00933FEB"/>
    <w:rsid w:val="009341F1"/>
    <w:rsid w:val="00934897"/>
    <w:rsid w:val="00934B2A"/>
    <w:rsid w:val="00934C3C"/>
    <w:rsid w:val="00934FF2"/>
    <w:rsid w:val="00935448"/>
    <w:rsid w:val="00935524"/>
    <w:rsid w:val="009358D7"/>
    <w:rsid w:val="00935BD4"/>
    <w:rsid w:val="00935DFE"/>
    <w:rsid w:val="00935F70"/>
    <w:rsid w:val="009360FA"/>
    <w:rsid w:val="009361BA"/>
    <w:rsid w:val="0093648B"/>
    <w:rsid w:val="00937017"/>
    <w:rsid w:val="009373B2"/>
    <w:rsid w:val="00937AE2"/>
    <w:rsid w:val="00940207"/>
    <w:rsid w:val="0094061F"/>
    <w:rsid w:val="00940C37"/>
    <w:rsid w:val="00940F0F"/>
    <w:rsid w:val="00941912"/>
    <w:rsid w:val="00942A89"/>
    <w:rsid w:val="0094416B"/>
    <w:rsid w:val="0094427A"/>
    <w:rsid w:val="009449C6"/>
    <w:rsid w:val="00944C7C"/>
    <w:rsid w:val="00945245"/>
    <w:rsid w:val="0094537F"/>
    <w:rsid w:val="00945523"/>
    <w:rsid w:val="00946415"/>
    <w:rsid w:val="00946C43"/>
    <w:rsid w:val="00946FE0"/>
    <w:rsid w:val="009473BB"/>
    <w:rsid w:val="00947816"/>
    <w:rsid w:val="0094795E"/>
    <w:rsid w:val="00947C89"/>
    <w:rsid w:val="009507E6"/>
    <w:rsid w:val="00950921"/>
    <w:rsid w:val="00951D68"/>
    <w:rsid w:val="00951E5B"/>
    <w:rsid w:val="00952050"/>
    <w:rsid w:val="00952315"/>
    <w:rsid w:val="009523D9"/>
    <w:rsid w:val="00952B7B"/>
    <w:rsid w:val="00952BEF"/>
    <w:rsid w:val="0095357B"/>
    <w:rsid w:val="009538B3"/>
    <w:rsid w:val="0095408D"/>
    <w:rsid w:val="00954F39"/>
    <w:rsid w:val="00955554"/>
    <w:rsid w:val="009555FD"/>
    <w:rsid w:val="00955BAD"/>
    <w:rsid w:val="0095664B"/>
    <w:rsid w:val="009568DC"/>
    <w:rsid w:val="00956B8B"/>
    <w:rsid w:val="00956D75"/>
    <w:rsid w:val="00957140"/>
    <w:rsid w:val="00957445"/>
    <w:rsid w:val="0095759C"/>
    <w:rsid w:val="00960405"/>
    <w:rsid w:val="009618EE"/>
    <w:rsid w:val="0096195C"/>
    <w:rsid w:val="00961CB4"/>
    <w:rsid w:val="00961DDD"/>
    <w:rsid w:val="0096249D"/>
    <w:rsid w:val="009624D2"/>
    <w:rsid w:val="009628D9"/>
    <w:rsid w:val="00963171"/>
    <w:rsid w:val="009637AE"/>
    <w:rsid w:val="00963A06"/>
    <w:rsid w:val="00964068"/>
    <w:rsid w:val="009640F6"/>
    <w:rsid w:val="0096469D"/>
    <w:rsid w:val="00964776"/>
    <w:rsid w:val="00964A4E"/>
    <w:rsid w:val="00964B35"/>
    <w:rsid w:val="009651C7"/>
    <w:rsid w:val="00965797"/>
    <w:rsid w:val="00965A10"/>
    <w:rsid w:val="00965AD0"/>
    <w:rsid w:val="009664D8"/>
    <w:rsid w:val="009665AB"/>
    <w:rsid w:val="009670A3"/>
    <w:rsid w:val="009674BE"/>
    <w:rsid w:val="009678D1"/>
    <w:rsid w:val="00967E01"/>
    <w:rsid w:val="00970386"/>
    <w:rsid w:val="009709EE"/>
    <w:rsid w:val="00970FB5"/>
    <w:rsid w:val="00971195"/>
    <w:rsid w:val="00971710"/>
    <w:rsid w:val="00971B87"/>
    <w:rsid w:val="00971C77"/>
    <w:rsid w:val="0097203A"/>
    <w:rsid w:val="00972057"/>
    <w:rsid w:val="00972FCD"/>
    <w:rsid w:val="00973324"/>
    <w:rsid w:val="009736DF"/>
    <w:rsid w:val="009741AE"/>
    <w:rsid w:val="009741FC"/>
    <w:rsid w:val="00974520"/>
    <w:rsid w:val="0097452F"/>
    <w:rsid w:val="00974782"/>
    <w:rsid w:val="00974923"/>
    <w:rsid w:val="00974AA8"/>
    <w:rsid w:val="009753C9"/>
    <w:rsid w:val="009754D3"/>
    <w:rsid w:val="00975909"/>
    <w:rsid w:val="009763FC"/>
    <w:rsid w:val="0097768D"/>
    <w:rsid w:val="0097799F"/>
    <w:rsid w:val="00977C33"/>
    <w:rsid w:val="00977C3D"/>
    <w:rsid w:val="0098000C"/>
    <w:rsid w:val="00980D3D"/>
    <w:rsid w:val="00980F78"/>
    <w:rsid w:val="0098103E"/>
    <w:rsid w:val="0098157D"/>
    <w:rsid w:val="0098203B"/>
    <w:rsid w:val="009822D3"/>
    <w:rsid w:val="00983101"/>
    <w:rsid w:val="009834D2"/>
    <w:rsid w:val="0098371F"/>
    <w:rsid w:val="00983E41"/>
    <w:rsid w:val="0098417C"/>
    <w:rsid w:val="009845E1"/>
    <w:rsid w:val="00984600"/>
    <w:rsid w:val="009848D1"/>
    <w:rsid w:val="00984CE5"/>
    <w:rsid w:val="00984D1B"/>
    <w:rsid w:val="00984DF6"/>
    <w:rsid w:val="00986246"/>
    <w:rsid w:val="009864E3"/>
    <w:rsid w:val="009866EB"/>
    <w:rsid w:val="00987277"/>
    <w:rsid w:val="00987A30"/>
    <w:rsid w:val="00990197"/>
    <w:rsid w:val="00990312"/>
    <w:rsid w:val="009908AF"/>
    <w:rsid w:val="00990D4E"/>
    <w:rsid w:val="0099182E"/>
    <w:rsid w:val="00991D45"/>
    <w:rsid w:val="00992736"/>
    <w:rsid w:val="00992B49"/>
    <w:rsid w:val="00992BB3"/>
    <w:rsid w:val="00992CF3"/>
    <w:rsid w:val="00993194"/>
    <w:rsid w:val="0099321E"/>
    <w:rsid w:val="00993673"/>
    <w:rsid w:val="00993ECA"/>
    <w:rsid w:val="00994171"/>
    <w:rsid w:val="00994868"/>
    <w:rsid w:val="00994976"/>
    <w:rsid w:val="00994D28"/>
    <w:rsid w:val="00994F2C"/>
    <w:rsid w:val="00995720"/>
    <w:rsid w:val="009957CC"/>
    <w:rsid w:val="00995B3D"/>
    <w:rsid w:val="009968D6"/>
    <w:rsid w:val="00996D3F"/>
    <w:rsid w:val="009975A6"/>
    <w:rsid w:val="00997953"/>
    <w:rsid w:val="00997D55"/>
    <w:rsid w:val="009A049C"/>
    <w:rsid w:val="009A0BFF"/>
    <w:rsid w:val="009A10A0"/>
    <w:rsid w:val="009A12B7"/>
    <w:rsid w:val="009A1385"/>
    <w:rsid w:val="009A17FA"/>
    <w:rsid w:val="009A1CAB"/>
    <w:rsid w:val="009A1DA8"/>
    <w:rsid w:val="009A2188"/>
    <w:rsid w:val="009A2359"/>
    <w:rsid w:val="009A24F1"/>
    <w:rsid w:val="009A27E0"/>
    <w:rsid w:val="009A3126"/>
    <w:rsid w:val="009A3805"/>
    <w:rsid w:val="009A3E06"/>
    <w:rsid w:val="009A3E42"/>
    <w:rsid w:val="009A439F"/>
    <w:rsid w:val="009A4D57"/>
    <w:rsid w:val="009A51A5"/>
    <w:rsid w:val="009A5309"/>
    <w:rsid w:val="009A5759"/>
    <w:rsid w:val="009A5BA9"/>
    <w:rsid w:val="009A60D1"/>
    <w:rsid w:val="009A6225"/>
    <w:rsid w:val="009A64F5"/>
    <w:rsid w:val="009A6F53"/>
    <w:rsid w:val="009A7F8D"/>
    <w:rsid w:val="009B00D2"/>
    <w:rsid w:val="009B05B3"/>
    <w:rsid w:val="009B07C8"/>
    <w:rsid w:val="009B0CAF"/>
    <w:rsid w:val="009B1324"/>
    <w:rsid w:val="009B2558"/>
    <w:rsid w:val="009B284F"/>
    <w:rsid w:val="009B3742"/>
    <w:rsid w:val="009B3764"/>
    <w:rsid w:val="009B3840"/>
    <w:rsid w:val="009B39A8"/>
    <w:rsid w:val="009B4156"/>
    <w:rsid w:val="009B479C"/>
    <w:rsid w:val="009B52AC"/>
    <w:rsid w:val="009B553D"/>
    <w:rsid w:val="009B584D"/>
    <w:rsid w:val="009B59EA"/>
    <w:rsid w:val="009B5B6E"/>
    <w:rsid w:val="009B62A6"/>
    <w:rsid w:val="009B66CE"/>
    <w:rsid w:val="009B6F41"/>
    <w:rsid w:val="009B6FD3"/>
    <w:rsid w:val="009B72BE"/>
    <w:rsid w:val="009B78A4"/>
    <w:rsid w:val="009B7B0A"/>
    <w:rsid w:val="009B7DB2"/>
    <w:rsid w:val="009C0362"/>
    <w:rsid w:val="009C03DB"/>
    <w:rsid w:val="009C0832"/>
    <w:rsid w:val="009C13B7"/>
    <w:rsid w:val="009C1417"/>
    <w:rsid w:val="009C15AF"/>
    <w:rsid w:val="009C1750"/>
    <w:rsid w:val="009C175F"/>
    <w:rsid w:val="009C197C"/>
    <w:rsid w:val="009C29ED"/>
    <w:rsid w:val="009C2E29"/>
    <w:rsid w:val="009C3771"/>
    <w:rsid w:val="009C38F7"/>
    <w:rsid w:val="009C3E8F"/>
    <w:rsid w:val="009C4DBC"/>
    <w:rsid w:val="009C508E"/>
    <w:rsid w:val="009C554B"/>
    <w:rsid w:val="009C58B8"/>
    <w:rsid w:val="009C5E83"/>
    <w:rsid w:val="009C66F8"/>
    <w:rsid w:val="009C672B"/>
    <w:rsid w:val="009C67D7"/>
    <w:rsid w:val="009C7126"/>
    <w:rsid w:val="009C719E"/>
    <w:rsid w:val="009C7231"/>
    <w:rsid w:val="009C7782"/>
    <w:rsid w:val="009C7799"/>
    <w:rsid w:val="009D07A9"/>
    <w:rsid w:val="009D0AE2"/>
    <w:rsid w:val="009D0D9F"/>
    <w:rsid w:val="009D0EBB"/>
    <w:rsid w:val="009D10E7"/>
    <w:rsid w:val="009D1369"/>
    <w:rsid w:val="009D14D7"/>
    <w:rsid w:val="009D2C46"/>
    <w:rsid w:val="009D3ACD"/>
    <w:rsid w:val="009D4254"/>
    <w:rsid w:val="009D4F21"/>
    <w:rsid w:val="009D53AC"/>
    <w:rsid w:val="009D587D"/>
    <w:rsid w:val="009D6178"/>
    <w:rsid w:val="009D6EA6"/>
    <w:rsid w:val="009D7731"/>
    <w:rsid w:val="009D78C3"/>
    <w:rsid w:val="009E06B0"/>
    <w:rsid w:val="009E1120"/>
    <w:rsid w:val="009E1393"/>
    <w:rsid w:val="009E1922"/>
    <w:rsid w:val="009E1A3D"/>
    <w:rsid w:val="009E26A8"/>
    <w:rsid w:val="009E4715"/>
    <w:rsid w:val="009E4A35"/>
    <w:rsid w:val="009E4A58"/>
    <w:rsid w:val="009E5273"/>
    <w:rsid w:val="009E5685"/>
    <w:rsid w:val="009E57A8"/>
    <w:rsid w:val="009E5B85"/>
    <w:rsid w:val="009E5DDB"/>
    <w:rsid w:val="009E63CF"/>
    <w:rsid w:val="009E6FCB"/>
    <w:rsid w:val="009F032E"/>
    <w:rsid w:val="009F1CA6"/>
    <w:rsid w:val="009F1F17"/>
    <w:rsid w:val="009F2921"/>
    <w:rsid w:val="009F3063"/>
    <w:rsid w:val="009F324D"/>
    <w:rsid w:val="009F42CF"/>
    <w:rsid w:val="009F4982"/>
    <w:rsid w:val="009F4CA7"/>
    <w:rsid w:val="009F4F6A"/>
    <w:rsid w:val="009F55BA"/>
    <w:rsid w:val="009F5B8E"/>
    <w:rsid w:val="009F5F03"/>
    <w:rsid w:val="009F6AAF"/>
    <w:rsid w:val="009F6BF5"/>
    <w:rsid w:val="009F6CD1"/>
    <w:rsid w:val="009F7D36"/>
    <w:rsid w:val="009F7D61"/>
    <w:rsid w:val="00A00470"/>
    <w:rsid w:val="00A00E71"/>
    <w:rsid w:val="00A0187B"/>
    <w:rsid w:val="00A01F62"/>
    <w:rsid w:val="00A02317"/>
    <w:rsid w:val="00A02E8B"/>
    <w:rsid w:val="00A0306F"/>
    <w:rsid w:val="00A032CA"/>
    <w:rsid w:val="00A03306"/>
    <w:rsid w:val="00A03511"/>
    <w:rsid w:val="00A03B10"/>
    <w:rsid w:val="00A03E2E"/>
    <w:rsid w:val="00A04616"/>
    <w:rsid w:val="00A04717"/>
    <w:rsid w:val="00A05C51"/>
    <w:rsid w:val="00A05D8F"/>
    <w:rsid w:val="00A05EB1"/>
    <w:rsid w:val="00A05EE4"/>
    <w:rsid w:val="00A06E2D"/>
    <w:rsid w:val="00A06F99"/>
    <w:rsid w:val="00A102C3"/>
    <w:rsid w:val="00A1053B"/>
    <w:rsid w:val="00A10D66"/>
    <w:rsid w:val="00A113A4"/>
    <w:rsid w:val="00A124A0"/>
    <w:rsid w:val="00A12A8E"/>
    <w:rsid w:val="00A133F9"/>
    <w:rsid w:val="00A136B7"/>
    <w:rsid w:val="00A14114"/>
    <w:rsid w:val="00A141A7"/>
    <w:rsid w:val="00A141E8"/>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7DE"/>
    <w:rsid w:val="00A20FE1"/>
    <w:rsid w:val="00A2102F"/>
    <w:rsid w:val="00A21B4D"/>
    <w:rsid w:val="00A22073"/>
    <w:rsid w:val="00A223E0"/>
    <w:rsid w:val="00A22959"/>
    <w:rsid w:val="00A23158"/>
    <w:rsid w:val="00A232D7"/>
    <w:rsid w:val="00A23775"/>
    <w:rsid w:val="00A23847"/>
    <w:rsid w:val="00A23E43"/>
    <w:rsid w:val="00A24726"/>
    <w:rsid w:val="00A24DEB"/>
    <w:rsid w:val="00A24ED9"/>
    <w:rsid w:val="00A251DB"/>
    <w:rsid w:val="00A25216"/>
    <w:rsid w:val="00A2556A"/>
    <w:rsid w:val="00A2597D"/>
    <w:rsid w:val="00A25FC3"/>
    <w:rsid w:val="00A2628E"/>
    <w:rsid w:val="00A266BF"/>
    <w:rsid w:val="00A26777"/>
    <w:rsid w:val="00A269AB"/>
    <w:rsid w:val="00A26B56"/>
    <w:rsid w:val="00A26F8F"/>
    <w:rsid w:val="00A2731E"/>
    <w:rsid w:val="00A276E9"/>
    <w:rsid w:val="00A309AC"/>
    <w:rsid w:val="00A30EA4"/>
    <w:rsid w:val="00A30F65"/>
    <w:rsid w:val="00A3147A"/>
    <w:rsid w:val="00A315D0"/>
    <w:rsid w:val="00A3279E"/>
    <w:rsid w:val="00A336D2"/>
    <w:rsid w:val="00A33DB1"/>
    <w:rsid w:val="00A33EEB"/>
    <w:rsid w:val="00A348A1"/>
    <w:rsid w:val="00A351C8"/>
    <w:rsid w:val="00A35900"/>
    <w:rsid w:val="00A35F33"/>
    <w:rsid w:val="00A362F9"/>
    <w:rsid w:val="00A37311"/>
    <w:rsid w:val="00A401A3"/>
    <w:rsid w:val="00A40EAC"/>
    <w:rsid w:val="00A418BC"/>
    <w:rsid w:val="00A419FF"/>
    <w:rsid w:val="00A41FCF"/>
    <w:rsid w:val="00A428BA"/>
    <w:rsid w:val="00A42936"/>
    <w:rsid w:val="00A43CF8"/>
    <w:rsid w:val="00A43DF2"/>
    <w:rsid w:val="00A445A8"/>
    <w:rsid w:val="00A44B0D"/>
    <w:rsid w:val="00A44CB6"/>
    <w:rsid w:val="00A44D21"/>
    <w:rsid w:val="00A45087"/>
    <w:rsid w:val="00A45489"/>
    <w:rsid w:val="00A456C5"/>
    <w:rsid w:val="00A45731"/>
    <w:rsid w:val="00A45858"/>
    <w:rsid w:val="00A45CED"/>
    <w:rsid w:val="00A460FC"/>
    <w:rsid w:val="00A465E9"/>
    <w:rsid w:val="00A468E7"/>
    <w:rsid w:val="00A46D6E"/>
    <w:rsid w:val="00A46DE0"/>
    <w:rsid w:val="00A47240"/>
    <w:rsid w:val="00A478BA"/>
    <w:rsid w:val="00A5057A"/>
    <w:rsid w:val="00A50D73"/>
    <w:rsid w:val="00A518BB"/>
    <w:rsid w:val="00A51A9B"/>
    <w:rsid w:val="00A52A88"/>
    <w:rsid w:val="00A52CAD"/>
    <w:rsid w:val="00A53340"/>
    <w:rsid w:val="00A53FC7"/>
    <w:rsid w:val="00A55569"/>
    <w:rsid w:val="00A55C36"/>
    <w:rsid w:val="00A5661B"/>
    <w:rsid w:val="00A566A0"/>
    <w:rsid w:val="00A60005"/>
    <w:rsid w:val="00A601E7"/>
    <w:rsid w:val="00A60AC1"/>
    <w:rsid w:val="00A61944"/>
    <w:rsid w:val="00A61E5C"/>
    <w:rsid w:val="00A62162"/>
    <w:rsid w:val="00A626FF"/>
    <w:rsid w:val="00A627D7"/>
    <w:rsid w:val="00A62C71"/>
    <w:rsid w:val="00A62CE1"/>
    <w:rsid w:val="00A6428C"/>
    <w:rsid w:val="00A65469"/>
    <w:rsid w:val="00A65528"/>
    <w:rsid w:val="00A655D3"/>
    <w:rsid w:val="00A662D9"/>
    <w:rsid w:val="00A6630C"/>
    <w:rsid w:val="00A66AF5"/>
    <w:rsid w:val="00A6741E"/>
    <w:rsid w:val="00A67722"/>
    <w:rsid w:val="00A67E29"/>
    <w:rsid w:val="00A7016A"/>
    <w:rsid w:val="00A7018D"/>
    <w:rsid w:val="00A71215"/>
    <w:rsid w:val="00A716AC"/>
    <w:rsid w:val="00A7191D"/>
    <w:rsid w:val="00A722F9"/>
    <w:rsid w:val="00A723E3"/>
    <w:rsid w:val="00A72D42"/>
    <w:rsid w:val="00A73D1E"/>
    <w:rsid w:val="00A73D95"/>
    <w:rsid w:val="00A74158"/>
    <w:rsid w:val="00A746C9"/>
    <w:rsid w:val="00A74C2A"/>
    <w:rsid w:val="00A75E40"/>
    <w:rsid w:val="00A76818"/>
    <w:rsid w:val="00A77557"/>
    <w:rsid w:val="00A77B7D"/>
    <w:rsid w:val="00A77D1D"/>
    <w:rsid w:val="00A77E6B"/>
    <w:rsid w:val="00A800D7"/>
    <w:rsid w:val="00A809AD"/>
    <w:rsid w:val="00A81652"/>
    <w:rsid w:val="00A81A67"/>
    <w:rsid w:val="00A82BF0"/>
    <w:rsid w:val="00A82C91"/>
    <w:rsid w:val="00A82F4D"/>
    <w:rsid w:val="00A83150"/>
    <w:rsid w:val="00A83398"/>
    <w:rsid w:val="00A83D6E"/>
    <w:rsid w:val="00A83FA9"/>
    <w:rsid w:val="00A83FD5"/>
    <w:rsid w:val="00A84AF4"/>
    <w:rsid w:val="00A85001"/>
    <w:rsid w:val="00A8521A"/>
    <w:rsid w:val="00A852A2"/>
    <w:rsid w:val="00A85348"/>
    <w:rsid w:val="00A857C0"/>
    <w:rsid w:val="00A85ACB"/>
    <w:rsid w:val="00A85FBA"/>
    <w:rsid w:val="00A86901"/>
    <w:rsid w:val="00A8707C"/>
    <w:rsid w:val="00A87DF8"/>
    <w:rsid w:val="00A9036F"/>
    <w:rsid w:val="00A9092B"/>
    <w:rsid w:val="00A90F2C"/>
    <w:rsid w:val="00A90FED"/>
    <w:rsid w:val="00A91482"/>
    <w:rsid w:val="00A9189D"/>
    <w:rsid w:val="00A91E71"/>
    <w:rsid w:val="00A91EAD"/>
    <w:rsid w:val="00A925B1"/>
    <w:rsid w:val="00A92A3E"/>
    <w:rsid w:val="00A934F9"/>
    <w:rsid w:val="00A940E3"/>
    <w:rsid w:val="00A94983"/>
    <w:rsid w:val="00A94E67"/>
    <w:rsid w:val="00A94F63"/>
    <w:rsid w:val="00A94F87"/>
    <w:rsid w:val="00A9532C"/>
    <w:rsid w:val="00A95B8A"/>
    <w:rsid w:val="00A95F1A"/>
    <w:rsid w:val="00A96116"/>
    <w:rsid w:val="00A9614E"/>
    <w:rsid w:val="00A96422"/>
    <w:rsid w:val="00A96C0F"/>
    <w:rsid w:val="00A97075"/>
    <w:rsid w:val="00A975D7"/>
    <w:rsid w:val="00A97C59"/>
    <w:rsid w:val="00AA0E80"/>
    <w:rsid w:val="00AA16F4"/>
    <w:rsid w:val="00AA17CD"/>
    <w:rsid w:val="00AA1AAE"/>
    <w:rsid w:val="00AA1D85"/>
    <w:rsid w:val="00AA212B"/>
    <w:rsid w:val="00AA212F"/>
    <w:rsid w:val="00AA26A9"/>
    <w:rsid w:val="00AA2996"/>
    <w:rsid w:val="00AA2AF4"/>
    <w:rsid w:val="00AA314A"/>
    <w:rsid w:val="00AA4282"/>
    <w:rsid w:val="00AA43F2"/>
    <w:rsid w:val="00AA4790"/>
    <w:rsid w:val="00AA49E1"/>
    <w:rsid w:val="00AA52BF"/>
    <w:rsid w:val="00AA559A"/>
    <w:rsid w:val="00AA5667"/>
    <w:rsid w:val="00AA6C31"/>
    <w:rsid w:val="00AA6F9E"/>
    <w:rsid w:val="00AA7752"/>
    <w:rsid w:val="00AA7CE8"/>
    <w:rsid w:val="00AA7E0C"/>
    <w:rsid w:val="00AB02BD"/>
    <w:rsid w:val="00AB0596"/>
    <w:rsid w:val="00AB0680"/>
    <w:rsid w:val="00AB1457"/>
    <w:rsid w:val="00AB1ACD"/>
    <w:rsid w:val="00AB2AF1"/>
    <w:rsid w:val="00AB2D0F"/>
    <w:rsid w:val="00AB2F73"/>
    <w:rsid w:val="00AB32CB"/>
    <w:rsid w:val="00AB3AD7"/>
    <w:rsid w:val="00AB3BA7"/>
    <w:rsid w:val="00AB3EC7"/>
    <w:rsid w:val="00AB467A"/>
    <w:rsid w:val="00AB5297"/>
    <w:rsid w:val="00AB56E2"/>
    <w:rsid w:val="00AB5A64"/>
    <w:rsid w:val="00AB5CA1"/>
    <w:rsid w:val="00AB6456"/>
    <w:rsid w:val="00AB69DD"/>
    <w:rsid w:val="00AB75C5"/>
    <w:rsid w:val="00AB776E"/>
    <w:rsid w:val="00AC044E"/>
    <w:rsid w:val="00AC04B1"/>
    <w:rsid w:val="00AC1143"/>
    <w:rsid w:val="00AC1B53"/>
    <w:rsid w:val="00AC2118"/>
    <w:rsid w:val="00AC2395"/>
    <w:rsid w:val="00AC2960"/>
    <w:rsid w:val="00AC2A32"/>
    <w:rsid w:val="00AC2AC4"/>
    <w:rsid w:val="00AC3891"/>
    <w:rsid w:val="00AC4284"/>
    <w:rsid w:val="00AC45BD"/>
    <w:rsid w:val="00AC50BB"/>
    <w:rsid w:val="00AC5256"/>
    <w:rsid w:val="00AC6D17"/>
    <w:rsid w:val="00AC78F1"/>
    <w:rsid w:val="00AC7B96"/>
    <w:rsid w:val="00AD0B22"/>
    <w:rsid w:val="00AD0EE7"/>
    <w:rsid w:val="00AD146B"/>
    <w:rsid w:val="00AD14D3"/>
    <w:rsid w:val="00AD168E"/>
    <w:rsid w:val="00AD2E25"/>
    <w:rsid w:val="00AD306C"/>
    <w:rsid w:val="00AD449D"/>
    <w:rsid w:val="00AD44CD"/>
    <w:rsid w:val="00AD47A7"/>
    <w:rsid w:val="00AD47C0"/>
    <w:rsid w:val="00AD543F"/>
    <w:rsid w:val="00AD5AD2"/>
    <w:rsid w:val="00AD6462"/>
    <w:rsid w:val="00AD6634"/>
    <w:rsid w:val="00AD66C5"/>
    <w:rsid w:val="00AD68C4"/>
    <w:rsid w:val="00AD71F9"/>
    <w:rsid w:val="00AE09B3"/>
    <w:rsid w:val="00AE1579"/>
    <w:rsid w:val="00AE1A83"/>
    <w:rsid w:val="00AE2A78"/>
    <w:rsid w:val="00AE30BE"/>
    <w:rsid w:val="00AE38DD"/>
    <w:rsid w:val="00AE3E6A"/>
    <w:rsid w:val="00AE417E"/>
    <w:rsid w:val="00AE47CA"/>
    <w:rsid w:val="00AE5672"/>
    <w:rsid w:val="00AE56EE"/>
    <w:rsid w:val="00AE6414"/>
    <w:rsid w:val="00AE7269"/>
    <w:rsid w:val="00AE797C"/>
    <w:rsid w:val="00AE7CE7"/>
    <w:rsid w:val="00AE7FAB"/>
    <w:rsid w:val="00AF0DE4"/>
    <w:rsid w:val="00AF12A0"/>
    <w:rsid w:val="00AF1E87"/>
    <w:rsid w:val="00AF1F16"/>
    <w:rsid w:val="00AF2C3E"/>
    <w:rsid w:val="00AF422A"/>
    <w:rsid w:val="00AF436B"/>
    <w:rsid w:val="00AF5179"/>
    <w:rsid w:val="00AF5C91"/>
    <w:rsid w:val="00AF5CC2"/>
    <w:rsid w:val="00AF5F65"/>
    <w:rsid w:val="00AF660D"/>
    <w:rsid w:val="00AF6776"/>
    <w:rsid w:val="00AF6DB5"/>
    <w:rsid w:val="00AF6F98"/>
    <w:rsid w:val="00AF7277"/>
    <w:rsid w:val="00B00550"/>
    <w:rsid w:val="00B00913"/>
    <w:rsid w:val="00B00D4D"/>
    <w:rsid w:val="00B01593"/>
    <w:rsid w:val="00B01D0F"/>
    <w:rsid w:val="00B01FF9"/>
    <w:rsid w:val="00B0236E"/>
    <w:rsid w:val="00B023F2"/>
    <w:rsid w:val="00B026FE"/>
    <w:rsid w:val="00B0271F"/>
    <w:rsid w:val="00B02E10"/>
    <w:rsid w:val="00B0313F"/>
    <w:rsid w:val="00B03448"/>
    <w:rsid w:val="00B038CA"/>
    <w:rsid w:val="00B03A4C"/>
    <w:rsid w:val="00B04F7D"/>
    <w:rsid w:val="00B05F00"/>
    <w:rsid w:val="00B06DB4"/>
    <w:rsid w:val="00B070FA"/>
    <w:rsid w:val="00B0750D"/>
    <w:rsid w:val="00B07850"/>
    <w:rsid w:val="00B0799C"/>
    <w:rsid w:val="00B102CE"/>
    <w:rsid w:val="00B10A4D"/>
    <w:rsid w:val="00B10A5C"/>
    <w:rsid w:val="00B10ADC"/>
    <w:rsid w:val="00B10C90"/>
    <w:rsid w:val="00B11002"/>
    <w:rsid w:val="00B11117"/>
    <w:rsid w:val="00B1114F"/>
    <w:rsid w:val="00B121B2"/>
    <w:rsid w:val="00B131B1"/>
    <w:rsid w:val="00B135D1"/>
    <w:rsid w:val="00B141B6"/>
    <w:rsid w:val="00B14BC1"/>
    <w:rsid w:val="00B154DE"/>
    <w:rsid w:val="00B15591"/>
    <w:rsid w:val="00B15CAD"/>
    <w:rsid w:val="00B162C3"/>
    <w:rsid w:val="00B16960"/>
    <w:rsid w:val="00B16DD1"/>
    <w:rsid w:val="00B16EB8"/>
    <w:rsid w:val="00B1700A"/>
    <w:rsid w:val="00B176ED"/>
    <w:rsid w:val="00B17ACD"/>
    <w:rsid w:val="00B17B22"/>
    <w:rsid w:val="00B17E71"/>
    <w:rsid w:val="00B17FDE"/>
    <w:rsid w:val="00B20632"/>
    <w:rsid w:val="00B20F9F"/>
    <w:rsid w:val="00B21DE7"/>
    <w:rsid w:val="00B230DD"/>
    <w:rsid w:val="00B2379C"/>
    <w:rsid w:val="00B23D5D"/>
    <w:rsid w:val="00B23E6E"/>
    <w:rsid w:val="00B2450C"/>
    <w:rsid w:val="00B2687D"/>
    <w:rsid w:val="00B27178"/>
    <w:rsid w:val="00B27613"/>
    <w:rsid w:val="00B27CFE"/>
    <w:rsid w:val="00B27EC6"/>
    <w:rsid w:val="00B27EC7"/>
    <w:rsid w:val="00B30287"/>
    <w:rsid w:val="00B30C6B"/>
    <w:rsid w:val="00B3108D"/>
    <w:rsid w:val="00B31D2C"/>
    <w:rsid w:val="00B32DDB"/>
    <w:rsid w:val="00B32F57"/>
    <w:rsid w:val="00B3345C"/>
    <w:rsid w:val="00B33776"/>
    <w:rsid w:val="00B33D14"/>
    <w:rsid w:val="00B343C4"/>
    <w:rsid w:val="00B34528"/>
    <w:rsid w:val="00B34750"/>
    <w:rsid w:val="00B34CC8"/>
    <w:rsid w:val="00B34CC9"/>
    <w:rsid w:val="00B34CDA"/>
    <w:rsid w:val="00B35160"/>
    <w:rsid w:val="00B3563B"/>
    <w:rsid w:val="00B357C2"/>
    <w:rsid w:val="00B36AEB"/>
    <w:rsid w:val="00B36BDC"/>
    <w:rsid w:val="00B3732D"/>
    <w:rsid w:val="00B37C63"/>
    <w:rsid w:val="00B37D3A"/>
    <w:rsid w:val="00B37D96"/>
    <w:rsid w:val="00B402FC"/>
    <w:rsid w:val="00B4037D"/>
    <w:rsid w:val="00B40B4C"/>
    <w:rsid w:val="00B411B8"/>
    <w:rsid w:val="00B42271"/>
    <w:rsid w:val="00B422E2"/>
    <w:rsid w:val="00B42517"/>
    <w:rsid w:val="00B425D5"/>
    <w:rsid w:val="00B42902"/>
    <w:rsid w:val="00B42D5F"/>
    <w:rsid w:val="00B43216"/>
    <w:rsid w:val="00B439DA"/>
    <w:rsid w:val="00B43B6C"/>
    <w:rsid w:val="00B4411A"/>
    <w:rsid w:val="00B4489D"/>
    <w:rsid w:val="00B4594C"/>
    <w:rsid w:val="00B45FE4"/>
    <w:rsid w:val="00B45FE8"/>
    <w:rsid w:val="00B46604"/>
    <w:rsid w:val="00B46674"/>
    <w:rsid w:val="00B46BE1"/>
    <w:rsid w:val="00B47089"/>
    <w:rsid w:val="00B474DB"/>
    <w:rsid w:val="00B47587"/>
    <w:rsid w:val="00B47DC0"/>
    <w:rsid w:val="00B506A4"/>
    <w:rsid w:val="00B51176"/>
    <w:rsid w:val="00B5150A"/>
    <w:rsid w:val="00B52151"/>
    <w:rsid w:val="00B524CB"/>
    <w:rsid w:val="00B52673"/>
    <w:rsid w:val="00B530CD"/>
    <w:rsid w:val="00B534CE"/>
    <w:rsid w:val="00B53639"/>
    <w:rsid w:val="00B53B66"/>
    <w:rsid w:val="00B53C7D"/>
    <w:rsid w:val="00B53E56"/>
    <w:rsid w:val="00B55311"/>
    <w:rsid w:val="00B55946"/>
    <w:rsid w:val="00B55A97"/>
    <w:rsid w:val="00B55F5E"/>
    <w:rsid w:val="00B5601B"/>
    <w:rsid w:val="00B5642C"/>
    <w:rsid w:val="00B5658D"/>
    <w:rsid w:val="00B56B6F"/>
    <w:rsid w:val="00B5752E"/>
    <w:rsid w:val="00B57ED2"/>
    <w:rsid w:val="00B60AC1"/>
    <w:rsid w:val="00B60AE2"/>
    <w:rsid w:val="00B60BBF"/>
    <w:rsid w:val="00B60FA7"/>
    <w:rsid w:val="00B61FF6"/>
    <w:rsid w:val="00B62316"/>
    <w:rsid w:val="00B6274C"/>
    <w:rsid w:val="00B63A11"/>
    <w:rsid w:val="00B64425"/>
    <w:rsid w:val="00B64585"/>
    <w:rsid w:val="00B646CA"/>
    <w:rsid w:val="00B64C24"/>
    <w:rsid w:val="00B64E72"/>
    <w:rsid w:val="00B654E3"/>
    <w:rsid w:val="00B65CEF"/>
    <w:rsid w:val="00B6608F"/>
    <w:rsid w:val="00B663A1"/>
    <w:rsid w:val="00B6718D"/>
    <w:rsid w:val="00B674C7"/>
    <w:rsid w:val="00B67749"/>
    <w:rsid w:val="00B679FB"/>
    <w:rsid w:val="00B71982"/>
    <w:rsid w:val="00B71A8D"/>
    <w:rsid w:val="00B71FBF"/>
    <w:rsid w:val="00B72DD9"/>
    <w:rsid w:val="00B734A0"/>
    <w:rsid w:val="00B73A14"/>
    <w:rsid w:val="00B73FE8"/>
    <w:rsid w:val="00B7463A"/>
    <w:rsid w:val="00B748BD"/>
    <w:rsid w:val="00B74964"/>
    <w:rsid w:val="00B7497E"/>
    <w:rsid w:val="00B74F38"/>
    <w:rsid w:val="00B756C5"/>
    <w:rsid w:val="00B76100"/>
    <w:rsid w:val="00B7680F"/>
    <w:rsid w:val="00B76A49"/>
    <w:rsid w:val="00B76B48"/>
    <w:rsid w:val="00B76D1E"/>
    <w:rsid w:val="00B77543"/>
    <w:rsid w:val="00B77584"/>
    <w:rsid w:val="00B77E34"/>
    <w:rsid w:val="00B77E52"/>
    <w:rsid w:val="00B77ED4"/>
    <w:rsid w:val="00B77F8B"/>
    <w:rsid w:val="00B80D44"/>
    <w:rsid w:val="00B80D89"/>
    <w:rsid w:val="00B80EC6"/>
    <w:rsid w:val="00B8104B"/>
    <w:rsid w:val="00B81288"/>
    <w:rsid w:val="00B81D70"/>
    <w:rsid w:val="00B82A5F"/>
    <w:rsid w:val="00B82C5E"/>
    <w:rsid w:val="00B833B9"/>
    <w:rsid w:val="00B83AAF"/>
    <w:rsid w:val="00B83BF4"/>
    <w:rsid w:val="00B83E07"/>
    <w:rsid w:val="00B84CF6"/>
    <w:rsid w:val="00B85016"/>
    <w:rsid w:val="00B8561A"/>
    <w:rsid w:val="00B862C3"/>
    <w:rsid w:val="00B86628"/>
    <w:rsid w:val="00B86643"/>
    <w:rsid w:val="00B868F7"/>
    <w:rsid w:val="00B86EB1"/>
    <w:rsid w:val="00B871A7"/>
    <w:rsid w:val="00B873ED"/>
    <w:rsid w:val="00B90131"/>
    <w:rsid w:val="00B90359"/>
    <w:rsid w:val="00B92200"/>
    <w:rsid w:val="00B92951"/>
    <w:rsid w:val="00B92D1D"/>
    <w:rsid w:val="00B92D7E"/>
    <w:rsid w:val="00B930CE"/>
    <w:rsid w:val="00B938C5"/>
    <w:rsid w:val="00B939CD"/>
    <w:rsid w:val="00B93FCD"/>
    <w:rsid w:val="00B940A8"/>
    <w:rsid w:val="00B94A14"/>
    <w:rsid w:val="00B94A46"/>
    <w:rsid w:val="00B9554A"/>
    <w:rsid w:val="00B95720"/>
    <w:rsid w:val="00B95940"/>
    <w:rsid w:val="00B95ACA"/>
    <w:rsid w:val="00B95C12"/>
    <w:rsid w:val="00B96D74"/>
    <w:rsid w:val="00B96EE5"/>
    <w:rsid w:val="00B9720E"/>
    <w:rsid w:val="00B973F1"/>
    <w:rsid w:val="00B97ACC"/>
    <w:rsid w:val="00B97F3A"/>
    <w:rsid w:val="00B97FE2"/>
    <w:rsid w:val="00BA0E0B"/>
    <w:rsid w:val="00BA15D7"/>
    <w:rsid w:val="00BA201A"/>
    <w:rsid w:val="00BA21DF"/>
    <w:rsid w:val="00BA29B7"/>
    <w:rsid w:val="00BA31CC"/>
    <w:rsid w:val="00BA361D"/>
    <w:rsid w:val="00BA3787"/>
    <w:rsid w:val="00BA403A"/>
    <w:rsid w:val="00BA46E8"/>
    <w:rsid w:val="00BA49DB"/>
    <w:rsid w:val="00BA4AE9"/>
    <w:rsid w:val="00BA4E19"/>
    <w:rsid w:val="00BA5125"/>
    <w:rsid w:val="00BA6436"/>
    <w:rsid w:val="00BA64F2"/>
    <w:rsid w:val="00BA684E"/>
    <w:rsid w:val="00BA6C2B"/>
    <w:rsid w:val="00BA7B64"/>
    <w:rsid w:val="00BB02A3"/>
    <w:rsid w:val="00BB0351"/>
    <w:rsid w:val="00BB15C3"/>
    <w:rsid w:val="00BB1AF4"/>
    <w:rsid w:val="00BB2202"/>
    <w:rsid w:val="00BB25E8"/>
    <w:rsid w:val="00BB286B"/>
    <w:rsid w:val="00BB2BA1"/>
    <w:rsid w:val="00BB3340"/>
    <w:rsid w:val="00BB3AA1"/>
    <w:rsid w:val="00BB3C6B"/>
    <w:rsid w:val="00BB3FD6"/>
    <w:rsid w:val="00BB453F"/>
    <w:rsid w:val="00BB46F3"/>
    <w:rsid w:val="00BB4A71"/>
    <w:rsid w:val="00BB4CB1"/>
    <w:rsid w:val="00BB4E47"/>
    <w:rsid w:val="00BB4F98"/>
    <w:rsid w:val="00BB50C0"/>
    <w:rsid w:val="00BB5AB2"/>
    <w:rsid w:val="00BB5ABF"/>
    <w:rsid w:val="00BB5F94"/>
    <w:rsid w:val="00BB61E1"/>
    <w:rsid w:val="00BB6EA2"/>
    <w:rsid w:val="00BB6EE5"/>
    <w:rsid w:val="00BB7142"/>
    <w:rsid w:val="00BB76F3"/>
    <w:rsid w:val="00BB7B5B"/>
    <w:rsid w:val="00BB7EB1"/>
    <w:rsid w:val="00BC003F"/>
    <w:rsid w:val="00BC06AA"/>
    <w:rsid w:val="00BC0930"/>
    <w:rsid w:val="00BC0B14"/>
    <w:rsid w:val="00BC1119"/>
    <w:rsid w:val="00BC1293"/>
    <w:rsid w:val="00BC1C44"/>
    <w:rsid w:val="00BC223A"/>
    <w:rsid w:val="00BC3204"/>
    <w:rsid w:val="00BC327F"/>
    <w:rsid w:val="00BC3512"/>
    <w:rsid w:val="00BC4B35"/>
    <w:rsid w:val="00BC4C38"/>
    <w:rsid w:val="00BC4D3E"/>
    <w:rsid w:val="00BC50BE"/>
    <w:rsid w:val="00BC5332"/>
    <w:rsid w:val="00BC5715"/>
    <w:rsid w:val="00BC5AC1"/>
    <w:rsid w:val="00BC5B14"/>
    <w:rsid w:val="00BC5C12"/>
    <w:rsid w:val="00BC641B"/>
    <w:rsid w:val="00BC69EE"/>
    <w:rsid w:val="00BC7154"/>
    <w:rsid w:val="00BC731E"/>
    <w:rsid w:val="00BC7614"/>
    <w:rsid w:val="00BC7941"/>
    <w:rsid w:val="00BC7EFA"/>
    <w:rsid w:val="00BD041B"/>
    <w:rsid w:val="00BD163B"/>
    <w:rsid w:val="00BD25BB"/>
    <w:rsid w:val="00BD2AF8"/>
    <w:rsid w:val="00BD366B"/>
    <w:rsid w:val="00BD3C09"/>
    <w:rsid w:val="00BD410B"/>
    <w:rsid w:val="00BD49B1"/>
    <w:rsid w:val="00BD4A73"/>
    <w:rsid w:val="00BD4EDD"/>
    <w:rsid w:val="00BD4EF4"/>
    <w:rsid w:val="00BD505B"/>
    <w:rsid w:val="00BD6659"/>
    <w:rsid w:val="00BD6C75"/>
    <w:rsid w:val="00BD6D50"/>
    <w:rsid w:val="00BD7105"/>
    <w:rsid w:val="00BD73D2"/>
    <w:rsid w:val="00BE08AB"/>
    <w:rsid w:val="00BE0AD1"/>
    <w:rsid w:val="00BE0DDA"/>
    <w:rsid w:val="00BE0EF9"/>
    <w:rsid w:val="00BE10A1"/>
    <w:rsid w:val="00BE18B9"/>
    <w:rsid w:val="00BE190A"/>
    <w:rsid w:val="00BE23BE"/>
    <w:rsid w:val="00BE2495"/>
    <w:rsid w:val="00BE24DD"/>
    <w:rsid w:val="00BE34BB"/>
    <w:rsid w:val="00BE386D"/>
    <w:rsid w:val="00BE425E"/>
    <w:rsid w:val="00BE4DA9"/>
    <w:rsid w:val="00BE4E2F"/>
    <w:rsid w:val="00BE54BF"/>
    <w:rsid w:val="00BE557B"/>
    <w:rsid w:val="00BE55EF"/>
    <w:rsid w:val="00BE652B"/>
    <w:rsid w:val="00BE7F5F"/>
    <w:rsid w:val="00BF02C8"/>
    <w:rsid w:val="00BF1578"/>
    <w:rsid w:val="00BF15CA"/>
    <w:rsid w:val="00BF1D12"/>
    <w:rsid w:val="00BF1D3A"/>
    <w:rsid w:val="00BF2B5B"/>
    <w:rsid w:val="00BF2D41"/>
    <w:rsid w:val="00BF3274"/>
    <w:rsid w:val="00BF32DC"/>
    <w:rsid w:val="00BF35C9"/>
    <w:rsid w:val="00BF4329"/>
    <w:rsid w:val="00BF4E43"/>
    <w:rsid w:val="00BF5759"/>
    <w:rsid w:val="00BF5C4C"/>
    <w:rsid w:val="00BF63D6"/>
    <w:rsid w:val="00BF6E0F"/>
    <w:rsid w:val="00BF765C"/>
    <w:rsid w:val="00BF77FC"/>
    <w:rsid w:val="00BF7BA0"/>
    <w:rsid w:val="00C006D6"/>
    <w:rsid w:val="00C00BD7"/>
    <w:rsid w:val="00C01410"/>
    <w:rsid w:val="00C024BB"/>
    <w:rsid w:val="00C02B1B"/>
    <w:rsid w:val="00C02D23"/>
    <w:rsid w:val="00C03D4D"/>
    <w:rsid w:val="00C04293"/>
    <w:rsid w:val="00C044F4"/>
    <w:rsid w:val="00C04B78"/>
    <w:rsid w:val="00C04DD9"/>
    <w:rsid w:val="00C052AA"/>
    <w:rsid w:val="00C05F0A"/>
    <w:rsid w:val="00C06EE3"/>
    <w:rsid w:val="00C07279"/>
    <w:rsid w:val="00C07321"/>
    <w:rsid w:val="00C07749"/>
    <w:rsid w:val="00C07C2F"/>
    <w:rsid w:val="00C07C67"/>
    <w:rsid w:val="00C10805"/>
    <w:rsid w:val="00C10D44"/>
    <w:rsid w:val="00C11244"/>
    <w:rsid w:val="00C118A9"/>
    <w:rsid w:val="00C11D48"/>
    <w:rsid w:val="00C11DB5"/>
    <w:rsid w:val="00C12304"/>
    <w:rsid w:val="00C12316"/>
    <w:rsid w:val="00C1246C"/>
    <w:rsid w:val="00C128D4"/>
    <w:rsid w:val="00C129BB"/>
    <w:rsid w:val="00C13870"/>
    <w:rsid w:val="00C13D5D"/>
    <w:rsid w:val="00C1493E"/>
    <w:rsid w:val="00C15537"/>
    <w:rsid w:val="00C15DBD"/>
    <w:rsid w:val="00C161C5"/>
    <w:rsid w:val="00C172F7"/>
    <w:rsid w:val="00C2010D"/>
    <w:rsid w:val="00C20366"/>
    <w:rsid w:val="00C20CB5"/>
    <w:rsid w:val="00C21430"/>
    <w:rsid w:val="00C216DF"/>
    <w:rsid w:val="00C21E61"/>
    <w:rsid w:val="00C21F94"/>
    <w:rsid w:val="00C224BD"/>
    <w:rsid w:val="00C22576"/>
    <w:rsid w:val="00C2272B"/>
    <w:rsid w:val="00C234DB"/>
    <w:rsid w:val="00C23C5C"/>
    <w:rsid w:val="00C2479A"/>
    <w:rsid w:val="00C24903"/>
    <w:rsid w:val="00C25026"/>
    <w:rsid w:val="00C25099"/>
    <w:rsid w:val="00C250FA"/>
    <w:rsid w:val="00C255FB"/>
    <w:rsid w:val="00C2590D"/>
    <w:rsid w:val="00C25D9C"/>
    <w:rsid w:val="00C26086"/>
    <w:rsid w:val="00C268A9"/>
    <w:rsid w:val="00C27197"/>
    <w:rsid w:val="00C27913"/>
    <w:rsid w:val="00C27E64"/>
    <w:rsid w:val="00C27FA7"/>
    <w:rsid w:val="00C300E2"/>
    <w:rsid w:val="00C31010"/>
    <w:rsid w:val="00C313BF"/>
    <w:rsid w:val="00C31B80"/>
    <w:rsid w:val="00C31F21"/>
    <w:rsid w:val="00C32498"/>
    <w:rsid w:val="00C32631"/>
    <w:rsid w:val="00C327D8"/>
    <w:rsid w:val="00C32807"/>
    <w:rsid w:val="00C33301"/>
    <w:rsid w:val="00C33311"/>
    <w:rsid w:val="00C33B68"/>
    <w:rsid w:val="00C34AD4"/>
    <w:rsid w:val="00C34F2F"/>
    <w:rsid w:val="00C353AF"/>
    <w:rsid w:val="00C35570"/>
    <w:rsid w:val="00C3579B"/>
    <w:rsid w:val="00C35A2A"/>
    <w:rsid w:val="00C36A79"/>
    <w:rsid w:val="00C3707B"/>
    <w:rsid w:val="00C3788D"/>
    <w:rsid w:val="00C401A9"/>
    <w:rsid w:val="00C401D2"/>
    <w:rsid w:val="00C4031A"/>
    <w:rsid w:val="00C405D4"/>
    <w:rsid w:val="00C40996"/>
    <w:rsid w:val="00C419D5"/>
    <w:rsid w:val="00C41D54"/>
    <w:rsid w:val="00C42129"/>
    <w:rsid w:val="00C42766"/>
    <w:rsid w:val="00C42812"/>
    <w:rsid w:val="00C42EBB"/>
    <w:rsid w:val="00C435E8"/>
    <w:rsid w:val="00C43891"/>
    <w:rsid w:val="00C446AC"/>
    <w:rsid w:val="00C44DB6"/>
    <w:rsid w:val="00C4513B"/>
    <w:rsid w:val="00C46417"/>
    <w:rsid w:val="00C475E8"/>
    <w:rsid w:val="00C50ACF"/>
    <w:rsid w:val="00C50B94"/>
    <w:rsid w:val="00C50E79"/>
    <w:rsid w:val="00C514D1"/>
    <w:rsid w:val="00C5197D"/>
    <w:rsid w:val="00C521F5"/>
    <w:rsid w:val="00C525FB"/>
    <w:rsid w:val="00C527AD"/>
    <w:rsid w:val="00C5390B"/>
    <w:rsid w:val="00C53E3B"/>
    <w:rsid w:val="00C540D3"/>
    <w:rsid w:val="00C54257"/>
    <w:rsid w:val="00C54549"/>
    <w:rsid w:val="00C5459D"/>
    <w:rsid w:val="00C54697"/>
    <w:rsid w:val="00C550CE"/>
    <w:rsid w:val="00C553A5"/>
    <w:rsid w:val="00C55402"/>
    <w:rsid w:val="00C5603B"/>
    <w:rsid w:val="00C56423"/>
    <w:rsid w:val="00C56E94"/>
    <w:rsid w:val="00C56F92"/>
    <w:rsid w:val="00C571EE"/>
    <w:rsid w:val="00C57EC0"/>
    <w:rsid w:val="00C6020C"/>
    <w:rsid w:val="00C60AE3"/>
    <w:rsid w:val="00C617B8"/>
    <w:rsid w:val="00C61F47"/>
    <w:rsid w:val="00C6270E"/>
    <w:rsid w:val="00C62828"/>
    <w:rsid w:val="00C62B91"/>
    <w:rsid w:val="00C63132"/>
    <w:rsid w:val="00C647D0"/>
    <w:rsid w:val="00C653D5"/>
    <w:rsid w:val="00C654A5"/>
    <w:rsid w:val="00C655DA"/>
    <w:rsid w:val="00C6689D"/>
    <w:rsid w:val="00C672C1"/>
    <w:rsid w:val="00C67519"/>
    <w:rsid w:val="00C676BD"/>
    <w:rsid w:val="00C67C7F"/>
    <w:rsid w:val="00C706D2"/>
    <w:rsid w:val="00C715CC"/>
    <w:rsid w:val="00C719A3"/>
    <w:rsid w:val="00C71D2F"/>
    <w:rsid w:val="00C7245F"/>
    <w:rsid w:val="00C72984"/>
    <w:rsid w:val="00C72BC7"/>
    <w:rsid w:val="00C733B3"/>
    <w:rsid w:val="00C737F1"/>
    <w:rsid w:val="00C73885"/>
    <w:rsid w:val="00C73C93"/>
    <w:rsid w:val="00C73F7B"/>
    <w:rsid w:val="00C7435A"/>
    <w:rsid w:val="00C747B1"/>
    <w:rsid w:val="00C74F69"/>
    <w:rsid w:val="00C750B9"/>
    <w:rsid w:val="00C75510"/>
    <w:rsid w:val="00C755F9"/>
    <w:rsid w:val="00C75752"/>
    <w:rsid w:val="00C75B60"/>
    <w:rsid w:val="00C76025"/>
    <w:rsid w:val="00C761EC"/>
    <w:rsid w:val="00C76249"/>
    <w:rsid w:val="00C76323"/>
    <w:rsid w:val="00C770C9"/>
    <w:rsid w:val="00C8019E"/>
    <w:rsid w:val="00C80E36"/>
    <w:rsid w:val="00C81070"/>
    <w:rsid w:val="00C8174E"/>
    <w:rsid w:val="00C82191"/>
    <w:rsid w:val="00C82FBE"/>
    <w:rsid w:val="00C83134"/>
    <w:rsid w:val="00C831E7"/>
    <w:rsid w:val="00C83205"/>
    <w:rsid w:val="00C832F3"/>
    <w:rsid w:val="00C84307"/>
    <w:rsid w:val="00C845A4"/>
    <w:rsid w:val="00C84D26"/>
    <w:rsid w:val="00C8504C"/>
    <w:rsid w:val="00C85127"/>
    <w:rsid w:val="00C85545"/>
    <w:rsid w:val="00C855B5"/>
    <w:rsid w:val="00C85F0E"/>
    <w:rsid w:val="00C8602D"/>
    <w:rsid w:val="00C862C1"/>
    <w:rsid w:val="00C864E9"/>
    <w:rsid w:val="00C867F9"/>
    <w:rsid w:val="00C872AA"/>
    <w:rsid w:val="00C87C6B"/>
    <w:rsid w:val="00C90357"/>
    <w:rsid w:val="00C9079E"/>
    <w:rsid w:val="00C90CF4"/>
    <w:rsid w:val="00C90F18"/>
    <w:rsid w:val="00C910F8"/>
    <w:rsid w:val="00C91C20"/>
    <w:rsid w:val="00C922DE"/>
    <w:rsid w:val="00C92843"/>
    <w:rsid w:val="00C929FE"/>
    <w:rsid w:val="00C92EB6"/>
    <w:rsid w:val="00C93389"/>
    <w:rsid w:val="00C94607"/>
    <w:rsid w:val="00C948E6"/>
    <w:rsid w:val="00C94CDD"/>
    <w:rsid w:val="00C95123"/>
    <w:rsid w:val="00C97588"/>
    <w:rsid w:val="00CA0346"/>
    <w:rsid w:val="00CA0649"/>
    <w:rsid w:val="00CA0BD5"/>
    <w:rsid w:val="00CA0DA1"/>
    <w:rsid w:val="00CA10A4"/>
    <w:rsid w:val="00CA1BD6"/>
    <w:rsid w:val="00CA2D95"/>
    <w:rsid w:val="00CA37FF"/>
    <w:rsid w:val="00CA423A"/>
    <w:rsid w:val="00CA47BC"/>
    <w:rsid w:val="00CA48CF"/>
    <w:rsid w:val="00CA4D2D"/>
    <w:rsid w:val="00CA5580"/>
    <w:rsid w:val="00CA5CB3"/>
    <w:rsid w:val="00CA5EAD"/>
    <w:rsid w:val="00CA61CF"/>
    <w:rsid w:val="00CA620E"/>
    <w:rsid w:val="00CA66FE"/>
    <w:rsid w:val="00CA6AB4"/>
    <w:rsid w:val="00CA7255"/>
    <w:rsid w:val="00CA79E2"/>
    <w:rsid w:val="00CA7E12"/>
    <w:rsid w:val="00CB01F1"/>
    <w:rsid w:val="00CB0E44"/>
    <w:rsid w:val="00CB111E"/>
    <w:rsid w:val="00CB183C"/>
    <w:rsid w:val="00CB18B2"/>
    <w:rsid w:val="00CB1BEE"/>
    <w:rsid w:val="00CB2351"/>
    <w:rsid w:val="00CB2BF7"/>
    <w:rsid w:val="00CB3210"/>
    <w:rsid w:val="00CB3605"/>
    <w:rsid w:val="00CB4022"/>
    <w:rsid w:val="00CB404F"/>
    <w:rsid w:val="00CB4257"/>
    <w:rsid w:val="00CB4930"/>
    <w:rsid w:val="00CB4BA9"/>
    <w:rsid w:val="00CB4C48"/>
    <w:rsid w:val="00CB4C63"/>
    <w:rsid w:val="00CB4F93"/>
    <w:rsid w:val="00CB55F7"/>
    <w:rsid w:val="00CB5A48"/>
    <w:rsid w:val="00CB5E10"/>
    <w:rsid w:val="00CB613B"/>
    <w:rsid w:val="00CB6152"/>
    <w:rsid w:val="00CB64E1"/>
    <w:rsid w:val="00CB6C6F"/>
    <w:rsid w:val="00CB6E4D"/>
    <w:rsid w:val="00CB70E1"/>
    <w:rsid w:val="00CC009B"/>
    <w:rsid w:val="00CC0834"/>
    <w:rsid w:val="00CC0AEA"/>
    <w:rsid w:val="00CC0B00"/>
    <w:rsid w:val="00CC0E6A"/>
    <w:rsid w:val="00CC20FE"/>
    <w:rsid w:val="00CC210D"/>
    <w:rsid w:val="00CC225C"/>
    <w:rsid w:val="00CC2E7D"/>
    <w:rsid w:val="00CC4029"/>
    <w:rsid w:val="00CC425E"/>
    <w:rsid w:val="00CC44A3"/>
    <w:rsid w:val="00CC469E"/>
    <w:rsid w:val="00CC58E9"/>
    <w:rsid w:val="00CC5A69"/>
    <w:rsid w:val="00CC5BE8"/>
    <w:rsid w:val="00CC612B"/>
    <w:rsid w:val="00CC655F"/>
    <w:rsid w:val="00CC66F9"/>
    <w:rsid w:val="00CC6C2A"/>
    <w:rsid w:val="00CC6FE5"/>
    <w:rsid w:val="00CC7458"/>
    <w:rsid w:val="00CC76BD"/>
    <w:rsid w:val="00CC7866"/>
    <w:rsid w:val="00CC7A87"/>
    <w:rsid w:val="00CD0373"/>
    <w:rsid w:val="00CD08BF"/>
    <w:rsid w:val="00CD0B7E"/>
    <w:rsid w:val="00CD0D6B"/>
    <w:rsid w:val="00CD0F56"/>
    <w:rsid w:val="00CD1060"/>
    <w:rsid w:val="00CD10A5"/>
    <w:rsid w:val="00CD1129"/>
    <w:rsid w:val="00CD1A80"/>
    <w:rsid w:val="00CD1CB5"/>
    <w:rsid w:val="00CD1F87"/>
    <w:rsid w:val="00CD2076"/>
    <w:rsid w:val="00CD2197"/>
    <w:rsid w:val="00CD24CE"/>
    <w:rsid w:val="00CD255B"/>
    <w:rsid w:val="00CD284C"/>
    <w:rsid w:val="00CD29B5"/>
    <w:rsid w:val="00CD2B78"/>
    <w:rsid w:val="00CD3866"/>
    <w:rsid w:val="00CD3909"/>
    <w:rsid w:val="00CD3D33"/>
    <w:rsid w:val="00CD3FAB"/>
    <w:rsid w:val="00CD5456"/>
    <w:rsid w:val="00CD5C3E"/>
    <w:rsid w:val="00CD5C57"/>
    <w:rsid w:val="00CD5EE0"/>
    <w:rsid w:val="00CD6331"/>
    <w:rsid w:val="00CD6EB2"/>
    <w:rsid w:val="00CD7783"/>
    <w:rsid w:val="00CD7E9E"/>
    <w:rsid w:val="00CE01DC"/>
    <w:rsid w:val="00CE0CB0"/>
    <w:rsid w:val="00CE12FB"/>
    <w:rsid w:val="00CE14BE"/>
    <w:rsid w:val="00CE17A4"/>
    <w:rsid w:val="00CE1BA9"/>
    <w:rsid w:val="00CE2D8F"/>
    <w:rsid w:val="00CE2DC6"/>
    <w:rsid w:val="00CE30D0"/>
    <w:rsid w:val="00CE3532"/>
    <w:rsid w:val="00CE35A8"/>
    <w:rsid w:val="00CE3770"/>
    <w:rsid w:val="00CE3E48"/>
    <w:rsid w:val="00CE46C0"/>
    <w:rsid w:val="00CE47B8"/>
    <w:rsid w:val="00CE54FD"/>
    <w:rsid w:val="00CE5C3F"/>
    <w:rsid w:val="00CE5C92"/>
    <w:rsid w:val="00CE5E12"/>
    <w:rsid w:val="00CE6065"/>
    <w:rsid w:val="00CE60F1"/>
    <w:rsid w:val="00CE62FA"/>
    <w:rsid w:val="00CE670B"/>
    <w:rsid w:val="00CE6833"/>
    <w:rsid w:val="00CE6992"/>
    <w:rsid w:val="00CE6D92"/>
    <w:rsid w:val="00CE7562"/>
    <w:rsid w:val="00CE75F3"/>
    <w:rsid w:val="00CF020B"/>
    <w:rsid w:val="00CF0E03"/>
    <w:rsid w:val="00CF1184"/>
    <w:rsid w:val="00CF15BF"/>
    <w:rsid w:val="00CF192F"/>
    <w:rsid w:val="00CF2A1B"/>
    <w:rsid w:val="00CF2E4D"/>
    <w:rsid w:val="00CF2EFC"/>
    <w:rsid w:val="00CF3486"/>
    <w:rsid w:val="00CF34C9"/>
    <w:rsid w:val="00CF35A7"/>
    <w:rsid w:val="00CF4205"/>
    <w:rsid w:val="00CF4211"/>
    <w:rsid w:val="00CF4908"/>
    <w:rsid w:val="00CF51EC"/>
    <w:rsid w:val="00CF545D"/>
    <w:rsid w:val="00CF5873"/>
    <w:rsid w:val="00CF620C"/>
    <w:rsid w:val="00CF6AB7"/>
    <w:rsid w:val="00CF6F88"/>
    <w:rsid w:val="00CF73AE"/>
    <w:rsid w:val="00CF7777"/>
    <w:rsid w:val="00D00054"/>
    <w:rsid w:val="00D0085A"/>
    <w:rsid w:val="00D0197F"/>
    <w:rsid w:val="00D01B31"/>
    <w:rsid w:val="00D0242D"/>
    <w:rsid w:val="00D02716"/>
    <w:rsid w:val="00D0302F"/>
    <w:rsid w:val="00D033B7"/>
    <w:rsid w:val="00D037A1"/>
    <w:rsid w:val="00D03842"/>
    <w:rsid w:val="00D03A72"/>
    <w:rsid w:val="00D040DD"/>
    <w:rsid w:val="00D04134"/>
    <w:rsid w:val="00D047B9"/>
    <w:rsid w:val="00D05995"/>
    <w:rsid w:val="00D05C65"/>
    <w:rsid w:val="00D068A0"/>
    <w:rsid w:val="00D06B56"/>
    <w:rsid w:val="00D06D52"/>
    <w:rsid w:val="00D06D68"/>
    <w:rsid w:val="00D06DEF"/>
    <w:rsid w:val="00D07266"/>
    <w:rsid w:val="00D075BE"/>
    <w:rsid w:val="00D07AFF"/>
    <w:rsid w:val="00D07CC2"/>
    <w:rsid w:val="00D1007E"/>
    <w:rsid w:val="00D10C15"/>
    <w:rsid w:val="00D11011"/>
    <w:rsid w:val="00D11476"/>
    <w:rsid w:val="00D12C25"/>
    <w:rsid w:val="00D13284"/>
    <w:rsid w:val="00D133B4"/>
    <w:rsid w:val="00D13986"/>
    <w:rsid w:val="00D13F3E"/>
    <w:rsid w:val="00D14680"/>
    <w:rsid w:val="00D147C5"/>
    <w:rsid w:val="00D14B3C"/>
    <w:rsid w:val="00D14C5B"/>
    <w:rsid w:val="00D15334"/>
    <w:rsid w:val="00D1565A"/>
    <w:rsid w:val="00D15CF4"/>
    <w:rsid w:val="00D15D3A"/>
    <w:rsid w:val="00D15FED"/>
    <w:rsid w:val="00D16712"/>
    <w:rsid w:val="00D174E0"/>
    <w:rsid w:val="00D214EF"/>
    <w:rsid w:val="00D215B0"/>
    <w:rsid w:val="00D21B36"/>
    <w:rsid w:val="00D21D6D"/>
    <w:rsid w:val="00D21D83"/>
    <w:rsid w:val="00D22517"/>
    <w:rsid w:val="00D22A47"/>
    <w:rsid w:val="00D23456"/>
    <w:rsid w:val="00D235B7"/>
    <w:rsid w:val="00D23A99"/>
    <w:rsid w:val="00D23FAE"/>
    <w:rsid w:val="00D25F28"/>
    <w:rsid w:val="00D26071"/>
    <w:rsid w:val="00D260C7"/>
    <w:rsid w:val="00D26133"/>
    <w:rsid w:val="00D26758"/>
    <w:rsid w:val="00D269B9"/>
    <w:rsid w:val="00D26E6B"/>
    <w:rsid w:val="00D274B3"/>
    <w:rsid w:val="00D2780D"/>
    <w:rsid w:val="00D27973"/>
    <w:rsid w:val="00D27995"/>
    <w:rsid w:val="00D27C9D"/>
    <w:rsid w:val="00D27E3E"/>
    <w:rsid w:val="00D27F07"/>
    <w:rsid w:val="00D27F3A"/>
    <w:rsid w:val="00D30003"/>
    <w:rsid w:val="00D31537"/>
    <w:rsid w:val="00D3185C"/>
    <w:rsid w:val="00D319F6"/>
    <w:rsid w:val="00D31E1E"/>
    <w:rsid w:val="00D322A0"/>
    <w:rsid w:val="00D32824"/>
    <w:rsid w:val="00D33297"/>
    <w:rsid w:val="00D334E2"/>
    <w:rsid w:val="00D335E5"/>
    <w:rsid w:val="00D34E1C"/>
    <w:rsid w:val="00D350B1"/>
    <w:rsid w:val="00D352C1"/>
    <w:rsid w:val="00D35AD6"/>
    <w:rsid w:val="00D35BBB"/>
    <w:rsid w:val="00D35E1A"/>
    <w:rsid w:val="00D3681D"/>
    <w:rsid w:val="00D36B0A"/>
    <w:rsid w:val="00D36DFB"/>
    <w:rsid w:val="00D36E1C"/>
    <w:rsid w:val="00D373AF"/>
    <w:rsid w:val="00D37646"/>
    <w:rsid w:val="00D40556"/>
    <w:rsid w:val="00D418E9"/>
    <w:rsid w:val="00D41F74"/>
    <w:rsid w:val="00D428C8"/>
    <w:rsid w:val="00D43034"/>
    <w:rsid w:val="00D43230"/>
    <w:rsid w:val="00D43ED2"/>
    <w:rsid w:val="00D4575A"/>
    <w:rsid w:val="00D46A31"/>
    <w:rsid w:val="00D46D53"/>
    <w:rsid w:val="00D47573"/>
    <w:rsid w:val="00D47B3B"/>
    <w:rsid w:val="00D50F46"/>
    <w:rsid w:val="00D51BC9"/>
    <w:rsid w:val="00D5302A"/>
    <w:rsid w:val="00D533C4"/>
    <w:rsid w:val="00D5384E"/>
    <w:rsid w:val="00D544E7"/>
    <w:rsid w:val="00D5499F"/>
    <w:rsid w:val="00D5560A"/>
    <w:rsid w:val="00D55E68"/>
    <w:rsid w:val="00D560DC"/>
    <w:rsid w:val="00D56FBF"/>
    <w:rsid w:val="00D57677"/>
    <w:rsid w:val="00D5781F"/>
    <w:rsid w:val="00D60415"/>
    <w:rsid w:val="00D60892"/>
    <w:rsid w:val="00D60DAE"/>
    <w:rsid w:val="00D60E3C"/>
    <w:rsid w:val="00D60FA7"/>
    <w:rsid w:val="00D61917"/>
    <w:rsid w:val="00D61E7D"/>
    <w:rsid w:val="00D61FAB"/>
    <w:rsid w:val="00D62C4E"/>
    <w:rsid w:val="00D62FB5"/>
    <w:rsid w:val="00D63BE5"/>
    <w:rsid w:val="00D63FCF"/>
    <w:rsid w:val="00D6475F"/>
    <w:rsid w:val="00D652EB"/>
    <w:rsid w:val="00D65580"/>
    <w:rsid w:val="00D655D4"/>
    <w:rsid w:val="00D66223"/>
    <w:rsid w:val="00D667B8"/>
    <w:rsid w:val="00D66C85"/>
    <w:rsid w:val="00D6707B"/>
    <w:rsid w:val="00D67369"/>
    <w:rsid w:val="00D67D55"/>
    <w:rsid w:val="00D70289"/>
    <w:rsid w:val="00D7041F"/>
    <w:rsid w:val="00D70822"/>
    <w:rsid w:val="00D70C5A"/>
    <w:rsid w:val="00D72076"/>
    <w:rsid w:val="00D721B4"/>
    <w:rsid w:val="00D726A9"/>
    <w:rsid w:val="00D72DBA"/>
    <w:rsid w:val="00D73012"/>
    <w:rsid w:val="00D743E0"/>
    <w:rsid w:val="00D7469D"/>
    <w:rsid w:val="00D746BE"/>
    <w:rsid w:val="00D746CF"/>
    <w:rsid w:val="00D74794"/>
    <w:rsid w:val="00D7490C"/>
    <w:rsid w:val="00D7497E"/>
    <w:rsid w:val="00D74DBC"/>
    <w:rsid w:val="00D75AC1"/>
    <w:rsid w:val="00D75E71"/>
    <w:rsid w:val="00D75FB7"/>
    <w:rsid w:val="00D763AD"/>
    <w:rsid w:val="00D767D5"/>
    <w:rsid w:val="00D77252"/>
    <w:rsid w:val="00D8084C"/>
    <w:rsid w:val="00D81809"/>
    <w:rsid w:val="00D8188C"/>
    <w:rsid w:val="00D82EF1"/>
    <w:rsid w:val="00D839E9"/>
    <w:rsid w:val="00D84060"/>
    <w:rsid w:val="00D84CC9"/>
    <w:rsid w:val="00D84F43"/>
    <w:rsid w:val="00D85114"/>
    <w:rsid w:val="00D85821"/>
    <w:rsid w:val="00D8598C"/>
    <w:rsid w:val="00D85DD8"/>
    <w:rsid w:val="00D861A7"/>
    <w:rsid w:val="00D8710D"/>
    <w:rsid w:val="00D87C06"/>
    <w:rsid w:val="00D90E41"/>
    <w:rsid w:val="00D9113A"/>
    <w:rsid w:val="00D915EA"/>
    <w:rsid w:val="00D91819"/>
    <w:rsid w:val="00D919ED"/>
    <w:rsid w:val="00D922A1"/>
    <w:rsid w:val="00D9288A"/>
    <w:rsid w:val="00D928BE"/>
    <w:rsid w:val="00D92CD7"/>
    <w:rsid w:val="00D92FC2"/>
    <w:rsid w:val="00D92FFF"/>
    <w:rsid w:val="00D932B8"/>
    <w:rsid w:val="00D932F0"/>
    <w:rsid w:val="00D951DF"/>
    <w:rsid w:val="00D95302"/>
    <w:rsid w:val="00D95889"/>
    <w:rsid w:val="00D95C5D"/>
    <w:rsid w:val="00D95CBE"/>
    <w:rsid w:val="00D95E7F"/>
    <w:rsid w:val="00D97483"/>
    <w:rsid w:val="00D97D00"/>
    <w:rsid w:val="00DA0121"/>
    <w:rsid w:val="00DA096C"/>
    <w:rsid w:val="00DA107E"/>
    <w:rsid w:val="00DA114D"/>
    <w:rsid w:val="00DA1AB6"/>
    <w:rsid w:val="00DA214B"/>
    <w:rsid w:val="00DA2E65"/>
    <w:rsid w:val="00DA308B"/>
    <w:rsid w:val="00DA37DE"/>
    <w:rsid w:val="00DA3ADF"/>
    <w:rsid w:val="00DA4174"/>
    <w:rsid w:val="00DA544C"/>
    <w:rsid w:val="00DA5ED5"/>
    <w:rsid w:val="00DA5F8E"/>
    <w:rsid w:val="00DA6364"/>
    <w:rsid w:val="00DA6F31"/>
    <w:rsid w:val="00DA7114"/>
    <w:rsid w:val="00DA7C0C"/>
    <w:rsid w:val="00DA7E2F"/>
    <w:rsid w:val="00DA7F73"/>
    <w:rsid w:val="00DB03DD"/>
    <w:rsid w:val="00DB08A9"/>
    <w:rsid w:val="00DB0B33"/>
    <w:rsid w:val="00DB0EBF"/>
    <w:rsid w:val="00DB0FD9"/>
    <w:rsid w:val="00DB13EF"/>
    <w:rsid w:val="00DB1CD3"/>
    <w:rsid w:val="00DB1D89"/>
    <w:rsid w:val="00DB1ECC"/>
    <w:rsid w:val="00DB2495"/>
    <w:rsid w:val="00DB28CB"/>
    <w:rsid w:val="00DB2DFA"/>
    <w:rsid w:val="00DB2EC8"/>
    <w:rsid w:val="00DB321D"/>
    <w:rsid w:val="00DB459B"/>
    <w:rsid w:val="00DB47FD"/>
    <w:rsid w:val="00DB4BF1"/>
    <w:rsid w:val="00DB4FF3"/>
    <w:rsid w:val="00DB5E3A"/>
    <w:rsid w:val="00DB5E9A"/>
    <w:rsid w:val="00DB613B"/>
    <w:rsid w:val="00DB657E"/>
    <w:rsid w:val="00DB6811"/>
    <w:rsid w:val="00DB7342"/>
    <w:rsid w:val="00DB7489"/>
    <w:rsid w:val="00DB7BD5"/>
    <w:rsid w:val="00DC0B4A"/>
    <w:rsid w:val="00DC0B4D"/>
    <w:rsid w:val="00DC0CBB"/>
    <w:rsid w:val="00DC0E33"/>
    <w:rsid w:val="00DC17D0"/>
    <w:rsid w:val="00DC1E5D"/>
    <w:rsid w:val="00DC2B41"/>
    <w:rsid w:val="00DC2EA7"/>
    <w:rsid w:val="00DC3128"/>
    <w:rsid w:val="00DC31B2"/>
    <w:rsid w:val="00DC435B"/>
    <w:rsid w:val="00DC4AC4"/>
    <w:rsid w:val="00DC506E"/>
    <w:rsid w:val="00DC53D8"/>
    <w:rsid w:val="00DC56FE"/>
    <w:rsid w:val="00DC5B3B"/>
    <w:rsid w:val="00DC5F11"/>
    <w:rsid w:val="00DC6C2D"/>
    <w:rsid w:val="00DC6CFA"/>
    <w:rsid w:val="00DC7B1A"/>
    <w:rsid w:val="00DD04B0"/>
    <w:rsid w:val="00DD0771"/>
    <w:rsid w:val="00DD0B84"/>
    <w:rsid w:val="00DD129F"/>
    <w:rsid w:val="00DD13FC"/>
    <w:rsid w:val="00DD1A3F"/>
    <w:rsid w:val="00DD29B5"/>
    <w:rsid w:val="00DD32DD"/>
    <w:rsid w:val="00DD33E8"/>
    <w:rsid w:val="00DD468D"/>
    <w:rsid w:val="00DD4BB7"/>
    <w:rsid w:val="00DD5287"/>
    <w:rsid w:val="00DD5B36"/>
    <w:rsid w:val="00DD68B6"/>
    <w:rsid w:val="00DD7849"/>
    <w:rsid w:val="00DD7900"/>
    <w:rsid w:val="00DE03DE"/>
    <w:rsid w:val="00DE08BF"/>
    <w:rsid w:val="00DE0D8B"/>
    <w:rsid w:val="00DE1237"/>
    <w:rsid w:val="00DE125C"/>
    <w:rsid w:val="00DE140F"/>
    <w:rsid w:val="00DE17E9"/>
    <w:rsid w:val="00DE1CE1"/>
    <w:rsid w:val="00DE2491"/>
    <w:rsid w:val="00DE273F"/>
    <w:rsid w:val="00DE27CD"/>
    <w:rsid w:val="00DE2982"/>
    <w:rsid w:val="00DE2B97"/>
    <w:rsid w:val="00DE3231"/>
    <w:rsid w:val="00DE3E22"/>
    <w:rsid w:val="00DE3E5D"/>
    <w:rsid w:val="00DE450F"/>
    <w:rsid w:val="00DE4865"/>
    <w:rsid w:val="00DE59CA"/>
    <w:rsid w:val="00DE5BED"/>
    <w:rsid w:val="00DE5CA6"/>
    <w:rsid w:val="00DE5E55"/>
    <w:rsid w:val="00DE601B"/>
    <w:rsid w:val="00DE6209"/>
    <w:rsid w:val="00DE63AE"/>
    <w:rsid w:val="00DE7156"/>
    <w:rsid w:val="00DE761A"/>
    <w:rsid w:val="00DE794E"/>
    <w:rsid w:val="00DE7AC8"/>
    <w:rsid w:val="00DF0830"/>
    <w:rsid w:val="00DF1D57"/>
    <w:rsid w:val="00DF2C5D"/>
    <w:rsid w:val="00DF2CD3"/>
    <w:rsid w:val="00DF3509"/>
    <w:rsid w:val="00DF3643"/>
    <w:rsid w:val="00DF3F5C"/>
    <w:rsid w:val="00DF42FF"/>
    <w:rsid w:val="00DF4369"/>
    <w:rsid w:val="00DF4423"/>
    <w:rsid w:val="00DF4ADF"/>
    <w:rsid w:val="00DF4D59"/>
    <w:rsid w:val="00DF57D6"/>
    <w:rsid w:val="00DF589A"/>
    <w:rsid w:val="00DF5912"/>
    <w:rsid w:val="00DF5D1E"/>
    <w:rsid w:val="00DF6DDE"/>
    <w:rsid w:val="00DF70DA"/>
    <w:rsid w:val="00DF77E4"/>
    <w:rsid w:val="00DF7F88"/>
    <w:rsid w:val="00E00B88"/>
    <w:rsid w:val="00E01C0E"/>
    <w:rsid w:val="00E034A1"/>
    <w:rsid w:val="00E0368F"/>
    <w:rsid w:val="00E03D73"/>
    <w:rsid w:val="00E03F9A"/>
    <w:rsid w:val="00E040DA"/>
    <w:rsid w:val="00E041A3"/>
    <w:rsid w:val="00E04694"/>
    <w:rsid w:val="00E05333"/>
    <w:rsid w:val="00E059E1"/>
    <w:rsid w:val="00E06436"/>
    <w:rsid w:val="00E07458"/>
    <w:rsid w:val="00E1168B"/>
    <w:rsid w:val="00E12191"/>
    <w:rsid w:val="00E129E7"/>
    <w:rsid w:val="00E12ABE"/>
    <w:rsid w:val="00E12B1E"/>
    <w:rsid w:val="00E135EB"/>
    <w:rsid w:val="00E13995"/>
    <w:rsid w:val="00E139EC"/>
    <w:rsid w:val="00E13C59"/>
    <w:rsid w:val="00E1444C"/>
    <w:rsid w:val="00E149CC"/>
    <w:rsid w:val="00E14F1C"/>
    <w:rsid w:val="00E1509D"/>
    <w:rsid w:val="00E15863"/>
    <w:rsid w:val="00E159C6"/>
    <w:rsid w:val="00E1672D"/>
    <w:rsid w:val="00E17262"/>
    <w:rsid w:val="00E17F36"/>
    <w:rsid w:val="00E20016"/>
    <w:rsid w:val="00E2009B"/>
    <w:rsid w:val="00E20733"/>
    <w:rsid w:val="00E20918"/>
    <w:rsid w:val="00E20BB9"/>
    <w:rsid w:val="00E20BCC"/>
    <w:rsid w:val="00E2251C"/>
    <w:rsid w:val="00E2363D"/>
    <w:rsid w:val="00E23C6A"/>
    <w:rsid w:val="00E2449B"/>
    <w:rsid w:val="00E2484B"/>
    <w:rsid w:val="00E24995"/>
    <w:rsid w:val="00E25038"/>
    <w:rsid w:val="00E253A2"/>
    <w:rsid w:val="00E25A96"/>
    <w:rsid w:val="00E2602F"/>
    <w:rsid w:val="00E260F6"/>
    <w:rsid w:val="00E26F37"/>
    <w:rsid w:val="00E27127"/>
    <w:rsid w:val="00E27233"/>
    <w:rsid w:val="00E274BB"/>
    <w:rsid w:val="00E27B5F"/>
    <w:rsid w:val="00E30F15"/>
    <w:rsid w:val="00E31771"/>
    <w:rsid w:val="00E3186D"/>
    <w:rsid w:val="00E31A3E"/>
    <w:rsid w:val="00E32080"/>
    <w:rsid w:val="00E32778"/>
    <w:rsid w:val="00E3309D"/>
    <w:rsid w:val="00E34E3F"/>
    <w:rsid w:val="00E350B1"/>
    <w:rsid w:val="00E3512B"/>
    <w:rsid w:val="00E35439"/>
    <w:rsid w:val="00E3575B"/>
    <w:rsid w:val="00E35A16"/>
    <w:rsid w:val="00E35A53"/>
    <w:rsid w:val="00E3634A"/>
    <w:rsid w:val="00E3656B"/>
    <w:rsid w:val="00E36767"/>
    <w:rsid w:val="00E3712B"/>
    <w:rsid w:val="00E3724A"/>
    <w:rsid w:val="00E378B1"/>
    <w:rsid w:val="00E37BDD"/>
    <w:rsid w:val="00E40295"/>
    <w:rsid w:val="00E41131"/>
    <w:rsid w:val="00E41179"/>
    <w:rsid w:val="00E41634"/>
    <w:rsid w:val="00E417BE"/>
    <w:rsid w:val="00E41CD5"/>
    <w:rsid w:val="00E41E5D"/>
    <w:rsid w:val="00E42054"/>
    <w:rsid w:val="00E42326"/>
    <w:rsid w:val="00E428A7"/>
    <w:rsid w:val="00E4372D"/>
    <w:rsid w:val="00E43A9E"/>
    <w:rsid w:val="00E43E1A"/>
    <w:rsid w:val="00E43E2E"/>
    <w:rsid w:val="00E43E77"/>
    <w:rsid w:val="00E44243"/>
    <w:rsid w:val="00E4529D"/>
    <w:rsid w:val="00E4539A"/>
    <w:rsid w:val="00E453F9"/>
    <w:rsid w:val="00E45D7D"/>
    <w:rsid w:val="00E4623F"/>
    <w:rsid w:val="00E4665D"/>
    <w:rsid w:val="00E47394"/>
    <w:rsid w:val="00E47854"/>
    <w:rsid w:val="00E478E2"/>
    <w:rsid w:val="00E47A9B"/>
    <w:rsid w:val="00E47B61"/>
    <w:rsid w:val="00E47C5D"/>
    <w:rsid w:val="00E47EBA"/>
    <w:rsid w:val="00E50156"/>
    <w:rsid w:val="00E504EB"/>
    <w:rsid w:val="00E5076C"/>
    <w:rsid w:val="00E50D2E"/>
    <w:rsid w:val="00E50D7D"/>
    <w:rsid w:val="00E51DE0"/>
    <w:rsid w:val="00E51EF0"/>
    <w:rsid w:val="00E529B1"/>
    <w:rsid w:val="00E53470"/>
    <w:rsid w:val="00E5368D"/>
    <w:rsid w:val="00E539F6"/>
    <w:rsid w:val="00E53B5B"/>
    <w:rsid w:val="00E54698"/>
    <w:rsid w:val="00E54BE9"/>
    <w:rsid w:val="00E54D22"/>
    <w:rsid w:val="00E54FB4"/>
    <w:rsid w:val="00E5539A"/>
    <w:rsid w:val="00E55791"/>
    <w:rsid w:val="00E55E1A"/>
    <w:rsid w:val="00E56BA4"/>
    <w:rsid w:val="00E578A2"/>
    <w:rsid w:val="00E579ED"/>
    <w:rsid w:val="00E60043"/>
    <w:rsid w:val="00E61740"/>
    <w:rsid w:val="00E61CD0"/>
    <w:rsid w:val="00E61EB5"/>
    <w:rsid w:val="00E6324D"/>
    <w:rsid w:val="00E63BAE"/>
    <w:rsid w:val="00E6423D"/>
    <w:rsid w:val="00E647C1"/>
    <w:rsid w:val="00E64CDB"/>
    <w:rsid w:val="00E65084"/>
    <w:rsid w:val="00E6519D"/>
    <w:rsid w:val="00E66062"/>
    <w:rsid w:val="00E660B1"/>
    <w:rsid w:val="00E6660E"/>
    <w:rsid w:val="00E66768"/>
    <w:rsid w:val="00E67305"/>
    <w:rsid w:val="00E67696"/>
    <w:rsid w:val="00E677DB"/>
    <w:rsid w:val="00E67A58"/>
    <w:rsid w:val="00E709AF"/>
    <w:rsid w:val="00E70B51"/>
    <w:rsid w:val="00E70C5F"/>
    <w:rsid w:val="00E70C94"/>
    <w:rsid w:val="00E71A58"/>
    <w:rsid w:val="00E7263B"/>
    <w:rsid w:val="00E728D7"/>
    <w:rsid w:val="00E72A26"/>
    <w:rsid w:val="00E72A7A"/>
    <w:rsid w:val="00E730ED"/>
    <w:rsid w:val="00E7335A"/>
    <w:rsid w:val="00E73986"/>
    <w:rsid w:val="00E73BA7"/>
    <w:rsid w:val="00E7467D"/>
    <w:rsid w:val="00E747DC"/>
    <w:rsid w:val="00E749D9"/>
    <w:rsid w:val="00E74A2D"/>
    <w:rsid w:val="00E75C94"/>
    <w:rsid w:val="00E76A08"/>
    <w:rsid w:val="00E76B9B"/>
    <w:rsid w:val="00E76E61"/>
    <w:rsid w:val="00E76EE4"/>
    <w:rsid w:val="00E77CC0"/>
    <w:rsid w:val="00E80393"/>
    <w:rsid w:val="00E80735"/>
    <w:rsid w:val="00E80B3D"/>
    <w:rsid w:val="00E80CA3"/>
    <w:rsid w:val="00E81AAA"/>
    <w:rsid w:val="00E821ED"/>
    <w:rsid w:val="00E82473"/>
    <w:rsid w:val="00E82618"/>
    <w:rsid w:val="00E82A42"/>
    <w:rsid w:val="00E82AB6"/>
    <w:rsid w:val="00E82D9B"/>
    <w:rsid w:val="00E83881"/>
    <w:rsid w:val="00E84295"/>
    <w:rsid w:val="00E8431C"/>
    <w:rsid w:val="00E84E09"/>
    <w:rsid w:val="00E864A9"/>
    <w:rsid w:val="00E8755C"/>
    <w:rsid w:val="00E87CE2"/>
    <w:rsid w:val="00E87D5B"/>
    <w:rsid w:val="00E90CA8"/>
    <w:rsid w:val="00E911C6"/>
    <w:rsid w:val="00E9180C"/>
    <w:rsid w:val="00E920DE"/>
    <w:rsid w:val="00E929F7"/>
    <w:rsid w:val="00E930A1"/>
    <w:rsid w:val="00E93820"/>
    <w:rsid w:val="00E93FD5"/>
    <w:rsid w:val="00E94A86"/>
    <w:rsid w:val="00E94D29"/>
    <w:rsid w:val="00E950EC"/>
    <w:rsid w:val="00E951AB"/>
    <w:rsid w:val="00E953F6"/>
    <w:rsid w:val="00E95AD1"/>
    <w:rsid w:val="00E96143"/>
    <w:rsid w:val="00E96833"/>
    <w:rsid w:val="00E973A5"/>
    <w:rsid w:val="00E97506"/>
    <w:rsid w:val="00E97BB5"/>
    <w:rsid w:val="00E97D5B"/>
    <w:rsid w:val="00E97F14"/>
    <w:rsid w:val="00EA0B1A"/>
    <w:rsid w:val="00EA0C68"/>
    <w:rsid w:val="00EA0E39"/>
    <w:rsid w:val="00EA1C07"/>
    <w:rsid w:val="00EA1D0E"/>
    <w:rsid w:val="00EA1EBB"/>
    <w:rsid w:val="00EA2072"/>
    <w:rsid w:val="00EA2275"/>
    <w:rsid w:val="00EA242A"/>
    <w:rsid w:val="00EA2841"/>
    <w:rsid w:val="00EA32BC"/>
    <w:rsid w:val="00EA35A7"/>
    <w:rsid w:val="00EA3B32"/>
    <w:rsid w:val="00EA3CEB"/>
    <w:rsid w:val="00EA3D05"/>
    <w:rsid w:val="00EA4222"/>
    <w:rsid w:val="00EA4402"/>
    <w:rsid w:val="00EA4B8D"/>
    <w:rsid w:val="00EA513E"/>
    <w:rsid w:val="00EA5892"/>
    <w:rsid w:val="00EA5895"/>
    <w:rsid w:val="00EA7419"/>
    <w:rsid w:val="00EA74B6"/>
    <w:rsid w:val="00EA7B22"/>
    <w:rsid w:val="00EA7E4F"/>
    <w:rsid w:val="00EB0E32"/>
    <w:rsid w:val="00EB13FC"/>
    <w:rsid w:val="00EB1C78"/>
    <w:rsid w:val="00EB1CDC"/>
    <w:rsid w:val="00EB1D89"/>
    <w:rsid w:val="00EB3137"/>
    <w:rsid w:val="00EB3E60"/>
    <w:rsid w:val="00EB4511"/>
    <w:rsid w:val="00EB48D7"/>
    <w:rsid w:val="00EB49F1"/>
    <w:rsid w:val="00EB4A8E"/>
    <w:rsid w:val="00EB4BC5"/>
    <w:rsid w:val="00EB5BF7"/>
    <w:rsid w:val="00EB5E79"/>
    <w:rsid w:val="00EB62E0"/>
    <w:rsid w:val="00EB6473"/>
    <w:rsid w:val="00EB6B48"/>
    <w:rsid w:val="00EB6DA6"/>
    <w:rsid w:val="00EB6FAC"/>
    <w:rsid w:val="00EB7749"/>
    <w:rsid w:val="00EB7BAC"/>
    <w:rsid w:val="00EB7CC9"/>
    <w:rsid w:val="00EB7D07"/>
    <w:rsid w:val="00EC03D7"/>
    <w:rsid w:val="00EC05F2"/>
    <w:rsid w:val="00EC13A7"/>
    <w:rsid w:val="00EC181D"/>
    <w:rsid w:val="00EC189D"/>
    <w:rsid w:val="00EC1C50"/>
    <w:rsid w:val="00EC2EB6"/>
    <w:rsid w:val="00EC37E0"/>
    <w:rsid w:val="00EC4FFF"/>
    <w:rsid w:val="00EC5517"/>
    <w:rsid w:val="00EC5A1E"/>
    <w:rsid w:val="00EC5B0A"/>
    <w:rsid w:val="00EC6E8C"/>
    <w:rsid w:val="00EC73EF"/>
    <w:rsid w:val="00EC7BAA"/>
    <w:rsid w:val="00ED0962"/>
    <w:rsid w:val="00ED0B84"/>
    <w:rsid w:val="00ED0ED8"/>
    <w:rsid w:val="00ED0EF0"/>
    <w:rsid w:val="00ED0F73"/>
    <w:rsid w:val="00ED12B9"/>
    <w:rsid w:val="00ED16B8"/>
    <w:rsid w:val="00ED1959"/>
    <w:rsid w:val="00ED1A00"/>
    <w:rsid w:val="00ED1DF0"/>
    <w:rsid w:val="00ED2386"/>
    <w:rsid w:val="00ED2525"/>
    <w:rsid w:val="00ED2C87"/>
    <w:rsid w:val="00ED2E2F"/>
    <w:rsid w:val="00ED2EA1"/>
    <w:rsid w:val="00ED3851"/>
    <w:rsid w:val="00ED3B10"/>
    <w:rsid w:val="00ED3E51"/>
    <w:rsid w:val="00ED3F10"/>
    <w:rsid w:val="00ED3F9B"/>
    <w:rsid w:val="00ED3FB3"/>
    <w:rsid w:val="00ED4D04"/>
    <w:rsid w:val="00ED566D"/>
    <w:rsid w:val="00ED5907"/>
    <w:rsid w:val="00ED5F5B"/>
    <w:rsid w:val="00ED602C"/>
    <w:rsid w:val="00ED62C6"/>
    <w:rsid w:val="00ED64C1"/>
    <w:rsid w:val="00ED6559"/>
    <w:rsid w:val="00ED6A2D"/>
    <w:rsid w:val="00ED6DC9"/>
    <w:rsid w:val="00ED781F"/>
    <w:rsid w:val="00EE0E7E"/>
    <w:rsid w:val="00EE106A"/>
    <w:rsid w:val="00EE1291"/>
    <w:rsid w:val="00EE249F"/>
    <w:rsid w:val="00EE291D"/>
    <w:rsid w:val="00EE2EB4"/>
    <w:rsid w:val="00EE32FA"/>
    <w:rsid w:val="00EE3446"/>
    <w:rsid w:val="00EE3E78"/>
    <w:rsid w:val="00EE41FD"/>
    <w:rsid w:val="00EE460E"/>
    <w:rsid w:val="00EE4B1B"/>
    <w:rsid w:val="00EE5D5C"/>
    <w:rsid w:val="00EE5FBA"/>
    <w:rsid w:val="00EE601C"/>
    <w:rsid w:val="00EE6A09"/>
    <w:rsid w:val="00EE6E06"/>
    <w:rsid w:val="00EE7179"/>
    <w:rsid w:val="00EE7570"/>
    <w:rsid w:val="00EF041F"/>
    <w:rsid w:val="00EF068B"/>
    <w:rsid w:val="00EF0B04"/>
    <w:rsid w:val="00EF0D90"/>
    <w:rsid w:val="00EF1067"/>
    <w:rsid w:val="00EF150D"/>
    <w:rsid w:val="00EF179E"/>
    <w:rsid w:val="00EF1967"/>
    <w:rsid w:val="00EF1F5A"/>
    <w:rsid w:val="00EF23B5"/>
    <w:rsid w:val="00EF326A"/>
    <w:rsid w:val="00EF3898"/>
    <w:rsid w:val="00EF40C5"/>
    <w:rsid w:val="00EF433F"/>
    <w:rsid w:val="00EF47BF"/>
    <w:rsid w:val="00EF52F7"/>
    <w:rsid w:val="00EF54CF"/>
    <w:rsid w:val="00EF59B1"/>
    <w:rsid w:val="00EF5A13"/>
    <w:rsid w:val="00EF5E81"/>
    <w:rsid w:val="00EF5FF9"/>
    <w:rsid w:val="00EF77D4"/>
    <w:rsid w:val="00EF7CC7"/>
    <w:rsid w:val="00EF7FFC"/>
    <w:rsid w:val="00F00535"/>
    <w:rsid w:val="00F00853"/>
    <w:rsid w:val="00F00866"/>
    <w:rsid w:val="00F00EC8"/>
    <w:rsid w:val="00F013DB"/>
    <w:rsid w:val="00F0160B"/>
    <w:rsid w:val="00F0193E"/>
    <w:rsid w:val="00F01EA8"/>
    <w:rsid w:val="00F036B0"/>
    <w:rsid w:val="00F03E2F"/>
    <w:rsid w:val="00F03F50"/>
    <w:rsid w:val="00F03F8D"/>
    <w:rsid w:val="00F0408A"/>
    <w:rsid w:val="00F04811"/>
    <w:rsid w:val="00F0488C"/>
    <w:rsid w:val="00F04955"/>
    <w:rsid w:val="00F04E85"/>
    <w:rsid w:val="00F052CC"/>
    <w:rsid w:val="00F052D2"/>
    <w:rsid w:val="00F0566C"/>
    <w:rsid w:val="00F06002"/>
    <w:rsid w:val="00F067B8"/>
    <w:rsid w:val="00F0730A"/>
    <w:rsid w:val="00F073ED"/>
    <w:rsid w:val="00F07C4C"/>
    <w:rsid w:val="00F07E45"/>
    <w:rsid w:val="00F10F11"/>
    <w:rsid w:val="00F11159"/>
    <w:rsid w:val="00F1152E"/>
    <w:rsid w:val="00F115E4"/>
    <w:rsid w:val="00F11AC4"/>
    <w:rsid w:val="00F11FDC"/>
    <w:rsid w:val="00F120A5"/>
    <w:rsid w:val="00F1243F"/>
    <w:rsid w:val="00F12CFB"/>
    <w:rsid w:val="00F13E60"/>
    <w:rsid w:val="00F13FDB"/>
    <w:rsid w:val="00F14AC8"/>
    <w:rsid w:val="00F157DD"/>
    <w:rsid w:val="00F15AAA"/>
    <w:rsid w:val="00F15BEF"/>
    <w:rsid w:val="00F1770C"/>
    <w:rsid w:val="00F17898"/>
    <w:rsid w:val="00F204BF"/>
    <w:rsid w:val="00F207C2"/>
    <w:rsid w:val="00F211FC"/>
    <w:rsid w:val="00F21337"/>
    <w:rsid w:val="00F219A1"/>
    <w:rsid w:val="00F2232C"/>
    <w:rsid w:val="00F2334D"/>
    <w:rsid w:val="00F2338A"/>
    <w:rsid w:val="00F23927"/>
    <w:rsid w:val="00F23E20"/>
    <w:rsid w:val="00F24407"/>
    <w:rsid w:val="00F249CE"/>
    <w:rsid w:val="00F24FAA"/>
    <w:rsid w:val="00F25040"/>
    <w:rsid w:val="00F269D7"/>
    <w:rsid w:val="00F26B48"/>
    <w:rsid w:val="00F26FB5"/>
    <w:rsid w:val="00F27071"/>
    <w:rsid w:val="00F27331"/>
    <w:rsid w:val="00F276D3"/>
    <w:rsid w:val="00F27E47"/>
    <w:rsid w:val="00F27E57"/>
    <w:rsid w:val="00F27EE5"/>
    <w:rsid w:val="00F27FB1"/>
    <w:rsid w:val="00F27FD6"/>
    <w:rsid w:val="00F307CB"/>
    <w:rsid w:val="00F307D7"/>
    <w:rsid w:val="00F30C0C"/>
    <w:rsid w:val="00F30C65"/>
    <w:rsid w:val="00F31475"/>
    <w:rsid w:val="00F321D2"/>
    <w:rsid w:val="00F32649"/>
    <w:rsid w:val="00F3288B"/>
    <w:rsid w:val="00F32921"/>
    <w:rsid w:val="00F33523"/>
    <w:rsid w:val="00F3364D"/>
    <w:rsid w:val="00F33914"/>
    <w:rsid w:val="00F349BF"/>
    <w:rsid w:val="00F34AAD"/>
    <w:rsid w:val="00F34DDC"/>
    <w:rsid w:val="00F350EC"/>
    <w:rsid w:val="00F35EE5"/>
    <w:rsid w:val="00F36191"/>
    <w:rsid w:val="00F3629F"/>
    <w:rsid w:val="00F36DBB"/>
    <w:rsid w:val="00F36DF3"/>
    <w:rsid w:val="00F36E9A"/>
    <w:rsid w:val="00F37362"/>
    <w:rsid w:val="00F37638"/>
    <w:rsid w:val="00F37EDC"/>
    <w:rsid w:val="00F41B52"/>
    <w:rsid w:val="00F422EF"/>
    <w:rsid w:val="00F42F1C"/>
    <w:rsid w:val="00F437CC"/>
    <w:rsid w:val="00F442E7"/>
    <w:rsid w:val="00F44537"/>
    <w:rsid w:val="00F44943"/>
    <w:rsid w:val="00F450B7"/>
    <w:rsid w:val="00F4544B"/>
    <w:rsid w:val="00F46185"/>
    <w:rsid w:val="00F46423"/>
    <w:rsid w:val="00F4696A"/>
    <w:rsid w:val="00F47067"/>
    <w:rsid w:val="00F47234"/>
    <w:rsid w:val="00F4729B"/>
    <w:rsid w:val="00F51ADD"/>
    <w:rsid w:val="00F525AB"/>
    <w:rsid w:val="00F525EB"/>
    <w:rsid w:val="00F52CB5"/>
    <w:rsid w:val="00F53378"/>
    <w:rsid w:val="00F53721"/>
    <w:rsid w:val="00F537D9"/>
    <w:rsid w:val="00F53917"/>
    <w:rsid w:val="00F539B0"/>
    <w:rsid w:val="00F53A68"/>
    <w:rsid w:val="00F5402A"/>
    <w:rsid w:val="00F544A4"/>
    <w:rsid w:val="00F54934"/>
    <w:rsid w:val="00F550DA"/>
    <w:rsid w:val="00F55A92"/>
    <w:rsid w:val="00F5615B"/>
    <w:rsid w:val="00F564D1"/>
    <w:rsid w:val="00F5661A"/>
    <w:rsid w:val="00F56D87"/>
    <w:rsid w:val="00F56FFB"/>
    <w:rsid w:val="00F575D3"/>
    <w:rsid w:val="00F577D1"/>
    <w:rsid w:val="00F57983"/>
    <w:rsid w:val="00F57A76"/>
    <w:rsid w:val="00F57D57"/>
    <w:rsid w:val="00F61288"/>
    <w:rsid w:val="00F6178B"/>
    <w:rsid w:val="00F627E5"/>
    <w:rsid w:val="00F62BFF"/>
    <w:rsid w:val="00F62CCE"/>
    <w:rsid w:val="00F63092"/>
    <w:rsid w:val="00F632ED"/>
    <w:rsid w:val="00F63AAE"/>
    <w:rsid w:val="00F63DDE"/>
    <w:rsid w:val="00F63FB7"/>
    <w:rsid w:val="00F6421B"/>
    <w:rsid w:val="00F647F1"/>
    <w:rsid w:val="00F649D2"/>
    <w:rsid w:val="00F64B8F"/>
    <w:rsid w:val="00F64D5A"/>
    <w:rsid w:val="00F6556B"/>
    <w:rsid w:val="00F6602B"/>
    <w:rsid w:val="00F663B7"/>
    <w:rsid w:val="00F6799D"/>
    <w:rsid w:val="00F679DA"/>
    <w:rsid w:val="00F71047"/>
    <w:rsid w:val="00F7150B"/>
    <w:rsid w:val="00F717E4"/>
    <w:rsid w:val="00F71A42"/>
    <w:rsid w:val="00F71A9A"/>
    <w:rsid w:val="00F71DE6"/>
    <w:rsid w:val="00F72D71"/>
    <w:rsid w:val="00F7381C"/>
    <w:rsid w:val="00F73A0C"/>
    <w:rsid w:val="00F752DC"/>
    <w:rsid w:val="00F7549F"/>
    <w:rsid w:val="00F756DB"/>
    <w:rsid w:val="00F766BE"/>
    <w:rsid w:val="00F767A8"/>
    <w:rsid w:val="00F76F3A"/>
    <w:rsid w:val="00F770F5"/>
    <w:rsid w:val="00F77590"/>
    <w:rsid w:val="00F77A50"/>
    <w:rsid w:val="00F81DE1"/>
    <w:rsid w:val="00F82D02"/>
    <w:rsid w:val="00F82D14"/>
    <w:rsid w:val="00F840A3"/>
    <w:rsid w:val="00F84BBE"/>
    <w:rsid w:val="00F84E7D"/>
    <w:rsid w:val="00F85066"/>
    <w:rsid w:val="00F85894"/>
    <w:rsid w:val="00F874F8"/>
    <w:rsid w:val="00F87A4D"/>
    <w:rsid w:val="00F87ACD"/>
    <w:rsid w:val="00F90C4F"/>
    <w:rsid w:val="00F90D5C"/>
    <w:rsid w:val="00F90EEB"/>
    <w:rsid w:val="00F9135C"/>
    <w:rsid w:val="00F91B66"/>
    <w:rsid w:val="00F91C9B"/>
    <w:rsid w:val="00F9236F"/>
    <w:rsid w:val="00F9354A"/>
    <w:rsid w:val="00F93688"/>
    <w:rsid w:val="00F939F3"/>
    <w:rsid w:val="00F93C6E"/>
    <w:rsid w:val="00F93F2C"/>
    <w:rsid w:val="00F93FFB"/>
    <w:rsid w:val="00F94437"/>
    <w:rsid w:val="00F947E9"/>
    <w:rsid w:val="00F94E7B"/>
    <w:rsid w:val="00F95408"/>
    <w:rsid w:val="00F962AD"/>
    <w:rsid w:val="00F9644E"/>
    <w:rsid w:val="00F9745B"/>
    <w:rsid w:val="00F978D1"/>
    <w:rsid w:val="00FA0105"/>
    <w:rsid w:val="00FA05A0"/>
    <w:rsid w:val="00FA0AEF"/>
    <w:rsid w:val="00FA101C"/>
    <w:rsid w:val="00FA17CC"/>
    <w:rsid w:val="00FA1CFE"/>
    <w:rsid w:val="00FA1EE7"/>
    <w:rsid w:val="00FA1F01"/>
    <w:rsid w:val="00FA26DF"/>
    <w:rsid w:val="00FA2C07"/>
    <w:rsid w:val="00FA2FEC"/>
    <w:rsid w:val="00FA32BC"/>
    <w:rsid w:val="00FA3AE5"/>
    <w:rsid w:val="00FA3FA8"/>
    <w:rsid w:val="00FA4059"/>
    <w:rsid w:val="00FA4574"/>
    <w:rsid w:val="00FA48A4"/>
    <w:rsid w:val="00FA4CB7"/>
    <w:rsid w:val="00FA5112"/>
    <w:rsid w:val="00FA5526"/>
    <w:rsid w:val="00FA5D4D"/>
    <w:rsid w:val="00FA6CB6"/>
    <w:rsid w:val="00FA70D3"/>
    <w:rsid w:val="00FA71B2"/>
    <w:rsid w:val="00FA7999"/>
    <w:rsid w:val="00FA7AEC"/>
    <w:rsid w:val="00FA7BCA"/>
    <w:rsid w:val="00FB0AEA"/>
    <w:rsid w:val="00FB0EE2"/>
    <w:rsid w:val="00FB1408"/>
    <w:rsid w:val="00FB1469"/>
    <w:rsid w:val="00FB1A79"/>
    <w:rsid w:val="00FB1BA4"/>
    <w:rsid w:val="00FB208B"/>
    <w:rsid w:val="00FB2A1A"/>
    <w:rsid w:val="00FB2B2D"/>
    <w:rsid w:val="00FB4A8C"/>
    <w:rsid w:val="00FB4B0D"/>
    <w:rsid w:val="00FB542E"/>
    <w:rsid w:val="00FB5580"/>
    <w:rsid w:val="00FB564F"/>
    <w:rsid w:val="00FB5D36"/>
    <w:rsid w:val="00FB668E"/>
    <w:rsid w:val="00FB68E7"/>
    <w:rsid w:val="00FB6B4D"/>
    <w:rsid w:val="00FB7DBB"/>
    <w:rsid w:val="00FC05F8"/>
    <w:rsid w:val="00FC077B"/>
    <w:rsid w:val="00FC0E5F"/>
    <w:rsid w:val="00FC1070"/>
    <w:rsid w:val="00FC1266"/>
    <w:rsid w:val="00FC1A95"/>
    <w:rsid w:val="00FC1BFA"/>
    <w:rsid w:val="00FC1ED4"/>
    <w:rsid w:val="00FC2374"/>
    <w:rsid w:val="00FC283B"/>
    <w:rsid w:val="00FC3123"/>
    <w:rsid w:val="00FC3BEC"/>
    <w:rsid w:val="00FC42C5"/>
    <w:rsid w:val="00FC440B"/>
    <w:rsid w:val="00FC4F31"/>
    <w:rsid w:val="00FC56DE"/>
    <w:rsid w:val="00FC5F81"/>
    <w:rsid w:val="00FC60A5"/>
    <w:rsid w:val="00FC63D9"/>
    <w:rsid w:val="00FC64DE"/>
    <w:rsid w:val="00FC6785"/>
    <w:rsid w:val="00FC684B"/>
    <w:rsid w:val="00FC6D6A"/>
    <w:rsid w:val="00FC6DDC"/>
    <w:rsid w:val="00FC770C"/>
    <w:rsid w:val="00FC7945"/>
    <w:rsid w:val="00FC7D98"/>
    <w:rsid w:val="00FD1135"/>
    <w:rsid w:val="00FD2A9F"/>
    <w:rsid w:val="00FD3265"/>
    <w:rsid w:val="00FD3CF7"/>
    <w:rsid w:val="00FD40CC"/>
    <w:rsid w:val="00FD4124"/>
    <w:rsid w:val="00FD4372"/>
    <w:rsid w:val="00FD4916"/>
    <w:rsid w:val="00FD4C86"/>
    <w:rsid w:val="00FD4D12"/>
    <w:rsid w:val="00FD4F73"/>
    <w:rsid w:val="00FD5056"/>
    <w:rsid w:val="00FD595E"/>
    <w:rsid w:val="00FD5E19"/>
    <w:rsid w:val="00FD6667"/>
    <w:rsid w:val="00FD6D33"/>
    <w:rsid w:val="00FD7802"/>
    <w:rsid w:val="00FD78C3"/>
    <w:rsid w:val="00FD7D3B"/>
    <w:rsid w:val="00FD7FBE"/>
    <w:rsid w:val="00FE0712"/>
    <w:rsid w:val="00FE0C26"/>
    <w:rsid w:val="00FE0FF0"/>
    <w:rsid w:val="00FE18A8"/>
    <w:rsid w:val="00FE1DA9"/>
    <w:rsid w:val="00FE2357"/>
    <w:rsid w:val="00FE27C7"/>
    <w:rsid w:val="00FE2C7E"/>
    <w:rsid w:val="00FE2F78"/>
    <w:rsid w:val="00FE3137"/>
    <w:rsid w:val="00FE346B"/>
    <w:rsid w:val="00FE346F"/>
    <w:rsid w:val="00FE3A8C"/>
    <w:rsid w:val="00FE431E"/>
    <w:rsid w:val="00FE460E"/>
    <w:rsid w:val="00FE4879"/>
    <w:rsid w:val="00FE48E4"/>
    <w:rsid w:val="00FE4E8C"/>
    <w:rsid w:val="00FE4EBA"/>
    <w:rsid w:val="00FE5466"/>
    <w:rsid w:val="00FE634C"/>
    <w:rsid w:val="00FE635F"/>
    <w:rsid w:val="00FE6E69"/>
    <w:rsid w:val="00FE6F59"/>
    <w:rsid w:val="00FE7A6A"/>
    <w:rsid w:val="00FF01B6"/>
    <w:rsid w:val="00FF0942"/>
    <w:rsid w:val="00FF0989"/>
    <w:rsid w:val="00FF0F79"/>
    <w:rsid w:val="00FF0FB0"/>
    <w:rsid w:val="00FF1136"/>
    <w:rsid w:val="00FF1814"/>
    <w:rsid w:val="00FF27E2"/>
    <w:rsid w:val="00FF2C97"/>
    <w:rsid w:val="00FF3D76"/>
    <w:rsid w:val="00FF4667"/>
    <w:rsid w:val="00FF5053"/>
    <w:rsid w:val="00FF556A"/>
    <w:rsid w:val="00FF5B8C"/>
    <w:rsid w:val="00FF63E6"/>
    <w:rsid w:val="00FF72DC"/>
    <w:rsid w:val="00FF7B96"/>
    <w:rsid w:val="019CB78C"/>
    <w:rsid w:val="0241D284"/>
    <w:rsid w:val="04BD1937"/>
    <w:rsid w:val="0523CDF2"/>
    <w:rsid w:val="06B1A837"/>
    <w:rsid w:val="07FB41B9"/>
    <w:rsid w:val="08A648BF"/>
    <w:rsid w:val="08AB0269"/>
    <w:rsid w:val="0A844D4D"/>
    <w:rsid w:val="0BCD71E1"/>
    <w:rsid w:val="0EBE9DEC"/>
    <w:rsid w:val="0FBB85B6"/>
    <w:rsid w:val="12650F4E"/>
    <w:rsid w:val="1371242A"/>
    <w:rsid w:val="1394E51D"/>
    <w:rsid w:val="14DB2A87"/>
    <w:rsid w:val="15DD577B"/>
    <w:rsid w:val="16EC38E2"/>
    <w:rsid w:val="17178072"/>
    <w:rsid w:val="173F358F"/>
    <w:rsid w:val="17513AF8"/>
    <w:rsid w:val="1812CB49"/>
    <w:rsid w:val="1B53A8C8"/>
    <w:rsid w:val="1BEE6986"/>
    <w:rsid w:val="20D21749"/>
    <w:rsid w:val="2111A021"/>
    <w:rsid w:val="21BE069A"/>
    <w:rsid w:val="224238BC"/>
    <w:rsid w:val="224482AD"/>
    <w:rsid w:val="23E0530E"/>
    <w:rsid w:val="24FC0D77"/>
    <w:rsid w:val="2A0E9F3A"/>
    <w:rsid w:val="2A2A6298"/>
    <w:rsid w:val="2F72CB2D"/>
    <w:rsid w:val="3204B56C"/>
    <w:rsid w:val="36A6CB7D"/>
    <w:rsid w:val="37D604A5"/>
    <w:rsid w:val="38C72AFC"/>
    <w:rsid w:val="3A31F626"/>
    <w:rsid w:val="3AA0BED0"/>
    <w:rsid w:val="3C7646FC"/>
    <w:rsid w:val="3E4A9713"/>
    <w:rsid w:val="3E77F3B4"/>
    <w:rsid w:val="40C3BF09"/>
    <w:rsid w:val="47207A7B"/>
    <w:rsid w:val="48038D4B"/>
    <w:rsid w:val="49E8263C"/>
    <w:rsid w:val="4A567F3C"/>
    <w:rsid w:val="50A35788"/>
    <w:rsid w:val="52944939"/>
    <w:rsid w:val="53942896"/>
    <w:rsid w:val="5536E42E"/>
    <w:rsid w:val="55914544"/>
    <w:rsid w:val="581B14F9"/>
    <w:rsid w:val="58FD3BB8"/>
    <w:rsid w:val="5B145290"/>
    <w:rsid w:val="5CF587E8"/>
    <w:rsid w:val="5DD689BF"/>
    <w:rsid w:val="5E8D8646"/>
    <w:rsid w:val="60B2C930"/>
    <w:rsid w:val="64244C5C"/>
    <w:rsid w:val="64B5C10F"/>
    <w:rsid w:val="661E5011"/>
    <w:rsid w:val="67F8BB57"/>
    <w:rsid w:val="6AEA4E8B"/>
    <w:rsid w:val="6AEC8A78"/>
    <w:rsid w:val="6D951AA9"/>
    <w:rsid w:val="7059F910"/>
    <w:rsid w:val="74248E8F"/>
    <w:rsid w:val="74EA3077"/>
    <w:rsid w:val="754BB0AE"/>
    <w:rsid w:val="75B5B795"/>
    <w:rsid w:val="76D4E0D9"/>
    <w:rsid w:val="78058569"/>
    <w:rsid w:val="785B85D1"/>
    <w:rsid w:val="78E73CD1"/>
    <w:rsid w:val="78EC659F"/>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56910147-D8D0-4759-AD79-65565E20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link w:val="OdstavecseseznamemChar"/>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customStyle="1" w:styleId="scxw9398236">
    <w:name w:val="scxw9398236"/>
    <w:basedOn w:val="Standardnpsmoodstavce"/>
    <w:rsid w:val="000D7C6F"/>
  </w:style>
  <w:style w:type="character" w:customStyle="1" w:styleId="superscript">
    <w:name w:val="superscript"/>
    <w:basedOn w:val="Standardnpsmoodstavce"/>
    <w:rsid w:val="000D7C6F"/>
  </w:style>
  <w:style w:type="character" w:customStyle="1" w:styleId="OdstavecseseznamemChar">
    <w:name w:val="Odstavec se seznamem Char"/>
    <w:basedOn w:val="Standardnpsmoodstavce"/>
    <w:link w:val="Odstavecseseznamem"/>
    <w:uiPriority w:val="34"/>
    <w:rsid w:val="00A51A9B"/>
    <w:rPr>
      <w:rFonts w:ascii="Arial" w:eastAsia="Times New Roman" w:hAnsi="Arial"/>
      <w:szCs w:val="24"/>
      <w:lang w:eastAsia="cs-CZ"/>
    </w:rPr>
  </w:style>
  <w:style w:type="character" w:styleId="Sledovanodkaz">
    <w:name w:val="FollowedHyperlink"/>
    <w:basedOn w:val="Standardnpsmoodstavce"/>
    <w:uiPriority w:val="99"/>
    <w:semiHidden/>
    <w:unhideWhenUsed/>
    <w:rsid w:val="006D1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7683572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446">
          <w:marLeft w:val="0"/>
          <w:marRight w:val="0"/>
          <w:marTop w:val="0"/>
          <w:marBottom w:val="0"/>
          <w:divBdr>
            <w:top w:val="none" w:sz="0" w:space="0" w:color="auto"/>
            <w:left w:val="none" w:sz="0" w:space="0" w:color="auto"/>
            <w:bottom w:val="none" w:sz="0" w:space="0" w:color="auto"/>
            <w:right w:val="none" w:sz="0" w:space="0" w:color="auto"/>
          </w:divBdr>
        </w:div>
        <w:div w:id="1716659461">
          <w:marLeft w:val="0"/>
          <w:marRight w:val="0"/>
          <w:marTop w:val="0"/>
          <w:marBottom w:val="0"/>
          <w:divBdr>
            <w:top w:val="none" w:sz="0" w:space="0" w:color="auto"/>
            <w:left w:val="none" w:sz="0" w:space="0" w:color="auto"/>
            <w:bottom w:val="none" w:sz="0" w:space="0" w:color="auto"/>
            <w:right w:val="none" w:sz="0" w:space="0" w:color="auto"/>
          </w:divBdr>
          <w:divsChild>
            <w:div w:id="908930234">
              <w:marLeft w:val="-75"/>
              <w:marRight w:val="0"/>
              <w:marTop w:val="30"/>
              <w:marBottom w:val="30"/>
              <w:divBdr>
                <w:top w:val="none" w:sz="0" w:space="0" w:color="auto"/>
                <w:left w:val="none" w:sz="0" w:space="0" w:color="auto"/>
                <w:bottom w:val="none" w:sz="0" w:space="0" w:color="auto"/>
                <w:right w:val="none" w:sz="0" w:space="0" w:color="auto"/>
              </w:divBdr>
              <w:divsChild>
                <w:div w:id="189690384">
                  <w:marLeft w:val="0"/>
                  <w:marRight w:val="0"/>
                  <w:marTop w:val="0"/>
                  <w:marBottom w:val="0"/>
                  <w:divBdr>
                    <w:top w:val="none" w:sz="0" w:space="0" w:color="auto"/>
                    <w:left w:val="none" w:sz="0" w:space="0" w:color="auto"/>
                    <w:bottom w:val="none" w:sz="0" w:space="0" w:color="auto"/>
                    <w:right w:val="none" w:sz="0" w:space="0" w:color="auto"/>
                  </w:divBdr>
                  <w:divsChild>
                    <w:div w:id="345450649">
                      <w:marLeft w:val="0"/>
                      <w:marRight w:val="0"/>
                      <w:marTop w:val="0"/>
                      <w:marBottom w:val="0"/>
                      <w:divBdr>
                        <w:top w:val="none" w:sz="0" w:space="0" w:color="auto"/>
                        <w:left w:val="none" w:sz="0" w:space="0" w:color="auto"/>
                        <w:bottom w:val="none" w:sz="0" w:space="0" w:color="auto"/>
                        <w:right w:val="none" w:sz="0" w:space="0" w:color="auto"/>
                      </w:divBdr>
                    </w:div>
                  </w:divsChild>
                </w:div>
                <w:div w:id="2130083414">
                  <w:marLeft w:val="0"/>
                  <w:marRight w:val="0"/>
                  <w:marTop w:val="0"/>
                  <w:marBottom w:val="0"/>
                  <w:divBdr>
                    <w:top w:val="none" w:sz="0" w:space="0" w:color="auto"/>
                    <w:left w:val="none" w:sz="0" w:space="0" w:color="auto"/>
                    <w:bottom w:val="none" w:sz="0" w:space="0" w:color="auto"/>
                    <w:right w:val="none" w:sz="0" w:space="0" w:color="auto"/>
                  </w:divBdr>
                  <w:divsChild>
                    <w:div w:id="1847819293">
                      <w:marLeft w:val="0"/>
                      <w:marRight w:val="0"/>
                      <w:marTop w:val="0"/>
                      <w:marBottom w:val="0"/>
                      <w:divBdr>
                        <w:top w:val="none" w:sz="0" w:space="0" w:color="auto"/>
                        <w:left w:val="none" w:sz="0" w:space="0" w:color="auto"/>
                        <w:bottom w:val="none" w:sz="0" w:space="0" w:color="auto"/>
                        <w:right w:val="none" w:sz="0" w:space="0" w:color="auto"/>
                      </w:divBdr>
                    </w:div>
                  </w:divsChild>
                </w:div>
                <w:div w:id="141698433">
                  <w:marLeft w:val="0"/>
                  <w:marRight w:val="0"/>
                  <w:marTop w:val="0"/>
                  <w:marBottom w:val="0"/>
                  <w:divBdr>
                    <w:top w:val="none" w:sz="0" w:space="0" w:color="auto"/>
                    <w:left w:val="none" w:sz="0" w:space="0" w:color="auto"/>
                    <w:bottom w:val="none" w:sz="0" w:space="0" w:color="auto"/>
                    <w:right w:val="none" w:sz="0" w:space="0" w:color="auto"/>
                  </w:divBdr>
                  <w:divsChild>
                    <w:div w:id="1561865753">
                      <w:marLeft w:val="0"/>
                      <w:marRight w:val="0"/>
                      <w:marTop w:val="0"/>
                      <w:marBottom w:val="0"/>
                      <w:divBdr>
                        <w:top w:val="none" w:sz="0" w:space="0" w:color="auto"/>
                        <w:left w:val="none" w:sz="0" w:space="0" w:color="auto"/>
                        <w:bottom w:val="none" w:sz="0" w:space="0" w:color="auto"/>
                        <w:right w:val="none" w:sz="0" w:space="0" w:color="auto"/>
                      </w:divBdr>
                    </w:div>
                  </w:divsChild>
                </w:div>
                <w:div w:id="1168449760">
                  <w:marLeft w:val="0"/>
                  <w:marRight w:val="0"/>
                  <w:marTop w:val="0"/>
                  <w:marBottom w:val="0"/>
                  <w:divBdr>
                    <w:top w:val="none" w:sz="0" w:space="0" w:color="auto"/>
                    <w:left w:val="none" w:sz="0" w:space="0" w:color="auto"/>
                    <w:bottom w:val="none" w:sz="0" w:space="0" w:color="auto"/>
                    <w:right w:val="none" w:sz="0" w:space="0" w:color="auto"/>
                  </w:divBdr>
                  <w:divsChild>
                    <w:div w:id="1407143116">
                      <w:marLeft w:val="0"/>
                      <w:marRight w:val="0"/>
                      <w:marTop w:val="0"/>
                      <w:marBottom w:val="0"/>
                      <w:divBdr>
                        <w:top w:val="none" w:sz="0" w:space="0" w:color="auto"/>
                        <w:left w:val="none" w:sz="0" w:space="0" w:color="auto"/>
                        <w:bottom w:val="none" w:sz="0" w:space="0" w:color="auto"/>
                        <w:right w:val="none" w:sz="0" w:space="0" w:color="auto"/>
                      </w:divBdr>
                    </w:div>
                  </w:divsChild>
                </w:div>
                <w:div w:id="2124761785">
                  <w:marLeft w:val="0"/>
                  <w:marRight w:val="0"/>
                  <w:marTop w:val="0"/>
                  <w:marBottom w:val="0"/>
                  <w:divBdr>
                    <w:top w:val="none" w:sz="0" w:space="0" w:color="auto"/>
                    <w:left w:val="none" w:sz="0" w:space="0" w:color="auto"/>
                    <w:bottom w:val="none" w:sz="0" w:space="0" w:color="auto"/>
                    <w:right w:val="none" w:sz="0" w:space="0" w:color="auto"/>
                  </w:divBdr>
                  <w:divsChild>
                    <w:div w:id="1111317610">
                      <w:marLeft w:val="0"/>
                      <w:marRight w:val="0"/>
                      <w:marTop w:val="0"/>
                      <w:marBottom w:val="0"/>
                      <w:divBdr>
                        <w:top w:val="none" w:sz="0" w:space="0" w:color="auto"/>
                        <w:left w:val="none" w:sz="0" w:space="0" w:color="auto"/>
                        <w:bottom w:val="none" w:sz="0" w:space="0" w:color="auto"/>
                        <w:right w:val="none" w:sz="0" w:space="0" w:color="auto"/>
                      </w:divBdr>
                    </w:div>
                  </w:divsChild>
                </w:div>
                <w:div w:id="1016151455">
                  <w:marLeft w:val="0"/>
                  <w:marRight w:val="0"/>
                  <w:marTop w:val="0"/>
                  <w:marBottom w:val="0"/>
                  <w:divBdr>
                    <w:top w:val="none" w:sz="0" w:space="0" w:color="auto"/>
                    <w:left w:val="none" w:sz="0" w:space="0" w:color="auto"/>
                    <w:bottom w:val="none" w:sz="0" w:space="0" w:color="auto"/>
                    <w:right w:val="none" w:sz="0" w:space="0" w:color="auto"/>
                  </w:divBdr>
                  <w:divsChild>
                    <w:div w:id="1179079040">
                      <w:marLeft w:val="0"/>
                      <w:marRight w:val="0"/>
                      <w:marTop w:val="0"/>
                      <w:marBottom w:val="0"/>
                      <w:divBdr>
                        <w:top w:val="none" w:sz="0" w:space="0" w:color="auto"/>
                        <w:left w:val="none" w:sz="0" w:space="0" w:color="auto"/>
                        <w:bottom w:val="none" w:sz="0" w:space="0" w:color="auto"/>
                        <w:right w:val="none" w:sz="0" w:space="0" w:color="auto"/>
                      </w:divBdr>
                    </w:div>
                  </w:divsChild>
                </w:div>
                <w:div w:id="953753815">
                  <w:marLeft w:val="0"/>
                  <w:marRight w:val="0"/>
                  <w:marTop w:val="0"/>
                  <w:marBottom w:val="0"/>
                  <w:divBdr>
                    <w:top w:val="none" w:sz="0" w:space="0" w:color="auto"/>
                    <w:left w:val="none" w:sz="0" w:space="0" w:color="auto"/>
                    <w:bottom w:val="none" w:sz="0" w:space="0" w:color="auto"/>
                    <w:right w:val="none" w:sz="0" w:space="0" w:color="auto"/>
                  </w:divBdr>
                  <w:divsChild>
                    <w:div w:id="126052794">
                      <w:marLeft w:val="0"/>
                      <w:marRight w:val="0"/>
                      <w:marTop w:val="0"/>
                      <w:marBottom w:val="0"/>
                      <w:divBdr>
                        <w:top w:val="none" w:sz="0" w:space="0" w:color="auto"/>
                        <w:left w:val="none" w:sz="0" w:space="0" w:color="auto"/>
                        <w:bottom w:val="none" w:sz="0" w:space="0" w:color="auto"/>
                        <w:right w:val="none" w:sz="0" w:space="0" w:color="auto"/>
                      </w:divBdr>
                    </w:div>
                  </w:divsChild>
                </w:div>
                <w:div w:id="864711492">
                  <w:marLeft w:val="0"/>
                  <w:marRight w:val="0"/>
                  <w:marTop w:val="0"/>
                  <w:marBottom w:val="0"/>
                  <w:divBdr>
                    <w:top w:val="none" w:sz="0" w:space="0" w:color="auto"/>
                    <w:left w:val="none" w:sz="0" w:space="0" w:color="auto"/>
                    <w:bottom w:val="none" w:sz="0" w:space="0" w:color="auto"/>
                    <w:right w:val="none" w:sz="0" w:space="0" w:color="auto"/>
                  </w:divBdr>
                  <w:divsChild>
                    <w:div w:id="1959221365">
                      <w:marLeft w:val="0"/>
                      <w:marRight w:val="0"/>
                      <w:marTop w:val="0"/>
                      <w:marBottom w:val="0"/>
                      <w:divBdr>
                        <w:top w:val="none" w:sz="0" w:space="0" w:color="auto"/>
                        <w:left w:val="none" w:sz="0" w:space="0" w:color="auto"/>
                        <w:bottom w:val="none" w:sz="0" w:space="0" w:color="auto"/>
                        <w:right w:val="none" w:sz="0" w:space="0" w:color="auto"/>
                      </w:divBdr>
                    </w:div>
                  </w:divsChild>
                </w:div>
                <w:div w:id="708652465">
                  <w:marLeft w:val="0"/>
                  <w:marRight w:val="0"/>
                  <w:marTop w:val="0"/>
                  <w:marBottom w:val="0"/>
                  <w:divBdr>
                    <w:top w:val="none" w:sz="0" w:space="0" w:color="auto"/>
                    <w:left w:val="none" w:sz="0" w:space="0" w:color="auto"/>
                    <w:bottom w:val="none" w:sz="0" w:space="0" w:color="auto"/>
                    <w:right w:val="none" w:sz="0" w:space="0" w:color="auto"/>
                  </w:divBdr>
                  <w:divsChild>
                    <w:div w:id="587033635">
                      <w:marLeft w:val="0"/>
                      <w:marRight w:val="0"/>
                      <w:marTop w:val="0"/>
                      <w:marBottom w:val="0"/>
                      <w:divBdr>
                        <w:top w:val="none" w:sz="0" w:space="0" w:color="auto"/>
                        <w:left w:val="none" w:sz="0" w:space="0" w:color="auto"/>
                        <w:bottom w:val="none" w:sz="0" w:space="0" w:color="auto"/>
                        <w:right w:val="none" w:sz="0" w:space="0" w:color="auto"/>
                      </w:divBdr>
                    </w:div>
                  </w:divsChild>
                </w:div>
                <w:div w:id="970284968">
                  <w:marLeft w:val="0"/>
                  <w:marRight w:val="0"/>
                  <w:marTop w:val="0"/>
                  <w:marBottom w:val="0"/>
                  <w:divBdr>
                    <w:top w:val="none" w:sz="0" w:space="0" w:color="auto"/>
                    <w:left w:val="none" w:sz="0" w:space="0" w:color="auto"/>
                    <w:bottom w:val="none" w:sz="0" w:space="0" w:color="auto"/>
                    <w:right w:val="none" w:sz="0" w:space="0" w:color="auto"/>
                  </w:divBdr>
                  <w:divsChild>
                    <w:div w:id="1759984152">
                      <w:marLeft w:val="0"/>
                      <w:marRight w:val="0"/>
                      <w:marTop w:val="0"/>
                      <w:marBottom w:val="0"/>
                      <w:divBdr>
                        <w:top w:val="none" w:sz="0" w:space="0" w:color="auto"/>
                        <w:left w:val="none" w:sz="0" w:space="0" w:color="auto"/>
                        <w:bottom w:val="none" w:sz="0" w:space="0" w:color="auto"/>
                        <w:right w:val="none" w:sz="0" w:space="0" w:color="auto"/>
                      </w:divBdr>
                    </w:div>
                  </w:divsChild>
                </w:div>
                <w:div w:id="1041595004">
                  <w:marLeft w:val="0"/>
                  <w:marRight w:val="0"/>
                  <w:marTop w:val="0"/>
                  <w:marBottom w:val="0"/>
                  <w:divBdr>
                    <w:top w:val="none" w:sz="0" w:space="0" w:color="auto"/>
                    <w:left w:val="none" w:sz="0" w:space="0" w:color="auto"/>
                    <w:bottom w:val="none" w:sz="0" w:space="0" w:color="auto"/>
                    <w:right w:val="none" w:sz="0" w:space="0" w:color="auto"/>
                  </w:divBdr>
                  <w:divsChild>
                    <w:div w:id="1259410822">
                      <w:marLeft w:val="0"/>
                      <w:marRight w:val="0"/>
                      <w:marTop w:val="0"/>
                      <w:marBottom w:val="0"/>
                      <w:divBdr>
                        <w:top w:val="none" w:sz="0" w:space="0" w:color="auto"/>
                        <w:left w:val="none" w:sz="0" w:space="0" w:color="auto"/>
                        <w:bottom w:val="none" w:sz="0" w:space="0" w:color="auto"/>
                        <w:right w:val="none" w:sz="0" w:space="0" w:color="auto"/>
                      </w:divBdr>
                    </w:div>
                  </w:divsChild>
                </w:div>
                <w:div w:id="1384409651">
                  <w:marLeft w:val="0"/>
                  <w:marRight w:val="0"/>
                  <w:marTop w:val="0"/>
                  <w:marBottom w:val="0"/>
                  <w:divBdr>
                    <w:top w:val="none" w:sz="0" w:space="0" w:color="auto"/>
                    <w:left w:val="none" w:sz="0" w:space="0" w:color="auto"/>
                    <w:bottom w:val="none" w:sz="0" w:space="0" w:color="auto"/>
                    <w:right w:val="none" w:sz="0" w:space="0" w:color="auto"/>
                  </w:divBdr>
                  <w:divsChild>
                    <w:div w:id="73013662">
                      <w:marLeft w:val="0"/>
                      <w:marRight w:val="0"/>
                      <w:marTop w:val="0"/>
                      <w:marBottom w:val="0"/>
                      <w:divBdr>
                        <w:top w:val="none" w:sz="0" w:space="0" w:color="auto"/>
                        <w:left w:val="none" w:sz="0" w:space="0" w:color="auto"/>
                        <w:bottom w:val="none" w:sz="0" w:space="0" w:color="auto"/>
                        <w:right w:val="none" w:sz="0" w:space="0" w:color="auto"/>
                      </w:divBdr>
                    </w:div>
                  </w:divsChild>
                </w:div>
                <w:div w:id="1396856273">
                  <w:marLeft w:val="0"/>
                  <w:marRight w:val="0"/>
                  <w:marTop w:val="0"/>
                  <w:marBottom w:val="0"/>
                  <w:divBdr>
                    <w:top w:val="none" w:sz="0" w:space="0" w:color="auto"/>
                    <w:left w:val="none" w:sz="0" w:space="0" w:color="auto"/>
                    <w:bottom w:val="none" w:sz="0" w:space="0" w:color="auto"/>
                    <w:right w:val="none" w:sz="0" w:space="0" w:color="auto"/>
                  </w:divBdr>
                  <w:divsChild>
                    <w:div w:id="1129475919">
                      <w:marLeft w:val="0"/>
                      <w:marRight w:val="0"/>
                      <w:marTop w:val="0"/>
                      <w:marBottom w:val="0"/>
                      <w:divBdr>
                        <w:top w:val="none" w:sz="0" w:space="0" w:color="auto"/>
                        <w:left w:val="none" w:sz="0" w:space="0" w:color="auto"/>
                        <w:bottom w:val="none" w:sz="0" w:space="0" w:color="auto"/>
                        <w:right w:val="none" w:sz="0" w:space="0" w:color="auto"/>
                      </w:divBdr>
                    </w:div>
                  </w:divsChild>
                </w:div>
                <w:div w:id="241991679">
                  <w:marLeft w:val="0"/>
                  <w:marRight w:val="0"/>
                  <w:marTop w:val="0"/>
                  <w:marBottom w:val="0"/>
                  <w:divBdr>
                    <w:top w:val="none" w:sz="0" w:space="0" w:color="auto"/>
                    <w:left w:val="none" w:sz="0" w:space="0" w:color="auto"/>
                    <w:bottom w:val="none" w:sz="0" w:space="0" w:color="auto"/>
                    <w:right w:val="none" w:sz="0" w:space="0" w:color="auto"/>
                  </w:divBdr>
                  <w:divsChild>
                    <w:div w:id="1142037930">
                      <w:marLeft w:val="0"/>
                      <w:marRight w:val="0"/>
                      <w:marTop w:val="0"/>
                      <w:marBottom w:val="0"/>
                      <w:divBdr>
                        <w:top w:val="none" w:sz="0" w:space="0" w:color="auto"/>
                        <w:left w:val="none" w:sz="0" w:space="0" w:color="auto"/>
                        <w:bottom w:val="none" w:sz="0" w:space="0" w:color="auto"/>
                        <w:right w:val="none" w:sz="0" w:space="0" w:color="auto"/>
                      </w:divBdr>
                    </w:div>
                  </w:divsChild>
                </w:div>
                <w:div w:id="87964264">
                  <w:marLeft w:val="0"/>
                  <w:marRight w:val="0"/>
                  <w:marTop w:val="0"/>
                  <w:marBottom w:val="0"/>
                  <w:divBdr>
                    <w:top w:val="none" w:sz="0" w:space="0" w:color="auto"/>
                    <w:left w:val="none" w:sz="0" w:space="0" w:color="auto"/>
                    <w:bottom w:val="none" w:sz="0" w:space="0" w:color="auto"/>
                    <w:right w:val="none" w:sz="0" w:space="0" w:color="auto"/>
                  </w:divBdr>
                  <w:divsChild>
                    <w:div w:id="297150500">
                      <w:marLeft w:val="0"/>
                      <w:marRight w:val="0"/>
                      <w:marTop w:val="0"/>
                      <w:marBottom w:val="0"/>
                      <w:divBdr>
                        <w:top w:val="none" w:sz="0" w:space="0" w:color="auto"/>
                        <w:left w:val="none" w:sz="0" w:space="0" w:color="auto"/>
                        <w:bottom w:val="none" w:sz="0" w:space="0" w:color="auto"/>
                        <w:right w:val="none" w:sz="0" w:space="0" w:color="auto"/>
                      </w:divBdr>
                    </w:div>
                  </w:divsChild>
                </w:div>
                <w:div w:id="368145167">
                  <w:marLeft w:val="0"/>
                  <w:marRight w:val="0"/>
                  <w:marTop w:val="0"/>
                  <w:marBottom w:val="0"/>
                  <w:divBdr>
                    <w:top w:val="none" w:sz="0" w:space="0" w:color="auto"/>
                    <w:left w:val="none" w:sz="0" w:space="0" w:color="auto"/>
                    <w:bottom w:val="none" w:sz="0" w:space="0" w:color="auto"/>
                    <w:right w:val="none" w:sz="0" w:space="0" w:color="auto"/>
                  </w:divBdr>
                  <w:divsChild>
                    <w:div w:id="1170104264">
                      <w:marLeft w:val="0"/>
                      <w:marRight w:val="0"/>
                      <w:marTop w:val="0"/>
                      <w:marBottom w:val="0"/>
                      <w:divBdr>
                        <w:top w:val="none" w:sz="0" w:space="0" w:color="auto"/>
                        <w:left w:val="none" w:sz="0" w:space="0" w:color="auto"/>
                        <w:bottom w:val="none" w:sz="0" w:space="0" w:color="auto"/>
                        <w:right w:val="none" w:sz="0" w:space="0" w:color="auto"/>
                      </w:divBdr>
                    </w:div>
                  </w:divsChild>
                </w:div>
                <w:div w:id="542448709">
                  <w:marLeft w:val="0"/>
                  <w:marRight w:val="0"/>
                  <w:marTop w:val="0"/>
                  <w:marBottom w:val="0"/>
                  <w:divBdr>
                    <w:top w:val="none" w:sz="0" w:space="0" w:color="auto"/>
                    <w:left w:val="none" w:sz="0" w:space="0" w:color="auto"/>
                    <w:bottom w:val="none" w:sz="0" w:space="0" w:color="auto"/>
                    <w:right w:val="none" w:sz="0" w:space="0" w:color="auto"/>
                  </w:divBdr>
                  <w:divsChild>
                    <w:div w:id="811479007">
                      <w:marLeft w:val="0"/>
                      <w:marRight w:val="0"/>
                      <w:marTop w:val="0"/>
                      <w:marBottom w:val="0"/>
                      <w:divBdr>
                        <w:top w:val="none" w:sz="0" w:space="0" w:color="auto"/>
                        <w:left w:val="none" w:sz="0" w:space="0" w:color="auto"/>
                        <w:bottom w:val="none" w:sz="0" w:space="0" w:color="auto"/>
                        <w:right w:val="none" w:sz="0" w:space="0" w:color="auto"/>
                      </w:divBdr>
                    </w:div>
                  </w:divsChild>
                </w:div>
                <w:div w:id="218828323">
                  <w:marLeft w:val="0"/>
                  <w:marRight w:val="0"/>
                  <w:marTop w:val="0"/>
                  <w:marBottom w:val="0"/>
                  <w:divBdr>
                    <w:top w:val="none" w:sz="0" w:space="0" w:color="auto"/>
                    <w:left w:val="none" w:sz="0" w:space="0" w:color="auto"/>
                    <w:bottom w:val="none" w:sz="0" w:space="0" w:color="auto"/>
                    <w:right w:val="none" w:sz="0" w:space="0" w:color="auto"/>
                  </w:divBdr>
                  <w:divsChild>
                    <w:div w:id="521748238">
                      <w:marLeft w:val="0"/>
                      <w:marRight w:val="0"/>
                      <w:marTop w:val="0"/>
                      <w:marBottom w:val="0"/>
                      <w:divBdr>
                        <w:top w:val="none" w:sz="0" w:space="0" w:color="auto"/>
                        <w:left w:val="none" w:sz="0" w:space="0" w:color="auto"/>
                        <w:bottom w:val="none" w:sz="0" w:space="0" w:color="auto"/>
                        <w:right w:val="none" w:sz="0" w:space="0" w:color="auto"/>
                      </w:divBdr>
                    </w:div>
                  </w:divsChild>
                </w:div>
                <w:div w:id="929586458">
                  <w:marLeft w:val="0"/>
                  <w:marRight w:val="0"/>
                  <w:marTop w:val="0"/>
                  <w:marBottom w:val="0"/>
                  <w:divBdr>
                    <w:top w:val="none" w:sz="0" w:space="0" w:color="auto"/>
                    <w:left w:val="none" w:sz="0" w:space="0" w:color="auto"/>
                    <w:bottom w:val="none" w:sz="0" w:space="0" w:color="auto"/>
                    <w:right w:val="none" w:sz="0" w:space="0" w:color="auto"/>
                  </w:divBdr>
                  <w:divsChild>
                    <w:div w:id="1428455051">
                      <w:marLeft w:val="0"/>
                      <w:marRight w:val="0"/>
                      <w:marTop w:val="0"/>
                      <w:marBottom w:val="0"/>
                      <w:divBdr>
                        <w:top w:val="none" w:sz="0" w:space="0" w:color="auto"/>
                        <w:left w:val="none" w:sz="0" w:space="0" w:color="auto"/>
                        <w:bottom w:val="none" w:sz="0" w:space="0" w:color="auto"/>
                        <w:right w:val="none" w:sz="0" w:space="0" w:color="auto"/>
                      </w:divBdr>
                    </w:div>
                  </w:divsChild>
                </w:div>
                <w:div w:id="118381659">
                  <w:marLeft w:val="0"/>
                  <w:marRight w:val="0"/>
                  <w:marTop w:val="0"/>
                  <w:marBottom w:val="0"/>
                  <w:divBdr>
                    <w:top w:val="none" w:sz="0" w:space="0" w:color="auto"/>
                    <w:left w:val="none" w:sz="0" w:space="0" w:color="auto"/>
                    <w:bottom w:val="none" w:sz="0" w:space="0" w:color="auto"/>
                    <w:right w:val="none" w:sz="0" w:space="0" w:color="auto"/>
                  </w:divBdr>
                  <w:divsChild>
                    <w:div w:id="1199583312">
                      <w:marLeft w:val="0"/>
                      <w:marRight w:val="0"/>
                      <w:marTop w:val="0"/>
                      <w:marBottom w:val="0"/>
                      <w:divBdr>
                        <w:top w:val="none" w:sz="0" w:space="0" w:color="auto"/>
                        <w:left w:val="none" w:sz="0" w:space="0" w:color="auto"/>
                        <w:bottom w:val="none" w:sz="0" w:space="0" w:color="auto"/>
                        <w:right w:val="none" w:sz="0" w:space="0" w:color="auto"/>
                      </w:divBdr>
                    </w:div>
                  </w:divsChild>
                </w:div>
                <w:div w:id="427849766">
                  <w:marLeft w:val="0"/>
                  <w:marRight w:val="0"/>
                  <w:marTop w:val="0"/>
                  <w:marBottom w:val="0"/>
                  <w:divBdr>
                    <w:top w:val="none" w:sz="0" w:space="0" w:color="auto"/>
                    <w:left w:val="none" w:sz="0" w:space="0" w:color="auto"/>
                    <w:bottom w:val="none" w:sz="0" w:space="0" w:color="auto"/>
                    <w:right w:val="none" w:sz="0" w:space="0" w:color="auto"/>
                  </w:divBdr>
                  <w:divsChild>
                    <w:div w:id="975451761">
                      <w:marLeft w:val="0"/>
                      <w:marRight w:val="0"/>
                      <w:marTop w:val="0"/>
                      <w:marBottom w:val="0"/>
                      <w:divBdr>
                        <w:top w:val="none" w:sz="0" w:space="0" w:color="auto"/>
                        <w:left w:val="none" w:sz="0" w:space="0" w:color="auto"/>
                        <w:bottom w:val="none" w:sz="0" w:space="0" w:color="auto"/>
                        <w:right w:val="none" w:sz="0" w:space="0" w:color="auto"/>
                      </w:divBdr>
                    </w:div>
                  </w:divsChild>
                </w:div>
                <w:div w:id="1316687618">
                  <w:marLeft w:val="0"/>
                  <w:marRight w:val="0"/>
                  <w:marTop w:val="0"/>
                  <w:marBottom w:val="0"/>
                  <w:divBdr>
                    <w:top w:val="none" w:sz="0" w:space="0" w:color="auto"/>
                    <w:left w:val="none" w:sz="0" w:space="0" w:color="auto"/>
                    <w:bottom w:val="none" w:sz="0" w:space="0" w:color="auto"/>
                    <w:right w:val="none" w:sz="0" w:space="0" w:color="auto"/>
                  </w:divBdr>
                  <w:divsChild>
                    <w:div w:id="1760709789">
                      <w:marLeft w:val="0"/>
                      <w:marRight w:val="0"/>
                      <w:marTop w:val="0"/>
                      <w:marBottom w:val="0"/>
                      <w:divBdr>
                        <w:top w:val="none" w:sz="0" w:space="0" w:color="auto"/>
                        <w:left w:val="none" w:sz="0" w:space="0" w:color="auto"/>
                        <w:bottom w:val="none" w:sz="0" w:space="0" w:color="auto"/>
                        <w:right w:val="none" w:sz="0" w:space="0" w:color="auto"/>
                      </w:divBdr>
                    </w:div>
                  </w:divsChild>
                </w:div>
                <w:div w:id="91436658">
                  <w:marLeft w:val="0"/>
                  <w:marRight w:val="0"/>
                  <w:marTop w:val="0"/>
                  <w:marBottom w:val="0"/>
                  <w:divBdr>
                    <w:top w:val="none" w:sz="0" w:space="0" w:color="auto"/>
                    <w:left w:val="none" w:sz="0" w:space="0" w:color="auto"/>
                    <w:bottom w:val="none" w:sz="0" w:space="0" w:color="auto"/>
                    <w:right w:val="none" w:sz="0" w:space="0" w:color="auto"/>
                  </w:divBdr>
                  <w:divsChild>
                    <w:div w:id="1271090708">
                      <w:marLeft w:val="0"/>
                      <w:marRight w:val="0"/>
                      <w:marTop w:val="0"/>
                      <w:marBottom w:val="0"/>
                      <w:divBdr>
                        <w:top w:val="none" w:sz="0" w:space="0" w:color="auto"/>
                        <w:left w:val="none" w:sz="0" w:space="0" w:color="auto"/>
                        <w:bottom w:val="none" w:sz="0" w:space="0" w:color="auto"/>
                        <w:right w:val="none" w:sz="0" w:space="0" w:color="auto"/>
                      </w:divBdr>
                    </w:div>
                  </w:divsChild>
                </w:div>
                <w:div w:id="251159376">
                  <w:marLeft w:val="0"/>
                  <w:marRight w:val="0"/>
                  <w:marTop w:val="0"/>
                  <w:marBottom w:val="0"/>
                  <w:divBdr>
                    <w:top w:val="none" w:sz="0" w:space="0" w:color="auto"/>
                    <w:left w:val="none" w:sz="0" w:space="0" w:color="auto"/>
                    <w:bottom w:val="none" w:sz="0" w:space="0" w:color="auto"/>
                    <w:right w:val="none" w:sz="0" w:space="0" w:color="auto"/>
                  </w:divBdr>
                  <w:divsChild>
                    <w:div w:id="1281374192">
                      <w:marLeft w:val="0"/>
                      <w:marRight w:val="0"/>
                      <w:marTop w:val="0"/>
                      <w:marBottom w:val="0"/>
                      <w:divBdr>
                        <w:top w:val="none" w:sz="0" w:space="0" w:color="auto"/>
                        <w:left w:val="none" w:sz="0" w:space="0" w:color="auto"/>
                        <w:bottom w:val="none" w:sz="0" w:space="0" w:color="auto"/>
                        <w:right w:val="none" w:sz="0" w:space="0" w:color="auto"/>
                      </w:divBdr>
                    </w:div>
                  </w:divsChild>
                </w:div>
                <w:div w:id="1298798031">
                  <w:marLeft w:val="0"/>
                  <w:marRight w:val="0"/>
                  <w:marTop w:val="0"/>
                  <w:marBottom w:val="0"/>
                  <w:divBdr>
                    <w:top w:val="none" w:sz="0" w:space="0" w:color="auto"/>
                    <w:left w:val="none" w:sz="0" w:space="0" w:color="auto"/>
                    <w:bottom w:val="none" w:sz="0" w:space="0" w:color="auto"/>
                    <w:right w:val="none" w:sz="0" w:space="0" w:color="auto"/>
                  </w:divBdr>
                  <w:divsChild>
                    <w:div w:id="739056931">
                      <w:marLeft w:val="0"/>
                      <w:marRight w:val="0"/>
                      <w:marTop w:val="0"/>
                      <w:marBottom w:val="0"/>
                      <w:divBdr>
                        <w:top w:val="none" w:sz="0" w:space="0" w:color="auto"/>
                        <w:left w:val="none" w:sz="0" w:space="0" w:color="auto"/>
                        <w:bottom w:val="none" w:sz="0" w:space="0" w:color="auto"/>
                        <w:right w:val="none" w:sz="0" w:space="0" w:color="auto"/>
                      </w:divBdr>
                    </w:div>
                  </w:divsChild>
                </w:div>
                <w:div w:id="1063525951">
                  <w:marLeft w:val="0"/>
                  <w:marRight w:val="0"/>
                  <w:marTop w:val="0"/>
                  <w:marBottom w:val="0"/>
                  <w:divBdr>
                    <w:top w:val="none" w:sz="0" w:space="0" w:color="auto"/>
                    <w:left w:val="none" w:sz="0" w:space="0" w:color="auto"/>
                    <w:bottom w:val="none" w:sz="0" w:space="0" w:color="auto"/>
                    <w:right w:val="none" w:sz="0" w:space="0" w:color="auto"/>
                  </w:divBdr>
                  <w:divsChild>
                    <w:div w:id="1173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8559">
          <w:marLeft w:val="0"/>
          <w:marRight w:val="0"/>
          <w:marTop w:val="0"/>
          <w:marBottom w:val="0"/>
          <w:divBdr>
            <w:top w:val="none" w:sz="0" w:space="0" w:color="auto"/>
            <w:left w:val="none" w:sz="0" w:space="0" w:color="auto"/>
            <w:bottom w:val="none" w:sz="0" w:space="0" w:color="auto"/>
            <w:right w:val="none" w:sz="0" w:space="0" w:color="auto"/>
          </w:divBdr>
        </w:div>
        <w:div w:id="1058825861">
          <w:marLeft w:val="0"/>
          <w:marRight w:val="0"/>
          <w:marTop w:val="0"/>
          <w:marBottom w:val="0"/>
          <w:divBdr>
            <w:top w:val="none" w:sz="0" w:space="0" w:color="auto"/>
            <w:left w:val="none" w:sz="0" w:space="0" w:color="auto"/>
            <w:bottom w:val="none" w:sz="0" w:space="0" w:color="auto"/>
            <w:right w:val="none" w:sz="0" w:space="0" w:color="auto"/>
          </w:divBdr>
        </w:div>
        <w:div w:id="485049849">
          <w:marLeft w:val="0"/>
          <w:marRight w:val="0"/>
          <w:marTop w:val="0"/>
          <w:marBottom w:val="0"/>
          <w:divBdr>
            <w:top w:val="none" w:sz="0" w:space="0" w:color="auto"/>
            <w:left w:val="none" w:sz="0" w:space="0" w:color="auto"/>
            <w:bottom w:val="none" w:sz="0" w:space="0" w:color="auto"/>
            <w:right w:val="none" w:sz="0" w:space="0" w:color="auto"/>
          </w:divBdr>
        </w:div>
        <w:div w:id="1856000505">
          <w:marLeft w:val="0"/>
          <w:marRight w:val="0"/>
          <w:marTop w:val="0"/>
          <w:marBottom w:val="0"/>
          <w:divBdr>
            <w:top w:val="none" w:sz="0" w:space="0" w:color="auto"/>
            <w:left w:val="none" w:sz="0" w:space="0" w:color="auto"/>
            <w:bottom w:val="none" w:sz="0" w:space="0" w:color="auto"/>
            <w:right w:val="none" w:sz="0" w:space="0" w:color="auto"/>
          </w:divBdr>
        </w:div>
        <w:div w:id="1800152014">
          <w:marLeft w:val="0"/>
          <w:marRight w:val="0"/>
          <w:marTop w:val="0"/>
          <w:marBottom w:val="0"/>
          <w:divBdr>
            <w:top w:val="none" w:sz="0" w:space="0" w:color="auto"/>
            <w:left w:val="none" w:sz="0" w:space="0" w:color="auto"/>
            <w:bottom w:val="none" w:sz="0" w:space="0" w:color="auto"/>
            <w:right w:val="none" w:sz="0" w:space="0" w:color="auto"/>
          </w:divBdr>
        </w:div>
      </w:divsChild>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6517156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651344">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cri/analyza-ctvrtletnich-sektorovych-uctu-3-ctvrtleti-20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QMakro-2023\ENGL-celorok\ENGL_St&#225;tn&#237;%20rozpo&#269;et-4q-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QMakro-2023\ENGL-celorok\ENGL_St&#225;tn&#237;%20rozpo&#269;et-4q-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547146084085555E-2"/>
          <c:y val="1.7107287133586922E-2"/>
          <c:w val="0.83160735306748312"/>
          <c:h val="0.75194595942833931"/>
        </c:manualLayout>
      </c:layout>
      <c:barChart>
        <c:barDir val="col"/>
        <c:grouping val="stacked"/>
        <c:varyColors val="0"/>
        <c:ser>
          <c:idx val="1"/>
          <c:order val="1"/>
          <c:tx>
            <c:strRef>
              <c:f>'G1-SR-příjmy-příspěvky'!$A$35</c:f>
              <c:strCache>
                <c:ptCount val="1"/>
                <c:pt idx="0">
                  <c:v>Other taxes and fees</c:v>
                </c:pt>
              </c:strCache>
            </c:strRef>
          </c:tx>
          <c:spPr>
            <a:solidFill>
              <a:schemeClr val="bg1">
                <a:lumMod val="75000"/>
              </a:schemeClr>
            </a:solidFill>
            <a:ln w="12700">
              <a:noFill/>
              <a:prstDash val="solid"/>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'G1-SR-příjmy-příspěvky'!$E$35:$T$35</c:f>
              <c:numCache>
                <c:formatCode>0.0</c:formatCode>
                <c:ptCount val="16"/>
                <c:pt idx="0">
                  <c:v>0.1343620572631733</c:v>
                </c:pt>
                <c:pt idx="1">
                  <c:v>-0.43783892347861697</c:v>
                </c:pt>
                <c:pt idx="2">
                  <c:v>0.39966089378709002</c:v>
                </c:pt>
                <c:pt idx="3">
                  <c:v>0.45359346851715454</c:v>
                </c:pt>
                <c:pt idx="4">
                  <c:v>0.36091954456633163</c:v>
                </c:pt>
                <c:pt idx="5">
                  <c:v>-0.19669432258787528</c:v>
                </c:pt>
                <c:pt idx="6">
                  <c:v>-3.3756193936022506E-2</c:v>
                </c:pt>
                <c:pt idx="7">
                  <c:v>-0.21161967177130611</c:v>
                </c:pt>
                <c:pt idx="8">
                  <c:v>0.99101056462652215</c:v>
                </c:pt>
                <c:pt idx="9">
                  <c:v>0.24244696058614967</c:v>
                </c:pt>
                <c:pt idx="10">
                  <c:v>0.15610407782378988</c:v>
                </c:pt>
                <c:pt idx="11">
                  <c:v>0.45615292592707912</c:v>
                </c:pt>
                <c:pt idx="12">
                  <c:v>-0.24507318270758649</c:v>
                </c:pt>
                <c:pt idx="13">
                  <c:v>0.38912595873892392</c:v>
                </c:pt>
                <c:pt idx="14">
                  <c:v>0.49625884514210122</c:v>
                </c:pt>
                <c:pt idx="15">
                  <c:v>4.8454264222480514</c:v>
                </c:pt>
              </c:numCache>
            </c:numRef>
          </c:val>
          <c:extLst>
            <c:ext xmlns:c16="http://schemas.microsoft.com/office/drawing/2014/chart" uri="{C3380CC4-5D6E-409C-BE32-E72D297353CC}">
              <c16:uniqueId val="{00000000-2DEC-4398-8816-1C41EBADF00B}"/>
            </c:ext>
          </c:extLst>
        </c:ser>
        <c:ser>
          <c:idx val="3"/>
          <c:order val="2"/>
          <c:tx>
            <c:strRef>
              <c:f>'G1-SR-příjmy-příspěvky'!$A$36</c:f>
              <c:strCache>
                <c:ptCount val="1"/>
                <c:pt idx="0">
                  <c:v>Income tax of natural pers., paid by payers</c:v>
                </c:pt>
              </c:strCache>
            </c:strRef>
          </c:tx>
          <c:spPr>
            <a:solidFill>
              <a:srgbClr val="EA6C75"/>
            </a:solidFill>
            <a:ln w="19050">
              <a:noFill/>
              <a:prstDash val="sysDot"/>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'G1-SR-příjmy-příspěvky'!$E$36:$T$36</c:f>
              <c:numCache>
                <c:formatCode>0.0</c:formatCode>
                <c:ptCount val="16"/>
                <c:pt idx="0">
                  <c:v>-1.5527821256908552</c:v>
                </c:pt>
                <c:pt idx="1">
                  <c:v>-0.55432817834906578</c:v>
                </c:pt>
                <c:pt idx="2">
                  <c:v>0.12110936175366319</c:v>
                </c:pt>
                <c:pt idx="3">
                  <c:v>1.0852176920748904</c:v>
                </c:pt>
                <c:pt idx="4">
                  <c:v>5.9256972671682138E-2</c:v>
                </c:pt>
                <c:pt idx="5">
                  <c:v>0.87185461004427145</c:v>
                </c:pt>
                <c:pt idx="6">
                  <c:v>0.63141477746024122</c:v>
                </c:pt>
                <c:pt idx="7">
                  <c:v>0.67342941472377771</c:v>
                </c:pt>
                <c:pt idx="8">
                  <c:v>1.620759484993294</c:v>
                </c:pt>
                <c:pt idx="9">
                  <c:v>2.236075815759023</c:v>
                </c:pt>
                <c:pt idx="10">
                  <c:v>2.5650495208593473</c:v>
                </c:pt>
                <c:pt idx="11">
                  <c:v>2.2145487595779794</c:v>
                </c:pt>
                <c:pt idx="12">
                  <c:v>-1.0526560208410929</c:v>
                </c:pt>
                <c:pt idx="13">
                  <c:v>-6.4557034146693049</c:v>
                </c:pt>
                <c:pt idx="14">
                  <c:v>1.0630342864068225</c:v>
                </c:pt>
                <c:pt idx="15">
                  <c:v>2.2839349884944489</c:v>
                </c:pt>
              </c:numCache>
            </c:numRef>
          </c:val>
          <c:extLst>
            <c:ext xmlns:c16="http://schemas.microsoft.com/office/drawing/2014/chart" uri="{C3380CC4-5D6E-409C-BE32-E72D297353CC}">
              <c16:uniqueId val="{00000001-2DEC-4398-8816-1C41EBADF00B}"/>
            </c:ext>
          </c:extLst>
        </c:ser>
        <c:ser>
          <c:idx val="4"/>
          <c:order val="3"/>
          <c:tx>
            <c:strRef>
              <c:f>'G1-SR-příjmy-příspěvky'!$A$37</c:f>
              <c:strCache>
                <c:ptCount val="1"/>
                <c:pt idx="0">
                  <c:v>Income tax of natural persons, other</c:v>
                </c:pt>
              </c:strCache>
            </c:strRef>
          </c:tx>
          <c:spPr>
            <a:solidFill>
              <a:srgbClr val="FFD757"/>
            </a:solidFill>
            <a:ln w="19050">
              <a:noFill/>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'G1-SR-příjmy-příspěvky'!$E$37:$T$37</c:f>
              <c:numCache>
                <c:formatCode>0.0</c:formatCode>
                <c:ptCount val="16"/>
                <c:pt idx="0">
                  <c:v>0.35321984125884731</c:v>
                </c:pt>
                <c:pt idx="1">
                  <c:v>-1.6643234919997321</c:v>
                </c:pt>
                <c:pt idx="2">
                  <c:v>0.37392515441443624</c:v>
                </c:pt>
                <c:pt idx="3">
                  <c:v>-0.60097712828051519</c:v>
                </c:pt>
                <c:pt idx="4">
                  <c:v>0.35272007542667594</c:v>
                </c:pt>
                <c:pt idx="5">
                  <c:v>-0.13614133500691258</c:v>
                </c:pt>
                <c:pt idx="6">
                  <c:v>5.5948144838251238E-2</c:v>
                </c:pt>
                <c:pt idx="7">
                  <c:v>0.29502621978374804</c:v>
                </c:pt>
                <c:pt idx="8">
                  <c:v>0.58137265625984325</c:v>
                </c:pt>
                <c:pt idx="9">
                  <c:v>6.7589193423445826E-2</c:v>
                </c:pt>
                <c:pt idx="10">
                  <c:v>0.27497666712976387</c:v>
                </c:pt>
                <c:pt idx="11">
                  <c:v>0.40549455394307277</c:v>
                </c:pt>
                <c:pt idx="12">
                  <c:v>-0.32978914864881037</c:v>
                </c:pt>
                <c:pt idx="13">
                  <c:v>0.714735210075371</c:v>
                </c:pt>
                <c:pt idx="14">
                  <c:v>1.1235494742441323</c:v>
                </c:pt>
                <c:pt idx="15">
                  <c:v>1.0754046813056031</c:v>
                </c:pt>
              </c:numCache>
            </c:numRef>
          </c:val>
          <c:extLst>
            <c:ext xmlns:c16="http://schemas.microsoft.com/office/drawing/2014/chart" uri="{C3380CC4-5D6E-409C-BE32-E72D297353CC}">
              <c16:uniqueId val="{00000002-2DEC-4398-8816-1C41EBADF00B}"/>
            </c:ext>
          </c:extLst>
        </c:ser>
        <c:ser>
          <c:idx val="2"/>
          <c:order val="4"/>
          <c:tx>
            <c:strRef>
              <c:f>'G1-SR-příjmy-příspěvky'!$A$38</c:f>
              <c:strCache>
                <c:ptCount val="1"/>
                <c:pt idx="0">
                  <c:v>Income tax of legal persons (corporate tax)</c:v>
                </c:pt>
              </c:strCache>
            </c:strRef>
          </c:tx>
          <c:spPr>
            <a:solidFill>
              <a:srgbClr val="F9B073"/>
            </a:solidFill>
            <a:ln>
              <a:noFill/>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'G1-SR-příjmy-příspěvky'!$E$38:$T$38</c:f>
              <c:numCache>
                <c:formatCode>0.0</c:formatCode>
                <c:ptCount val="16"/>
                <c:pt idx="0">
                  <c:v>2.7315667724017554</c:v>
                </c:pt>
                <c:pt idx="1">
                  <c:v>-8.4233781883912382</c:v>
                </c:pt>
                <c:pt idx="2">
                  <c:v>0.64490735133825949</c:v>
                </c:pt>
                <c:pt idx="3">
                  <c:v>-0.8286854886362045</c:v>
                </c:pt>
                <c:pt idx="4">
                  <c:v>1.3953606183879379</c:v>
                </c:pt>
                <c:pt idx="5">
                  <c:v>-1.0011201200508371</c:v>
                </c:pt>
                <c:pt idx="6">
                  <c:v>1.5558912659779764</c:v>
                </c:pt>
                <c:pt idx="7">
                  <c:v>1.9381939917097657</c:v>
                </c:pt>
                <c:pt idx="8">
                  <c:v>2.1019797088722414</c:v>
                </c:pt>
                <c:pt idx="9">
                  <c:v>0.66800652833506335</c:v>
                </c:pt>
                <c:pt idx="10">
                  <c:v>0.35264183265496607</c:v>
                </c:pt>
                <c:pt idx="11">
                  <c:v>0.87073588998886708</c:v>
                </c:pt>
                <c:pt idx="12">
                  <c:v>-2.0708537130072977</c:v>
                </c:pt>
                <c:pt idx="13">
                  <c:v>3.8866812074729893</c:v>
                </c:pt>
                <c:pt idx="14">
                  <c:v>3.3224740440006921</c:v>
                </c:pt>
                <c:pt idx="15">
                  <c:v>6.5729866214661037</c:v>
                </c:pt>
              </c:numCache>
            </c:numRef>
          </c:val>
          <c:extLst>
            <c:ext xmlns:c16="http://schemas.microsoft.com/office/drawing/2014/chart" uri="{C3380CC4-5D6E-409C-BE32-E72D297353CC}">
              <c16:uniqueId val="{00000003-2DEC-4398-8816-1C41EBADF00B}"/>
            </c:ext>
          </c:extLst>
        </c:ser>
        <c:ser>
          <c:idx val="5"/>
          <c:order val="5"/>
          <c:tx>
            <c:strRef>
              <c:f>'G1-SR-příjmy-příspěvky'!$A$39</c:f>
              <c:strCache>
                <c:ptCount val="1"/>
                <c:pt idx="0">
                  <c:v>Consumption tax</c:v>
                </c:pt>
              </c:strCache>
            </c:strRef>
          </c:tx>
          <c:spPr>
            <a:solidFill>
              <a:srgbClr val="00B050"/>
            </a:solidFill>
            <a:ln>
              <a:noFill/>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'G1-SR-příjmy-příspěvky'!$E$39:$T$39</c:f>
              <c:numCache>
                <c:formatCode>0.0</c:formatCode>
                <c:ptCount val="16"/>
                <c:pt idx="0">
                  <c:v>-0.82002410205975451</c:v>
                </c:pt>
                <c:pt idx="1">
                  <c:v>-0.26243556269666019</c:v>
                </c:pt>
                <c:pt idx="2">
                  <c:v>1.0899842557829751</c:v>
                </c:pt>
                <c:pt idx="3">
                  <c:v>1.1976306800985845</c:v>
                </c:pt>
                <c:pt idx="4">
                  <c:v>2.821760603413263E-2</c:v>
                </c:pt>
                <c:pt idx="5">
                  <c:v>-0.4620554400234651</c:v>
                </c:pt>
                <c:pt idx="6">
                  <c:v>-0.28107282287786861</c:v>
                </c:pt>
                <c:pt idx="7">
                  <c:v>1.1788221564402885</c:v>
                </c:pt>
                <c:pt idx="8">
                  <c:v>0.94411988085894216</c:v>
                </c:pt>
                <c:pt idx="9">
                  <c:v>0.51818381624642551</c:v>
                </c:pt>
                <c:pt idx="10">
                  <c:v>0.48698157842828721</c:v>
                </c:pt>
                <c:pt idx="11">
                  <c:v>-3.2322029662130096E-2</c:v>
                </c:pt>
                <c:pt idx="12">
                  <c:v>-0.43076419151862821</c:v>
                </c:pt>
                <c:pt idx="13">
                  <c:v>-0.47146544798768414</c:v>
                </c:pt>
                <c:pt idx="14">
                  <c:v>0.28868970114686049</c:v>
                </c:pt>
                <c:pt idx="15">
                  <c:v>-0.42596944785138119</c:v>
                </c:pt>
              </c:numCache>
            </c:numRef>
          </c:val>
          <c:extLst>
            <c:ext xmlns:c16="http://schemas.microsoft.com/office/drawing/2014/chart" uri="{C3380CC4-5D6E-409C-BE32-E72D297353CC}">
              <c16:uniqueId val="{00000004-2DEC-4398-8816-1C41EBADF00B}"/>
            </c:ext>
          </c:extLst>
        </c:ser>
        <c:ser>
          <c:idx val="6"/>
          <c:order val="6"/>
          <c:tx>
            <c:strRef>
              <c:f>'G1-SR-příjmy-příspěvky'!$A$40</c:f>
              <c:strCache>
                <c:ptCount val="1"/>
                <c:pt idx="0">
                  <c:v>Value added tax</c:v>
                </c:pt>
              </c:strCache>
            </c:strRef>
          </c:tx>
          <c:spPr>
            <a:solidFill>
              <a:schemeClr val="accent5">
                <a:lumMod val="60000"/>
                <a:lumOff val="40000"/>
              </a:schemeClr>
            </a:solidFill>
            <a:ln w="19050">
              <a:noFill/>
            </a:ln>
          </c:spPr>
          <c:invertIfNegative val="0"/>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'G1-SR-příjmy-příspěvky'!$E$40:$T$40</c:f>
              <c:numCache>
                <c:formatCode>0.0</c:formatCode>
                <c:ptCount val="16"/>
                <c:pt idx="0">
                  <c:v>2.6055157702270297</c:v>
                </c:pt>
                <c:pt idx="1">
                  <c:v>-0.21155519850036597</c:v>
                </c:pt>
                <c:pt idx="2">
                  <c:v>2.4131040329417468</c:v>
                </c:pt>
                <c:pt idx="3">
                  <c:v>0.84165621802355006</c:v>
                </c:pt>
                <c:pt idx="4">
                  <c:v>0.40069000568471064</c:v>
                </c:pt>
                <c:pt idx="5">
                  <c:v>4.1571237952110938</c:v>
                </c:pt>
                <c:pt idx="6">
                  <c:v>1.9208863061132218</c:v>
                </c:pt>
                <c:pt idx="7">
                  <c:v>1.1493195344619112</c:v>
                </c:pt>
                <c:pt idx="8">
                  <c:v>2.1838115743541993</c:v>
                </c:pt>
                <c:pt idx="9">
                  <c:v>3.6002510363555791</c:v>
                </c:pt>
                <c:pt idx="10">
                  <c:v>3.3186115323065706</c:v>
                </c:pt>
                <c:pt idx="11">
                  <c:v>1.7904445521930754</c:v>
                </c:pt>
                <c:pt idx="12">
                  <c:v>-0.47516406466208921</c:v>
                </c:pt>
                <c:pt idx="13">
                  <c:v>3.6157405564344214</c:v>
                </c:pt>
                <c:pt idx="14">
                  <c:v>6.9272296081153648</c:v>
                </c:pt>
                <c:pt idx="15">
                  <c:v>2.6134043336641875</c:v>
                </c:pt>
              </c:numCache>
            </c:numRef>
          </c:val>
          <c:extLst>
            <c:ext xmlns:c16="http://schemas.microsoft.com/office/drawing/2014/chart" uri="{C3380CC4-5D6E-409C-BE32-E72D297353CC}">
              <c16:uniqueId val="{00000005-2DEC-4398-8816-1C41EBADF00B}"/>
            </c:ext>
          </c:extLst>
        </c:ser>
        <c:dLbls>
          <c:showLegendKey val="0"/>
          <c:showVal val="0"/>
          <c:showCatName val="0"/>
          <c:showSerName val="0"/>
          <c:showPercent val="0"/>
          <c:showBubbleSize val="0"/>
        </c:dLbls>
        <c:gapWidth val="49"/>
        <c:overlap val="100"/>
        <c:axId val="194467712"/>
        <c:axId val="194473984"/>
      </c:barChart>
      <c:lineChart>
        <c:grouping val="standard"/>
        <c:varyColors val="0"/>
        <c:ser>
          <c:idx val="0"/>
          <c:order val="0"/>
          <c:tx>
            <c:strRef>
              <c:f>'G1-SR-příjmy-příspěvky'!$A$34</c:f>
              <c:strCache>
                <c:ptCount val="1"/>
                <c:pt idx="0">
                  <c:v>Total tax income (without SS insurance)</c:v>
                </c:pt>
              </c:strCache>
            </c:strRef>
          </c:tx>
          <c:spPr>
            <a:ln w="19050">
              <a:noFill/>
            </a:ln>
          </c:spPr>
          <c:marker>
            <c:symbol val="circle"/>
            <c:size val="7"/>
            <c:spPr>
              <a:solidFill>
                <a:schemeClr val="bg1"/>
              </a:solidFill>
              <a:ln>
                <a:solidFill>
                  <a:schemeClr val="tx1">
                    <a:lumMod val="95000"/>
                    <a:lumOff val="5000"/>
                  </a:schemeClr>
                </a:solidFill>
              </a:ln>
            </c:spPr>
          </c:marker>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'G1-SR-příjmy-příspěvky'!$E$34:$T$34</c:f>
              <c:numCache>
                <c:formatCode>0.0</c:formatCode>
                <c:ptCount val="16"/>
                <c:pt idx="0">
                  <c:v>3.4518582134002003</c:v>
                </c:pt>
                <c:pt idx="1">
                  <c:v>-11.553859543415683</c:v>
                </c:pt>
                <c:pt idx="2">
                  <c:v>5.0426910500181776</c:v>
                </c:pt>
                <c:pt idx="3">
                  <c:v>2.14843544179746</c:v>
                </c:pt>
                <c:pt idx="4">
                  <c:v>2.597164822771461</c:v>
                </c:pt>
                <c:pt idx="5">
                  <c:v>3.2329671875862829</c:v>
                </c:pt>
                <c:pt idx="6">
                  <c:v>3.8493114775757959</c:v>
                </c:pt>
                <c:pt idx="7">
                  <c:v>5.0231716453481852</c:v>
                </c:pt>
                <c:pt idx="8">
                  <c:v>8.4230538699650452</c:v>
                </c:pt>
                <c:pt idx="9">
                  <c:v>7.3325533507056804</c:v>
                </c:pt>
                <c:pt idx="10">
                  <c:v>7.1543652092027372</c:v>
                </c:pt>
                <c:pt idx="11">
                  <c:v>5.7050546519679273</c:v>
                </c:pt>
                <c:pt idx="12">
                  <c:v>-4.6043003213854945</c:v>
                </c:pt>
                <c:pt idx="13">
                  <c:v>1.6791140700647134</c:v>
                </c:pt>
                <c:pt idx="14">
                  <c:v>13.221235959055974</c:v>
                </c:pt>
                <c:pt idx="15">
                  <c:v>16.96518759932701</c:v>
                </c:pt>
              </c:numCache>
            </c:numRef>
          </c:val>
          <c:smooth val="0"/>
          <c:extLst>
            <c:ext xmlns:c16="http://schemas.microsoft.com/office/drawing/2014/chart" uri="{C3380CC4-5D6E-409C-BE32-E72D297353CC}">
              <c16:uniqueId val="{00000006-2DEC-4398-8816-1C41EBADF00B}"/>
            </c:ext>
          </c:extLst>
        </c:ser>
        <c:ser>
          <c:idx val="7"/>
          <c:order val="7"/>
          <c:tx>
            <c:strRef>
              <c:f>'G1-SR-příjmy-příspěvky'!$A$41</c:f>
              <c:strCache>
                <c:ptCount val="1"/>
                <c:pt idx="0">
                  <c:v>Social security insurance revenues (SS)*</c:v>
                </c:pt>
              </c:strCache>
            </c:strRef>
          </c:tx>
          <c:spPr>
            <a:ln w="6350">
              <a:noFill/>
              <a:prstDash val="dash"/>
            </a:ln>
          </c:spPr>
          <c:marker>
            <c:symbol val="triangle"/>
            <c:size val="5"/>
            <c:spPr>
              <a:solidFill>
                <a:schemeClr val="bg1"/>
              </a:solidFill>
              <a:ln>
                <a:solidFill>
                  <a:schemeClr val="tx1">
                    <a:lumMod val="95000"/>
                    <a:lumOff val="5000"/>
                  </a:schemeClr>
                </a:solidFill>
              </a:ln>
            </c:spPr>
          </c:marker>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'G1-SR-příjmy-příspěvky'!$E$41:$T$41</c:f>
              <c:numCache>
                <c:formatCode>0.0</c:formatCode>
                <c:ptCount val="16"/>
                <c:pt idx="0">
                  <c:v>4.963380435078534</c:v>
                </c:pt>
                <c:pt idx="1">
                  <c:v>-9.7530608009960531</c:v>
                </c:pt>
                <c:pt idx="2">
                  <c:v>2.2763853759484789</c:v>
                </c:pt>
                <c:pt idx="3">
                  <c:v>3.0856564748201549</c:v>
                </c:pt>
                <c:pt idx="4">
                  <c:v>1.2752902432500832</c:v>
                </c:pt>
                <c:pt idx="5">
                  <c:v>0.18597279569168279</c:v>
                </c:pt>
                <c:pt idx="6">
                  <c:v>2.8854393544132932</c:v>
                </c:pt>
                <c:pt idx="7">
                  <c:v>5.7035679195659696</c:v>
                </c:pt>
                <c:pt idx="8">
                  <c:v>5.8559128258724513</c:v>
                </c:pt>
                <c:pt idx="9">
                  <c:v>8.8183903383047806</c:v>
                </c:pt>
                <c:pt idx="10">
                  <c:v>10.091138884587679</c:v>
                </c:pt>
                <c:pt idx="11">
                  <c:v>7.4816515195790458</c:v>
                </c:pt>
                <c:pt idx="12">
                  <c:v>-2.0277306648235509</c:v>
                </c:pt>
                <c:pt idx="13">
                  <c:v>10.169913745206131</c:v>
                </c:pt>
                <c:pt idx="14">
                  <c:v>7.0843896490699052</c:v>
                </c:pt>
                <c:pt idx="15">
                  <c:v>8.0913834543681276</c:v>
                </c:pt>
              </c:numCache>
            </c:numRef>
          </c:val>
          <c:smooth val="0"/>
          <c:extLst>
            <c:ext xmlns:c16="http://schemas.microsoft.com/office/drawing/2014/chart" uri="{C3380CC4-5D6E-409C-BE32-E72D297353CC}">
              <c16:uniqueId val="{00000007-2DEC-4398-8816-1C41EBADF00B}"/>
            </c:ext>
          </c:extLst>
        </c:ser>
        <c:dLbls>
          <c:showLegendKey val="0"/>
          <c:showVal val="0"/>
          <c:showCatName val="0"/>
          <c:showSerName val="0"/>
          <c:showPercent val="0"/>
          <c:showBubbleSize val="0"/>
        </c:dLbls>
        <c:marker val="1"/>
        <c:smooth val="0"/>
        <c:axId val="194467712"/>
        <c:axId val="194473984"/>
      </c:lineChart>
      <c:lineChart>
        <c:grouping val="standard"/>
        <c:varyColors val="0"/>
        <c:ser>
          <c:idx val="8"/>
          <c:order val="8"/>
          <c:tx>
            <c:strRef>
              <c:f>'G1-SR-příjmy-příspěvky'!$A$42</c:f>
              <c:strCache>
                <c:ptCount val="1"/>
                <c:pt idx="0">
                  <c:v>State budget balance (right axis)</c:v>
                </c:pt>
              </c:strCache>
            </c:strRef>
          </c:tx>
          <c:spPr>
            <a:ln w="19050">
              <a:solidFill>
                <a:schemeClr val="bg2">
                  <a:lumMod val="50000"/>
                </a:schemeClr>
              </a:solidFill>
            </a:ln>
          </c:spPr>
          <c:marker>
            <c:symbol val="none"/>
          </c:marker>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'G1-SR-příjmy-příspěvky'!$E$42:$T$42</c:f>
              <c:numCache>
                <c:formatCode>#\ ##0.0</c:formatCode>
                <c:ptCount val="16"/>
                <c:pt idx="0">
                  <c:v>-20.003</c:v>
                </c:pt>
                <c:pt idx="1">
                  <c:v>-192.39400000000001</c:v>
                </c:pt>
                <c:pt idx="2">
                  <c:v>-156.416</c:v>
                </c:pt>
                <c:pt idx="3">
                  <c:v>-142.77099999999999</c:v>
                </c:pt>
                <c:pt idx="4">
                  <c:v>-101</c:v>
                </c:pt>
                <c:pt idx="5">
                  <c:v>-81.263999999999996</c:v>
                </c:pt>
                <c:pt idx="6">
                  <c:v>-77.78</c:v>
                </c:pt>
                <c:pt idx="7">
                  <c:v>-62.8</c:v>
                </c:pt>
                <c:pt idx="8">
                  <c:v>61.77</c:v>
                </c:pt>
                <c:pt idx="9">
                  <c:v>-6.15</c:v>
                </c:pt>
                <c:pt idx="10">
                  <c:v>2.94</c:v>
                </c:pt>
                <c:pt idx="11">
                  <c:v>-28.52</c:v>
                </c:pt>
                <c:pt idx="12">
                  <c:v>-367.44914888590029</c:v>
                </c:pt>
                <c:pt idx="13">
                  <c:v>-419.6878585549</c:v>
                </c:pt>
                <c:pt idx="14">
                  <c:v>-360.40186851624935</c:v>
                </c:pt>
                <c:pt idx="15">
                  <c:v>-288.51503705804953</c:v>
                </c:pt>
              </c:numCache>
            </c:numRef>
          </c:val>
          <c:smooth val="0"/>
          <c:extLst>
            <c:ext xmlns:c16="http://schemas.microsoft.com/office/drawing/2014/chart" uri="{C3380CC4-5D6E-409C-BE32-E72D297353CC}">
              <c16:uniqueId val="{00000008-2DEC-4398-8816-1C41EBADF00B}"/>
            </c:ext>
          </c:extLst>
        </c:ser>
        <c:ser>
          <c:idx val="9"/>
          <c:order val="9"/>
          <c:tx>
            <c:strRef>
              <c:f>'G1-SR-příjmy-příspěvky'!$A$43</c:f>
              <c:strCache>
                <c:ptCount val="1"/>
                <c:pt idx="0">
                  <c:v>SB balance adjust.for EU+FM effect** (right ax.)</c:v>
                </c:pt>
              </c:strCache>
            </c:strRef>
          </c:tx>
          <c:spPr>
            <a:ln w="19050">
              <a:solidFill>
                <a:schemeClr val="bg2">
                  <a:lumMod val="50000"/>
                </a:schemeClr>
              </a:solidFill>
              <a:prstDash val="sysDash"/>
            </a:ln>
          </c:spPr>
          <c:marker>
            <c:symbol val="none"/>
          </c:marker>
          <c:cat>
            <c:numRef>
              <c:f>'G1-SR-příjmy-příspěvky'!$E$33:$T$33</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'G1-SR-příjmy-příspěvky'!$E$43:$T$43</c:f>
              <c:numCache>
                <c:formatCode>General</c:formatCode>
                <c:ptCount val="16"/>
                <c:pt idx="2" formatCode="#\ ##0.0">
                  <c:v>-139.30000000000001</c:v>
                </c:pt>
                <c:pt idx="3" formatCode="#\ ##0.0">
                  <c:v>-117.5</c:v>
                </c:pt>
                <c:pt idx="4" formatCode="#\ ##0.0">
                  <c:v>-70.599999999999994</c:v>
                </c:pt>
                <c:pt idx="5" formatCode="#\ ##0.0">
                  <c:v>-81.73296260617991</c:v>
                </c:pt>
                <c:pt idx="6" formatCode="#\ ##0.0">
                  <c:v>-64.099999999999994</c:v>
                </c:pt>
                <c:pt idx="7" formatCode="#\ ##0.0">
                  <c:v>-41.7</c:v>
                </c:pt>
                <c:pt idx="8" formatCode="#\ ##0.0">
                  <c:v>-13.6</c:v>
                </c:pt>
                <c:pt idx="9" formatCode="#\ ##0.0">
                  <c:v>-1.3</c:v>
                </c:pt>
                <c:pt idx="10" formatCode="#\ ##0.0">
                  <c:v>-3.5</c:v>
                </c:pt>
                <c:pt idx="11" formatCode="#\ ##0.0">
                  <c:v>-29.2</c:v>
                </c:pt>
                <c:pt idx="12" formatCode="#\ ##0.0">
                  <c:v>-364.9</c:v>
                </c:pt>
                <c:pt idx="13" formatCode="#\ ##0.0">
                  <c:v>-408.62534300788002</c:v>
                </c:pt>
                <c:pt idx="14" formatCode="#\ ##0.0">
                  <c:v>-316.78614650160944</c:v>
                </c:pt>
                <c:pt idx="15" formatCode="#\ ##0.0">
                  <c:v>-299.44697195211938</c:v>
                </c:pt>
              </c:numCache>
            </c:numRef>
          </c:val>
          <c:smooth val="0"/>
          <c:extLst>
            <c:ext xmlns:c16="http://schemas.microsoft.com/office/drawing/2014/chart" uri="{C3380CC4-5D6E-409C-BE32-E72D297353CC}">
              <c16:uniqueId val="{00000009-2DEC-4398-8816-1C41EBADF00B}"/>
            </c:ext>
          </c:extLst>
        </c:ser>
        <c:dLbls>
          <c:showLegendKey val="0"/>
          <c:showVal val="0"/>
          <c:showCatName val="0"/>
          <c:showSerName val="0"/>
          <c:showPercent val="0"/>
          <c:showBubbleSize val="0"/>
        </c:dLbls>
        <c:marker val="1"/>
        <c:smooth val="0"/>
        <c:axId val="539204576"/>
        <c:axId val="556140592"/>
      </c:lineChart>
      <c:catAx>
        <c:axId val="194467712"/>
        <c:scaling>
          <c:orientation val="minMax"/>
        </c:scaling>
        <c:delete val="0"/>
        <c:axPos val="b"/>
        <c:numFmt formatCode="General" sourceLinked="1"/>
        <c:majorTickMark val="out"/>
        <c:minorTickMark val="none"/>
        <c:tickLblPos val="low"/>
        <c:spPr>
          <a:ln w="6350">
            <a:solidFill>
              <a:schemeClr val="tx1"/>
            </a:solidFill>
          </a:ln>
        </c:spPr>
        <c:txPr>
          <a:bodyPr rot="-2220000"/>
          <a:lstStyle/>
          <a:p>
            <a:pPr>
              <a:defRPr sz="800" b="0" i="0"/>
            </a:pPr>
            <a:endParaRPr lang="cs-CZ"/>
          </a:p>
        </c:txPr>
        <c:crossAx val="194473984"/>
        <c:crosses val="autoZero"/>
        <c:auto val="1"/>
        <c:lblAlgn val="ctr"/>
        <c:lblOffset val="0"/>
        <c:noMultiLvlLbl val="0"/>
      </c:catAx>
      <c:valAx>
        <c:axId val="194473984"/>
        <c:scaling>
          <c:orientation val="minMax"/>
          <c:max val="20"/>
          <c:min val="-35"/>
        </c:scaling>
        <c:delete val="0"/>
        <c:axPos val="l"/>
        <c:majorGridlines>
          <c:spPr>
            <a:ln w="6350">
              <a:solidFill>
                <a:schemeClr val="bg1">
                  <a:lumMod val="75000"/>
                </a:schemeClr>
              </a:solidFill>
            </a:ln>
          </c:spPr>
        </c:majorGridlines>
        <c:title>
          <c:tx>
            <c:rich>
              <a:bodyPr/>
              <a:lstStyle/>
              <a:p>
                <a:pPr>
                  <a:defRPr b="0"/>
                </a:pPr>
                <a:r>
                  <a:rPr lang="cs-CZ" b="0"/>
                  <a:t>Insurance revenues growth, contribution to growth of tax income</a:t>
                </a:r>
              </a:p>
            </c:rich>
          </c:tx>
          <c:layout/>
          <c:overlay val="0"/>
        </c:title>
        <c:numFmt formatCode="0" sourceLinked="0"/>
        <c:majorTickMark val="out"/>
        <c:minorTickMark val="none"/>
        <c:tickLblPos val="nextTo"/>
        <c:spPr>
          <a:ln w="6350">
            <a:solidFill>
              <a:schemeClr val="tx1"/>
            </a:solidFill>
          </a:ln>
        </c:spPr>
        <c:txPr>
          <a:bodyPr/>
          <a:lstStyle/>
          <a:p>
            <a:pPr>
              <a:defRPr sz="800" b="0" i="0"/>
            </a:pPr>
            <a:endParaRPr lang="cs-CZ"/>
          </a:p>
        </c:txPr>
        <c:crossAx val="194467712"/>
        <c:crosses val="autoZero"/>
        <c:crossBetween val="between"/>
        <c:majorUnit val="5"/>
      </c:valAx>
      <c:valAx>
        <c:axId val="556140592"/>
        <c:scaling>
          <c:orientation val="minMax"/>
          <c:max val="240"/>
          <c:min val="-420"/>
        </c:scaling>
        <c:delete val="0"/>
        <c:axPos val="r"/>
        <c:title>
          <c:tx>
            <c:rich>
              <a:bodyPr/>
              <a:lstStyle/>
              <a:p>
                <a:pPr>
                  <a:defRPr b="0"/>
                </a:pPr>
                <a:r>
                  <a:rPr lang="cs-CZ" b="0"/>
                  <a:t>State budget balance</a:t>
                </a:r>
              </a:p>
            </c:rich>
          </c:tx>
          <c:layout>
            <c:manualLayout>
              <c:xMode val="edge"/>
              <c:yMode val="edge"/>
              <c:x val="0.97036646544776606"/>
              <c:y val="0.20963215506367217"/>
            </c:manualLayout>
          </c:layout>
          <c:overlay val="0"/>
        </c:title>
        <c:numFmt formatCode="#,##0" sourceLinked="0"/>
        <c:majorTickMark val="out"/>
        <c:minorTickMark val="none"/>
        <c:tickLblPos val="nextTo"/>
        <c:txPr>
          <a:bodyPr/>
          <a:lstStyle/>
          <a:p>
            <a:pPr>
              <a:defRPr sz="800" b="0" i="0"/>
            </a:pPr>
            <a:endParaRPr lang="cs-CZ"/>
          </a:p>
        </c:txPr>
        <c:crossAx val="539204576"/>
        <c:crosses val="max"/>
        <c:crossBetween val="between"/>
        <c:majorUnit val="60"/>
      </c:valAx>
      <c:catAx>
        <c:axId val="539204576"/>
        <c:scaling>
          <c:orientation val="minMax"/>
        </c:scaling>
        <c:delete val="1"/>
        <c:axPos val="b"/>
        <c:numFmt formatCode="General" sourceLinked="1"/>
        <c:majorTickMark val="out"/>
        <c:minorTickMark val="none"/>
        <c:tickLblPos val="nextTo"/>
        <c:crossAx val="556140592"/>
        <c:crosses val="autoZero"/>
        <c:auto val="1"/>
        <c:lblAlgn val="ctr"/>
        <c:lblOffset val="100"/>
        <c:noMultiLvlLbl val="0"/>
      </c:catAx>
      <c:spPr>
        <a:ln w="6350">
          <a:solidFill>
            <a:schemeClr val="tx1"/>
          </a:solidFill>
        </a:ln>
      </c:spPr>
    </c:plotArea>
    <c:legend>
      <c:legendPos val="b"/>
      <c:layout>
        <c:manualLayout>
          <c:xMode val="edge"/>
          <c:yMode val="edge"/>
          <c:x val="1.3404713427069706E-2"/>
          <c:y val="0.84262968908968383"/>
          <c:w val="0.97057855178488128"/>
          <c:h val="0.15368252151393277"/>
        </c:manualLayout>
      </c:layout>
      <c:overlay val="0"/>
      <c:spPr>
        <a:ln w="6350">
          <a:solidFill>
            <a:schemeClr val="tx1"/>
          </a:solidFill>
        </a:ln>
      </c:spPr>
      <c:txPr>
        <a:bodyPr/>
        <a:lstStyle/>
        <a:p>
          <a:pPr>
            <a:defRPr sz="700" b="0" i="0"/>
          </a:pPr>
          <a:endParaRPr lang="cs-CZ"/>
        </a:p>
      </c:txPr>
    </c:legend>
    <c:plotVisOnly val="1"/>
    <c:dispBlanksAs val="gap"/>
    <c:showDLblsOverMax val="0"/>
  </c:chart>
  <c:spPr>
    <a:ln>
      <a:noFill/>
    </a:ln>
  </c:spPr>
  <c:txPr>
    <a:bodyPr/>
    <a:lstStyle/>
    <a:p>
      <a:pPr>
        <a:defRPr sz="700" b="1" i="1">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49333313906573E-2"/>
          <c:y val="2.1433051007174339E-2"/>
          <c:w val="0.82973125407935444"/>
          <c:h val="0.70569386992454597"/>
        </c:manualLayout>
      </c:layout>
      <c:barChart>
        <c:barDir val="col"/>
        <c:grouping val="clustered"/>
        <c:varyColors val="0"/>
        <c:ser>
          <c:idx val="0"/>
          <c:order val="0"/>
          <c:tx>
            <c:strRef>
              <c:f>'G2-St.rozpočet-výdaje'!$B$31</c:f>
              <c:strCache>
                <c:ptCount val="1"/>
                <c:pt idx="0">
                  <c:v>Total current expenditures (right axis)</c:v>
                </c:pt>
              </c:strCache>
            </c:strRef>
          </c:tx>
          <c:spPr>
            <a:solidFill>
              <a:schemeClr val="bg1">
                <a:lumMod val="95000"/>
              </a:schemeClr>
            </a:solidFill>
            <a:ln w="6350">
              <a:solidFill>
                <a:schemeClr val="bg1">
                  <a:lumMod val="75000"/>
                </a:schemeClr>
              </a:solidFill>
            </a:ln>
          </c:spPr>
          <c:invertIfNegative val="0"/>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'G2-St.rozpočet-výdaje'!$B$35:$B$50</c:f>
              <c:numCache>
                <c:formatCode>0.0</c:formatCode>
                <c:ptCount val="16"/>
                <c:pt idx="0">
                  <c:v>975.86</c:v>
                </c:pt>
                <c:pt idx="1">
                  <c:v>1032.78</c:v>
                </c:pt>
                <c:pt idx="2">
                  <c:v>1021.89</c:v>
                </c:pt>
                <c:pt idx="3">
                  <c:v>1031.83</c:v>
                </c:pt>
                <c:pt idx="4">
                  <c:v>1038.76</c:v>
                </c:pt>
                <c:pt idx="5">
                  <c:v>1070.8130000000001</c:v>
                </c:pt>
                <c:pt idx="6">
                  <c:v>1100.1020000000001</c:v>
                </c:pt>
                <c:pt idx="7">
                  <c:v>1121.6600000000001</c:v>
                </c:pt>
                <c:pt idx="8">
                  <c:v>1135.57</c:v>
                </c:pt>
                <c:pt idx="9">
                  <c:v>1198.05</c:v>
                </c:pt>
                <c:pt idx="10">
                  <c:v>1284.5</c:v>
                </c:pt>
                <c:pt idx="11">
                  <c:v>1412.5989294339895</c:v>
                </c:pt>
                <c:pt idx="12">
                  <c:v>1670.3085864663701</c:v>
                </c:pt>
                <c:pt idx="13">
                  <c:v>1729.78958897348</c:v>
                </c:pt>
                <c:pt idx="14">
                  <c:v>1798.8098500209101</c:v>
                </c:pt>
                <c:pt idx="15">
                  <c:v>1991.2519146137097</c:v>
                </c:pt>
              </c:numCache>
            </c:numRef>
          </c:val>
          <c:extLst>
            <c:ext xmlns:c16="http://schemas.microsoft.com/office/drawing/2014/chart" uri="{C3380CC4-5D6E-409C-BE32-E72D297353CC}">
              <c16:uniqueId val="{00000000-2371-4109-89E0-3378552A714E}"/>
            </c:ext>
          </c:extLst>
        </c:ser>
        <c:ser>
          <c:idx val="1"/>
          <c:order val="1"/>
          <c:tx>
            <c:strRef>
              <c:f>'G2-St.rozpočet-výdaje'!$C$31</c:f>
              <c:strCache>
                <c:ptCount val="1"/>
                <c:pt idx="0">
                  <c:v>In that expend. on pensions (right axis)</c:v>
                </c:pt>
              </c:strCache>
            </c:strRef>
          </c:tx>
          <c:spPr>
            <a:solidFill>
              <a:schemeClr val="bg1">
                <a:lumMod val="75000"/>
              </a:schemeClr>
            </a:solidFill>
            <a:ln w="6350">
              <a:solidFill>
                <a:schemeClr val="bg1">
                  <a:lumMod val="75000"/>
                </a:schemeClr>
              </a:solidFill>
            </a:ln>
          </c:spPr>
          <c:invertIfNegative val="0"/>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'G2-St.rozpočet-výdaje'!$C$35:$C$50</c:f>
              <c:numCache>
                <c:formatCode>#\ ##0.0</c:formatCode>
                <c:ptCount val="16"/>
                <c:pt idx="0">
                  <c:v>312.53199999999998</c:v>
                </c:pt>
                <c:pt idx="1">
                  <c:v>339.78800000000001</c:v>
                </c:pt>
                <c:pt idx="2">
                  <c:v>346.21300000000002</c:v>
                </c:pt>
                <c:pt idx="3">
                  <c:v>368.06900000000002</c:v>
                </c:pt>
                <c:pt idx="4">
                  <c:v>382.03100000000001</c:v>
                </c:pt>
                <c:pt idx="5">
                  <c:v>382.77300000000002</c:v>
                </c:pt>
                <c:pt idx="6">
                  <c:v>385.84</c:v>
                </c:pt>
                <c:pt idx="7">
                  <c:v>395.22</c:v>
                </c:pt>
                <c:pt idx="8">
                  <c:v>398.97</c:v>
                </c:pt>
                <c:pt idx="9">
                  <c:v>414.39</c:v>
                </c:pt>
                <c:pt idx="10">
                  <c:v>433.84</c:v>
                </c:pt>
                <c:pt idx="11">
                  <c:v>471.58934759291003</c:v>
                </c:pt>
                <c:pt idx="12">
                  <c:v>519.56821115258003</c:v>
                </c:pt>
                <c:pt idx="13">
                  <c:v>530.49962626152001</c:v>
                </c:pt>
                <c:pt idx="14">
                  <c:v>588.08604572466004</c:v>
                </c:pt>
                <c:pt idx="15">
                  <c:v>685.21298320429992</c:v>
                </c:pt>
              </c:numCache>
            </c:numRef>
          </c:val>
          <c:extLst>
            <c:ext xmlns:c16="http://schemas.microsoft.com/office/drawing/2014/chart" uri="{C3380CC4-5D6E-409C-BE32-E72D297353CC}">
              <c16:uniqueId val="{00000001-2371-4109-89E0-3378552A714E}"/>
            </c:ext>
          </c:extLst>
        </c:ser>
        <c:dLbls>
          <c:showLegendKey val="0"/>
          <c:showVal val="0"/>
          <c:showCatName val="0"/>
          <c:showSerName val="0"/>
          <c:showPercent val="0"/>
          <c:showBubbleSize val="0"/>
        </c:dLbls>
        <c:gapWidth val="82"/>
        <c:overlap val="100"/>
        <c:axId val="72836608"/>
        <c:axId val="72835072"/>
      </c:barChart>
      <c:lineChart>
        <c:grouping val="standard"/>
        <c:varyColors val="0"/>
        <c:ser>
          <c:idx val="6"/>
          <c:order val="2"/>
          <c:tx>
            <c:strRef>
              <c:f>'G2-St.rozpočet-výdaje'!$D$31</c:f>
              <c:strCache>
                <c:ptCount val="1"/>
                <c:pt idx="0">
                  <c:v>Wages of employees in publ. admin.*</c:v>
                </c:pt>
              </c:strCache>
            </c:strRef>
          </c:tx>
          <c:spPr>
            <a:ln w="15875">
              <a:solidFill>
                <a:srgbClr val="D5D000"/>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'G2-St.rozpočet-výdaje'!$D$35:$D$50</c:f>
              <c:numCache>
                <c:formatCode>0.0</c:formatCode>
                <c:ptCount val="16"/>
                <c:pt idx="0">
                  <c:v>97.33</c:v>
                </c:pt>
                <c:pt idx="1">
                  <c:v>100.19</c:v>
                </c:pt>
                <c:pt idx="2">
                  <c:v>97.67</c:v>
                </c:pt>
                <c:pt idx="3">
                  <c:v>89.6</c:v>
                </c:pt>
                <c:pt idx="4">
                  <c:v>90.45</c:v>
                </c:pt>
                <c:pt idx="5">
                  <c:v>92.375</c:v>
                </c:pt>
                <c:pt idx="6">
                  <c:v>96.582999999999998</c:v>
                </c:pt>
                <c:pt idx="7">
                  <c:v>104.19</c:v>
                </c:pt>
                <c:pt idx="8">
                  <c:v>109.86</c:v>
                </c:pt>
                <c:pt idx="9">
                  <c:v>120.08</c:v>
                </c:pt>
                <c:pt idx="10">
                  <c:v>133.9</c:v>
                </c:pt>
                <c:pt idx="11">
                  <c:v>143.72754730148006</c:v>
                </c:pt>
                <c:pt idx="12">
                  <c:v>150.49796216553</c:v>
                </c:pt>
                <c:pt idx="13">
                  <c:v>152.83601356255002</c:v>
                </c:pt>
                <c:pt idx="14">
                  <c:v>154.26261187671003</c:v>
                </c:pt>
                <c:pt idx="15">
                  <c:v>165.62244310157999</c:v>
                </c:pt>
              </c:numCache>
            </c:numRef>
          </c:val>
          <c:smooth val="0"/>
          <c:extLst>
            <c:ext xmlns:c16="http://schemas.microsoft.com/office/drawing/2014/chart" uri="{C3380CC4-5D6E-409C-BE32-E72D297353CC}">
              <c16:uniqueId val="{00000002-2371-4109-89E0-3378552A714E}"/>
            </c:ext>
          </c:extLst>
        </c:ser>
        <c:ser>
          <c:idx val="7"/>
          <c:order val="3"/>
          <c:tx>
            <c:strRef>
              <c:f>'G2-St.rozpočet-výdaje'!$E$31</c:f>
              <c:strCache>
                <c:ptCount val="1"/>
                <c:pt idx="0">
                  <c:v>Unemployment benefits</c:v>
                </c:pt>
              </c:strCache>
            </c:strRef>
          </c:tx>
          <c:spPr>
            <a:ln w="15875">
              <a:solidFill>
                <a:srgbClr val="996633"/>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'G2-St.rozpočet-výdaje'!$E$35:$E$50</c:f>
              <c:numCache>
                <c:formatCode>0.0</c:formatCode>
                <c:ptCount val="16"/>
                <c:pt idx="0">
                  <c:v>7.11</c:v>
                </c:pt>
                <c:pt idx="1">
                  <c:v>15.077999999999999</c:v>
                </c:pt>
                <c:pt idx="2">
                  <c:v>13.355</c:v>
                </c:pt>
                <c:pt idx="3">
                  <c:v>10.349</c:v>
                </c:pt>
                <c:pt idx="4">
                  <c:v>8.76</c:v>
                </c:pt>
                <c:pt idx="5">
                  <c:v>9.65</c:v>
                </c:pt>
                <c:pt idx="6">
                  <c:v>9.2620000000000005</c:v>
                </c:pt>
                <c:pt idx="7">
                  <c:v>8.2759999999999998</c:v>
                </c:pt>
                <c:pt idx="8">
                  <c:v>8.2200000000000006</c:v>
                </c:pt>
                <c:pt idx="9">
                  <c:v>7.82</c:v>
                </c:pt>
                <c:pt idx="10">
                  <c:v>7.51</c:v>
                </c:pt>
                <c:pt idx="11">
                  <c:v>8.1136251569399995</c:v>
                </c:pt>
                <c:pt idx="12">
                  <c:v>10.524849742540001</c:v>
                </c:pt>
                <c:pt idx="13">
                  <c:v>9.9694941281400009</c:v>
                </c:pt>
                <c:pt idx="14">
                  <c:v>9.8463264355100009</c:v>
                </c:pt>
                <c:pt idx="15">
                  <c:v>10.45997211533</c:v>
                </c:pt>
              </c:numCache>
            </c:numRef>
          </c:val>
          <c:smooth val="0"/>
          <c:extLst>
            <c:ext xmlns:c16="http://schemas.microsoft.com/office/drawing/2014/chart" uri="{C3380CC4-5D6E-409C-BE32-E72D297353CC}">
              <c16:uniqueId val="{00000003-2371-4109-89E0-3378552A714E}"/>
            </c:ext>
          </c:extLst>
        </c:ser>
        <c:ser>
          <c:idx val="2"/>
          <c:order val="4"/>
          <c:tx>
            <c:strRef>
              <c:f>'G2-St.rozpočet-výdaje'!$F$31</c:f>
              <c:strCache>
                <c:ptCount val="1"/>
                <c:pt idx="0">
                  <c:v>State social support**</c:v>
                </c:pt>
              </c:strCache>
            </c:strRef>
          </c:tx>
          <c:spPr>
            <a:ln w="15875">
              <a:solidFill>
                <a:schemeClr val="accent6">
                  <a:lumMod val="75000"/>
                </a:schemeClr>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'G2-St.rozpočet-výdaje'!$F$35:$F$50</c:f>
              <c:numCache>
                <c:formatCode>0.0</c:formatCode>
                <c:ptCount val="16"/>
                <c:pt idx="0">
                  <c:v>41.97</c:v>
                </c:pt>
                <c:pt idx="1">
                  <c:v>41.167999999999999</c:v>
                </c:pt>
                <c:pt idx="2">
                  <c:v>40.881</c:v>
                </c:pt>
                <c:pt idx="3">
                  <c:v>36.094000000000001</c:v>
                </c:pt>
                <c:pt idx="4">
                  <c:v>35.554000000000002</c:v>
                </c:pt>
                <c:pt idx="5">
                  <c:v>37.423000000000002</c:v>
                </c:pt>
                <c:pt idx="6">
                  <c:v>37.543999999999997</c:v>
                </c:pt>
                <c:pt idx="7">
                  <c:v>37.65</c:v>
                </c:pt>
                <c:pt idx="8">
                  <c:v>37.78</c:v>
                </c:pt>
                <c:pt idx="9">
                  <c:v>37.22</c:v>
                </c:pt>
                <c:pt idx="10">
                  <c:v>39.22</c:v>
                </c:pt>
                <c:pt idx="11">
                  <c:v>37.87859106618</c:v>
                </c:pt>
                <c:pt idx="12">
                  <c:v>51.685289497479999</c:v>
                </c:pt>
                <c:pt idx="13">
                  <c:v>48.771589956349999</c:v>
                </c:pt>
                <c:pt idx="14">
                  <c:v>56.34439888851</c:v>
                </c:pt>
                <c:pt idx="15">
                  <c:v>59.955940890070003</c:v>
                </c:pt>
              </c:numCache>
            </c:numRef>
          </c:val>
          <c:smooth val="0"/>
          <c:extLst>
            <c:ext xmlns:c16="http://schemas.microsoft.com/office/drawing/2014/chart" uri="{C3380CC4-5D6E-409C-BE32-E72D297353CC}">
              <c16:uniqueId val="{00000004-2371-4109-89E0-3378552A714E}"/>
            </c:ext>
          </c:extLst>
        </c:ser>
        <c:ser>
          <c:idx val="3"/>
          <c:order val="5"/>
          <c:tx>
            <c:strRef>
              <c:f>'G2-St.rozpočet-výdaje'!$G$31</c:f>
              <c:strCache>
                <c:ptCount val="1"/>
                <c:pt idx="0">
                  <c:v>Sickness benefits</c:v>
                </c:pt>
              </c:strCache>
            </c:strRef>
          </c:tx>
          <c:spPr>
            <a:ln w="15875">
              <a:solidFill>
                <a:srgbClr val="00B0F0"/>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'G2-St.rozpočet-výdaje'!$G$35:$G$50</c:f>
              <c:numCache>
                <c:formatCode>0.0</c:formatCode>
                <c:ptCount val="16"/>
                <c:pt idx="0">
                  <c:v>31.882000000000001</c:v>
                </c:pt>
                <c:pt idx="1">
                  <c:v>26.233000000000001</c:v>
                </c:pt>
                <c:pt idx="2">
                  <c:v>22.995999999999999</c:v>
                </c:pt>
                <c:pt idx="3">
                  <c:v>21.734000000000002</c:v>
                </c:pt>
                <c:pt idx="4">
                  <c:v>19.602</c:v>
                </c:pt>
                <c:pt idx="5">
                  <c:v>20.350000000000001</c:v>
                </c:pt>
                <c:pt idx="6">
                  <c:v>22.283000000000001</c:v>
                </c:pt>
                <c:pt idx="7">
                  <c:v>24.31</c:v>
                </c:pt>
                <c:pt idx="8">
                  <c:v>26.5</c:v>
                </c:pt>
                <c:pt idx="9">
                  <c:v>28.57</c:v>
                </c:pt>
                <c:pt idx="10">
                  <c:v>34.299999999999997</c:v>
                </c:pt>
                <c:pt idx="11">
                  <c:v>39.200000000000003</c:v>
                </c:pt>
                <c:pt idx="12">
                  <c:v>55.6</c:v>
                </c:pt>
                <c:pt idx="13">
                  <c:v>51.9</c:v>
                </c:pt>
                <c:pt idx="14">
                  <c:v>48.1</c:v>
                </c:pt>
                <c:pt idx="15">
                  <c:v>45.9</c:v>
                </c:pt>
              </c:numCache>
            </c:numRef>
          </c:val>
          <c:smooth val="0"/>
          <c:extLst>
            <c:ext xmlns:c16="http://schemas.microsoft.com/office/drawing/2014/chart" uri="{C3380CC4-5D6E-409C-BE32-E72D297353CC}">
              <c16:uniqueId val="{00000005-2371-4109-89E0-3378552A714E}"/>
            </c:ext>
          </c:extLst>
        </c:ser>
        <c:ser>
          <c:idx val="4"/>
          <c:order val="6"/>
          <c:tx>
            <c:strRef>
              <c:f>'G2-St.rozpočet-výdaje'!$H$31</c:f>
              <c:strCache>
                <c:ptCount val="1"/>
                <c:pt idx="0">
                  <c:v>Social care benefits***</c:v>
                </c:pt>
              </c:strCache>
            </c:strRef>
          </c:tx>
          <c:spPr>
            <a:ln w="15875">
              <a:solidFill>
                <a:srgbClr val="00B050"/>
              </a:solidFill>
              <a:prstDash val="solid"/>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'G2-St.rozpočet-výdaje'!$H$35:$H$50</c:f>
              <c:numCache>
                <c:formatCode>0.0</c:formatCode>
                <c:ptCount val="16"/>
                <c:pt idx="0">
                  <c:v>23.542000000000002</c:v>
                </c:pt>
                <c:pt idx="1">
                  <c:v>24.256</c:v>
                </c:pt>
                <c:pt idx="2">
                  <c:v>25.292000000000002</c:v>
                </c:pt>
                <c:pt idx="3">
                  <c:v>24.966999999999999</c:v>
                </c:pt>
                <c:pt idx="4">
                  <c:v>27.695499999999999</c:v>
                </c:pt>
                <c:pt idx="5">
                  <c:v>31.978999999999999</c:v>
                </c:pt>
                <c:pt idx="6">
                  <c:v>33.622</c:v>
                </c:pt>
                <c:pt idx="7">
                  <c:v>33.621000000000002</c:v>
                </c:pt>
                <c:pt idx="8">
                  <c:v>34.295000000000002</c:v>
                </c:pt>
                <c:pt idx="9">
                  <c:v>34.439</c:v>
                </c:pt>
                <c:pt idx="10">
                  <c:v>33.990400000000001</c:v>
                </c:pt>
                <c:pt idx="11">
                  <c:v>36.831099999999999</c:v>
                </c:pt>
                <c:pt idx="12">
                  <c:v>40.510199999999998</c:v>
                </c:pt>
                <c:pt idx="13">
                  <c:v>40.74</c:v>
                </c:pt>
                <c:pt idx="14">
                  <c:v>53.6</c:v>
                </c:pt>
                <c:pt idx="15">
                  <c:v>54</c:v>
                </c:pt>
              </c:numCache>
            </c:numRef>
          </c:val>
          <c:smooth val="0"/>
          <c:extLst>
            <c:ext xmlns:c16="http://schemas.microsoft.com/office/drawing/2014/chart" uri="{C3380CC4-5D6E-409C-BE32-E72D297353CC}">
              <c16:uniqueId val="{00000006-2371-4109-89E0-3378552A714E}"/>
            </c:ext>
          </c:extLst>
        </c:ser>
        <c:ser>
          <c:idx val="11"/>
          <c:order val="7"/>
          <c:tx>
            <c:strRef>
              <c:f>'G2-St.rozpočet-výdaje'!$M$31</c:f>
              <c:strCache>
                <c:ptCount val="1"/>
                <c:pt idx="0">
                  <c:v>Build. society accounts, pension insurance</c:v>
                </c:pt>
              </c:strCache>
            </c:strRef>
          </c:tx>
          <c:spPr>
            <a:ln w="15875">
              <a:solidFill>
                <a:srgbClr val="0070C0"/>
              </a:solidFill>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'G2-St.rozpočet-výdaje'!$M$35:$M$50</c:f>
              <c:numCache>
                <c:formatCode>0.0</c:formatCode>
                <c:ptCount val="16"/>
                <c:pt idx="0">
                  <c:v>19.21</c:v>
                </c:pt>
                <c:pt idx="1">
                  <c:v>18.559999999999999</c:v>
                </c:pt>
                <c:pt idx="2">
                  <c:v>17.21</c:v>
                </c:pt>
                <c:pt idx="3">
                  <c:v>16.32</c:v>
                </c:pt>
                <c:pt idx="4">
                  <c:v>11.030000000000001</c:v>
                </c:pt>
                <c:pt idx="5">
                  <c:v>11.64</c:v>
                </c:pt>
                <c:pt idx="6">
                  <c:v>11.649999999999999</c:v>
                </c:pt>
                <c:pt idx="7">
                  <c:v>11.379999999999999</c:v>
                </c:pt>
                <c:pt idx="8">
                  <c:v>11.09</c:v>
                </c:pt>
                <c:pt idx="9">
                  <c:v>10.83</c:v>
                </c:pt>
                <c:pt idx="10">
                  <c:v>10.91</c:v>
                </c:pt>
                <c:pt idx="11">
                  <c:v>11.17778915189</c:v>
                </c:pt>
                <c:pt idx="12">
                  <c:v>11.47836191851</c:v>
                </c:pt>
                <c:pt idx="13">
                  <c:v>11.740370910780001</c:v>
                </c:pt>
                <c:pt idx="14">
                  <c:v>11.9619944797</c:v>
                </c:pt>
                <c:pt idx="15">
                  <c:v>11.74050024079</c:v>
                </c:pt>
              </c:numCache>
            </c:numRef>
          </c:val>
          <c:smooth val="0"/>
          <c:extLst>
            <c:ext xmlns:c16="http://schemas.microsoft.com/office/drawing/2014/chart" uri="{C3380CC4-5D6E-409C-BE32-E72D297353CC}">
              <c16:uniqueId val="{00000007-2371-4109-89E0-3378552A714E}"/>
            </c:ext>
          </c:extLst>
        </c:ser>
        <c:ser>
          <c:idx val="5"/>
          <c:order val="8"/>
          <c:tx>
            <c:strRef>
              <c:f>'G2-St.rozpočet-výdaje'!$I$31</c:f>
              <c:strCache>
                <c:ptCount val="1"/>
                <c:pt idx="0">
                  <c:v>Non-investment purchases****</c:v>
                </c:pt>
              </c:strCache>
            </c:strRef>
          </c:tx>
          <c:spPr>
            <a:ln w="15875">
              <a:solidFill>
                <a:srgbClr val="F0949B"/>
              </a:solidFill>
              <a:prstDash val="solid"/>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'G2-St.rozpočet-výdaje'!$I$35:$I$50</c:f>
              <c:numCache>
                <c:formatCode>0.0</c:formatCode>
                <c:ptCount val="16"/>
                <c:pt idx="0">
                  <c:v>71.581999999999994</c:v>
                </c:pt>
                <c:pt idx="1">
                  <c:v>69.73</c:v>
                </c:pt>
                <c:pt idx="2">
                  <c:v>65.116</c:v>
                </c:pt>
                <c:pt idx="3">
                  <c:v>57.98</c:v>
                </c:pt>
                <c:pt idx="4">
                  <c:v>53.174999999999997</c:v>
                </c:pt>
                <c:pt idx="5">
                  <c:v>54.192999999999998</c:v>
                </c:pt>
                <c:pt idx="6">
                  <c:v>54.751000000000005</c:v>
                </c:pt>
                <c:pt idx="7">
                  <c:v>62.36</c:v>
                </c:pt>
                <c:pt idx="8">
                  <c:v>57.560000000000009</c:v>
                </c:pt>
                <c:pt idx="9">
                  <c:v>62.76</c:v>
                </c:pt>
                <c:pt idx="10">
                  <c:v>68.41</c:v>
                </c:pt>
                <c:pt idx="11">
                  <c:v>66.430000000000007</c:v>
                </c:pt>
                <c:pt idx="12">
                  <c:v>77.884951001920001</c:v>
                </c:pt>
                <c:pt idx="13">
                  <c:v>78.966372350420002</c:v>
                </c:pt>
                <c:pt idx="14">
                  <c:v>91.193704519299956</c:v>
                </c:pt>
                <c:pt idx="15">
                  <c:v>81.628682751309995</c:v>
                </c:pt>
              </c:numCache>
            </c:numRef>
          </c:val>
          <c:smooth val="0"/>
          <c:extLst>
            <c:ext xmlns:c16="http://schemas.microsoft.com/office/drawing/2014/chart" uri="{C3380CC4-5D6E-409C-BE32-E72D297353CC}">
              <c16:uniqueId val="{00000008-2371-4109-89E0-3378552A714E}"/>
            </c:ext>
          </c:extLst>
        </c:ser>
        <c:ser>
          <c:idx val="9"/>
          <c:order val="9"/>
          <c:tx>
            <c:strRef>
              <c:f>'G2-St.rozpočet-výdaje'!$J$31</c:f>
              <c:strCache>
                <c:ptCount val="1"/>
                <c:pt idx="0">
                  <c:v>State debt (net expenditures) *****</c:v>
                </c:pt>
              </c:strCache>
            </c:strRef>
          </c:tx>
          <c:spPr>
            <a:ln w="3175">
              <a:solidFill>
                <a:srgbClr val="7030A0"/>
              </a:solidFill>
              <a:prstDash val="dash"/>
            </a:ln>
          </c:spPr>
          <c:marker>
            <c:symbol val="square"/>
            <c:size val="5"/>
            <c:spPr>
              <a:solidFill>
                <a:schemeClr val="bg1"/>
              </a:solidFill>
              <a:ln>
                <a:solidFill>
                  <a:srgbClr val="7030A0"/>
                </a:solidFill>
              </a:ln>
            </c:spPr>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'G2-St.rozpočet-výdaje'!$J$35:$J$50</c:f>
              <c:numCache>
                <c:formatCode>0.0</c:formatCode>
                <c:ptCount val="16"/>
                <c:pt idx="0">
                  <c:v>37.659999999999997</c:v>
                </c:pt>
                <c:pt idx="1">
                  <c:v>44.47</c:v>
                </c:pt>
                <c:pt idx="2">
                  <c:v>35.840000000000003</c:v>
                </c:pt>
                <c:pt idx="3">
                  <c:v>45.13</c:v>
                </c:pt>
                <c:pt idx="4">
                  <c:v>41.400000000000006</c:v>
                </c:pt>
                <c:pt idx="5">
                  <c:v>50.89</c:v>
                </c:pt>
                <c:pt idx="6">
                  <c:v>48.49</c:v>
                </c:pt>
                <c:pt idx="7">
                  <c:v>45.28</c:v>
                </c:pt>
                <c:pt idx="8">
                  <c:v>40.65</c:v>
                </c:pt>
                <c:pt idx="9">
                  <c:v>39.769999999999996</c:v>
                </c:pt>
                <c:pt idx="10">
                  <c:v>40.729999999999997</c:v>
                </c:pt>
                <c:pt idx="11">
                  <c:v>39.550577993799998</c:v>
                </c:pt>
                <c:pt idx="12">
                  <c:v>40.145474011320005</c:v>
                </c:pt>
                <c:pt idx="13">
                  <c:v>42.233847726199997</c:v>
                </c:pt>
                <c:pt idx="14">
                  <c:v>49.705483243530004</c:v>
                </c:pt>
                <c:pt idx="15">
                  <c:v>68.31769375044</c:v>
                </c:pt>
              </c:numCache>
            </c:numRef>
          </c:val>
          <c:smooth val="0"/>
          <c:extLst>
            <c:ext xmlns:c16="http://schemas.microsoft.com/office/drawing/2014/chart" uri="{C3380CC4-5D6E-409C-BE32-E72D297353CC}">
              <c16:uniqueId val="{00000009-2371-4109-89E0-3378552A714E}"/>
            </c:ext>
          </c:extLst>
        </c:ser>
        <c:ser>
          <c:idx val="8"/>
          <c:order val="10"/>
          <c:tx>
            <c:strRef>
              <c:f>'G2-St.rozpočet-výdaje'!$K$31</c:f>
              <c:strCache>
                <c:ptCount val="1"/>
                <c:pt idx="0">
                  <c:v>Noninvest. transfers to commercial entities</c:v>
                </c:pt>
              </c:strCache>
            </c:strRef>
          </c:tx>
          <c:spPr>
            <a:ln w="6350">
              <a:solidFill>
                <a:schemeClr val="accent6">
                  <a:lumMod val="75000"/>
                </a:schemeClr>
              </a:solidFill>
              <a:prstDash val="sysDot"/>
            </a:ln>
          </c:spPr>
          <c:marker>
            <c:symbol val="circle"/>
            <c:size val="4"/>
            <c:spPr>
              <a:solidFill>
                <a:schemeClr val="accent6">
                  <a:lumMod val="75000"/>
                </a:schemeClr>
              </a:solidFill>
              <a:ln>
                <a:noFill/>
              </a:ln>
            </c:spPr>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'G2-St.rozpočet-výdaje'!$K$35:$K$50</c:f>
              <c:numCache>
                <c:formatCode>0.00</c:formatCode>
                <c:ptCount val="16"/>
                <c:pt idx="0">
                  <c:v>26.108000000000001</c:v>
                </c:pt>
                <c:pt idx="1">
                  <c:v>28.491</c:v>
                </c:pt>
                <c:pt idx="2">
                  <c:v>28.100999999999999</c:v>
                </c:pt>
                <c:pt idx="3">
                  <c:v>33.262999999999998</c:v>
                </c:pt>
                <c:pt idx="4">
                  <c:v>35.61</c:v>
                </c:pt>
                <c:pt idx="5">
                  <c:v>35.03</c:v>
                </c:pt>
                <c:pt idx="6">
                  <c:v>41.23</c:v>
                </c:pt>
                <c:pt idx="7">
                  <c:v>39.14</c:v>
                </c:pt>
                <c:pt idx="8">
                  <c:v>44.23</c:v>
                </c:pt>
                <c:pt idx="9">
                  <c:v>48.3</c:v>
                </c:pt>
                <c:pt idx="10">
                  <c:v>57.32</c:v>
                </c:pt>
                <c:pt idx="11">
                  <c:v>57.932912725290002</c:v>
                </c:pt>
                <c:pt idx="12">
                  <c:v>106.75302514385</c:v>
                </c:pt>
                <c:pt idx="13">
                  <c:v>125.41352918255001</c:v>
                </c:pt>
                <c:pt idx="14">
                  <c:v>89.127821109149991</c:v>
                </c:pt>
                <c:pt idx="15">
                  <c:v>137.81610345563999</c:v>
                </c:pt>
              </c:numCache>
            </c:numRef>
          </c:val>
          <c:smooth val="0"/>
          <c:extLst>
            <c:ext xmlns:c16="http://schemas.microsoft.com/office/drawing/2014/chart" uri="{C3380CC4-5D6E-409C-BE32-E72D297353CC}">
              <c16:uniqueId val="{0000000A-2371-4109-89E0-3378552A714E}"/>
            </c:ext>
          </c:extLst>
        </c:ser>
        <c:ser>
          <c:idx val="10"/>
          <c:order val="11"/>
          <c:tx>
            <c:strRef>
              <c:f>'G2-St.rozpočet-výdaje'!$L$31</c:f>
              <c:strCache>
                <c:ptCount val="1"/>
                <c:pt idx="0">
                  <c:v>Capital expenditures</c:v>
                </c:pt>
              </c:strCache>
            </c:strRef>
          </c:tx>
          <c:spPr>
            <a:ln w="15875">
              <a:solidFill>
                <a:srgbClr val="706840"/>
              </a:solidFill>
              <a:prstDash val="sysDash"/>
            </a:ln>
          </c:spPr>
          <c:marker>
            <c:symbol val="none"/>
          </c:marker>
          <c:cat>
            <c:numRef>
              <c:f>'G2-St.rozpočet-výdaje'!$A$35:$A$50</c:f>
              <c:numCache>
                <c:formatCode>General</c:formatCode>
                <c:ptCount val="16"/>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numCache>
            </c:numRef>
          </c:cat>
          <c:val>
            <c:numRef>
              <c:f>'G2-St.rozpočet-výdaje'!$L$35:$L$50</c:f>
              <c:numCache>
                <c:formatCode>0.0</c:formatCode>
                <c:ptCount val="16"/>
                <c:pt idx="0">
                  <c:v>108.08</c:v>
                </c:pt>
                <c:pt idx="1">
                  <c:v>134.22999999999999</c:v>
                </c:pt>
                <c:pt idx="2">
                  <c:v>134.91</c:v>
                </c:pt>
                <c:pt idx="3">
                  <c:v>123.69</c:v>
                </c:pt>
                <c:pt idx="4">
                  <c:v>113.62</c:v>
                </c:pt>
                <c:pt idx="5">
                  <c:v>102.315</c:v>
                </c:pt>
                <c:pt idx="6">
                  <c:v>111.50700000000001</c:v>
                </c:pt>
                <c:pt idx="7">
                  <c:v>175.66</c:v>
                </c:pt>
                <c:pt idx="8">
                  <c:v>84.27</c:v>
                </c:pt>
                <c:pt idx="9">
                  <c:v>81.75</c:v>
                </c:pt>
                <c:pt idx="10">
                  <c:v>116.46</c:v>
                </c:pt>
                <c:pt idx="11">
                  <c:v>139.13928546782003</c:v>
                </c:pt>
                <c:pt idx="12">
                  <c:v>172.62079654905</c:v>
                </c:pt>
                <c:pt idx="13">
                  <c:v>177.13556603782001</c:v>
                </c:pt>
                <c:pt idx="14">
                  <c:v>185.99907287821003</c:v>
                </c:pt>
                <c:pt idx="15">
                  <c:v>211.37968431811001</c:v>
                </c:pt>
              </c:numCache>
            </c:numRef>
          </c:val>
          <c:smooth val="0"/>
          <c:extLst>
            <c:ext xmlns:c16="http://schemas.microsoft.com/office/drawing/2014/chart" uri="{C3380CC4-5D6E-409C-BE32-E72D297353CC}">
              <c16:uniqueId val="{0000000B-2371-4109-89E0-3378552A714E}"/>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txPr>
          <a:bodyPr rot="-2220000"/>
          <a:lstStyle/>
          <a:p>
            <a:pPr>
              <a:defRPr/>
            </a:pPr>
            <a:endParaRPr lang="cs-CZ"/>
          </a:p>
        </c:txPr>
        <c:crossAx val="72829184"/>
        <c:crosses val="autoZero"/>
        <c:auto val="1"/>
        <c:lblAlgn val="ctr"/>
        <c:lblOffset val="0"/>
        <c:noMultiLvlLbl val="0"/>
      </c:catAx>
      <c:valAx>
        <c:axId val="72829184"/>
        <c:scaling>
          <c:orientation val="minMax"/>
          <c:max val="220"/>
          <c:min val="0"/>
        </c:scaling>
        <c:delete val="0"/>
        <c:axPos val="l"/>
        <c:majorGridlines>
          <c:spPr>
            <a:ln w="6350">
              <a:solidFill>
                <a:schemeClr val="bg1">
                  <a:lumMod val="75000"/>
                </a:schemeClr>
              </a:solidFill>
            </a:ln>
          </c:spPr>
        </c:majorGridlines>
        <c:title>
          <c:tx>
            <c:rich>
              <a:bodyPr/>
              <a:lstStyle/>
              <a:p>
                <a:pPr>
                  <a:defRPr sz="700" b="0" i="1"/>
                </a:pPr>
                <a:r>
                  <a:rPr lang="cs-CZ" sz="700" b="0" i="1"/>
                  <a:t>Selected expenditures</a:t>
                </a:r>
              </a:p>
            </c:rich>
          </c:tx>
          <c:layout/>
          <c:overlay val="0"/>
        </c:title>
        <c:numFmt formatCode="0" sourceLinked="0"/>
        <c:majorTickMark val="out"/>
        <c:minorTickMark val="none"/>
        <c:tickLblPos val="nextTo"/>
        <c:spPr>
          <a:ln w="6350">
            <a:solidFill>
              <a:schemeClr val="tx1"/>
            </a:solidFill>
          </a:ln>
        </c:spPr>
        <c:crossAx val="72827648"/>
        <c:crosses val="autoZero"/>
        <c:crossBetween val="between"/>
        <c:majorUnit val="20"/>
      </c:valAx>
      <c:valAx>
        <c:axId val="72835072"/>
        <c:scaling>
          <c:orientation val="minMax"/>
          <c:max val="2200"/>
          <c:min val="0"/>
        </c:scaling>
        <c:delete val="0"/>
        <c:axPos val="r"/>
        <c:title>
          <c:tx>
            <c:rich>
              <a:bodyPr/>
              <a:lstStyle/>
              <a:p>
                <a:pPr>
                  <a:defRPr sz="700" b="0" i="1"/>
                </a:pPr>
                <a:r>
                  <a:rPr lang="cs-CZ" sz="700" b="0" i="1"/>
                  <a:t>Total current expenditures, pensions</a:t>
                </a:r>
              </a:p>
            </c:rich>
          </c:tx>
          <c:layout>
            <c:manualLayout>
              <c:xMode val="edge"/>
              <c:yMode val="edge"/>
              <c:x val="0.96904912397940679"/>
              <c:y val="0.14455136975103725"/>
            </c:manualLayout>
          </c:layout>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200"/>
        <c:minorUnit val="1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2.8258891545233356E-2"/>
          <c:y val="0.79708357381578987"/>
          <c:w val="0.95831696719062298"/>
          <c:h val="0.19918239394980933"/>
        </c:manualLayout>
      </c:layout>
      <c:overlay val="0"/>
      <c:spPr>
        <a:ln w="6350">
          <a:solidFill>
            <a:schemeClr val="tx1"/>
          </a:solidFill>
        </a:ln>
      </c:spPr>
      <c:txPr>
        <a:bodyPr/>
        <a:lstStyle/>
        <a:p>
          <a:pPr>
            <a:defRPr sz="70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0204C7C21F48A488F44995C5F8FB06D" ma:contentTypeVersion="11" ma:contentTypeDescription="Vytvoří nový dokument" ma:contentTypeScope="" ma:versionID="9a58d24f60b264923fe9c7150327a53c">
  <xsd:schema xmlns:xsd="http://www.w3.org/2001/XMLSchema" xmlns:xs="http://www.w3.org/2001/XMLSchema" xmlns:p="http://schemas.microsoft.com/office/2006/metadata/properties" xmlns:ns3="b8c0c86d-151e-4fca-b0d5-747e6692fa1d" targetNamespace="http://schemas.microsoft.com/office/2006/metadata/properties" ma:root="true" ma:fieldsID="91c8efd7c542b57fe84d8bfb95d003d1" ns3:_="">
    <xsd:import namespace="b8c0c86d-151e-4fca-b0d5-747e6692fa1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0c86d-151e-4fca-b0d5-747e6692f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2.xml><?xml version="1.0" encoding="utf-8"?>
<ds:datastoreItem xmlns:ds="http://schemas.openxmlformats.org/officeDocument/2006/customXml" ds:itemID="{E5E561CC-7D6C-40EF-AB10-C45997A72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0c86d-151e-4fca-b0d5-747e6692f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38702-393C-4E0B-95FC-639749005827}">
  <ds:schemaRefs>
    <ds:schemaRef ds:uri="http://schemas.microsoft.com/office/2006/metadata/properties"/>
    <ds:schemaRef ds:uri="b8c0c86d-151e-4fca-b0d5-747e6692fa1d"/>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909B018A-07B9-42C7-A76F-4FCF6C860875}">
  <ds:schemaRefs>
    <ds:schemaRef ds:uri="http://schemas.openxmlformats.org/officeDocument/2006/bibliography"/>
  </ds:schemaRefs>
</ds:datastoreItem>
</file>

<file path=customXml/itemProps5.xml><?xml version="1.0" encoding="utf-8"?>
<ds:datastoreItem xmlns:ds="http://schemas.openxmlformats.org/officeDocument/2006/customXml" ds:itemID="{08234388-2A7D-4B6E-B5AF-C865224B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7</Pages>
  <Words>3630</Words>
  <Characters>21418</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Zábojníková Karolína</cp:lastModifiedBy>
  <cp:revision>3</cp:revision>
  <cp:lastPrinted>2023-06-09T17:23:00Z</cp:lastPrinted>
  <dcterms:created xsi:type="dcterms:W3CDTF">2024-04-22T10:42:00Z</dcterms:created>
  <dcterms:modified xsi:type="dcterms:W3CDTF">2024-04-22T10:52:00Z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0x01010070204C7C21F48A488F44995C5F8FB06D</vt:lpwstr>
  </property>
  <property fmtid="{D5CDD505-2E9C-101B-9397-08002B2CF9AE}" pid="3" name="MSIP_Label_29db9e61-aac5-4f6e-805d-ceb8cb9983a1_Enabled">
    <vt:lpwstr>true</vt:lpwstr>
  </property>
  <property fmtid="{D5CDD505-2E9C-101B-9397-08002B2CF9AE}" pid="4" name="MSIP_Label_29db9e61-aac5-4f6e-805d-ceb8cb9983a1_SetDate">
    <vt:lpwstr>2024-03-22T14:14:48Z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eaf1372b-ac54-42e1-a5b2-08a13702404b</vt:lpwstr>
  </property>
  <property fmtid="{D5CDD505-2E9C-101B-9397-08002B2CF9AE}" pid="9" name="MSIP_Label_29db9e61-aac5-4f6e-805d-ceb8cb9983a1_ContentBits">
    <vt:lpwstr>0</vt:lpwstr>
  </property>
</Properties>
</file>