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5C287" w14:textId="233E1152" w:rsidR="00EA1EBB" w:rsidRPr="006E725C" w:rsidRDefault="00EA1EBB" w:rsidP="00EA1EBB">
      <w:pPr>
        <w:pStyle w:val="Nadpis11"/>
        <w:rPr>
          <w:lang w:val="en-GB"/>
        </w:rPr>
      </w:pPr>
      <w:bookmarkStart w:id="0" w:name="_Toc121993822"/>
      <w:bookmarkStart w:id="1" w:name="_Toc153531177"/>
      <w:bookmarkStart w:id="2" w:name="_Toc161914425"/>
      <w:r w:rsidRPr="006E725C">
        <w:rPr>
          <w:lang w:val="en-GB"/>
        </w:rPr>
        <w:t>5. </w:t>
      </w:r>
      <w:r w:rsidR="005650DC" w:rsidRPr="006E725C">
        <w:rPr>
          <w:lang w:val="en-GB"/>
        </w:rPr>
        <w:t>Prices</w:t>
      </w:r>
      <w:bookmarkEnd w:id="1"/>
      <w:bookmarkEnd w:id="2"/>
    </w:p>
    <w:tbl>
      <w:tblPr>
        <w:tblW w:w="9639" w:type="dxa"/>
        <w:tblInd w:w="-15" w:type="dxa"/>
        <w:tblCellMar>
          <w:left w:w="0" w:type="dxa"/>
          <w:right w:w="0" w:type="dxa"/>
        </w:tblCellMar>
        <w:tblLook w:val="00A0" w:firstRow="1" w:lastRow="0" w:firstColumn="1" w:lastColumn="0" w:noHBand="0" w:noVBand="0"/>
      </w:tblPr>
      <w:tblGrid>
        <w:gridCol w:w="1804"/>
        <w:gridCol w:w="224"/>
        <w:gridCol w:w="7611"/>
      </w:tblGrid>
      <w:tr w:rsidR="00EA1EBB" w:rsidRPr="006E725C" w14:paraId="71473CC2" w14:textId="77777777" w:rsidTr="00EA1EBB">
        <w:trPr>
          <w:trHeight w:val="145"/>
        </w:trPr>
        <w:tc>
          <w:tcPr>
            <w:tcW w:w="1804" w:type="dxa"/>
            <w:hideMark/>
          </w:tcPr>
          <w:p w14:paraId="13E46214" w14:textId="49F83087" w:rsidR="00EA1EBB" w:rsidRPr="006E725C" w:rsidRDefault="005650DC">
            <w:pPr>
              <w:pStyle w:val="Marginlie"/>
              <w:rPr>
                <w:spacing w:val="0"/>
                <w:lang w:val="en-GB" w:eastAsia="en-US"/>
              </w:rPr>
            </w:pPr>
            <w:r w:rsidRPr="006E725C">
              <w:rPr>
                <w:spacing w:val="0"/>
                <w:lang w:val="en-GB" w:eastAsia="en-US"/>
              </w:rPr>
              <w:t xml:space="preserve">Total price level strongly grew last year. </w:t>
            </w:r>
          </w:p>
        </w:tc>
        <w:tc>
          <w:tcPr>
            <w:tcW w:w="224" w:type="dxa"/>
          </w:tcPr>
          <w:p w14:paraId="3B93531C" w14:textId="77777777" w:rsidR="00EA1EBB" w:rsidRPr="006E725C" w:rsidRDefault="00EA1EBB">
            <w:pPr>
              <w:pStyle w:val="Textpoznpodarou1"/>
              <w:jc w:val="both"/>
              <w:rPr>
                <w:lang w:val="en-GB" w:eastAsia="en-US"/>
              </w:rPr>
            </w:pPr>
          </w:p>
        </w:tc>
        <w:tc>
          <w:tcPr>
            <w:tcW w:w="7611" w:type="dxa"/>
            <w:hideMark/>
          </w:tcPr>
          <w:p w14:paraId="1DE83BB4" w14:textId="711CE8B3" w:rsidR="00EA1EBB" w:rsidRPr="006E725C" w:rsidRDefault="007C6319">
            <w:pPr>
              <w:rPr>
                <w:szCs w:val="20"/>
                <w:lang w:val="en-GB" w:eastAsia="en-US"/>
              </w:rPr>
            </w:pPr>
            <w:r w:rsidRPr="006E725C">
              <w:rPr>
                <w:szCs w:val="20"/>
                <w:lang w:val="en-GB" w:eastAsia="en-US"/>
              </w:rPr>
              <w:t xml:space="preserve">Total price level gauged by the GDP deflator increased by 8.6% in the economy for the whole year </w:t>
            </w:r>
            <w:r w:rsidR="00EA1EBB" w:rsidRPr="006E725C">
              <w:rPr>
                <w:szCs w:val="20"/>
                <w:lang w:val="en-GB" w:eastAsia="en-US"/>
              </w:rPr>
              <w:t>2023</w:t>
            </w:r>
            <w:r w:rsidRPr="006E725C">
              <w:rPr>
                <w:szCs w:val="20"/>
                <w:lang w:val="en-GB" w:eastAsia="en-US"/>
              </w:rPr>
              <w:t xml:space="preserve">. Prices of </w:t>
            </w:r>
            <w:r w:rsidR="004C5F7F" w:rsidRPr="006E725C">
              <w:rPr>
                <w:szCs w:val="20"/>
                <w:lang w:val="en-GB" w:eastAsia="en-US"/>
              </w:rPr>
              <w:t>consumption</w:t>
            </w:r>
            <w:r w:rsidRPr="006E725C">
              <w:rPr>
                <w:szCs w:val="20"/>
                <w:lang w:val="en-GB" w:eastAsia="en-US"/>
              </w:rPr>
              <w:t xml:space="preserve"> were by </w:t>
            </w:r>
            <w:r w:rsidR="00EA1EBB" w:rsidRPr="006E725C">
              <w:rPr>
                <w:szCs w:val="20"/>
                <w:lang w:val="en-GB" w:eastAsia="en-US"/>
              </w:rPr>
              <w:t>8</w:t>
            </w:r>
            <w:r w:rsidRPr="006E725C">
              <w:rPr>
                <w:szCs w:val="20"/>
                <w:lang w:val="en-GB" w:eastAsia="en-US"/>
              </w:rPr>
              <w:t>.</w:t>
            </w:r>
            <w:r w:rsidR="00EA1EBB" w:rsidRPr="006E725C">
              <w:rPr>
                <w:szCs w:val="20"/>
                <w:lang w:val="en-GB" w:eastAsia="en-US"/>
              </w:rPr>
              <w:t>2%</w:t>
            </w:r>
            <w:r w:rsidRPr="006E725C">
              <w:rPr>
                <w:szCs w:val="20"/>
                <w:lang w:val="en-GB" w:eastAsia="en-US"/>
              </w:rPr>
              <w:t xml:space="preserve"> higher</w:t>
            </w:r>
            <w:r w:rsidR="00EA1EBB" w:rsidRPr="006E725C">
              <w:rPr>
                <w:szCs w:val="20"/>
                <w:lang w:val="en-GB" w:eastAsia="en-US"/>
              </w:rPr>
              <w:t xml:space="preserve">, </w:t>
            </w:r>
            <w:r w:rsidR="00781B70" w:rsidRPr="006E725C">
              <w:rPr>
                <w:szCs w:val="20"/>
                <w:lang w:val="en-GB" w:eastAsia="en-US"/>
              </w:rPr>
              <w:t>while the growth weakened to 9.3% for the household consumption a</w:t>
            </w:r>
            <w:r w:rsidRPr="006E725C">
              <w:rPr>
                <w:szCs w:val="20"/>
                <w:lang w:val="en-GB" w:eastAsia="en-US"/>
              </w:rPr>
              <w:t xml:space="preserve">nd price level of goods </w:t>
            </w:r>
            <w:r w:rsidR="004C5F7F" w:rsidRPr="006E725C">
              <w:rPr>
                <w:szCs w:val="20"/>
                <w:lang w:val="en-GB" w:eastAsia="en-US"/>
              </w:rPr>
              <w:t>consumed</w:t>
            </w:r>
            <w:r w:rsidRPr="006E725C">
              <w:rPr>
                <w:szCs w:val="20"/>
                <w:lang w:val="en-GB" w:eastAsia="en-US"/>
              </w:rPr>
              <w:t xml:space="preserve"> by the sector of</w:t>
            </w:r>
            <w:r w:rsidR="004C5F7F" w:rsidRPr="006E725C">
              <w:rPr>
                <w:szCs w:val="20"/>
                <w:lang w:val="en-GB" w:eastAsia="en-US"/>
              </w:rPr>
              <w:t xml:space="preserve"> general government increased by </w:t>
            </w:r>
            <w:r w:rsidR="00EA1EBB" w:rsidRPr="006E725C">
              <w:rPr>
                <w:szCs w:val="20"/>
                <w:lang w:val="en-GB" w:eastAsia="en-US"/>
              </w:rPr>
              <w:t>5</w:t>
            </w:r>
            <w:r w:rsidR="004C5F7F" w:rsidRPr="006E725C">
              <w:rPr>
                <w:szCs w:val="20"/>
                <w:lang w:val="en-GB" w:eastAsia="en-US"/>
              </w:rPr>
              <w:t>.</w:t>
            </w:r>
            <w:r w:rsidR="00EA1EBB" w:rsidRPr="006E725C">
              <w:rPr>
                <w:szCs w:val="20"/>
                <w:lang w:val="en-GB" w:eastAsia="en-US"/>
              </w:rPr>
              <w:t xml:space="preserve">8%. </w:t>
            </w:r>
            <w:r w:rsidR="006C2B31" w:rsidRPr="006E725C">
              <w:rPr>
                <w:szCs w:val="20"/>
                <w:lang w:val="en-GB" w:eastAsia="en-US"/>
              </w:rPr>
              <w:t xml:space="preserve">Prices of capital goods </w:t>
            </w:r>
            <w:r w:rsidR="00EA1EBB" w:rsidRPr="006E725C">
              <w:rPr>
                <w:szCs w:val="20"/>
                <w:lang w:val="en-GB" w:eastAsia="en-US"/>
              </w:rPr>
              <w:t>(4</w:t>
            </w:r>
            <w:r w:rsidR="006C2B31" w:rsidRPr="006E725C">
              <w:rPr>
                <w:szCs w:val="20"/>
                <w:lang w:val="en-GB" w:eastAsia="en-US"/>
              </w:rPr>
              <w:t>.</w:t>
            </w:r>
            <w:r w:rsidR="00EA1EBB" w:rsidRPr="006E725C">
              <w:rPr>
                <w:szCs w:val="20"/>
                <w:lang w:val="en-GB" w:eastAsia="en-US"/>
              </w:rPr>
              <w:t>2%)</w:t>
            </w:r>
            <w:r w:rsidR="006C2B31" w:rsidRPr="006E725C">
              <w:rPr>
                <w:szCs w:val="20"/>
                <w:lang w:val="en-GB" w:eastAsia="en-US"/>
              </w:rPr>
              <w:t xml:space="preserve"> grew slower</w:t>
            </w:r>
            <w:r w:rsidR="00F85894" w:rsidRPr="006E725C">
              <w:rPr>
                <w:szCs w:val="20"/>
                <w:lang w:val="en-GB" w:eastAsia="en-US"/>
              </w:rPr>
              <w:t xml:space="preserve"> against the whole economy</w:t>
            </w:r>
            <w:r w:rsidR="00EA1EBB" w:rsidRPr="006E725C">
              <w:rPr>
                <w:szCs w:val="20"/>
                <w:lang w:val="en-GB" w:eastAsia="en-US"/>
              </w:rPr>
              <w:t>.</w:t>
            </w:r>
            <w:r w:rsidR="00F85894" w:rsidRPr="006E725C">
              <w:rPr>
                <w:szCs w:val="20"/>
                <w:lang w:val="en-GB" w:eastAsia="en-US"/>
              </w:rPr>
              <w:t xml:space="preserve"> Import prices of goods and services slumped more markedly than prices of export last year, which led to </w:t>
            </w:r>
            <w:r w:rsidR="006C2B31" w:rsidRPr="006E725C">
              <w:rPr>
                <w:szCs w:val="20"/>
                <w:lang w:val="en-GB" w:eastAsia="en-US"/>
              </w:rPr>
              <w:t xml:space="preserve">considerably positive terms of trade, which arrived at </w:t>
            </w:r>
            <w:r w:rsidR="00EA1EBB" w:rsidRPr="006E725C">
              <w:rPr>
                <w:szCs w:val="20"/>
                <w:lang w:val="en-GB" w:eastAsia="en-US"/>
              </w:rPr>
              <w:t>102</w:t>
            </w:r>
            <w:r w:rsidR="006C2B31" w:rsidRPr="006E725C">
              <w:rPr>
                <w:szCs w:val="20"/>
                <w:lang w:val="en-GB" w:eastAsia="en-US"/>
              </w:rPr>
              <w:t>.</w:t>
            </w:r>
            <w:r w:rsidR="00EA1EBB" w:rsidRPr="006E725C">
              <w:rPr>
                <w:szCs w:val="20"/>
                <w:lang w:val="en-GB" w:eastAsia="en-US"/>
              </w:rPr>
              <w:t xml:space="preserve">7%. </w:t>
            </w:r>
            <w:r w:rsidR="00F350EC" w:rsidRPr="006E725C">
              <w:rPr>
                <w:szCs w:val="20"/>
                <w:lang w:val="en-GB" w:eastAsia="en-US"/>
              </w:rPr>
              <w:t>The price level climbed up by 6.0% year-on-year in Q</w:t>
            </w:r>
            <w:r w:rsidR="00EA1EBB" w:rsidRPr="006E725C">
              <w:rPr>
                <w:szCs w:val="20"/>
                <w:lang w:val="en-GB" w:eastAsia="en-US"/>
              </w:rPr>
              <w:t>4</w:t>
            </w:r>
            <w:r w:rsidR="00F350EC" w:rsidRPr="006E725C">
              <w:rPr>
                <w:szCs w:val="20"/>
                <w:lang w:val="en-GB" w:eastAsia="en-US"/>
              </w:rPr>
              <w:t xml:space="preserve"> </w:t>
            </w:r>
            <w:r w:rsidR="00EA1EBB" w:rsidRPr="006E725C">
              <w:rPr>
                <w:szCs w:val="20"/>
                <w:lang w:val="en-GB" w:eastAsia="en-US"/>
              </w:rPr>
              <w:t xml:space="preserve">2023, </w:t>
            </w:r>
            <w:r w:rsidR="00F350EC" w:rsidRPr="006E725C">
              <w:rPr>
                <w:szCs w:val="20"/>
                <w:lang w:val="en-GB" w:eastAsia="en-US"/>
              </w:rPr>
              <w:t xml:space="preserve">the slowest since the end of year </w:t>
            </w:r>
            <w:r w:rsidR="00EA1EBB" w:rsidRPr="006E725C">
              <w:rPr>
                <w:szCs w:val="20"/>
                <w:lang w:val="en-GB" w:eastAsia="en-US"/>
              </w:rPr>
              <w:t xml:space="preserve">2021. </w:t>
            </w:r>
            <w:r w:rsidR="00F350EC" w:rsidRPr="006E725C">
              <w:rPr>
                <w:szCs w:val="20"/>
                <w:lang w:val="en-GB" w:eastAsia="en-US"/>
              </w:rPr>
              <w:t>Consumer prices were by</w:t>
            </w:r>
            <w:r w:rsidR="00EA1EBB" w:rsidRPr="006E725C">
              <w:rPr>
                <w:szCs w:val="20"/>
                <w:lang w:val="en-GB" w:eastAsia="en-US"/>
              </w:rPr>
              <w:t xml:space="preserve"> 5</w:t>
            </w:r>
            <w:r w:rsidR="00F350EC" w:rsidRPr="006E725C">
              <w:rPr>
                <w:szCs w:val="20"/>
                <w:lang w:val="en-GB" w:eastAsia="en-US"/>
              </w:rPr>
              <w:t>.</w:t>
            </w:r>
            <w:r w:rsidR="00EA1EBB" w:rsidRPr="006E725C">
              <w:rPr>
                <w:szCs w:val="20"/>
                <w:lang w:val="en-GB" w:eastAsia="en-US"/>
              </w:rPr>
              <w:t>0%</w:t>
            </w:r>
            <w:r w:rsidR="00F350EC" w:rsidRPr="006E725C">
              <w:rPr>
                <w:szCs w:val="20"/>
                <w:lang w:val="en-GB" w:eastAsia="en-US"/>
              </w:rPr>
              <w:t xml:space="preserve"> higher year-on-year</w:t>
            </w:r>
            <w:r w:rsidR="00EA1EBB" w:rsidRPr="006E725C">
              <w:rPr>
                <w:szCs w:val="20"/>
                <w:lang w:val="en-GB" w:eastAsia="en-US"/>
              </w:rPr>
              <w:t>,</w:t>
            </w:r>
            <w:r w:rsidR="00F350EC" w:rsidRPr="006E725C">
              <w:rPr>
                <w:szCs w:val="20"/>
                <w:lang w:val="en-GB" w:eastAsia="en-US"/>
              </w:rPr>
              <w:t xml:space="preserve"> in that by </w:t>
            </w:r>
            <w:r w:rsidR="00EA1EBB" w:rsidRPr="006E725C">
              <w:rPr>
                <w:szCs w:val="20"/>
                <w:lang w:val="en-GB" w:eastAsia="en-US"/>
              </w:rPr>
              <w:t>6</w:t>
            </w:r>
            <w:r w:rsidR="00F350EC" w:rsidRPr="006E725C">
              <w:rPr>
                <w:szCs w:val="20"/>
                <w:lang w:val="en-GB" w:eastAsia="en-US"/>
              </w:rPr>
              <w:t>.</w:t>
            </w:r>
            <w:r w:rsidR="00EA1EBB" w:rsidRPr="006E725C">
              <w:rPr>
                <w:szCs w:val="20"/>
                <w:lang w:val="en-GB" w:eastAsia="en-US"/>
              </w:rPr>
              <w:t>0%</w:t>
            </w:r>
            <w:r w:rsidR="00F350EC" w:rsidRPr="006E725C">
              <w:rPr>
                <w:szCs w:val="20"/>
                <w:lang w:val="en-GB" w:eastAsia="en-US"/>
              </w:rPr>
              <w:t xml:space="preserve"> for households and by </w:t>
            </w:r>
            <w:r w:rsidR="00EA1EBB" w:rsidRPr="006E725C">
              <w:rPr>
                <w:szCs w:val="20"/>
                <w:lang w:val="en-GB" w:eastAsia="en-US"/>
              </w:rPr>
              <w:t>2</w:t>
            </w:r>
            <w:r w:rsidR="00F350EC" w:rsidRPr="006E725C">
              <w:rPr>
                <w:szCs w:val="20"/>
                <w:lang w:val="en-GB" w:eastAsia="en-US"/>
              </w:rPr>
              <w:t>.</w:t>
            </w:r>
            <w:r w:rsidR="00EA1EBB" w:rsidRPr="006E725C">
              <w:rPr>
                <w:szCs w:val="20"/>
                <w:lang w:val="en-GB" w:eastAsia="en-US"/>
              </w:rPr>
              <w:t>5%</w:t>
            </w:r>
            <w:r w:rsidR="00F350EC" w:rsidRPr="006E725C">
              <w:rPr>
                <w:szCs w:val="20"/>
                <w:lang w:val="en-GB" w:eastAsia="en-US"/>
              </w:rPr>
              <w:t xml:space="preserve"> for government</w:t>
            </w:r>
            <w:r w:rsidR="00EA1EBB" w:rsidRPr="006E725C">
              <w:rPr>
                <w:szCs w:val="20"/>
                <w:lang w:val="en-GB" w:eastAsia="en-US"/>
              </w:rPr>
              <w:t xml:space="preserve">. </w:t>
            </w:r>
            <w:r w:rsidR="000845BB" w:rsidRPr="006E725C">
              <w:rPr>
                <w:szCs w:val="20"/>
                <w:lang w:val="en-GB" w:eastAsia="en-US"/>
              </w:rPr>
              <w:t>Growth of prices of capital goods strengthened to 3.5% in Q</w:t>
            </w:r>
            <w:r w:rsidR="00EA1EBB" w:rsidRPr="006E725C">
              <w:rPr>
                <w:szCs w:val="20"/>
                <w:lang w:val="en-GB" w:eastAsia="en-US"/>
              </w:rPr>
              <w:t>4</w:t>
            </w:r>
            <w:r w:rsidR="000845BB" w:rsidRPr="006E725C">
              <w:rPr>
                <w:szCs w:val="20"/>
                <w:lang w:val="en-GB" w:eastAsia="en-US"/>
              </w:rPr>
              <w:t xml:space="preserve">. Terms of trade remained positive and reached </w:t>
            </w:r>
            <w:r w:rsidR="00EA1EBB" w:rsidRPr="006E725C">
              <w:rPr>
                <w:szCs w:val="20"/>
                <w:lang w:val="en-GB" w:eastAsia="en-US"/>
              </w:rPr>
              <w:t>102</w:t>
            </w:r>
            <w:r w:rsidR="000845BB" w:rsidRPr="006E725C">
              <w:rPr>
                <w:szCs w:val="20"/>
                <w:lang w:val="en-GB" w:eastAsia="en-US"/>
              </w:rPr>
              <w:t>.</w:t>
            </w:r>
            <w:r w:rsidR="00EA1EBB" w:rsidRPr="006E725C">
              <w:rPr>
                <w:szCs w:val="20"/>
                <w:lang w:val="en-GB" w:eastAsia="en-US"/>
              </w:rPr>
              <w:t xml:space="preserve">5%. </w:t>
            </w:r>
            <w:r w:rsidR="000845BB" w:rsidRPr="006E725C">
              <w:rPr>
                <w:szCs w:val="20"/>
                <w:lang w:val="en-GB" w:eastAsia="en-US"/>
              </w:rPr>
              <w:t xml:space="preserve">Terms of trade of the international trade with goods reached </w:t>
            </w:r>
            <w:r w:rsidR="00EA1EBB" w:rsidRPr="006E725C">
              <w:rPr>
                <w:szCs w:val="20"/>
                <w:lang w:val="en-GB" w:eastAsia="en-US"/>
              </w:rPr>
              <w:t>102</w:t>
            </w:r>
            <w:r w:rsidR="000845BB" w:rsidRPr="006E725C">
              <w:rPr>
                <w:szCs w:val="20"/>
                <w:lang w:val="en-GB" w:eastAsia="en-US"/>
              </w:rPr>
              <w:t>.</w:t>
            </w:r>
            <w:r w:rsidR="00EA1EBB" w:rsidRPr="006E725C">
              <w:rPr>
                <w:szCs w:val="20"/>
                <w:lang w:val="en-GB" w:eastAsia="en-US"/>
              </w:rPr>
              <w:t xml:space="preserve">0%, </w:t>
            </w:r>
            <w:r w:rsidR="000845BB" w:rsidRPr="006E725C">
              <w:rPr>
                <w:szCs w:val="20"/>
                <w:lang w:val="en-GB" w:eastAsia="en-US"/>
              </w:rPr>
              <w:t xml:space="preserve">while it was </w:t>
            </w:r>
            <w:r w:rsidR="00EA1EBB" w:rsidRPr="006E725C">
              <w:rPr>
                <w:szCs w:val="20"/>
                <w:lang w:val="en-GB" w:eastAsia="en-US"/>
              </w:rPr>
              <w:t>105</w:t>
            </w:r>
            <w:r w:rsidR="000845BB" w:rsidRPr="006E725C">
              <w:rPr>
                <w:szCs w:val="20"/>
                <w:lang w:val="en-GB" w:eastAsia="en-US"/>
              </w:rPr>
              <w:t>.</w:t>
            </w:r>
            <w:r w:rsidR="00EA1EBB" w:rsidRPr="006E725C">
              <w:rPr>
                <w:szCs w:val="20"/>
                <w:lang w:val="en-GB" w:eastAsia="en-US"/>
              </w:rPr>
              <w:t>2%</w:t>
            </w:r>
            <w:r w:rsidR="000845BB" w:rsidRPr="006E725C">
              <w:rPr>
                <w:szCs w:val="20"/>
                <w:lang w:val="en-GB" w:eastAsia="en-US"/>
              </w:rPr>
              <w:t xml:space="preserve"> for services</w:t>
            </w:r>
            <w:r w:rsidR="00EA1EBB" w:rsidRPr="006E725C">
              <w:rPr>
                <w:szCs w:val="20"/>
                <w:lang w:val="en-GB" w:eastAsia="en-US"/>
              </w:rPr>
              <w:t xml:space="preserve">. </w:t>
            </w:r>
            <w:r w:rsidR="00795367" w:rsidRPr="006E725C">
              <w:rPr>
                <w:szCs w:val="20"/>
                <w:lang w:val="en-GB" w:eastAsia="en-US"/>
              </w:rPr>
              <w:t>Quarter-on-quarter, the total price level did not change in Q</w:t>
            </w:r>
            <w:r w:rsidR="00EA1EBB" w:rsidRPr="006E725C">
              <w:rPr>
                <w:szCs w:val="20"/>
                <w:lang w:val="en-GB" w:eastAsia="en-US"/>
              </w:rPr>
              <w:t xml:space="preserve">4. </w:t>
            </w:r>
            <w:r w:rsidR="00776783" w:rsidRPr="006E725C">
              <w:rPr>
                <w:szCs w:val="20"/>
                <w:lang w:val="en-GB" w:eastAsia="en-US"/>
              </w:rPr>
              <w:t xml:space="preserve">Consumption experienced growth of </w:t>
            </w:r>
            <w:r w:rsidR="00EA1EBB" w:rsidRPr="006E725C">
              <w:rPr>
                <w:szCs w:val="20"/>
                <w:lang w:val="en-GB" w:eastAsia="en-US"/>
              </w:rPr>
              <w:t>0</w:t>
            </w:r>
            <w:r w:rsidR="00776783" w:rsidRPr="006E725C">
              <w:rPr>
                <w:szCs w:val="20"/>
                <w:lang w:val="en-GB" w:eastAsia="en-US"/>
              </w:rPr>
              <w:t>.</w:t>
            </w:r>
            <w:r w:rsidR="00EA1EBB" w:rsidRPr="006E725C">
              <w:rPr>
                <w:szCs w:val="20"/>
                <w:lang w:val="en-GB" w:eastAsia="en-US"/>
              </w:rPr>
              <w:t>4% a</w:t>
            </w:r>
            <w:r w:rsidR="00776783" w:rsidRPr="006E725C">
              <w:rPr>
                <w:szCs w:val="20"/>
                <w:lang w:val="en-GB" w:eastAsia="en-US"/>
              </w:rPr>
              <w:t xml:space="preserve">nd prices of capital goods were raised by </w:t>
            </w:r>
            <w:r w:rsidR="00EA1EBB" w:rsidRPr="006E725C">
              <w:rPr>
                <w:szCs w:val="20"/>
                <w:lang w:val="en-GB" w:eastAsia="en-US"/>
              </w:rPr>
              <w:t>3</w:t>
            </w:r>
            <w:r w:rsidR="00776783" w:rsidRPr="006E725C">
              <w:rPr>
                <w:szCs w:val="20"/>
                <w:lang w:val="en-GB" w:eastAsia="en-US"/>
              </w:rPr>
              <w:t>.</w:t>
            </w:r>
            <w:r w:rsidR="00EA1EBB" w:rsidRPr="006E725C">
              <w:rPr>
                <w:szCs w:val="20"/>
                <w:lang w:val="en-GB" w:eastAsia="en-US"/>
              </w:rPr>
              <w:t xml:space="preserve">6%. </w:t>
            </w:r>
            <w:r w:rsidR="00795367" w:rsidRPr="006E725C">
              <w:rPr>
                <w:szCs w:val="20"/>
                <w:lang w:val="en-GB" w:eastAsia="en-US"/>
              </w:rPr>
              <w:t xml:space="preserve">Quarter-on-quarter terms of trade were however negative and reached </w:t>
            </w:r>
            <w:r w:rsidR="00EA1EBB" w:rsidRPr="006E725C">
              <w:rPr>
                <w:szCs w:val="20"/>
                <w:lang w:val="en-GB" w:eastAsia="en-US"/>
              </w:rPr>
              <w:t>98</w:t>
            </w:r>
            <w:r w:rsidR="00795367" w:rsidRPr="006E725C">
              <w:rPr>
                <w:szCs w:val="20"/>
                <w:lang w:val="en-GB" w:eastAsia="en-US"/>
              </w:rPr>
              <w:t>.</w:t>
            </w:r>
            <w:r w:rsidR="00EA1EBB" w:rsidRPr="006E725C">
              <w:rPr>
                <w:szCs w:val="20"/>
                <w:lang w:val="en-GB" w:eastAsia="en-US"/>
              </w:rPr>
              <w:t xml:space="preserve">4%.    </w:t>
            </w:r>
          </w:p>
        </w:tc>
      </w:tr>
      <w:tr w:rsidR="00EA1EBB" w:rsidRPr="006E725C" w14:paraId="3E701DD2" w14:textId="77777777" w:rsidTr="00EA1EBB">
        <w:trPr>
          <w:trHeight w:val="170"/>
        </w:trPr>
        <w:tc>
          <w:tcPr>
            <w:tcW w:w="1804" w:type="dxa"/>
            <w:vMerge w:val="restart"/>
          </w:tcPr>
          <w:p w14:paraId="54F2CC8C" w14:textId="77777777" w:rsidR="00EA1EBB" w:rsidRPr="006E725C" w:rsidRDefault="00EA1EBB">
            <w:pPr>
              <w:pStyle w:val="Marginlie"/>
              <w:rPr>
                <w:spacing w:val="0"/>
                <w:lang w:val="en-GB" w:eastAsia="en-US"/>
              </w:rPr>
            </w:pPr>
          </w:p>
        </w:tc>
        <w:tc>
          <w:tcPr>
            <w:tcW w:w="224" w:type="dxa"/>
            <w:vMerge w:val="restart"/>
          </w:tcPr>
          <w:p w14:paraId="019DEA42" w14:textId="77777777" w:rsidR="00EA1EBB" w:rsidRPr="006E725C" w:rsidRDefault="00EA1EBB">
            <w:pPr>
              <w:pStyle w:val="Textpoznpodarou1"/>
              <w:jc w:val="both"/>
              <w:rPr>
                <w:lang w:val="en-GB" w:eastAsia="en-US"/>
              </w:rPr>
            </w:pPr>
          </w:p>
        </w:tc>
        <w:tc>
          <w:tcPr>
            <w:tcW w:w="7611" w:type="dxa"/>
            <w:hideMark/>
          </w:tcPr>
          <w:p w14:paraId="22309FD3" w14:textId="173E9336" w:rsidR="00EA1EBB" w:rsidRPr="006E725C" w:rsidRDefault="005650DC" w:rsidP="00174ED1">
            <w:pPr>
              <w:spacing w:after="0"/>
              <w:rPr>
                <w:lang w:val="en-GB" w:eastAsia="en-US"/>
              </w:rPr>
            </w:pPr>
            <w:r w:rsidRPr="006E725C">
              <w:rPr>
                <w:rFonts w:cs="Arial"/>
                <w:b/>
                <w:bCs/>
                <w:color w:val="000000"/>
                <w:sz w:val="18"/>
                <w:szCs w:val="18"/>
                <w:lang w:val="en-GB" w:eastAsia="en-US"/>
              </w:rPr>
              <w:t xml:space="preserve">Chart </w:t>
            </w:r>
            <w:r w:rsidR="00EA1EBB" w:rsidRPr="006E725C">
              <w:rPr>
                <w:rFonts w:cs="Arial"/>
                <w:b/>
                <w:bCs/>
                <w:color w:val="000000"/>
                <w:sz w:val="18"/>
                <w:szCs w:val="18"/>
                <w:lang w:val="en-GB" w:eastAsia="en-US"/>
              </w:rPr>
              <w:t>1</w:t>
            </w:r>
            <w:r w:rsidR="00174ED1" w:rsidRPr="006E725C">
              <w:rPr>
                <w:rFonts w:cs="Arial"/>
                <w:b/>
                <w:bCs/>
                <w:color w:val="000000"/>
                <w:sz w:val="18"/>
                <w:szCs w:val="18"/>
                <w:lang w:val="en-GB" w:eastAsia="en-US"/>
              </w:rPr>
              <w:t>1</w:t>
            </w:r>
            <w:r w:rsidR="00EA1EBB" w:rsidRPr="006E725C">
              <w:rPr>
                <w:rFonts w:cs="Arial"/>
                <w:b/>
                <w:bCs/>
                <w:color w:val="000000"/>
                <w:sz w:val="18"/>
                <w:szCs w:val="18"/>
                <w:lang w:val="en-GB" w:eastAsia="en-US"/>
              </w:rPr>
              <w:t xml:space="preserve"> </w:t>
            </w:r>
            <w:r w:rsidR="00093093" w:rsidRPr="006E725C">
              <w:rPr>
                <w:rFonts w:cs="Arial"/>
                <w:b/>
                <w:bCs/>
                <w:color w:val="000000"/>
                <w:sz w:val="18"/>
                <w:szCs w:val="18"/>
                <w:lang w:val="en-GB"/>
              </w:rPr>
              <w:t xml:space="preserve">Prices in the selected divisions of the consumer price index </w:t>
            </w:r>
            <w:r w:rsidR="00093093" w:rsidRPr="006E725C">
              <w:rPr>
                <w:rFonts w:cs="Arial"/>
                <w:color w:val="000000"/>
                <w:sz w:val="18"/>
                <w:szCs w:val="18"/>
                <w:lang w:val="en-GB"/>
              </w:rPr>
              <w:t>(year-on-year in %)</w:t>
            </w:r>
          </w:p>
        </w:tc>
      </w:tr>
      <w:tr w:rsidR="00EA1EBB" w:rsidRPr="006E725C" w14:paraId="02F64EB3" w14:textId="77777777" w:rsidTr="0079457A">
        <w:tblPrEx>
          <w:tblCellMar>
            <w:left w:w="70" w:type="dxa"/>
            <w:right w:w="70" w:type="dxa"/>
          </w:tblCellMar>
        </w:tblPrEx>
        <w:trPr>
          <w:trHeight w:val="170"/>
        </w:trPr>
        <w:tc>
          <w:tcPr>
            <w:tcW w:w="1804" w:type="dxa"/>
            <w:vMerge/>
            <w:vAlign w:val="center"/>
            <w:hideMark/>
          </w:tcPr>
          <w:p w14:paraId="6E34E128" w14:textId="77777777" w:rsidR="00EA1EBB" w:rsidRPr="006E725C" w:rsidRDefault="00EA1EBB">
            <w:pPr>
              <w:spacing w:after="0" w:line="240" w:lineRule="auto"/>
              <w:jc w:val="left"/>
              <w:rPr>
                <w:sz w:val="16"/>
                <w:szCs w:val="16"/>
                <w:lang w:val="en-GB" w:eastAsia="en-US"/>
              </w:rPr>
            </w:pPr>
          </w:p>
        </w:tc>
        <w:tc>
          <w:tcPr>
            <w:tcW w:w="224" w:type="dxa"/>
            <w:vMerge/>
            <w:vAlign w:val="center"/>
            <w:hideMark/>
          </w:tcPr>
          <w:p w14:paraId="7DAEB835" w14:textId="77777777" w:rsidR="00EA1EBB" w:rsidRPr="006E725C" w:rsidRDefault="00EA1EBB">
            <w:pPr>
              <w:spacing w:after="0" w:line="240" w:lineRule="auto"/>
              <w:jc w:val="left"/>
              <w:rPr>
                <w:rFonts w:eastAsia="Calibri"/>
                <w:szCs w:val="20"/>
                <w:lang w:val="en-GB" w:eastAsia="en-US"/>
              </w:rPr>
            </w:pPr>
          </w:p>
        </w:tc>
        <w:tc>
          <w:tcPr>
            <w:tcW w:w="7611" w:type="dxa"/>
            <w:hideMark/>
          </w:tcPr>
          <w:p w14:paraId="32DDD30C" w14:textId="13951A4F" w:rsidR="00EA1EBB" w:rsidRPr="006E725C" w:rsidRDefault="0079457A">
            <w:pPr>
              <w:spacing w:after="0"/>
              <w:rPr>
                <w:lang w:val="en-GB" w:eastAsia="en-US"/>
              </w:rPr>
            </w:pPr>
            <w:r>
              <w:rPr>
                <w:noProof/>
              </w:rPr>
              <w:drawing>
                <wp:inline distT="0" distB="0" distL="0" distR="0" wp14:anchorId="5A1EFE0C" wp14:editId="5EEBF9EA">
                  <wp:extent cx="4737600" cy="3556375"/>
                  <wp:effectExtent l="0" t="0" r="6350" b="6350"/>
                  <wp:docPr id="27" name="Graf 2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A1EBB" w:rsidRPr="006E725C" w14:paraId="345C2603" w14:textId="77777777" w:rsidTr="00EA1EBB">
        <w:trPr>
          <w:trHeight w:val="170"/>
        </w:trPr>
        <w:tc>
          <w:tcPr>
            <w:tcW w:w="0" w:type="auto"/>
            <w:vMerge/>
            <w:vAlign w:val="center"/>
            <w:hideMark/>
          </w:tcPr>
          <w:p w14:paraId="3E35EC9D" w14:textId="77777777" w:rsidR="00EA1EBB" w:rsidRPr="006E725C" w:rsidRDefault="00EA1EBB">
            <w:pPr>
              <w:spacing w:after="0" w:line="240" w:lineRule="auto"/>
              <w:jc w:val="left"/>
              <w:rPr>
                <w:sz w:val="16"/>
                <w:szCs w:val="16"/>
                <w:lang w:val="en-GB" w:eastAsia="en-US"/>
              </w:rPr>
            </w:pPr>
          </w:p>
        </w:tc>
        <w:tc>
          <w:tcPr>
            <w:tcW w:w="0" w:type="auto"/>
            <w:vMerge/>
            <w:vAlign w:val="center"/>
            <w:hideMark/>
          </w:tcPr>
          <w:p w14:paraId="35C316BC" w14:textId="77777777" w:rsidR="00EA1EBB" w:rsidRPr="006E725C" w:rsidRDefault="00EA1EBB">
            <w:pPr>
              <w:spacing w:after="0" w:line="240" w:lineRule="auto"/>
              <w:jc w:val="left"/>
              <w:rPr>
                <w:rFonts w:eastAsia="Calibri"/>
                <w:szCs w:val="20"/>
                <w:lang w:val="en-GB" w:eastAsia="en-US"/>
              </w:rPr>
            </w:pPr>
          </w:p>
        </w:tc>
        <w:tc>
          <w:tcPr>
            <w:tcW w:w="7611" w:type="dxa"/>
            <w:hideMark/>
          </w:tcPr>
          <w:p w14:paraId="184BF0A8" w14:textId="6112ED16" w:rsidR="00776783" w:rsidRPr="006E725C" w:rsidRDefault="005650DC" w:rsidP="0079457A">
            <w:pPr>
              <w:rPr>
                <w:b/>
                <w:bCs/>
                <w:sz w:val="16"/>
                <w:szCs w:val="16"/>
                <w:lang w:val="en-GB" w:eastAsia="en-US"/>
              </w:rPr>
            </w:pPr>
            <w:r w:rsidRPr="006E725C">
              <w:rPr>
                <w:sz w:val="14"/>
                <w:szCs w:val="14"/>
                <w:lang w:val="en-GB" w:eastAsia="en-US"/>
              </w:rPr>
              <w:t>Source</w:t>
            </w:r>
            <w:r w:rsidR="00EA1EBB" w:rsidRPr="006E725C">
              <w:rPr>
                <w:sz w:val="14"/>
                <w:szCs w:val="14"/>
                <w:lang w:val="en-GB" w:eastAsia="en-US"/>
              </w:rPr>
              <w:t xml:space="preserve">: </w:t>
            </w:r>
            <w:r w:rsidRPr="006E725C">
              <w:rPr>
                <w:sz w:val="14"/>
                <w:szCs w:val="14"/>
                <w:lang w:val="en-GB" w:eastAsia="en-US"/>
              </w:rPr>
              <w:t>CZSO</w:t>
            </w:r>
          </w:p>
        </w:tc>
      </w:tr>
      <w:tr w:rsidR="00EA1EBB" w:rsidRPr="006E725C" w14:paraId="59B389BB" w14:textId="77777777" w:rsidTr="00EA1EBB">
        <w:trPr>
          <w:trHeight w:val="145"/>
        </w:trPr>
        <w:tc>
          <w:tcPr>
            <w:tcW w:w="1804" w:type="dxa"/>
            <w:hideMark/>
          </w:tcPr>
          <w:p w14:paraId="4E2B17C8" w14:textId="3A79F291" w:rsidR="00EA1EBB" w:rsidRPr="006E725C" w:rsidRDefault="005650DC">
            <w:pPr>
              <w:pStyle w:val="Marginlie"/>
              <w:rPr>
                <w:spacing w:val="0"/>
                <w:lang w:val="en-GB" w:eastAsia="en-US"/>
              </w:rPr>
            </w:pPr>
            <w:r w:rsidRPr="006E725C">
              <w:rPr>
                <w:spacing w:val="0"/>
                <w:lang w:val="en-GB" w:eastAsia="en-US"/>
              </w:rPr>
              <w:t xml:space="preserve">Year-on-year growth of consumer prices slowed its pace during the year. </w:t>
            </w:r>
          </w:p>
        </w:tc>
        <w:tc>
          <w:tcPr>
            <w:tcW w:w="224" w:type="dxa"/>
          </w:tcPr>
          <w:p w14:paraId="663C3390" w14:textId="77777777" w:rsidR="00EA1EBB" w:rsidRPr="006E725C" w:rsidRDefault="00EA1EBB">
            <w:pPr>
              <w:pStyle w:val="Textpoznpodarou1"/>
              <w:jc w:val="both"/>
              <w:rPr>
                <w:lang w:val="en-GB" w:eastAsia="en-US"/>
              </w:rPr>
            </w:pPr>
          </w:p>
        </w:tc>
        <w:tc>
          <w:tcPr>
            <w:tcW w:w="7611" w:type="dxa"/>
            <w:hideMark/>
          </w:tcPr>
          <w:p w14:paraId="2E930856" w14:textId="2416EAD6" w:rsidR="00EA1EBB" w:rsidRPr="006E725C" w:rsidRDefault="0023290A">
            <w:pPr>
              <w:rPr>
                <w:lang w:val="en-GB" w:eastAsia="en-US"/>
              </w:rPr>
            </w:pPr>
            <w:r w:rsidRPr="006E725C">
              <w:rPr>
                <w:lang w:val="en-GB" w:eastAsia="en-US"/>
              </w:rPr>
              <w:t xml:space="preserve">Year-on-year growth of the consumer prices gradually slowed down during the year </w:t>
            </w:r>
            <w:r w:rsidR="00EA1EBB" w:rsidRPr="006E725C">
              <w:rPr>
                <w:lang w:val="en-GB" w:eastAsia="en-US"/>
              </w:rPr>
              <w:t>2023</w:t>
            </w:r>
            <w:r w:rsidRPr="006E725C">
              <w:rPr>
                <w:lang w:val="en-GB" w:eastAsia="en-US"/>
              </w:rPr>
              <w:t xml:space="preserve"> </w:t>
            </w:r>
            <w:r w:rsidR="00EA1EBB" w:rsidRPr="006E725C">
              <w:rPr>
                <w:lang w:val="en-GB" w:eastAsia="en-US"/>
              </w:rPr>
              <w:t>(16</w:t>
            </w:r>
            <w:r w:rsidRPr="006E725C">
              <w:rPr>
                <w:lang w:val="en-GB" w:eastAsia="en-US"/>
              </w:rPr>
              <w:t>.</w:t>
            </w:r>
            <w:r w:rsidR="00EA1EBB" w:rsidRPr="006E725C">
              <w:rPr>
                <w:lang w:val="en-GB" w:eastAsia="en-US"/>
              </w:rPr>
              <w:t>4%, 11</w:t>
            </w:r>
            <w:r w:rsidRPr="006E725C">
              <w:rPr>
                <w:lang w:val="en-GB" w:eastAsia="en-US"/>
              </w:rPr>
              <w:t>.</w:t>
            </w:r>
            <w:r w:rsidR="00EA1EBB" w:rsidRPr="006E725C">
              <w:rPr>
                <w:lang w:val="en-GB" w:eastAsia="en-US"/>
              </w:rPr>
              <w:t>1% a</w:t>
            </w:r>
            <w:r w:rsidRPr="006E725C">
              <w:rPr>
                <w:lang w:val="en-GB" w:eastAsia="en-US"/>
              </w:rPr>
              <w:t>nd</w:t>
            </w:r>
            <w:r w:rsidR="00EA1EBB" w:rsidRPr="006E725C">
              <w:rPr>
                <w:lang w:val="en-GB" w:eastAsia="en-US"/>
              </w:rPr>
              <w:t xml:space="preserve"> 8</w:t>
            </w:r>
            <w:r w:rsidRPr="006E725C">
              <w:rPr>
                <w:lang w:val="en-GB" w:eastAsia="en-US"/>
              </w:rPr>
              <w:t>.</w:t>
            </w:r>
            <w:r w:rsidR="00EA1EBB" w:rsidRPr="006E725C">
              <w:rPr>
                <w:lang w:val="en-GB" w:eastAsia="en-US"/>
              </w:rPr>
              <w:t xml:space="preserve">0% </w:t>
            </w:r>
            <w:r w:rsidRPr="006E725C">
              <w:rPr>
                <w:lang w:val="en-GB" w:eastAsia="en-US"/>
              </w:rPr>
              <w:t>in Q</w:t>
            </w:r>
            <w:r w:rsidR="00EA1EBB" w:rsidRPr="006E725C">
              <w:rPr>
                <w:lang w:val="en-GB" w:eastAsia="en-US"/>
              </w:rPr>
              <w:t xml:space="preserve">1, </w:t>
            </w:r>
            <w:r w:rsidRPr="006E725C">
              <w:rPr>
                <w:lang w:val="en-GB" w:eastAsia="en-US"/>
              </w:rPr>
              <w:t>Q</w:t>
            </w:r>
            <w:r w:rsidR="00EA1EBB" w:rsidRPr="006E725C">
              <w:rPr>
                <w:lang w:val="en-GB" w:eastAsia="en-US"/>
              </w:rPr>
              <w:t>2</w:t>
            </w:r>
            <w:r w:rsidRPr="006E725C">
              <w:rPr>
                <w:lang w:val="en-GB" w:eastAsia="en-US"/>
              </w:rPr>
              <w:t xml:space="preserve"> and Q</w:t>
            </w:r>
            <w:r w:rsidR="00EA1EBB" w:rsidRPr="006E725C">
              <w:rPr>
                <w:lang w:val="en-GB" w:eastAsia="en-US"/>
              </w:rPr>
              <w:t>3) a</w:t>
            </w:r>
            <w:r w:rsidRPr="006E725C">
              <w:rPr>
                <w:lang w:val="en-GB" w:eastAsia="en-US"/>
              </w:rPr>
              <w:t>nd the end of the year was not an exception. The consumer price index increased by 7.6% year-on-year in Q</w:t>
            </w:r>
            <w:r w:rsidR="00EA1EBB" w:rsidRPr="006E725C">
              <w:rPr>
                <w:lang w:val="en-GB" w:eastAsia="en-US"/>
              </w:rPr>
              <w:t>4</w:t>
            </w:r>
            <w:r w:rsidRPr="006E725C">
              <w:rPr>
                <w:lang w:val="en-GB" w:eastAsia="en-US"/>
              </w:rPr>
              <w:t xml:space="preserve"> </w:t>
            </w:r>
            <w:r w:rsidR="00EA1EBB" w:rsidRPr="006E725C">
              <w:rPr>
                <w:lang w:val="en-GB" w:eastAsia="en-US"/>
              </w:rPr>
              <w:t>2023</w:t>
            </w:r>
            <w:r w:rsidRPr="006E725C">
              <w:rPr>
                <w:lang w:val="en-GB" w:eastAsia="en-US"/>
              </w:rPr>
              <w:t>. The year-on-year dynamics of the absolute majority of consumer basket divisions slowed down against Q</w:t>
            </w:r>
            <w:r w:rsidR="00EA1EBB" w:rsidRPr="006E725C">
              <w:rPr>
                <w:lang w:val="en-GB" w:eastAsia="en-US"/>
              </w:rPr>
              <w:t>3.</w:t>
            </w:r>
            <w:r w:rsidRPr="006E725C">
              <w:rPr>
                <w:lang w:val="en-GB" w:eastAsia="en-US"/>
              </w:rPr>
              <w:t xml:space="preserve"> Housing, water, energies and fuels formed the exception, the comparative basis from the end of year 2022, where the inflation calculation included the saving </w:t>
            </w:r>
            <w:r w:rsidR="004F63C1" w:rsidRPr="006E725C">
              <w:rPr>
                <w:lang w:val="en-GB" w:eastAsia="en-US"/>
              </w:rPr>
              <w:t xml:space="preserve">tariff and the prices of energies thus </w:t>
            </w:r>
            <w:r w:rsidR="004E0434" w:rsidRPr="006E725C">
              <w:rPr>
                <w:lang w:val="en-GB" w:eastAsia="en-US"/>
              </w:rPr>
              <w:t>suddenly</w:t>
            </w:r>
            <w:r w:rsidR="004F63C1" w:rsidRPr="006E725C">
              <w:rPr>
                <w:lang w:val="en-GB" w:eastAsia="en-US"/>
              </w:rPr>
              <w:t xml:space="preserve"> fell,</w:t>
            </w:r>
            <w:r w:rsidRPr="006E725C">
              <w:rPr>
                <w:lang w:val="en-GB" w:eastAsia="en-US"/>
              </w:rPr>
              <w:t xml:space="preserve"> was evident there</w:t>
            </w:r>
            <w:r w:rsidR="004F63C1" w:rsidRPr="006E725C">
              <w:rPr>
                <w:lang w:val="en-GB" w:eastAsia="en-US"/>
              </w:rPr>
              <w:t xml:space="preserve">. </w:t>
            </w:r>
            <w:r w:rsidR="004E0434" w:rsidRPr="006E725C">
              <w:rPr>
                <w:lang w:val="en-GB" w:eastAsia="en-US"/>
              </w:rPr>
              <w:t xml:space="preserve">The slump of prices of </w:t>
            </w:r>
            <w:r w:rsidR="00B3732D">
              <w:rPr>
                <w:lang w:val="en-GB" w:eastAsia="en-US"/>
              </w:rPr>
              <w:t>transport</w:t>
            </w:r>
            <w:r w:rsidR="004E0434" w:rsidRPr="006E725C">
              <w:rPr>
                <w:lang w:val="en-GB" w:eastAsia="en-US"/>
              </w:rPr>
              <w:t xml:space="preserve"> also moderated. </w:t>
            </w:r>
            <w:r w:rsidR="002019B5" w:rsidRPr="006E725C">
              <w:rPr>
                <w:lang w:val="en-GB" w:eastAsia="en-US"/>
              </w:rPr>
              <w:t xml:space="preserve">Housing and energies, recreation and culture, restaurants and hotels and alcoholic beverages and tobacco </w:t>
            </w:r>
            <w:r w:rsidR="004E0434" w:rsidRPr="006E725C">
              <w:rPr>
                <w:lang w:val="en-GB" w:eastAsia="en-US"/>
              </w:rPr>
              <w:t>the most contributed to the year-on-year growth of the consumer prices in Q4 2023</w:t>
            </w:r>
            <w:r w:rsidR="00EA1EBB" w:rsidRPr="006E725C">
              <w:rPr>
                <w:lang w:val="en-GB" w:eastAsia="en-US"/>
              </w:rPr>
              <w:t xml:space="preserve">. </w:t>
            </w:r>
            <w:r w:rsidR="004E0434" w:rsidRPr="006E725C">
              <w:rPr>
                <w:lang w:val="en-GB" w:eastAsia="en-US"/>
              </w:rPr>
              <w:t xml:space="preserve">The effect of food and non-alcoholic beverages, which stimulated the price growth in the previous quarters, sharply fell. </w:t>
            </w:r>
            <w:r w:rsidR="002019B5" w:rsidRPr="006E725C">
              <w:rPr>
                <w:lang w:val="en-GB" w:eastAsia="en-US"/>
              </w:rPr>
              <w:t xml:space="preserve">Only prices of </w:t>
            </w:r>
            <w:r w:rsidR="00B3732D">
              <w:rPr>
                <w:lang w:val="en-GB" w:eastAsia="en-US"/>
              </w:rPr>
              <w:t>transport</w:t>
            </w:r>
            <w:r w:rsidR="002019B5" w:rsidRPr="006E725C">
              <w:rPr>
                <w:lang w:val="en-GB" w:eastAsia="en-US"/>
              </w:rPr>
              <w:t xml:space="preserve"> were falling year-on-year</w:t>
            </w:r>
            <w:r w:rsidR="00EA1EBB" w:rsidRPr="006E725C">
              <w:rPr>
                <w:lang w:val="en-GB" w:eastAsia="en-US"/>
              </w:rPr>
              <w:t xml:space="preserve">. </w:t>
            </w:r>
            <w:r w:rsidR="00E9180C" w:rsidRPr="006E725C">
              <w:rPr>
                <w:lang w:val="en-GB" w:eastAsia="en-US"/>
              </w:rPr>
              <w:t xml:space="preserve">Consumer </w:t>
            </w:r>
            <w:r w:rsidR="00E9180C" w:rsidRPr="006E725C">
              <w:rPr>
                <w:lang w:val="en-GB" w:eastAsia="en-US"/>
              </w:rPr>
              <w:lastRenderedPageBreak/>
              <w:t xml:space="preserve">prices decreased quarter-on-quarter by </w:t>
            </w:r>
            <w:r w:rsidR="00EA1EBB" w:rsidRPr="006E725C">
              <w:rPr>
                <w:lang w:val="en-GB" w:eastAsia="en-US"/>
              </w:rPr>
              <w:t>0</w:t>
            </w:r>
            <w:r w:rsidR="00E9180C" w:rsidRPr="006E725C">
              <w:rPr>
                <w:lang w:val="en-GB" w:eastAsia="en-US"/>
              </w:rPr>
              <w:t>.</w:t>
            </w:r>
            <w:r w:rsidR="00EA1EBB" w:rsidRPr="006E725C">
              <w:rPr>
                <w:lang w:val="en-GB" w:eastAsia="en-US"/>
              </w:rPr>
              <w:t>4%</w:t>
            </w:r>
            <w:r w:rsidR="00E9180C" w:rsidRPr="006E725C">
              <w:rPr>
                <w:lang w:val="en-GB" w:eastAsia="en-US"/>
              </w:rPr>
              <w:t xml:space="preserve"> in Q4</w:t>
            </w:r>
            <w:r w:rsidR="00EA1EBB" w:rsidRPr="006E725C">
              <w:rPr>
                <w:lang w:val="en-GB" w:eastAsia="en-US"/>
              </w:rPr>
              <w:t xml:space="preserve">. </w:t>
            </w:r>
            <w:r w:rsidR="00E9180C" w:rsidRPr="006E725C">
              <w:rPr>
                <w:lang w:val="en-GB" w:eastAsia="en-US"/>
              </w:rPr>
              <w:t xml:space="preserve">The increase of consumer prices reached </w:t>
            </w:r>
            <w:r w:rsidR="00EA1EBB" w:rsidRPr="006E725C">
              <w:rPr>
                <w:lang w:val="en-GB" w:eastAsia="en-US"/>
              </w:rPr>
              <w:t>10</w:t>
            </w:r>
            <w:r w:rsidR="00E9180C" w:rsidRPr="006E725C">
              <w:rPr>
                <w:lang w:val="en-GB" w:eastAsia="en-US"/>
              </w:rPr>
              <w:t>.</w:t>
            </w:r>
            <w:r w:rsidR="00EA1EBB" w:rsidRPr="006E725C">
              <w:rPr>
                <w:lang w:val="en-GB" w:eastAsia="en-US"/>
              </w:rPr>
              <w:t>7%</w:t>
            </w:r>
            <w:r w:rsidR="00E9180C" w:rsidRPr="006E725C">
              <w:rPr>
                <w:lang w:val="en-GB" w:eastAsia="en-US"/>
              </w:rPr>
              <w:t xml:space="preserve"> for the whole year 2023</w:t>
            </w:r>
            <w:r w:rsidR="00EA1EBB" w:rsidRPr="006E725C">
              <w:rPr>
                <w:lang w:val="en-GB" w:eastAsia="en-US"/>
              </w:rPr>
              <w:t>.</w:t>
            </w:r>
            <w:r w:rsidR="00E9180C" w:rsidRPr="006E725C">
              <w:rPr>
                <w:lang w:val="en-GB" w:eastAsia="en-US"/>
              </w:rPr>
              <w:t xml:space="preserve"> Compared to year </w:t>
            </w:r>
            <w:r w:rsidR="00EA1EBB" w:rsidRPr="006E725C">
              <w:rPr>
                <w:lang w:val="en-GB" w:eastAsia="en-US"/>
              </w:rPr>
              <w:t>2022</w:t>
            </w:r>
            <w:r w:rsidR="00E9180C" w:rsidRPr="006E725C">
              <w:rPr>
                <w:lang w:val="en-GB" w:eastAsia="en-US"/>
              </w:rPr>
              <w:t xml:space="preserve">, the increase moderated by </w:t>
            </w:r>
            <w:r w:rsidR="00EA1EBB" w:rsidRPr="006E725C">
              <w:rPr>
                <w:lang w:val="en-GB" w:eastAsia="en-US"/>
              </w:rPr>
              <w:t>4</w:t>
            </w:r>
            <w:r w:rsidR="00E9180C" w:rsidRPr="006E725C">
              <w:rPr>
                <w:lang w:val="en-GB" w:eastAsia="en-US"/>
              </w:rPr>
              <w:t>.</w:t>
            </w:r>
            <w:r w:rsidR="00EA1EBB" w:rsidRPr="006E725C">
              <w:rPr>
                <w:lang w:val="en-GB" w:eastAsia="en-US"/>
              </w:rPr>
              <w:t>4 p.</w:t>
            </w:r>
            <w:r w:rsidR="00E9180C" w:rsidRPr="006E725C">
              <w:rPr>
                <w:lang w:val="en-GB" w:eastAsia="en-US"/>
              </w:rPr>
              <w:t>p</w:t>
            </w:r>
            <w:r w:rsidR="00EA1EBB" w:rsidRPr="006E725C">
              <w:rPr>
                <w:lang w:val="en-GB" w:eastAsia="en-US"/>
              </w:rPr>
              <w:t xml:space="preserve">. </w:t>
            </w:r>
            <w:r w:rsidR="00852B1F" w:rsidRPr="006E725C">
              <w:rPr>
                <w:lang w:val="en-GB" w:eastAsia="en-US"/>
              </w:rPr>
              <w:t>Development of prices of housing and energies, food and non-alcoholic beverages, recreation and culture and restaurants and hotels contributed the most to the total increase of prices</w:t>
            </w:r>
            <w:r w:rsidR="00EA1EBB" w:rsidRPr="006E725C">
              <w:rPr>
                <w:lang w:val="en-GB" w:eastAsia="en-US"/>
              </w:rPr>
              <w:t xml:space="preserve">. </w:t>
            </w:r>
            <w:r w:rsidR="00852B1F" w:rsidRPr="006E725C">
              <w:rPr>
                <w:lang w:val="en-GB" w:eastAsia="en-US"/>
              </w:rPr>
              <w:t xml:space="preserve">Only prices of </w:t>
            </w:r>
            <w:r w:rsidR="00B3732D">
              <w:rPr>
                <w:lang w:val="en-GB" w:eastAsia="en-US"/>
              </w:rPr>
              <w:t>transport</w:t>
            </w:r>
            <w:r w:rsidR="00852B1F" w:rsidRPr="006E725C">
              <w:rPr>
                <w:lang w:val="en-GB" w:eastAsia="en-US"/>
              </w:rPr>
              <w:t xml:space="preserve"> decreased last year. </w:t>
            </w:r>
          </w:p>
        </w:tc>
      </w:tr>
      <w:tr w:rsidR="00EA1EBB" w:rsidRPr="006E725C" w14:paraId="55367628" w14:textId="77777777" w:rsidTr="00EA1EBB">
        <w:trPr>
          <w:trHeight w:val="145"/>
        </w:trPr>
        <w:tc>
          <w:tcPr>
            <w:tcW w:w="1804" w:type="dxa"/>
            <w:hideMark/>
          </w:tcPr>
          <w:p w14:paraId="57B7B781" w14:textId="3D1302DA" w:rsidR="00EA1EBB" w:rsidRPr="006E725C" w:rsidRDefault="002019B5">
            <w:pPr>
              <w:pStyle w:val="Marginlie"/>
              <w:rPr>
                <w:spacing w:val="0"/>
                <w:lang w:val="en-GB" w:eastAsia="en-US"/>
              </w:rPr>
            </w:pPr>
            <w:r w:rsidRPr="006E725C">
              <w:rPr>
                <w:spacing w:val="0"/>
                <w:lang w:val="en-GB" w:eastAsia="en-US"/>
              </w:rPr>
              <w:lastRenderedPageBreak/>
              <w:t xml:space="preserve">In contrast to the rest of prices in the consumer basket, housing and energies recorded acceleration of the year-on-year growth towards the end of the year. </w:t>
            </w:r>
          </w:p>
        </w:tc>
        <w:tc>
          <w:tcPr>
            <w:tcW w:w="224" w:type="dxa"/>
          </w:tcPr>
          <w:p w14:paraId="3E07B145" w14:textId="77777777" w:rsidR="00EA1EBB" w:rsidRPr="006E725C" w:rsidRDefault="00EA1EBB">
            <w:pPr>
              <w:pStyle w:val="Textpoznpodarou1"/>
              <w:jc w:val="both"/>
              <w:rPr>
                <w:lang w:val="en-GB" w:eastAsia="en-US"/>
              </w:rPr>
            </w:pPr>
          </w:p>
        </w:tc>
        <w:tc>
          <w:tcPr>
            <w:tcW w:w="7611" w:type="dxa"/>
            <w:hideMark/>
          </w:tcPr>
          <w:p w14:paraId="48288300" w14:textId="06B71705" w:rsidR="00EA1EBB" w:rsidRPr="006E725C" w:rsidRDefault="0023290A">
            <w:pPr>
              <w:rPr>
                <w:lang w:val="en-GB" w:eastAsia="en-US"/>
              </w:rPr>
            </w:pPr>
            <w:r w:rsidRPr="006E725C">
              <w:rPr>
                <w:lang w:val="en-GB" w:eastAsia="en-US"/>
              </w:rPr>
              <w:t>As already mentioned, prices of housing and energies were the only division of the consumer basket in Q</w:t>
            </w:r>
            <w:r w:rsidR="00EA1EBB" w:rsidRPr="006E725C">
              <w:rPr>
                <w:lang w:val="en-GB" w:eastAsia="en-US"/>
              </w:rPr>
              <w:t>4</w:t>
            </w:r>
            <w:r w:rsidRPr="006E725C">
              <w:rPr>
                <w:lang w:val="en-GB" w:eastAsia="en-US"/>
              </w:rPr>
              <w:t xml:space="preserve">, </w:t>
            </w:r>
            <w:r w:rsidR="003A2BCE" w:rsidRPr="006E725C">
              <w:rPr>
                <w:lang w:val="en-GB" w:eastAsia="en-US"/>
              </w:rPr>
              <w:t xml:space="preserve">which experienced the acceleration of the year-on-year price growth. The increase surged to </w:t>
            </w:r>
            <w:r w:rsidR="00EA1EBB" w:rsidRPr="006E725C">
              <w:rPr>
                <w:lang w:val="en-GB" w:eastAsia="en-US"/>
              </w:rPr>
              <w:t>17</w:t>
            </w:r>
            <w:r w:rsidR="003A2BCE" w:rsidRPr="006E725C">
              <w:rPr>
                <w:lang w:val="en-GB" w:eastAsia="en-US"/>
              </w:rPr>
              <w:t>.</w:t>
            </w:r>
            <w:r w:rsidR="00EA1EBB" w:rsidRPr="006E725C">
              <w:rPr>
                <w:lang w:val="en-GB" w:eastAsia="en-US"/>
              </w:rPr>
              <w:t xml:space="preserve">8%. </w:t>
            </w:r>
            <w:r w:rsidR="002D495E" w:rsidRPr="006E725C">
              <w:rPr>
                <w:lang w:val="en-GB" w:eastAsia="en-US"/>
              </w:rPr>
              <w:t xml:space="preserve">Year-on-year increase of </w:t>
            </w:r>
            <w:r w:rsidR="00952BEF" w:rsidRPr="006E725C">
              <w:rPr>
                <w:lang w:val="en-GB" w:eastAsia="en-US"/>
              </w:rPr>
              <w:t xml:space="preserve">rentals for housing </w:t>
            </w:r>
            <w:r w:rsidR="00EA1EBB" w:rsidRPr="006E725C">
              <w:rPr>
                <w:lang w:val="en-GB" w:eastAsia="en-US"/>
              </w:rPr>
              <w:t>(7</w:t>
            </w:r>
            <w:r w:rsidR="00952BEF" w:rsidRPr="006E725C">
              <w:rPr>
                <w:lang w:val="en-GB" w:eastAsia="en-US"/>
              </w:rPr>
              <w:t>.</w:t>
            </w:r>
            <w:r w:rsidR="00EA1EBB" w:rsidRPr="006E725C">
              <w:rPr>
                <w:lang w:val="en-GB" w:eastAsia="en-US"/>
              </w:rPr>
              <w:t xml:space="preserve">5%), </w:t>
            </w:r>
            <w:r w:rsidR="002D495E" w:rsidRPr="006E725C">
              <w:rPr>
                <w:lang w:val="en-GB" w:eastAsia="en-US"/>
              </w:rPr>
              <w:t xml:space="preserve">common maintenance and repairs </w:t>
            </w:r>
            <w:r w:rsidR="00EA1EBB" w:rsidRPr="006E725C">
              <w:rPr>
                <w:lang w:val="en-GB" w:eastAsia="en-US"/>
              </w:rPr>
              <w:t>(6</w:t>
            </w:r>
            <w:r w:rsidR="002D495E" w:rsidRPr="006E725C">
              <w:rPr>
                <w:lang w:val="en-GB" w:eastAsia="en-US"/>
              </w:rPr>
              <w:t>.</w:t>
            </w:r>
            <w:r w:rsidR="00EA1EBB" w:rsidRPr="006E725C">
              <w:rPr>
                <w:lang w:val="en-GB" w:eastAsia="en-US"/>
              </w:rPr>
              <w:t>2%), imput</w:t>
            </w:r>
            <w:r w:rsidR="002D495E" w:rsidRPr="006E725C">
              <w:rPr>
                <w:lang w:val="en-GB" w:eastAsia="en-US"/>
              </w:rPr>
              <w:t>ed rentals</w:t>
            </w:r>
            <w:r w:rsidR="00EA1EBB" w:rsidRPr="006E725C">
              <w:rPr>
                <w:rStyle w:val="Znakapoznpodarou"/>
                <w:lang w:val="en-GB" w:eastAsia="en-US"/>
              </w:rPr>
              <w:footnoteReference w:id="1"/>
            </w:r>
            <w:r w:rsidR="00EA1EBB" w:rsidRPr="006E725C">
              <w:rPr>
                <w:lang w:val="en-GB" w:eastAsia="en-US"/>
              </w:rPr>
              <w:t xml:space="preserve"> (0</w:t>
            </w:r>
            <w:r w:rsidR="002D495E" w:rsidRPr="006E725C">
              <w:rPr>
                <w:lang w:val="en-GB" w:eastAsia="en-US"/>
              </w:rPr>
              <w:t>.</w:t>
            </w:r>
            <w:r w:rsidR="00EA1EBB" w:rsidRPr="006E725C">
              <w:rPr>
                <w:lang w:val="en-GB" w:eastAsia="en-US"/>
              </w:rPr>
              <w:t>3%)</w:t>
            </w:r>
            <w:r w:rsidR="002D495E" w:rsidRPr="006E725C">
              <w:rPr>
                <w:lang w:val="en-GB" w:eastAsia="en-US"/>
              </w:rPr>
              <w:t xml:space="preserve"> was milder and </w:t>
            </w:r>
            <w:r w:rsidR="00952BEF" w:rsidRPr="006E725C">
              <w:rPr>
                <w:lang w:val="en-GB" w:eastAsia="en-US"/>
              </w:rPr>
              <w:t xml:space="preserve">the increase of prices for other services associated with dwelling </w:t>
            </w:r>
            <w:r w:rsidR="00EA1EBB" w:rsidRPr="006E725C">
              <w:rPr>
                <w:lang w:val="en-GB" w:eastAsia="en-US"/>
              </w:rPr>
              <w:t>(15</w:t>
            </w:r>
            <w:r w:rsidR="00952BEF" w:rsidRPr="006E725C">
              <w:rPr>
                <w:lang w:val="en-GB" w:eastAsia="en-US"/>
              </w:rPr>
              <w:t>.</w:t>
            </w:r>
            <w:r w:rsidR="00EA1EBB" w:rsidRPr="006E725C">
              <w:rPr>
                <w:lang w:val="en-GB" w:eastAsia="en-US"/>
              </w:rPr>
              <w:t>3%)</w:t>
            </w:r>
            <w:r w:rsidR="00952BEF" w:rsidRPr="006E725C">
              <w:rPr>
                <w:lang w:val="en-GB" w:eastAsia="en-US"/>
              </w:rPr>
              <w:t xml:space="preserve"> stayed the same</w:t>
            </w:r>
            <w:r w:rsidR="00EA1EBB" w:rsidRPr="006E725C">
              <w:rPr>
                <w:lang w:val="en-GB" w:eastAsia="en-US"/>
              </w:rPr>
              <w:t xml:space="preserve">. </w:t>
            </w:r>
            <w:r w:rsidR="002752AD" w:rsidRPr="006E725C">
              <w:rPr>
                <w:lang w:val="en-GB" w:eastAsia="en-US"/>
              </w:rPr>
              <w:t xml:space="preserve">The increase of prices of electrical and heating energy, gas and other fuels nevertheless surged last year in Q4 (47.1%) due to the comparative basis of the end of year 2022. Quarter-on-quarter, the prices of housing, water, energy and fuels lowered by </w:t>
            </w:r>
            <w:r w:rsidR="00EA1EBB" w:rsidRPr="006E725C">
              <w:rPr>
                <w:lang w:val="en-GB" w:eastAsia="en-US"/>
              </w:rPr>
              <w:t>0</w:t>
            </w:r>
            <w:r w:rsidR="002752AD" w:rsidRPr="006E725C">
              <w:rPr>
                <w:lang w:val="en-GB" w:eastAsia="en-US"/>
              </w:rPr>
              <w:t>.</w:t>
            </w:r>
            <w:r w:rsidR="00EA1EBB" w:rsidRPr="006E725C">
              <w:rPr>
                <w:lang w:val="en-GB" w:eastAsia="en-US"/>
              </w:rPr>
              <w:t xml:space="preserve">4%. </w:t>
            </w:r>
            <w:r w:rsidR="00E42326" w:rsidRPr="006E725C">
              <w:rPr>
                <w:lang w:val="en-GB" w:eastAsia="en-US"/>
              </w:rPr>
              <w:t xml:space="preserve">The price increased for the whole year </w:t>
            </w:r>
            <w:r w:rsidR="00EA1EBB" w:rsidRPr="006E725C">
              <w:rPr>
                <w:lang w:val="en-GB" w:eastAsia="en-US"/>
              </w:rPr>
              <w:t>2023</w:t>
            </w:r>
            <w:r w:rsidR="00E42326" w:rsidRPr="006E725C">
              <w:rPr>
                <w:lang w:val="en-GB" w:eastAsia="en-US"/>
              </w:rPr>
              <w:t xml:space="preserve"> in this division arrived at </w:t>
            </w:r>
            <w:r w:rsidR="00EA1EBB" w:rsidRPr="006E725C">
              <w:rPr>
                <w:lang w:val="en-GB" w:eastAsia="en-US"/>
              </w:rPr>
              <w:t>16</w:t>
            </w:r>
            <w:r w:rsidR="00E42326" w:rsidRPr="006E725C">
              <w:rPr>
                <w:lang w:val="en-GB" w:eastAsia="en-US"/>
              </w:rPr>
              <w:t>.</w:t>
            </w:r>
            <w:r w:rsidR="00EA1EBB" w:rsidRPr="006E725C">
              <w:rPr>
                <w:lang w:val="en-GB" w:eastAsia="en-US"/>
              </w:rPr>
              <w:t xml:space="preserve">8%. </w:t>
            </w:r>
            <w:r w:rsidR="002D495E" w:rsidRPr="006E725C">
              <w:rPr>
                <w:lang w:val="en-GB" w:eastAsia="en-US"/>
              </w:rPr>
              <w:t xml:space="preserve">The increase of prices of energies and fuels </w:t>
            </w:r>
            <w:r w:rsidR="00EA1EBB" w:rsidRPr="006E725C">
              <w:rPr>
                <w:lang w:val="en-GB" w:eastAsia="en-US"/>
              </w:rPr>
              <w:t>(37</w:t>
            </w:r>
            <w:r w:rsidR="002D495E" w:rsidRPr="006E725C">
              <w:rPr>
                <w:lang w:val="en-GB" w:eastAsia="en-US"/>
              </w:rPr>
              <w:t>.</w:t>
            </w:r>
            <w:r w:rsidR="00EA1EBB" w:rsidRPr="006E725C">
              <w:rPr>
                <w:lang w:val="en-GB" w:eastAsia="en-US"/>
              </w:rPr>
              <w:t>2%)</w:t>
            </w:r>
            <w:r w:rsidR="002D495E" w:rsidRPr="006E725C">
              <w:rPr>
                <w:lang w:val="en-GB" w:eastAsia="en-US"/>
              </w:rPr>
              <w:t xml:space="preserve"> stood behind it to a major part</w:t>
            </w:r>
            <w:r w:rsidR="00EA1EBB" w:rsidRPr="006E725C">
              <w:rPr>
                <w:lang w:val="en-GB" w:eastAsia="en-US"/>
              </w:rPr>
              <w:t xml:space="preserve">, </w:t>
            </w:r>
            <w:r w:rsidR="00E42326" w:rsidRPr="006E725C">
              <w:rPr>
                <w:lang w:val="en-GB" w:eastAsia="en-US"/>
              </w:rPr>
              <w:t xml:space="preserve">nevertheless prices of other items were also higher. </w:t>
            </w:r>
            <w:r w:rsidR="00EA1EBB" w:rsidRPr="006E725C">
              <w:rPr>
                <w:lang w:val="en-GB" w:eastAsia="en-US"/>
              </w:rPr>
              <w:t xml:space="preserve">   </w:t>
            </w:r>
          </w:p>
        </w:tc>
      </w:tr>
      <w:tr w:rsidR="00EA1EBB" w:rsidRPr="006E725C" w14:paraId="1E28AA6D" w14:textId="77777777" w:rsidTr="00EA1EBB">
        <w:trPr>
          <w:trHeight w:val="145"/>
        </w:trPr>
        <w:tc>
          <w:tcPr>
            <w:tcW w:w="1804" w:type="dxa"/>
            <w:hideMark/>
          </w:tcPr>
          <w:p w14:paraId="255FD099" w14:textId="473EDA35" w:rsidR="00EA1EBB" w:rsidRPr="006E725C" w:rsidRDefault="00407911">
            <w:pPr>
              <w:pStyle w:val="Marginlie"/>
              <w:rPr>
                <w:spacing w:val="0"/>
                <w:lang w:val="en-GB" w:eastAsia="en-US"/>
              </w:rPr>
            </w:pPr>
            <w:r w:rsidRPr="006E725C">
              <w:rPr>
                <w:spacing w:val="0"/>
                <w:lang w:val="en-GB" w:eastAsia="en-US"/>
              </w:rPr>
              <w:t>Year-on-year growth of prices of food markedly slowed down in Q</w:t>
            </w:r>
            <w:r w:rsidR="00EA1EBB" w:rsidRPr="006E725C">
              <w:rPr>
                <w:spacing w:val="0"/>
                <w:lang w:val="en-GB" w:eastAsia="en-US"/>
              </w:rPr>
              <w:t>4.</w:t>
            </w:r>
          </w:p>
        </w:tc>
        <w:tc>
          <w:tcPr>
            <w:tcW w:w="224" w:type="dxa"/>
          </w:tcPr>
          <w:p w14:paraId="67D23EEB" w14:textId="77777777" w:rsidR="00EA1EBB" w:rsidRPr="006E725C" w:rsidRDefault="00EA1EBB">
            <w:pPr>
              <w:pStyle w:val="Textpoznpodarou1"/>
              <w:jc w:val="both"/>
              <w:rPr>
                <w:lang w:val="en-GB" w:eastAsia="en-US"/>
              </w:rPr>
            </w:pPr>
          </w:p>
        </w:tc>
        <w:tc>
          <w:tcPr>
            <w:tcW w:w="7611" w:type="dxa"/>
            <w:hideMark/>
          </w:tcPr>
          <w:p w14:paraId="07C4A633" w14:textId="4E2601DA" w:rsidR="00EA1EBB" w:rsidRPr="006E725C" w:rsidRDefault="00407911">
            <w:pPr>
              <w:rPr>
                <w:lang w:val="en-GB" w:eastAsia="en-US"/>
              </w:rPr>
            </w:pPr>
            <w:r w:rsidRPr="006E725C">
              <w:rPr>
                <w:lang w:val="en-GB" w:eastAsia="en-US"/>
              </w:rPr>
              <w:t xml:space="preserve">The growth of prices </w:t>
            </w:r>
            <w:r w:rsidR="00C90F18">
              <w:rPr>
                <w:lang w:val="en-GB" w:eastAsia="en-US"/>
              </w:rPr>
              <w:t xml:space="preserve">of food </w:t>
            </w:r>
            <w:r w:rsidRPr="006E725C">
              <w:rPr>
                <w:lang w:val="en-GB" w:eastAsia="en-US"/>
              </w:rPr>
              <w:t>and non-alcoholic beverages further slowed down considerably year-on-year in Q</w:t>
            </w:r>
            <w:r w:rsidR="00EA1EBB" w:rsidRPr="006E725C">
              <w:rPr>
                <w:lang w:val="en-GB" w:eastAsia="en-US"/>
              </w:rPr>
              <w:t>4</w:t>
            </w:r>
            <w:r w:rsidRPr="006E725C">
              <w:rPr>
                <w:lang w:val="en-GB" w:eastAsia="en-US"/>
              </w:rPr>
              <w:t xml:space="preserve"> </w:t>
            </w:r>
            <w:r w:rsidR="00EA1EBB" w:rsidRPr="006E725C">
              <w:rPr>
                <w:lang w:val="en-GB" w:eastAsia="en-US"/>
              </w:rPr>
              <w:t>(</w:t>
            </w:r>
            <w:r w:rsidRPr="006E725C">
              <w:rPr>
                <w:lang w:val="en-GB" w:eastAsia="en-US"/>
              </w:rPr>
              <w:t>decrease occurred already in December</w:t>
            </w:r>
            <w:r w:rsidR="001F3021" w:rsidRPr="006E725C">
              <w:rPr>
                <w:lang w:val="en-GB" w:eastAsia="en-US"/>
              </w:rPr>
              <w:t>),</w:t>
            </w:r>
            <w:r w:rsidR="00EA1EBB" w:rsidRPr="006E725C">
              <w:rPr>
                <w:lang w:val="en-GB" w:eastAsia="en-US"/>
              </w:rPr>
              <w:t xml:space="preserve"> a</w:t>
            </w:r>
            <w:r w:rsidRPr="006E725C">
              <w:rPr>
                <w:lang w:val="en-GB" w:eastAsia="en-US"/>
              </w:rPr>
              <w:t xml:space="preserve">nd the increase reached </w:t>
            </w:r>
            <w:r w:rsidR="00EA1EBB" w:rsidRPr="006E725C">
              <w:rPr>
                <w:lang w:val="en-GB" w:eastAsia="en-US"/>
              </w:rPr>
              <w:t>1</w:t>
            </w:r>
            <w:r w:rsidRPr="006E725C">
              <w:rPr>
                <w:lang w:val="en-GB" w:eastAsia="en-US"/>
              </w:rPr>
              <w:t>.</w:t>
            </w:r>
            <w:r w:rsidR="00EA1EBB" w:rsidRPr="006E725C">
              <w:rPr>
                <w:lang w:val="en-GB" w:eastAsia="en-US"/>
              </w:rPr>
              <w:t>6%</w:t>
            </w:r>
            <w:r w:rsidRPr="006E725C">
              <w:rPr>
                <w:lang w:val="en-GB" w:eastAsia="en-US"/>
              </w:rPr>
              <w:t xml:space="preserve"> for the whole quarter</w:t>
            </w:r>
            <w:r w:rsidR="00EA1EBB" w:rsidRPr="006E725C">
              <w:rPr>
                <w:lang w:val="en-GB" w:eastAsia="en-US"/>
              </w:rPr>
              <w:t xml:space="preserve">. </w:t>
            </w:r>
            <w:r w:rsidR="00B663A1" w:rsidRPr="006E725C">
              <w:rPr>
                <w:lang w:val="en-GB" w:eastAsia="en-US"/>
              </w:rPr>
              <w:t xml:space="preserve">Year-on-year increase of prices of </w:t>
            </w:r>
            <w:r w:rsidR="00C90F18">
              <w:rPr>
                <w:lang w:val="en-GB" w:eastAsia="en-US"/>
              </w:rPr>
              <w:t>bread</w:t>
            </w:r>
            <w:r w:rsidR="00B663A1" w:rsidRPr="006E725C">
              <w:rPr>
                <w:lang w:val="en-GB" w:eastAsia="en-US"/>
              </w:rPr>
              <w:t xml:space="preserve"> and cereals </w:t>
            </w:r>
            <w:r w:rsidR="00EA1EBB" w:rsidRPr="006E725C">
              <w:rPr>
                <w:lang w:val="en-GB" w:eastAsia="en-US"/>
              </w:rPr>
              <w:t>(3</w:t>
            </w:r>
            <w:r w:rsidR="00B663A1" w:rsidRPr="006E725C">
              <w:rPr>
                <w:lang w:val="en-GB" w:eastAsia="en-US"/>
              </w:rPr>
              <w:t>.</w:t>
            </w:r>
            <w:r w:rsidR="00EA1EBB" w:rsidRPr="006E725C">
              <w:rPr>
                <w:lang w:val="en-GB" w:eastAsia="en-US"/>
              </w:rPr>
              <w:t xml:space="preserve">0%), </w:t>
            </w:r>
            <w:r w:rsidR="00B663A1" w:rsidRPr="006E725C">
              <w:rPr>
                <w:lang w:val="en-GB" w:eastAsia="en-US"/>
              </w:rPr>
              <w:t xml:space="preserve">vegetables </w:t>
            </w:r>
            <w:r w:rsidR="00EA1EBB" w:rsidRPr="006E725C">
              <w:rPr>
                <w:lang w:val="en-GB" w:eastAsia="en-US"/>
              </w:rPr>
              <w:t>(16</w:t>
            </w:r>
            <w:r w:rsidR="00B663A1" w:rsidRPr="006E725C">
              <w:rPr>
                <w:lang w:val="en-GB" w:eastAsia="en-US"/>
              </w:rPr>
              <w:t>.</w:t>
            </w:r>
            <w:r w:rsidR="00EA1EBB" w:rsidRPr="006E725C">
              <w:rPr>
                <w:lang w:val="en-GB" w:eastAsia="en-US"/>
              </w:rPr>
              <w:t xml:space="preserve">6%), </w:t>
            </w:r>
            <w:r w:rsidR="00B663A1" w:rsidRPr="006E725C">
              <w:rPr>
                <w:lang w:val="en-GB" w:eastAsia="en-US"/>
              </w:rPr>
              <w:t xml:space="preserve">fruit </w:t>
            </w:r>
            <w:r w:rsidR="00EA1EBB" w:rsidRPr="006E725C">
              <w:rPr>
                <w:lang w:val="en-GB" w:eastAsia="en-US"/>
              </w:rPr>
              <w:t>(8</w:t>
            </w:r>
            <w:r w:rsidR="00B663A1" w:rsidRPr="006E725C">
              <w:rPr>
                <w:lang w:val="en-GB" w:eastAsia="en-US"/>
              </w:rPr>
              <w:t>.</w:t>
            </w:r>
            <w:r w:rsidR="00EA1EBB" w:rsidRPr="006E725C">
              <w:rPr>
                <w:lang w:val="en-GB" w:eastAsia="en-US"/>
              </w:rPr>
              <w:t>2%),</w:t>
            </w:r>
            <w:r w:rsidR="00B663A1" w:rsidRPr="006E725C">
              <w:rPr>
                <w:lang w:val="en-GB" w:eastAsia="en-US"/>
              </w:rPr>
              <w:t xml:space="preserve"> sugar and associated products </w:t>
            </w:r>
            <w:r w:rsidR="00EA1EBB" w:rsidRPr="006E725C">
              <w:rPr>
                <w:lang w:val="en-GB" w:eastAsia="en-US"/>
              </w:rPr>
              <w:t>(4</w:t>
            </w:r>
            <w:r w:rsidR="00B663A1" w:rsidRPr="006E725C">
              <w:rPr>
                <w:lang w:val="en-GB" w:eastAsia="en-US"/>
              </w:rPr>
              <w:t>.</w:t>
            </w:r>
            <w:r w:rsidR="00EA1EBB" w:rsidRPr="006E725C">
              <w:rPr>
                <w:lang w:val="en-GB" w:eastAsia="en-US"/>
              </w:rPr>
              <w:t>4%)</w:t>
            </w:r>
            <w:r w:rsidR="00B663A1" w:rsidRPr="006E725C">
              <w:rPr>
                <w:lang w:val="en-GB" w:eastAsia="en-US"/>
              </w:rPr>
              <w:t xml:space="preserve"> as well as other food products </w:t>
            </w:r>
            <w:r w:rsidR="00EA1EBB" w:rsidRPr="006E725C">
              <w:rPr>
                <w:lang w:val="en-GB" w:eastAsia="en-US"/>
              </w:rPr>
              <w:t>(7</w:t>
            </w:r>
            <w:r w:rsidR="00B663A1" w:rsidRPr="006E725C">
              <w:rPr>
                <w:lang w:val="en-GB" w:eastAsia="en-US"/>
              </w:rPr>
              <w:t>.</w:t>
            </w:r>
            <w:r w:rsidR="00EA1EBB" w:rsidRPr="006E725C">
              <w:rPr>
                <w:lang w:val="en-GB" w:eastAsia="en-US"/>
              </w:rPr>
              <w:t>0%)</w:t>
            </w:r>
            <w:r w:rsidR="00B663A1" w:rsidRPr="006E725C">
              <w:rPr>
                <w:lang w:val="en-GB" w:eastAsia="en-US"/>
              </w:rPr>
              <w:t xml:space="preserve"> was milder</w:t>
            </w:r>
            <w:r w:rsidR="00EA1EBB" w:rsidRPr="006E725C">
              <w:rPr>
                <w:lang w:val="en-GB" w:eastAsia="en-US"/>
              </w:rPr>
              <w:t xml:space="preserve">. </w:t>
            </w:r>
            <w:r w:rsidR="00AE1579" w:rsidRPr="006E725C">
              <w:rPr>
                <w:lang w:val="en-GB" w:eastAsia="en-US"/>
              </w:rPr>
              <w:t>Development of prices of</w:t>
            </w:r>
            <w:r w:rsidR="001F3021" w:rsidRPr="006E725C">
              <w:rPr>
                <w:lang w:val="en-GB" w:eastAsia="en-US"/>
              </w:rPr>
              <w:t xml:space="preserve"> meat </w:t>
            </w:r>
            <w:r w:rsidR="00EA1EBB" w:rsidRPr="006E725C">
              <w:rPr>
                <w:lang w:val="en-GB" w:eastAsia="en-US"/>
              </w:rPr>
              <w:t>(−1</w:t>
            </w:r>
            <w:r w:rsidR="00AE1579" w:rsidRPr="006E725C">
              <w:rPr>
                <w:lang w:val="en-GB" w:eastAsia="en-US"/>
              </w:rPr>
              <w:t>.</w:t>
            </w:r>
            <w:r w:rsidR="00EA1EBB" w:rsidRPr="006E725C">
              <w:rPr>
                <w:lang w:val="en-GB" w:eastAsia="en-US"/>
              </w:rPr>
              <w:t>5%) a</w:t>
            </w:r>
            <w:r w:rsidR="00AE1579" w:rsidRPr="006E725C">
              <w:rPr>
                <w:lang w:val="en-GB" w:eastAsia="en-US"/>
              </w:rPr>
              <w:t xml:space="preserve">nd milk, cheese and eggs </w:t>
            </w:r>
            <w:r w:rsidR="00EA1EBB" w:rsidRPr="006E725C">
              <w:rPr>
                <w:lang w:val="en-GB" w:eastAsia="en-US"/>
              </w:rPr>
              <w:t>(−7</w:t>
            </w:r>
            <w:r w:rsidR="00AE1579" w:rsidRPr="006E725C">
              <w:rPr>
                <w:lang w:val="en-GB" w:eastAsia="en-US"/>
              </w:rPr>
              <w:t>.</w:t>
            </w:r>
            <w:r w:rsidR="00EA1EBB" w:rsidRPr="006E725C">
              <w:rPr>
                <w:lang w:val="en-GB" w:eastAsia="en-US"/>
              </w:rPr>
              <w:t>0%)</w:t>
            </w:r>
            <w:r w:rsidR="00AE1579" w:rsidRPr="006E725C">
              <w:rPr>
                <w:lang w:val="en-GB" w:eastAsia="en-US"/>
              </w:rPr>
              <w:t xml:space="preserve"> got from growth into decrease in Q4</w:t>
            </w:r>
            <w:r w:rsidR="00EA1EBB" w:rsidRPr="006E725C">
              <w:rPr>
                <w:lang w:val="en-GB" w:eastAsia="en-US"/>
              </w:rPr>
              <w:t xml:space="preserve">. </w:t>
            </w:r>
            <w:r w:rsidR="00D3185C" w:rsidRPr="006E725C">
              <w:rPr>
                <w:lang w:val="en-GB" w:eastAsia="en-US"/>
              </w:rPr>
              <w:t xml:space="preserve">Prices of oils and fats remained in deep decline </w:t>
            </w:r>
            <w:r w:rsidR="00EA1EBB" w:rsidRPr="006E725C">
              <w:rPr>
                <w:lang w:val="en-GB" w:eastAsia="en-US"/>
              </w:rPr>
              <w:t>(−10</w:t>
            </w:r>
            <w:r w:rsidR="00D3185C" w:rsidRPr="006E725C">
              <w:rPr>
                <w:lang w:val="en-GB" w:eastAsia="en-US"/>
              </w:rPr>
              <w:t>.</w:t>
            </w:r>
            <w:r w:rsidR="00EA1EBB" w:rsidRPr="006E725C">
              <w:rPr>
                <w:lang w:val="en-GB" w:eastAsia="en-US"/>
              </w:rPr>
              <w:t xml:space="preserve">0%). </w:t>
            </w:r>
            <w:r w:rsidR="00D3185C" w:rsidRPr="006E725C">
              <w:rPr>
                <w:lang w:val="en-GB" w:eastAsia="en-US"/>
              </w:rPr>
              <w:t xml:space="preserve">Prices of food and non-alcoholic beverages decreased by </w:t>
            </w:r>
            <w:r w:rsidR="00EA1EBB" w:rsidRPr="006E725C">
              <w:rPr>
                <w:lang w:val="en-GB" w:eastAsia="en-US"/>
              </w:rPr>
              <w:t>1</w:t>
            </w:r>
            <w:r w:rsidR="00D3185C" w:rsidRPr="006E725C">
              <w:rPr>
                <w:lang w:val="en-GB" w:eastAsia="en-US"/>
              </w:rPr>
              <w:t>.</w:t>
            </w:r>
            <w:r w:rsidR="00EA1EBB" w:rsidRPr="006E725C">
              <w:rPr>
                <w:lang w:val="en-GB" w:eastAsia="en-US"/>
              </w:rPr>
              <w:t>4%</w:t>
            </w:r>
            <w:r w:rsidR="00D3185C" w:rsidRPr="006E725C">
              <w:rPr>
                <w:lang w:val="en-GB" w:eastAsia="en-US"/>
              </w:rPr>
              <w:t xml:space="preserve"> quarter-on-quarter</w:t>
            </w:r>
            <w:r w:rsidR="00EA1EBB" w:rsidRPr="006E725C">
              <w:rPr>
                <w:lang w:val="en-GB" w:eastAsia="en-US"/>
              </w:rPr>
              <w:t xml:space="preserve">. </w:t>
            </w:r>
            <w:r w:rsidR="00D3185C" w:rsidRPr="006E725C">
              <w:rPr>
                <w:lang w:val="en-GB" w:eastAsia="en-US"/>
              </w:rPr>
              <w:t xml:space="preserve">Prices of food and non-alcoholic beverages rose by </w:t>
            </w:r>
            <w:r w:rsidR="00EA1EBB" w:rsidRPr="006E725C">
              <w:rPr>
                <w:lang w:val="en-GB" w:eastAsia="en-US"/>
              </w:rPr>
              <w:t>11</w:t>
            </w:r>
            <w:r w:rsidR="00D3185C" w:rsidRPr="006E725C">
              <w:rPr>
                <w:lang w:val="en-GB" w:eastAsia="en-US"/>
              </w:rPr>
              <w:t>.</w:t>
            </w:r>
            <w:r w:rsidR="00EA1EBB" w:rsidRPr="006E725C">
              <w:rPr>
                <w:lang w:val="en-GB" w:eastAsia="en-US"/>
              </w:rPr>
              <w:t>5%</w:t>
            </w:r>
            <w:r w:rsidR="00D3185C" w:rsidRPr="006E725C">
              <w:rPr>
                <w:lang w:val="en-GB" w:eastAsia="en-US"/>
              </w:rPr>
              <w:t xml:space="preserve"> for the whole year 2023 and the increase thus reduced by 5.2 p.p. against year </w:t>
            </w:r>
            <w:r w:rsidR="00EA1EBB" w:rsidRPr="006E725C">
              <w:rPr>
                <w:lang w:val="en-GB" w:eastAsia="en-US"/>
              </w:rPr>
              <w:t>2022.</w:t>
            </w:r>
            <w:r w:rsidR="0050736A" w:rsidRPr="006E725C">
              <w:rPr>
                <w:lang w:val="en-GB" w:eastAsia="en-US"/>
              </w:rPr>
              <w:t xml:space="preserve"> Prices in this division thus surged by 30.1% in the last two years. </w:t>
            </w:r>
            <w:r w:rsidR="006B5F9A" w:rsidRPr="006E725C">
              <w:rPr>
                <w:lang w:val="en-GB" w:eastAsia="en-US"/>
              </w:rPr>
              <w:t xml:space="preserve">Prices of </w:t>
            </w:r>
            <w:r w:rsidR="00C90F18">
              <w:rPr>
                <w:lang w:val="en-GB" w:eastAsia="en-US"/>
              </w:rPr>
              <w:t>bread</w:t>
            </w:r>
            <w:r w:rsidR="006B5F9A" w:rsidRPr="006E725C">
              <w:rPr>
                <w:lang w:val="en-GB" w:eastAsia="en-US"/>
              </w:rPr>
              <w:t xml:space="preserve"> </w:t>
            </w:r>
            <w:r w:rsidR="00EA1EBB" w:rsidRPr="006E725C">
              <w:rPr>
                <w:lang w:val="en-GB" w:eastAsia="en-US"/>
              </w:rPr>
              <w:t>(13</w:t>
            </w:r>
            <w:r w:rsidR="006B5F9A" w:rsidRPr="006E725C">
              <w:rPr>
                <w:lang w:val="en-GB" w:eastAsia="en-US"/>
              </w:rPr>
              <w:t>.</w:t>
            </w:r>
            <w:r w:rsidR="00EA1EBB" w:rsidRPr="006E725C">
              <w:rPr>
                <w:lang w:val="en-GB" w:eastAsia="en-US"/>
              </w:rPr>
              <w:t>6%), m</w:t>
            </w:r>
            <w:r w:rsidR="006B5F9A" w:rsidRPr="006E725C">
              <w:rPr>
                <w:lang w:val="en-GB" w:eastAsia="en-US"/>
              </w:rPr>
              <w:t xml:space="preserve">eat </w:t>
            </w:r>
            <w:r w:rsidR="00EA1EBB" w:rsidRPr="006E725C">
              <w:rPr>
                <w:lang w:val="en-GB" w:eastAsia="en-US"/>
              </w:rPr>
              <w:t>(7</w:t>
            </w:r>
            <w:r w:rsidR="006B5F9A" w:rsidRPr="006E725C">
              <w:rPr>
                <w:lang w:val="en-GB" w:eastAsia="en-US"/>
              </w:rPr>
              <w:t>.</w:t>
            </w:r>
            <w:r w:rsidR="00EA1EBB" w:rsidRPr="006E725C">
              <w:rPr>
                <w:lang w:val="en-GB" w:eastAsia="en-US"/>
              </w:rPr>
              <w:t>7%),</w:t>
            </w:r>
            <w:r w:rsidR="006B5F9A" w:rsidRPr="006E725C">
              <w:rPr>
                <w:lang w:val="en-GB" w:eastAsia="en-US"/>
              </w:rPr>
              <w:t xml:space="preserve"> milk, cheese and eggs </w:t>
            </w:r>
            <w:r w:rsidR="00EA1EBB" w:rsidRPr="006E725C">
              <w:rPr>
                <w:lang w:val="en-GB" w:eastAsia="en-US"/>
              </w:rPr>
              <w:t>(10</w:t>
            </w:r>
            <w:r w:rsidR="006B5F9A" w:rsidRPr="006E725C">
              <w:rPr>
                <w:lang w:val="en-GB" w:eastAsia="en-US"/>
              </w:rPr>
              <w:t>.</w:t>
            </w:r>
            <w:r w:rsidR="00EA1EBB" w:rsidRPr="006E725C">
              <w:rPr>
                <w:lang w:val="en-GB" w:eastAsia="en-US"/>
              </w:rPr>
              <w:t>6%) a</w:t>
            </w:r>
            <w:r w:rsidR="006B5F9A" w:rsidRPr="006E725C">
              <w:rPr>
                <w:lang w:val="en-GB" w:eastAsia="en-US"/>
              </w:rPr>
              <w:t xml:space="preserve">nd vegetables </w:t>
            </w:r>
            <w:r w:rsidR="00EA1EBB" w:rsidRPr="006E725C">
              <w:rPr>
                <w:lang w:val="en-GB" w:eastAsia="en-US"/>
              </w:rPr>
              <w:t>(21</w:t>
            </w:r>
            <w:r w:rsidR="006B5F9A" w:rsidRPr="006E725C">
              <w:rPr>
                <w:lang w:val="en-GB" w:eastAsia="en-US"/>
              </w:rPr>
              <w:t>.</w:t>
            </w:r>
            <w:r w:rsidR="00EA1EBB" w:rsidRPr="006E725C">
              <w:rPr>
                <w:lang w:val="en-GB" w:eastAsia="en-US"/>
              </w:rPr>
              <w:t>5%)</w:t>
            </w:r>
            <w:r w:rsidR="006B5F9A" w:rsidRPr="006E725C">
              <w:rPr>
                <w:lang w:val="en-GB" w:eastAsia="en-US"/>
              </w:rPr>
              <w:t xml:space="preserve"> influenced the most last year’s increase of prices of food and non-alcoholic beverages</w:t>
            </w:r>
            <w:r w:rsidR="00EA1EBB" w:rsidRPr="006E725C">
              <w:rPr>
                <w:lang w:val="en-GB" w:eastAsia="en-US"/>
              </w:rPr>
              <w:t>.</w:t>
            </w:r>
          </w:p>
        </w:tc>
      </w:tr>
      <w:tr w:rsidR="00EA1EBB" w:rsidRPr="006E725C" w14:paraId="79FFDF48" w14:textId="77777777" w:rsidTr="00EA1EBB">
        <w:trPr>
          <w:trHeight w:val="145"/>
        </w:trPr>
        <w:tc>
          <w:tcPr>
            <w:tcW w:w="1804" w:type="dxa"/>
            <w:hideMark/>
          </w:tcPr>
          <w:p w14:paraId="191EDE68" w14:textId="348F4C2A" w:rsidR="00EA1EBB" w:rsidRPr="006E725C" w:rsidRDefault="001F3021">
            <w:pPr>
              <w:pStyle w:val="Marginlie"/>
              <w:rPr>
                <w:spacing w:val="0"/>
                <w:lang w:val="en-GB" w:eastAsia="en-US"/>
              </w:rPr>
            </w:pPr>
            <w:r w:rsidRPr="006E725C">
              <w:rPr>
                <w:spacing w:val="0"/>
                <w:lang w:val="en-GB" w:eastAsia="en-US"/>
              </w:rPr>
              <w:t>I</w:t>
            </w:r>
            <w:r w:rsidR="00407911" w:rsidRPr="006E725C">
              <w:rPr>
                <w:spacing w:val="0"/>
                <w:lang w:val="en-GB" w:eastAsia="en-US"/>
              </w:rPr>
              <w:t xml:space="preserve">ncrease of prices of various services remained robust. </w:t>
            </w:r>
          </w:p>
        </w:tc>
        <w:tc>
          <w:tcPr>
            <w:tcW w:w="224" w:type="dxa"/>
          </w:tcPr>
          <w:p w14:paraId="50470835" w14:textId="77777777" w:rsidR="00EA1EBB" w:rsidRPr="006E725C" w:rsidRDefault="00EA1EBB">
            <w:pPr>
              <w:pStyle w:val="Textpoznpodarou1"/>
              <w:jc w:val="both"/>
              <w:rPr>
                <w:lang w:val="en-GB" w:eastAsia="en-US"/>
              </w:rPr>
            </w:pPr>
          </w:p>
        </w:tc>
        <w:tc>
          <w:tcPr>
            <w:tcW w:w="7611" w:type="dxa"/>
            <w:hideMark/>
          </w:tcPr>
          <w:p w14:paraId="5012BD95" w14:textId="49E7BF30" w:rsidR="00EA1EBB" w:rsidRPr="006E725C" w:rsidRDefault="004D0C17" w:rsidP="00BC7941">
            <w:pPr>
              <w:rPr>
                <w:lang w:val="en-GB" w:eastAsia="en-US"/>
              </w:rPr>
            </w:pPr>
            <w:r w:rsidRPr="006E725C">
              <w:rPr>
                <w:lang w:val="en-GB" w:eastAsia="en-US"/>
              </w:rPr>
              <w:t xml:space="preserve">Recreation and culture, whose prices increased by 6.9% year-on-year belonged among consumer basket divisions, which contributed the most to the total growth of consumer prices in Q4. </w:t>
            </w:r>
            <w:r w:rsidR="00FA3AE5" w:rsidRPr="006E725C">
              <w:rPr>
                <w:lang w:val="en-GB" w:eastAsia="en-US"/>
              </w:rPr>
              <w:t xml:space="preserve">Prices of recreation with complex services </w:t>
            </w:r>
            <w:r w:rsidR="00EA1EBB" w:rsidRPr="006E725C">
              <w:rPr>
                <w:lang w:val="en-GB" w:eastAsia="en-US"/>
              </w:rPr>
              <w:t>(9</w:t>
            </w:r>
            <w:r w:rsidR="00FA3AE5" w:rsidRPr="006E725C">
              <w:rPr>
                <w:lang w:val="en-GB" w:eastAsia="en-US"/>
              </w:rPr>
              <w:t>.</w:t>
            </w:r>
            <w:r w:rsidR="00EA1EBB" w:rsidRPr="006E725C">
              <w:rPr>
                <w:lang w:val="en-GB" w:eastAsia="en-US"/>
              </w:rPr>
              <w:t xml:space="preserve">7%) </w:t>
            </w:r>
            <w:r w:rsidR="00FA3AE5" w:rsidRPr="006E725C">
              <w:rPr>
                <w:lang w:val="en-GB" w:eastAsia="en-US"/>
              </w:rPr>
              <w:t xml:space="preserve">and recreation and cultural services </w:t>
            </w:r>
            <w:r w:rsidR="00EA1EBB" w:rsidRPr="006E725C">
              <w:rPr>
                <w:lang w:val="en-GB" w:eastAsia="en-US"/>
              </w:rPr>
              <w:t>(8</w:t>
            </w:r>
            <w:r w:rsidR="00FA3AE5" w:rsidRPr="006E725C">
              <w:rPr>
                <w:lang w:val="en-GB" w:eastAsia="en-US"/>
              </w:rPr>
              <w:t>.</w:t>
            </w:r>
            <w:r w:rsidR="00EA1EBB" w:rsidRPr="006E725C">
              <w:rPr>
                <w:lang w:val="en-GB" w:eastAsia="en-US"/>
              </w:rPr>
              <w:t>6%)</w:t>
            </w:r>
            <w:r w:rsidR="00FA3AE5" w:rsidRPr="006E725C">
              <w:rPr>
                <w:lang w:val="en-GB" w:eastAsia="en-US"/>
              </w:rPr>
              <w:t xml:space="preserve"> held the largest proportion of this increase</w:t>
            </w:r>
            <w:r w:rsidR="00EA1EBB" w:rsidRPr="006E725C">
              <w:rPr>
                <w:lang w:val="en-GB" w:eastAsia="en-US"/>
              </w:rPr>
              <w:t xml:space="preserve">. </w:t>
            </w:r>
            <w:r w:rsidR="00FA3AE5" w:rsidRPr="006E725C">
              <w:rPr>
                <w:lang w:val="en-GB" w:eastAsia="en-US"/>
              </w:rPr>
              <w:t>Prices of recreation and culture decreased by notable 3.6% quarter-on-quarter. This division belonged to the significant drives of the price growth also from the view of the whole year 2</w:t>
            </w:r>
            <w:r w:rsidR="00EA1EBB" w:rsidRPr="006E725C">
              <w:rPr>
                <w:lang w:val="en-GB" w:eastAsia="en-US"/>
              </w:rPr>
              <w:t>023.</w:t>
            </w:r>
            <w:r w:rsidR="00FA3AE5" w:rsidRPr="006E725C">
              <w:rPr>
                <w:lang w:val="en-GB" w:eastAsia="en-US"/>
              </w:rPr>
              <w:t xml:space="preserve"> Prices increased in total by </w:t>
            </w:r>
            <w:r w:rsidR="00EA1EBB" w:rsidRPr="006E725C">
              <w:rPr>
                <w:lang w:val="en-GB" w:eastAsia="en-US"/>
              </w:rPr>
              <w:t>10</w:t>
            </w:r>
            <w:r w:rsidR="00FA3AE5" w:rsidRPr="006E725C">
              <w:rPr>
                <w:lang w:val="en-GB" w:eastAsia="en-US"/>
              </w:rPr>
              <w:t>.</w:t>
            </w:r>
            <w:r w:rsidR="00EA1EBB" w:rsidRPr="006E725C">
              <w:rPr>
                <w:lang w:val="en-GB" w:eastAsia="en-US"/>
              </w:rPr>
              <w:t>5%</w:t>
            </w:r>
            <w:r w:rsidR="00FA3AE5" w:rsidRPr="006E725C">
              <w:rPr>
                <w:lang w:val="en-GB" w:eastAsia="en-US"/>
              </w:rPr>
              <w:t xml:space="preserve"> here last year, mainly under the influence of recreation with complex services </w:t>
            </w:r>
            <w:r w:rsidR="00EA1EBB" w:rsidRPr="006E725C">
              <w:rPr>
                <w:lang w:val="en-GB" w:eastAsia="en-US"/>
              </w:rPr>
              <w:t>(15</w:t>
            </w:r>
            <w:r w:rsidR="00FA3AE5" w:rsidRPr="006E725C">
              <w:rPr>
                <w:lang w:val="en-GB" w:eastAsia="en-US"/>
              </w:rPr>
              <w:t>.</w:t>
            </w:r>
            <w:r w:rsidR="00EA1EBB" w:rsidRPr="006E725C">
              <w:rPr>
                <w:lang w:val="en-GB" w:eastAsia="en-US"/>
              </w:rPr>
              <w:t>3%).</w:t>
            </w:r>
            <w:r w:rsidR="00FA3AE5" w:rsidRPr="006E725C">
              <w:rPr>
                <w:lang w:val="en-GB" w:eastAsia="en-US"/>
              </w:rPr>
              <w:t xml:space="preserve"> Also, the prices of restaurants and hotels significantly spoke into the year-on-year consumer inflation in Q</w:t>
            </w:r>
            <w:r w:rsidR="00EA1EBB" w:rsidRPr="006E725C">
              <w:rPr>
                <w:lang w:val="en-GB" w:eastAsia="en-US"/>
              </w:rPr>
              <w:t>4</w:t>
            </w:r>
            <w:r w:rsidR="00FA3AE5" w:rsidRPr="006E725C">
              <w:rPr>
                <w:lang w:val="en-GB" w:eastAsia="en-US"/>
              </w:rPr>
              <w:t xml:space="preserve"> as well as for the whole year </w:t>
            </w:r>
            <w:r w:rsidR="00EA1EBB" w:rsidRPr="006E725C">
              <w:rPr>
                <w:lang w:val="en-GB" w:eastAsia="en-US"/>
              </w:rPr>
              <w:t>2023</w:t>
            </w:r>
            <w:r w:rsidR="00FA3AE5" w:rsidRPr="006E725C">
              <w:rPr>
                <w:lang w:val="en-GB" w:eastAsia="en-US"/>
              </w:rPr>
              <w:t xml:space="preserve">. Their year-on-year increase slowed to 8.8% in Q4 but kept further growing relatively substantially quarter-on-quarter </w:t>
            </w:r>
            <w:r w:rsidR="00EA1EBB" w:rsidRPr="006E725C">
              <w:rPr>
                <w:lang w:val="en-GB" w:eastAsia="en-US"/>
              </w:rPr>
              <w:t>(1</w:t>
            </w:r>
            <w:r w:rsidR="00FA3AE5" w:rsidRPr="006E725C">
              <w:rPr>
                <w:lang w:val="en-GB" w:eastAsia="en-US"/>
              </w:rPr>
              <w:t>.</w:t>
            </w:r>
            <w:r w:rsidR="00EA1EBB" w:rsidRPr="006E725C">
              <w:rPr>
                <w:lang w:val="en-GB" w:eastAsia="en-US"/>
              </w:rPr>
              <w:t xml:space="preserve">1%). </w:t>
            </w:r>
            <w:r w:rsidR="00FA3AE5" w:rsidRPr="006E725C">
              <w:rPr>
                <w:lang w:val="en-GB" w:eastAsia="en-US"/>
              </w:rPr>
              <w:t xml:space="preserve">Prices of restaurants and hotels increased by 14.2% for the whole year </w:t>
            </w:r>
            <w:r w:rsidR="00EA1EBB" w:rsidRPr="006E725C">
              <w:rPr>
                <w:lang w:val="en-GB" w:eastAsia="en-US"/>
              </w:rPr>
              <w:t>2023</w:t>
            </w:r>
            <w:r w:rsidR="00FA3AE5" w:rsidRPr="006E725C">
              <w:rPr>
                <w:lang w:val="en-GB" w:eastAsia="en-US"/>
              </w:rPr>
              <w:t xml:space="preserve">. </w:t>
            </w:r>
            <w:r w:rsidR="00BC7941" w:rsidRPr="006E725C">
              <w:rPr>
                <w:lang w:val="en-GB" w:eastAsia="en-US"/>
              </w:rPr>
              <w:t>Prices of alcoholic beverages and tobacco held steadily strong influence over the year-on-year growth of the consumer prices. They increased by 5.9% year-on-year in Q</w:t>
            </w:r>
            <w:r w:rsidR="00EA1EBB" w:rsidRPr="006E725C">
              <w:rPr>
                <w:lang w:val="en-GB" w:eastAsia="en-US"/>
              </w:rPr>
              <w:t>4</w:t>
            </w:r>
            <w:r w:rsidR="00BC7941" w:rsidRPr="006E725C">
              <w:rPr>
                <w:lang w:val="en-GB" w:eastAsia="en-US"/>
              </w:rPr>
              <w:t xml:space="preserve">, decreased by 0.3% quarter-on-quarter and were by 6.6% higher for the whole year. </w:t>
            </w:r>
          </w:p>
        </w:tc>
      </w:tr>
      <w:tr w:rsidR="00EA1EBB" w:rsidRPr="006E725C" w14:paraId="12B46305" w14:textId="77777777" w:rsidTr="00EA1EBB">
        <w:trPr>
          <w:trHeight w:val="145"/>
        </w:trPr>
        <w:tc>
          <w:tcPr>
            <w:tcW w:w="1804" w:type="dxa"/>
            <w:hideMark/>
          </w:tcPr>
          <w:p w14:paraId="6825CB69" w14:textId="39B86179" w:rsidR="00EA1EBB" w:rsidRPr="006E725C" w:rsidRDefault="00F53721">
            <w:pPr>
              <w:pStyle w:val="Marginlie"/>
              <w:rPr>
                <w:spacing w:val="0"/>
                <w:lang w:val="en-GB" w:eastAsia="en-US"/>
              </w:rPr>
            </w:pPr>
            <w:r w:rsidRPr="006E725C">
              <w:rPr>
                <w:spacing w:val="0"/>
                <w:lang w:val="en-GB" w:eastAsia="en-US"/>
              </w:rPr>
              <w:t xml:space="preserve">Year-on-year dynamics of prices of </w:t>
            </w:r>
            <w:r w:rsidR="00C90F18">
              <w:rPr>
                <w:spacing w:val="0"/>
                <w:lang w:val="en-GB" w:eastAsia="en-US"/>
              </w:rPr>
              <w:t>clothing</w:t>
            </w:r>
            <w:r w:rsidRPr="006E725C">
              <w:rPr>
                <w:spacing w:val="0"/>
                <w:lang w:val="en-GB" w:eastAsia="en-US"/>
              </w:rPr>
              <w:t xml:space="preserve"> and footwear slowed down. </w:t>
            </w:r>
          </w:p>
        </w:tc>
        <w:tc>
          <w:tcPr>
            <w:tcW w:w="224" w:type="dxa"/>
          </w:tcPr>
          <w:p w14:paraId="0CF95789" w14:textId="77777777" w:rsidR="00EA1EBB" w:rsidRPr="006E725C" w:rsidRDefault="00EA1EBB">
            <w:pPr>
              <w:pStyle w:val="Textpoznpodarou1"/>
              <w:jc w:val="both"/>
              <w:rPr>
                <w:lang w:val="en-GB" w:eastAsia="en-US"/>
              </w:rPr>
            </w:pPr>
          </w:p>
        </w:tc>
        <w:tc>
          <w:tcPr>
            <w:tcW w:w="7611" w:type="dxa"/>
            <w:hideMark/>
          </w:tcPr>
          <w:p w14:paraId="549FD4D2" w14:textId="56ED82B4" w:rsidR="00EA1EBB" w:rsidRPr="006E725C" w:rsidRDefault="0083245D" w:rsidP="00C90F18">
            <w:pPr>
              <w:rPr>
                <w:lang w:val="en-GB" w:eastAsia="en-US"/>
              </w:rPr>
            </w:pPr>
            <w:r w:rsidRPr="006E725C">
              <w:rPr>
                <w:lang w:val="en-GB" w:eastAsia="en-US"/>
              </w:rPr>
              <w:t xml:space="preserve">Prices of </w:t>
            </w:r>
            <w:r w:rsidR="00C90F18">
              <w:rPr>
                <w:lang w:val="en-GB" w:eastAsia="en-US"/>
              </w:rPr>
              <w:t>clothing</w:t>
            </w:r>
            <w:r w:rsidRPr="006E725C">
              <w:rPr>
                <w:lang w:val="en-GB" w:eastAsia="en-US"/>
              </w:rPr>
              <w:t xml:space="preserve"> and footwear as well as the </w:t>
            </w:r>
            <w:r w:rsidR="00C90F18">
              <w:rPr>
                <w:lang w:val="en-GB" w:eastAsia="en-US"/>
              </w:rPr>
              <w:t xml:space="preserve">furnishings, household equipment and maintenance </w:t>
            </w:r>
            <w:r w:rsidR="00493E8B" w:rsidRPr="006E725C">
              <w:rPr>
                <w:lang w:val="en-GB" w:eastAsia="en-US"/>
              </w:rPr>
              <w:t xml:space="preserve">experienced sharp surge in year </w:t>
            </w:r>
            <w:r w:rsidR="00CE6992" w:rsidRPr="006E725C">
              <w:rPr>
                <w:lang w:val="en-GB" w:eastAsia="en-US"/>
              </w:rPr>
              <w:t xml:space="preserve">driven by the renewed consumer demand. </w:t>
            </w:r>
            <w:r w:rsidR="00F26B48" w:rsidRPr="006E725C">
              <w:rPr>
                <w:lang w:val="en-GB" w:eastAsia="en-US"/>
              </w:rPr>
              <w:t xml:space="preserve">A gradual </w:t>
            </w:r>
            <w:r w:rsidR="00B6718D" w:rsidRPr="006E725C">
              <w:rPr>
                <w:lang w:val="en-GB" w:eastAsia="en-US"/>
              </w:rPr>
              <w:t xml:space="preserve">decline of the year-on-year price dynamics however occurred </w:t>
            </w:r>
            <w:r w:rsidR="004D75BC" w:rsidRPr="006E725C">
              <w:rPr>
                <w:lang w:val="en-GB" w:eastAsia="en-US"/>
              </w:rPr>
              <w:t xml:space="preserve">here </w:t>
            </w:r>
            <w:r w:rsidR="000B1A37" w:rsidRPr="006E725C">
              <w:rPr>
                <w:lang w:val="en-GB" w:eastAsia="en-US"/>
              </w:rPr>
              <w:lastRenderedPageBreak/>
              <w:t>during the last year</w:t>
            </w:r>
            <w:r w:rsidR="00EA1EBB" w:rsidRPr="006E725C">
              <w:rPr>
                <w:lang w:val="en-GB" w:eastAsia="en-US"/>
              </w:rPr>
              <w:t>.</w:t>
            </w:r>
            <w:r w:rsidR="000B1A37" w:rsidRPr="006E725C">
              <w:rPr>
                <w:lang w:val="en-GB" w:eastAsia="en-US"/>
              </w:rPr>
              <w:t xml:space="preserve"> Prices of </w:t>
            </w:r>
            <w:r w:rsidR="00C90F18">
              <w:rPr>
                <w:lang w:val="en-GB" w:eastAsia="en-US"/>
              </w:rPr>
              <w:t>clothing</w:t>
            </w:r>
            <w:r w:rsidR="000B1A37" w:rsidRPr="006E725C">
              <w:rPr>
                <w:lang w:val="en-GB" w:eastAsia="en-US"/>
              </w:rPr>
              <w:t xml:space="preserve"> and footwear were raised by 7.1% </w:t>
            </w:r>
            <w:r w:rsidR="005A0BB3" w:rsidRPr="006E725C">
              <w:rPr>
                <w:lang w:val="en-GB" w:eastAsia="en-US"/>
              </w:rPr>
              <w:t>year-on-year in Q4 and by 3.9% quarter-on-quarter and</w:t>
            </w:r>
            <w:r w:rsidR="001D1D2C" w:rsidRPr="006E725C">
              <w:rPr>
                <w:lang w:val="en-GB" w:eastAsia="en-US"/>
              </w:rPr>
              <w:t xml:space="preserve"> prices of </w:t>
            </w:r>
            <w:r w:rsidR="00C90F18">
              <w:rPr>
                <w:lang w:val="en-GB" w:eastAsia="en-US"/>
              </w:rPr>
              <w:t>furnishings, household equipment and maintenance w</w:t>
            </w:r>
            <w:r w:rsidR="0004219A" w:rsidRPr="006E725C">
              <w:rPr>
                <w:lang w:val="en-GB" w:eastAsia="en-US"/>
              </w:rPr>
              <w:t xml:space="preserve">ere by 2.7% higher year-on-year and stagnated quarter-on-quarter. </w:t>
            </w:r>
            <w:r w:rsidR="007132CA" w:rsidRPr="006E725C">
              <w:rPr>
                <w:lang w:val="en-GB" w:eastAsia="en-US"/>
              </w:rPr>
              <w:t xml:space="preserve">Prices of </w:t>
            </w:r>
            <w:r w:rsidR="00C90F18">
              <w:rPr>
                <w:lang w:val="en-GB" w:eastAsia="en-US"/>
              </w:rPr>
              <w:t>clothing</w:t>
            </w:r>
            <w:r w:rsidR="007132CA" w:rsidRPr="006E725C">
              <w:rPr>
                <w:lang w:val="en-GB" w:eastAsia="en-US"/>
              </w:rPr>
              <w:t xml:space="preserve"> and footwear rose by 11.1% for the whole year </w:t>
            </w:r>
            <w:r w:rsidR="00EA1EBB" w:rsidRPr="006E725C">
              <w:rPr>
                <w:lang w:val="en-GB" w:eastAsia="en-US"/>
              </w:rPr>
              <w:t>2023</w:t>
            </w:r>
            <w:r w:rsidR="007132CA" w:rsidRPr="006E725C">
              <w:rPr>
                <w:lang w:val="en-GB" w:eastAsia="en-US"/>
              </w:rPr>
              <w:t xml:space="preserve"> </w:t>
            </w:r>
            <w:r w:rsidR="00EA1EBB" w:rsidRPr="006E725C">
              <w:rPr>
                <w:lang w:val="en-GB" w:eastAsia="en-US"/>
              </w:rPr>
              <w:t>(</w:t>
            </w:r>
            <w:r w:rsidR="007132CA" w:rsidRPr="006E725C">
              <w:rPr>
                <w:lang w:val="en-GB" w:eastAsia="en-US"/>
              </w:rPr>
              <w:t xml:space="preserve">moderation against year </w:t>
            </w:r>
            <w:r w:rsidR="00EA1EBB" w:rsidRPr="006E725C">
              <w:rPr>
                <w:lang w:val="en-GB" w:eastAsia="en-US"/>
              </w:rPr>
              <w:t>2022</w:t>
            </w:r>
            <w:r w:rsidR="007132CA" w:rsidRPr="006E725C">
              <w:rPr>
                <w:lang w:val="en-GB" w:eastAsia="en-US"/>
              </w:rPr>
              <w:t xml:space="preserve"> by </w:t>
            </w:r>
            <w:r w:rsidR="00EA1EBB" w:rsidRPr="006E725C">
              <w:rPr>
                <w:lang w:val="en-GB" w:eastAsia="en-US"/>
              </w:rPr>
              <w:t>7</w:t>
            </w:r>
            <w:r w:rsidR="007132CA" w:rsidRPr="006E725C">
              <w:rPr>
                <w:lang w:val="en-GB" w:eastAsia="en-US"/>
              </w:rPr>
              <w:t>.</w:t>
            </w:r>
            <w:r w:rsidR="00EA1EBB" w:rsidRPr="006E725C">
              <w:rPr>
                <w:lang w:val="en-GB" w:eastAsia="en-US"/>
              </w:rPr>
              <w:t>5 p.</w:t>
            </w:r>
            <w:r w:rsidR="007132CA" w:rsidRPr="006E725C">
              <w:rPr>
                <w:lang w:val="en-GB" w:eastAsia="en-US"/>
              </w:rPr>
              <w:t>p</w:t>
            </w:r>
            <w:r w:rsidR="00EA1EBB" w:rsidRPr="006E725C">
              <w:rPr>
                <w:lang w:val="en-GB" w:eastAsia="en-US"/>
              </w:rPr>
              <w:t>.) a</w:t>
            </w:r>
            <w:r w:rsidR="007132CA" w:rsidRPr="006E725C">
              <w:rPr>
                <w:lang w:val="en-GB" w:eastAsia="en-US"/>
              </w:rPr>
              <w:t xml:space="preserve">nd </w:t>
            </w:r>
            <w:r w:rsidR="0034741E" w:rsidRPr="006E725C">
              <w:rPr>
                <w:lang w:val="en-GB" w:eastAsia="en-US"/>
              </w:rPr>
              <w:t xml:space="preserve">prices of </w:t>
            </w:r>
            <w:r w:rsidR="00C90F18">
              <w:rPr>
                <w:lang w:val="en-GB" w:eastAsia="en-US"/>
              </w:rPr>
              <w:t>f</w:t>
            </w:r>
            <w:r w:rsidR="00C90F18" w:rsidRPr="00C90F18">
              <w:rPr>
                <w:lang w:val="en-GB" w:eastAsia="en-US"/>
              </w:rPr>
              <w:t>urnishings, household equipment and maintenance</w:t>
            </w:r>
            <w:r w:rsidR="0034741E" w:rsidRPr="006E725C">
              <w:rPr>
                <w:lang w:val="en-GB" w:eastAsia="en-US"/>
              </w:rPr>
              <w:t xml:space="preserve"> by </w:t>
            </w:r>
            <w:r w:rsidR="00EA1EBB" w:rsidRPr="006E725C">
              <w:rPr>
                <w:lang w:val="en-GB" w:eastAsia="en-US"/>
              </w:rPr>
              <w:t>7</w:t>
            </w:r>
            <w:r w:rsidR="0034741E" w:rsidRPr="006E725C">
              <w:rPr>
                <w:lang w:val="en-GB" w:eastAsia="en-US"/>
              </w:rPr>
              <w:t>.</w:t>
            </w:r>
            <w:r w:rsidR="00EA1EBB" w:rsidRPr="006E725C">
              <w:rPr>
                <w:lang w:val="en-GB" w:eastAsia="en-US"/>
              </w:rPr>
              <w:t>6% (−4</w:t>
            </w:r>
            <w:r w:rsidR="0034741E" w:rsidRPr="006E725C">
              <w:rPr>
                <w:lang w:val="en-GB" w:eastAsia="en-US"/>
              </w:rPr>
              <w:t>.</w:t>
            </w:r>
            <w:r w:rsidR="00EA1EBB" w:rsidRPr="006E725C">
              <w:rPr>
                <w:lang w:val="en-GB" w:eastAsia="en-US"/>
              </w:rPr>
              <w:t>4 p.</w:t>
            </w:r>
            <w:r w:rsidR="0034741E" w:rsidRPr="006E725C">
              <w:rPr>
                <w:lang w:val="en-GB" w:eastAsia="en-US"/>
              </w:rPr>
              <w:t>p</w:t>
            </w:r>
            <w:r w:rsidR="00EA1EBB" w:rsidRPr="006E725C">
              <w:rPr>
                <w:lang w:val="en-GB" w:eastAsia="en-US"/>
              </w:rPr>
              <w:t xml:space="preserve">.). </w:t>
            </w:r>
            <w:r w:rsidR="00146B27" w:rsidRPr="006E725C">
              <w:rPr>
                <w:lang w:val="en-GB" w:eastAsia="en-US"/>
              </w:rPr>
              <w:t>Prices of other goods and services</w:t>
            </w:r>
            <w:r w:rsidR="00EA1EBB" w:rsidRPr="006E725C">
              <w:rPr>
                <w:rStyle w:val="Znakapoznpodarou"/>
                <w:lang w:val="en-GB" w:eastAsia="en-US"/>
              </w:rPr>
              <w:footnoteReference w:id="2"/>
            </w:r>
            <w:r w:rsidR="00146B27" w:rsidRPr="006E725C">
              <w:rPr>
                <w:lang w:val="en-GB" w:eastAsia="en-US"/>
              </w:rPr>
              <w:t xml:space="preserve"> also considerably grew in the last two years </w:t>
            </w:r>
            <w:r w:rsidR="00D27995" w:rsidRPr="006E725C">
              <w:rPr>
                <w:lang w:val="en-GB" w:eastAsia="en-US"/>
              </w:rPr>
              <w:t>in connection to the post-pandemic revival of demand and their year-on-year dynamics weakened to 5.5% in Q</w:t>
            </w:r>
            <w:r w:rsidR="00EA1EBB" w:rsidRPr="006E725C">
              <w:rPr>
                <w:lang w:val="en-GB" w:eastAsia="en-US"/>
              </w:rPr>
              <w:t>4</w:t>
            </w:r>
            <w:r w:rsidR="00D27995" w:rsidRPr="006E725C">
              <w:rPr>
                <w:lang w:val="en-GB" w:eastAsia="en-US"/>
              </w:rPr>
              <w:t xml:space="preserve"> </w:t>
            </w:r>
            <w:r w:rsidR="00EA1EBB" w:rsidRPr="006E725C">
              <w:rPr>
                <w:lang w:val="en-GB" w:eastAsia="en-US"/>
              </w:rPr>
              <w:t xml:space="preserve">2023. </w:t>
            </w:r>
            <w:r w:rsidR="00146B27" w:rsidRPr="006E725C">
              <w:rPr>
                <w:lang w:val="en-GB" w:eastAsia="en-US"/>
              </w:rPr>
              <w:t>They were by 0.3% higher quarter-on-quarter and increased by 9.4%</w:t>
            </w:r>
            <w:r w:rsidR="001E34DC" w:rsidRPr="006E725C">
              <w:rPr>
                <w:lang w:val="en-GB" w:eastAsia="en-US"/>
              </w:rPr>
              <w:t xml:space="preserve"> for the whole year </w:t>
            </w:r>
            <w:r w:rsidR="00EA1EBB" w:rsidRPr="006E725C">
              <w:rPr>
                <w:lang w:val="en-GB" w:eastAsia="en-US"/>
              </w:rPr>
              <w:t xml:space="preserve">2023. </w:t>
            </w:r>
            <w:r w:rsidR="00B94A14" w:rsidRPr="006E725C">
              <w:rPr>
                <w:lang w:val="en-GB" w:eastAsia="en-US"/>
              </w:rPr>
              <w:t xml:space="preserve">Less weight significant items maintained a considerable price growth for the whole year </w:t>
            </w:r>
            <w:r w:rsidR="00EA1EBB" w:rsidRPr="006E725C">
              <w:rPr>
                <w:lang w:val="en-GB" w:eastAsia="en-US"/>
              </w:rPr>
              <w:t>2023</w:t>
            </w:r>
            <w:r w:rsidR="00B94A14" w:rsidRPr="006E725C">
              <w:rPr>
                <w:lang w:val="en-GB" w:eastAsia="en-US"/>
              </w:rPr>
              <w:t xml:space="preserve"> </w:t>
            </w:r>
            <w:r w:rsidR="00EA1EBB" w:rsidRPr="006E725C">
              <w:rPr>
                <w:lang w:val="en-GB" w:eastAsia="en-US"/>
              </w:rPr>
              <w:t xml:space="preserve">– </w:t>
            </w:r>
            <w:r w:rsidR="000B4461" w:rsidRPr="006E725C">
              <w:rPr>
                <w:lang w:val="en-GB" w:eastAsia="en-US"/>
              </w:rPr>
              <w:t>post</w:t>
            </w:r>
            <w:r w:rsidR="00FA71B2" w:rsidRPr="006E725C">
              <w:rPr>
                <w:lang w:val="en-GB" w:eastAsia="en-US"/>
              </w:rPr>
              <w:t xml:space="preserve"> and </w:t>
            </w:r>
            <w:r w:rsidR="00C3707B" w:rsidRPr="006E725C">
              <w:rPr>
                <w:lang w:val="en-GB" w:eastAsia="en-US"/>
              </w:rPr>
              <w:t>telecommunications</w:t>
            </w:r>
            <w:r w:rsidR="00FA71B2" w:rsidRPr="006E725C">
              <w:rPr>
                <w:lang w:val="en-GB" w:eastAsia="en-US"/>
              </w:rPr>
              <w:t xml:space="preserve"> </w:t>
            </w:r>
            <w:r w:rsidR="00EA1EBB" w:rsidRPr="006E725C">
              <w:rPr>
                <w:lang w:val="en-GB" w:eastAsia="en-US"/>
              </w:rPr>
              <w:t>(3</w:t>
            </w:r>
            <w:r w:rsidR="00FA71B2" w:rsidRPr="006E725C">
              <w:rPr>
                <w:lang w:val="en-GB" w:eastAsia="en-US"/>
              </w:rPr>
              <w:t>.</w:t>
            </w:r>
            <w:r w:rsidR="00EA1EBB" w:rsidRPr="006E725C">
              <w:rPr>
                <w:lang w:val="en-GB" w:eastAsia="en-US"/>
              </w:rPr>
              <w:t>6%</w:t>
            </w:r>
            <w:r w:rsidR="00FA71B2" w:rsidRPr="006E725C">
              <w:rPr>
                <w:lang w:val="en-GB" w:eastAsia="en-US"/>
              </w:rPr>
              <w:t xml:space="preserve"> for the whole year</w:t>
            </w:r>
            <w:r w:rsidR="00EA1EBB" w:rsidRPr="006E725C">
              <w:rPr>
                <w:lang w:val="en-GB" w:eastAsia="en-US"/>
              </w:rPr>
              <w:t xml:space="preserve">), </w:t>
            </w:r>
            <w:r w:rsidR="00FA71B2" w:rsidRPr="006E725C">
              <w:rPr>
                <w:lang w:val="en-GB" w:eastAsia="en-US"/>
              </w:rPr>
              <w:t xml:space="preserve">health </w:t>
            </w:r>
            <w:r w:rsidR="00EA1EBB" w:rsidRPr="006E725C">
              <w:rPr>
                <w:lang w:val="en-GB" w:eastAsia="en-US"/>
              </w:rPr>
              <w:t>(8</w:t>
            </w:r>
            <w:r w:rsidR="00FA71B2" w:rsidRPr="006E725C">
              <w:rPr>
                <w:lang w:val="en-GB" w:eastAsia="en-US"/>
              </w:rPr>
              <w:t>.</w:t>
            </w:r>
            <w:r w:rsidR="00EA1EBB" w:rsidRPr="006E725C">
              <w:rPr>
                <w:lang w:val="en-GB" w:eastAsia="en-US"/>
              </w:rPr>
              <w:t>8%) a</w:t>
            </w:r>
            <w:r w:rsidR="00FA71B2" w:rsidRPr="006E725C">
              <w:rPr>
                <w:lang w:val="en-GB" w:eastAsia="en-US"/>
              </w:rPr>
              <w:t xml:space="preserve">nd education </w:t>
            </w:r>
            <w:r w:rsidR="00EA1EBB" w:rsidRPr="006E725C">
              <w:rPr>
                <w:lang w:val="en-GB" w:eastAsia="en-US"/>
              </w:rPr>
              <w:t>(7</w:t>
            </w:r>
            <w:r w:rsidR="00FA71B2" w:rsidRPr="006E725C">
              <w:rPr>
                <w:lang w:val="en-GB" w:eastAsia="en-US"/>
              </w:rPr>
              <w:t>.</w:t>
            </w:r>
            <w:r w:rsidR="00EA1EBB" w:rsidRPr="006E725C">
              <w:rPr>
                <w:lang w:val="en-GB" w:eastAsia="en-US"/>
              </w:rPr>
              <w:t>0%).</w:t>
            </w:r>
          </w:p>
        </w:tc>
      </w:tr>
      <w:tr w:rsidR="00EA1EBB" w:rsidRPr="006E725C" w14:paraId="54E69A1B" w14:textId="77777777" w:rsidTr="00EA1EBB">
        <w:trPr>
          <w:trHeight w:val="145"/>
        </w:trPr>
        <w:tc>
          <w:tcPr>
            <w:tcW w:w="1804" w:type="dxa"/>
            <w:hideMark/>
          </w:tcPr>
          <w:p w14:paraId="2D476B6B" w14:textId="75C5B493" w:rsidR="00EA1EBB" w:rsidRPr="006E725C" w:rsidRDefault="00BC7941">
            <w:pPr>
              <w:pStyle w:val="Marginlie"/>
              <w:rPr>
                <w:spacing w:val="0"/>
                <w:lang w:val="en-GB" w:eastAsia="en-US"/>
              </w:rPr>
            </w:pPr>
            <w:r w:rsidRPr="006E725C">
              <w:rPr>
                <w:spacing w:val="0"/>
                <w:lang w:val="en-GB" w:eastAsia="en-US"/>
              </w:rPr>
              <w:lastRenderedPageBreak/>
              <w:t xml:space="preserve">Prices of </w:t>
            </w:r>
            <w:r w:rsidR="00B3732D">
              <w:rPr>
                <w:spacing w:val="0"/>
                <w:lang w:val="en-GB" w:eastAsia="en-US"/>
              </w:rPr>
              <w:t>transport</w:t>
            </w:r>
            <w:r w:rsidRPr="006E725C">
              <w:rPr>
                <w:spacing w:val="0"/>
                <w:lang w:val="en-GB" w:eastAsia="en-US"/>
              </w:rPr>
              <w:t xml:space="preserve"> in total decreased last year. </w:t>
            </w:r>
          </w:p>
        </w:tc>
        <w:tc>
          <w:tcPr>
            <w:tcW w:w="224" w:type="dxa"/>
          </w:tcPr>
          <w:p w14:paraId="27F0AEFB" w14:textId="77777777" w:rsidR="00EA1EBB" w:rsidRPr="006E725C" w:rsidRDefault="00EA1EBB">
            <w:pPr>
              <w:pStyle w:val="Textpoznpodarou1"/>
              <w:jc w:val="both"/>
              <w:rPr>
                <w:lang w:val="en-GB" w:eastAsia="en-US"/>
              </w:rPr>
            </w:pPr>
          </w:p>
        </w:tc>
        <w:tc>
          <w:tcPr>
            <w:tcW w:w="7611" w:type="dxa"/>
            <w:hideMark/>
          </w:tcPr>
          <w:p w14:paraId="5775951F" w14:textId="053D0595" w:rsidR="00EA1EBB" w:rsidRPr="006E725C" w:rsidRDefault="00C3707B" w:rsidP="00C90F18">
            <w:pPr>
              <w:rPr>
                <w:lang w:val="en-GB" w:eastAsia="en-US"/>
              </w:rPr>
            </w:pPr>
            <w:r w:rsidRPr="006E725C">
              <w:rPr>
                <w:lang w:val="en-GB" w:eastAsia="en-US"/>
              </w:rPr>
              <w:t xml:space="preserve">Prices of </w:t>
            </w:r>
            <w:r w:rsidR="00B3732D">
              <w:rPr>
                <w:lang w:val="en-GB" w:eastAsia="en-US"/>
              </w:rPr>
              <w:t>transport</w:t>
            </w:r>
            <w:r w:rsidRPr="006E725C">
              <w:rPr>
                <w:lang w:val="en-GB" w:eastAsia="en-US"/>
              </w:rPr>
              <w:t xml:space="preserve"> </w:t>
            </w:r>
            <w:r w:rsidR="00A716AC" w:rsidRPr="006E725C">
              <w:rPr>
                <w:lang w:val="en-GB" w:eastAsia="en-US"/>
              </w:rPr>
              <w:t xml:space="preserve">were falling year-on-year except for the first quarter of the year. Their fall slowed down to 1.6% </w:t>
            </w:r>
            <w:r w:rsidR="00207414" w:rsidRPr="006E725C">
              <w:rPr>
                <w:lang w:val="en-GB" w:eastAsia="en-US"/>
              </w:rPr>
              <w:t>in Q</w:t>
            </w:r>
            <w:r w:rsidR="00EA1EBB" w:rsidRPr="006E725C">
              <w:rPr>
                <w:lang w:val="en-GB" w:eastAsia="en-US"/>
              </w:rPr>
              <w:t>4.</w:t>
            </w:r>
            <w:r w:rsidR="00207414" w:rsidRPr="006E725C">
              <w:rPr>
                <w:lang w:val="en-GB" w:eastAsia="en-US"/>
              </w:rPr>
              <w:t xml:space="preserve"> </w:t>
            </w:r>
            <w:r w:rsidR="00384CB8" w:rsidRPr="006E725C">
              <w:rPr>
                <w:lang w:val="en-GB" w:eastAsia="en-US"/>
              </w:rPr>
              <w:t xml:space="preserve">The only item in the division, where the prices grew year-on-year were the </w:t>
            </w:r>
            <w:r w:rsidR="00B3732D">
              <w:rPr>
                <w:lang w:val="en-GB" w:eastAsia="en-US"/>
              </w:rPr>
              <w:t>transport</w:t>
            </w:r>
            <w:r w:rsidR="00384CB8" w:rsidRPr="006E725C">
              <w:rPr>
                <w:lang w:val="en-GB" w:eastAsia="en-US"/>
              </w:rPr>
              <w:t xml:space="preserve"> </w:t>
            </w:r>
            <w:r w:rsidR="00615EA5" w:rsidRPr="006E725C">
              <w:rPr>
                <w:lang w:val="en-GB" w:eastAsia="en-US"/>
              </w:rPr>
              <w:t xml:space="preserve">services </w:t>
            </w:r>
            <w:r w:rsidR="00EA1EBB" w:rsidRPr="006E725C">
              <w:rPr>
                <w:lang w:val="en-GB" w:eastAsia="en-US"/>
              </w:rPr>
              <w:t>(7</w:t>
            </w:r>
            <w:r w:rsidR="00615EA5" w:rsidRPr="006E725C">
              <w:rPr>
                <w:lang w:val="en-GB" w:eastAsia="en-US"/>
              </w:rPr>
              <w:t>.</w:t>
            </w:r>
            <w:r w:rsidR="00EA1EBB" w:rsidRPr="006E725C">
              <w:rPr>
                <w:lang w:val="en-GB" w:eastAsia="en-US"/>
              </w:rPr>
              <w:t xml:space="preserve">9%). </w:t>
            </w:r>
            <w:r w:rsidR="009664D8" w:rsidRPr="006E725C">
              <w:rPr>
                <w:lang w:val="en-GB" w:eastAsia="en-US"/>
              </w:rPr>
              <w:t xml:space="preserve">The year-on-year decrease of prices of </w:t>
            </w:r>
            <w:r w:rsidR="00C90F18">
              <w:rPr>
                <w:lang w:val="en-GB" w:eastAsia="en-US"/>
              </w:rPr>
              <w:t>purchase of vehicles</w:t>
            </w:r>
            <w:r w:rsidR="009664D8" w:rsidRPr="006E725C">
              <w:rPr>
                <w:lang w:val="en-GB" w:eastAsia="en-US"/>
              </w:rPr>
              <w:t xml:space="preserve"> deepened </w:t>
            </w:r>
            <w:r w:rsidR="00EA1EBB" w:rsidRPr="006E725C">
              <w:rPr>
                <w:lang w:val="en-GB" w:eastAsia="en-US"/>
              </w:rPr>
              <w:t>(−3</w:t>
            </w:r>
            <w:r w:rsidR="009664D8" w:rsidRPr="006E725C">
              <w:rPr>
                <w:lang w:val="en-GB" w:eastAsia="en-US"/>
              </w:rPr>
              <w:t>.</w:t>
            </w:r>
            <w:r w:rsidR="00EA1EBB" w:rsidRPr="006E725C">
              <w:rPr>
                <w:lang w:val="en-GB" w:eastAsia="en-US"/>
              </w:rPr>
              <w:t xml:space="preserve">8%). </w:t>
            </w:r>
            <w:r w:rsidR="00AB1ACD" w:rsidRPr="006E725C">
              <w:rPr>
                <w:lang w:val="en-GB" w:eastAsia="en-US"/>
              </w:rPr>
              <w:t xml:space="preserve">The decrease however slowed down in case of costs of their operations </w:t>
            </w:r>
            <w:r w:rsidR="00EA1EBB" w:rsidRPr="006E725C">
              <w:rPr>
                <w:lang w:val="en-GB" w:eastAsia="en-US"/>
              </w:rPr>
              <w:t>(−1</w:t>
            </w:r>
            <w:r w:rsidR="00AB1ACD" w:rsidRPr="006E725C">
              <w:rPr>
                <w:lang w:val="en-GB" w:eastAsia="en-US"/>
              </w:rPr>
              <w:t>.</w:t>
            </w:r>
            <w:r w:rsidR="00EA1EBB" w:rsidRPr="006E725C">
              <w:rPr>
                <w:lang w:val="en-GB" w:eastAsia="en-US"/>
              </w:rPr>
              <w:t>5%),</w:t>
            </w:r>
            <w:r w:rsidR="00AB1ACD" w:rsidRPr="006E725C">
              <w:rPr>
                <w:lang w:val="en-GB" w:eastAsia="en-US"/>
              </w:rPr>
              <w:t xml:space="preserve"> in that decrease of prices of fuels reached </w:t>
            </w:r>
            <w:r w:rsidR="00EA1EBB" w:rsidRPr="006E725C">
              <w:rPr>
                <w:lang w:val="en-GB" w:eastAsia="en-US"/>
              </w:rPr>
              <w:t>6</w:t>
            </w:r>
            <w:r w:rsidR="00AB1ACD" w:rsidRPr="006E725C">
              <w:rPr>
                <w:lang w:val="en-GB" w:eastAsia="en-US"/>
              </w:rPr>
              <w:t>.</w:t>
            </w:r>
            <w:r w:rsidR="00EA1EBB" w:rsidRPr="006E725C">
              <w:rPr>
                <w:lang w:val="en-GB" w:eastAsia="en-US"/>
              </w:rPr>
              <w:t xml:space="preserve">5%. </w:t>
            </w:r>
            <w:r w:rsidR="00932E00" w:rsidRPr="006E725C">
              <w:rPr>
                <w:lang w:val="en-GB" w:eastAsia="en-US"/>
              </w:rPr>
              <w:t xml:space="preserve">Prices of </w:t>
            </w:r>
            <w:r w:rsidR="00B3732D">
              <w:rPr>
                <w:lang w:val="en-GB" w:eastAsia="en-US"/>
              </w:rPr>
              <w:t>transport</w:t>
            </w:r>
            <w:r w:rsidR="00932E00" w:rsidRPr="006E725C">
              <w:rPr>
                <w:lang w:val="en-GB" w:eastAsia="en-US"/>
              </w:rPr>
              <w:t xml:space="preserve"> lowered by 0.3% quarter-on-quarter. Prices of </w:t>
            </w:r>
            <w:r w:rsidR="00B3732D">
              <w:rPr>
                <w:lang w:val="en-GB" w:eastAsia="en-US"/>
              </w:rPr>
              <w:t>transport</w:t>
            </w:r>
            <w:r w:rsidR="00932E00" w:rsidRPr="006E725C">
              <w:rPr>
                <w:lang w:val="en-GB" w:eastAsia="en-US"/>
              </w:rPr>
              <w:t xml:space="preserve"> fell by 4.1% for the whole year </w:t>
            </w:r>
            <w:r w:rsidR="00EA1EBB" w:rsidRPr="006E725C">
              <w:rPr>
                <w:lang w:val="en-GB" w:eastAsia="en-US"/>
              </w:rPr>
              <w:t xml:space="preserve">2023. </w:t>
            </w:r>
            <w:r w:rsidR="00932E00" w:rsidRPr="006E725C">
              <w:rPr>
                <w:lang w:val="en-GB" w:eastAsia="en-US"/>
              </w:rPr>
              <w:t>In that</w:t>
            </w:r>
            <w:r w:rsidR="00F31475" w:rsidRPr="006E725C">
              <w:rPr>
                <w:lang w:val="en-GB" w:eastAsia="en-US"/>
              </w:rPr>
              <w:t xml:space="preserve">, </w:t>
            </w:r>
            <w:r w:rsidR="00932E00" w:rsidRPr="006E725C">
              <w:rPr>
                <w:lang w:val="en-GB" w:eastAsia="en-US"/>
              </w:rPr>
              <w:t xml:space="preserve">prices of operation of personal transport equipment dropped by </w:t>
            </w:r>
            <w:r w:rsidR="00EA1EBB" w:rsidRPr="006E725C">
              <w:rPr>
                <w:lang w:val="en-GB" w:eastAsia="en-US"/>
              </w:rPr>
              <w:t>4</w:t>
            </w:r>
            <w:r w:rsidR="00932E00" w:rsidRPr="006E725C">
              <w:rPr>
                <w:lang w:val="en-GB" w:eastAsia="en-US"/>
              </w:rPr>
              <w:t>.</w:t>
            </w:r>
            <w:r w:rsidR="00EA1EBB" w:rsidRPr="006E725C">
              <w:rPr>
                <w:lang w:val="en-GB" w:eastAsia="en-US"/>
              </w:rPr>
              <w:t>1% (</w:t>
            </w:r>
            <w:r w:rsidR="00932E00" w:rsidRPr="006E725C">
              <w:rPr>
                <w:lang w:val="en-GB" w:eastAsia="en-US"/>
              </w:rPr>
              <w:t>fuels –</w:t>
            </w:r>
            <w:r w:rsidR="00EA1EBB" w:rsidRPr="006E725C">
              <w:rPr>
                <w:lang w:val="en-GB" w:eastAsia="en-US"/>
              </w:rPr>
              <w:t>12</w:t>
            </w:r>
            <w:r w:rsidR="00932E00" w:rsidRPr="006E725C">
              <w:rPr>
                <w:lang w:val="en-GB" w:eastAsia="en-US"/>
              </w:rPr>
              <w:t>.</w:t>
            </w:r>
            <w:r w:rsidR="00EA1EBB" w:rsidRPr="006E725C">
              <w:rPr>
                <w:lang w:val="en-GB" w:eastAsia="en-US"/>
              </w:rPr>
              <w:t>0%),</w:t>
            </w:r>
            <w:r w:rsidR="00932E00" w:rsidRPr="006E725C">
              <w:rPr>
                <w:lang w:val="en-GB" w:eastAsia="en-US"/>
              </w:rPr>
              <w:t xml:space="preserve"> prices of </w:t>
            </w:r>
            <w:r w:rsidR="00C90F18">
              <w:rPr>
                <w:lang w:val="en-GB" w:eastAsia="en-US"/>
              </w:rPr>
              <w:t>purchase of vehicles</w:t>
            </w:r>
            <w:r w:rsidR="00932E00" w:rsidRPr="006E725C">
              <w:rPr>
                <w:lang w:val="en-GB" w:eastAsia="en-US"/>
              </w:rPr>
              <w:t xml:space="preserve"> itself practically stagnated </w:t>
            </w:r>
            <w:r w:rsidR="00EA1EBB" w:rsidRPr="006E725C">
              <w:rPr>
                <w:lang w:val="en-GB" w:eastAsia="en-US"/>
              </w:rPr>
              <w:t>(0</w:t>
            </w:r>
            <w:r w:rsidR="00932E00" w:rsidRPr="006E725C">
              <w:rPr>
                <w:lang w:val="en-GB" w:eastAsia="en-US"/>
              </w:rPr>
              <w:t>.</w:t>
            </w:r>
            <w:r w:rsidR="00EA1EBB" w:rsidRPr="006E725C">
              <w:rPr>
                <w:lang w:val="en-GB" w:eastAsia="en-US"/>
              </w:rPr>
              <w:t>1%) a</w:t>
            </w:r>
            <w:r w:rsidR="00932E00" w:rsidRPr="006E725C">
              <w:rPr>
                <w:lang w:val="en-GB" w:eastAsia="en-US"/>
              </w:rPr>
              <w:t>nd prices of transport services were by 12.0% higher</w:t>
            </w:r>
            <w:r w:rsidR="00EA1EBB" w:rsidRPr="006E725C">
              <w:rPr>
                <w:lang w:val="en-GB" w:eastAsia="en-US"/>
              </w:rPr>
              <w:t>.</w:t>
            </w:r>
            <w:r w:rsidR="00FA3AE5" w:rsidRPr="006E725C">
              <w:rPr>
                <w:lang w:val="en-GB" w:eastAsia="en-US"/>
              </w:rPr>
              <w:t xml:space="preserve"> </w:t>
            </w:r>
          </w:p>
        </w:tc>
      </w:tr>
      <w:tr w:rsidR="00EA1EBB" w:rsidRPr="006E725C" w14:paraId="29042C68" w14:textId="77777777" w:rsidTr="00EA1EBB">
        <w:trPr>
          <w:trHeight w:val="145"/>
        </w:trPr>
        <w:tc>
          <w:tcPr>
            <w:tcW w:w="1804" w:type="dxa"/>
            <w:hideMark/>
          </w:tcPr>
          <w:p w14:paraId="2DB2E177" w14:textId="698B5085" w:rsidR="00EA1EBB" w:rsidRPr="006E725C" w:rsidRDefault="008B1860">
            <w:pPr>
              <w:pStyle w:val="Marginlie"/>
              <w:rPr>
                <w:spacing w:val="0"/>
                <w:lang w:val="en-GB" w:eastAsia="en-US"/>
              </w:rPr>
            </w:pPr>
            <w:r w:rsidRPr="006E725C">
              <w:rPr>
                <w:spacing w:val="0"/>
                <w:lang w:val="en-GB" w:eastAsia="en-US"/>
              </w:rPr>
              <w:t xml:space="preserve">Year-on-year growth of consumer prices in the EU gradually slowed down. </w:t>
            </w:r>
          </w:p>
        </w:tc>
        <w:tc>
          <w:tcPr>
            <w:tcW w:w="224" w:type="dxa"/>
          </w:tcPr>
          <w:p w14:paraId="42805C09" w14:textId="77777777" w:rsidR="00EA1EBB" w:rsidRPr="006E725C" w:rsidRDefault="00EA1EBB">
            <w:pPr>
              <w:pStyle w:val="Textpoznpodarou1"/>
              <w:jc w:val="both"/>
              <w:rPr>
                <w:lang w:val="en-GB" w:eastAsia="en-US"/>
              </w:rPr>
            </w:pPr>
          </w:p>
        </w:tc>
        <w:tc>
          <w:tcPr>
            <w:tcW w:w="7611" w:type="dxa"/>
            <w:hideMark/>
          </w:tcPr>
          <w:p w14:paraId="51579BE3" w14:textId="6431EE66" w:rsidR="00EA1EBB" w:rsidRPr="006E725C" w:rsidRDefault="003E6597">
            <w:pPr>
              <w:rPr>
                <w:lang w:val="en-GB" w:eastAsia="en-US"/>
              </w:rPr>
            </w:pPr>
            <w:r w:rsidRPr="006E725C">
              <w:rPr>
                <w:lang w:val="en-GB"/>
              </w:rPr>
              <w:t xml:space="preserve">Harmonized index of consumer prices </w:t>
            </w:r>
            <w:r w:rsidR="00EA1EBB" w:rsidRPr="006E725C">
              <w:rPr>
                <w:lang w:val="en-GB" w:eastAsia="en-US"/>
              </w:rPr>
              <w:t xml:space="preserve">(HICP) </w:t>
            </w:r>
            <w:r w:rsidRPr="006E725C">
              <w:rPr>
                <w:lang w:val="en-GB" w:eastAsia="en-US"/>
              </w:rPr>
              <w:t>in the EU</w:t>
            </w:r>
            <w:r w:rsidR="00EA1EBB" w:rsidRPr="006E725C">
              <w:rPr>
                <w:rStyle w:val="Znakapoznpodarou"/>
                <w:lang w:val="en-GB" w:eastAsia="en-US"/>
              </w:rPr>
              <w:footnoteReference w:id="3"/>
            </w:r>
            <w:r w:rsidR="00EA1EBB" w:rsidRPr="006E725C">
              <w:rPr>
                <w:lang w:val="en-GB" w:eastAsia="en-US"/>
              </w:rPr>
              <w:t xml:space="preserve"> </w:t>
            </w:r>
            <w:r w:rsidRPr="006E725C">
              <w:rPr>
                <w:lang w:val="en-GB" w:eastAsia="en-US"/>
              </w:rPr>
              <w:t xml:space="preserve">increased by </w:t>
            </w:r>
            <w:r w:rsidR="00EA1EBB" w:rsidRPr="006E725C">
              <w:rPr>
                <w:lang w:val="en-GB" w:eastAsia="en-US"/>
              </w:rPr>
              <w:t>6</w:t>
            </w:r>
            <w:r w:rsidRPr="006E725C">
              <w:rPr>
                <w:lang w:val="en-GB" w:eastAsia="en-US"/>
              </w:rPr>
              <w:t>.</w:t>
            </w:r>
            <w:r w:rsidR="00EA1EBB" w:rsidRPr="006E725C">
              <w:rPr>
                <w:lang w:val="en-GB" w:eastAsia="en-US"/>
              </w:rPr>
              <w:t>4%</w:t>
            </w:r>
            <w:r w:rsidRPr="006E725C">
              <w:rPr>
                <w:lang w:val="en-GB" w:eastAsia="en-US"/>
              </w:rPr>
              <w:t xml:space="preserve"> in year 2023</w:t>
            </w:r>
            <w:r w:rsidR="00EA1EBB" w:rsidRPr="006E725C">
              <w:rPr>
                <w:lang w:val="en-GB" w:eastAsia="en-US"/>
              </w:rPr>
              <w:t xml:space="preserve">. </w:t>
            </w:r>
            <w:r w:rsidRPr="006E725C">
              <w:rPr>
                <w:lang w:val="en-GB" w:eastAsia="en-US"/>
              </w:rPr>
              <w:t xml:space="preserve">The increase against year </w:t>
            </w:r>
            <w:r w:rsidR="00EA1EBB" w:rsidRPr="006E725C">
              <w:rPr>
                <w:lang w:val="en-GB" w:eastAsia="en-US"/>
              </w:rPr>
              <w:t>2022</w:t>
            </w:r>
            <w:r w:rsidRPr="006E725C">
              <w:rPr>
                <w:lang w:val="en-GB" w:eastAsia="en-US"/>
              </w:rPr>
              <w:t xml:space="preserve"> slowed down </w:t>
            </w:r>
            <w:r w:rsidR="00EA1EBB" w:rsidRPr="006E725C">
              <w:rPr>
                <w:lang w:val="en-GB" w:eastAsia="en-US"/>
              </w:rPr>
              <w:t>(</w:t>
            </w:r>
            <w:r w:rsidRPr="006E725C">
              <w:rPr>
                <w:lang w:val="en-GB" w:eastAsia="en-US"/>
              </w:rPr>
              <w:t xml:space="preserve">from </w:t>
            </w:r>
            <w:r w:rsidR="00EA1EBB" w:rsidRPr="006E725C">
              <w:rPr>
                <w:lang w:val="en-GB" w:eastAsia="en-US"/>
              </w:rPr>
              <w:t>9</w:t>
            </w:r>
            <w:r w:rsidRPr="006E725C">
              <w:rPr>
                <w:lang w:val="en-GB" w:eastAsia="en-US"/>
              </w:rPr>
              <w:t>.</w:t>
            </w:r>
            <w:r w:rsidR="00EA1EBB" w:rsidRPr="006E725C">
              <w:rPr>
                <w:lang w:val="en-GB" w:eastAsia="en-US"/>
              </w:rPr>
              <w:t xml:space="preserve">2%), </w:t>
            </w:r>
            <w:r w:rsidRPr="006E725C">
              <w:rPr>
                <w:lang w:val="en-GB" w:eastAsia="en-US"/>
              </w:rPr>
              <w:t xml:space="preserve">mainly under the effect of </w:t>
            </w:r>
            <w:r w:rsidR="009B6F41" w:rsidRPr="006E725C">
              <w:rPr>
                <w:lang w:val="en-GB" w:eastAsia="en-US"/>
              </w:rPr>
              <w:t xml:space="preserve">weaker growth of prices of energies and fuels, which was mirrored in the milder growth of prices of housing and energies </w:t>
            </w:r>
            <w:r w:rsidR="00EA1EBB" w:rsidRPr="006E725C">
              <w:rPr>
                <w:lang w:val="en-GB" w:eastAsia="en-US"/>
              </w:rPr>
              <w:t>(</w:t>
            </w:r>
            <w:r w:rsidR="009B6F41" w:rsidRPr="006E725C">
              <w:rPr>
                <w:lang w:val="en-GB" w:eastAsia="en-US"/>
              </w:rPr>
              <w:t xml:space="preserve">from </w:t>
            </w:r>
            <w:r w:rsidR="00EA1EBB" w:rsidRPr="006E725C">
              <w:rPr>
                <w:lang w:val="en-GB" w:eastAsia="en-US"/>
              </w:rPr>
              <w:t>18</w:t>
            </w:r>
            <w:r w:rsidR="009B6F41" w:rsidRPr="006E725C">
              <w:rPr>
                <w:lang w:val="en-GB" w:eastAsia="en-US"/>
              </w:rPr>
              <w:t>.</w:t>
            </w:r>
            <w:r w:rsidR="00EA1EBB" w:rsidRPr="006E725C">
              <w:rPr>
                <w:lang w:val="en-GB" w:eastAsia="en-US"/>
              </w:rPr>
              <w:t>0%</w:t>
            </w:r>
            <w:r w:rsidR="009B6F41" w:rsidRPr="006E725C">
              <w:rPr>
                <w:lang w:val="en-GB" w:eastAsia="en-US"/>
              </w:rPr>
              <w:t xml:space="preserve"> to </w:t>
            </w:r>
            <w:r w:rsidR="00EA1EBB" w:rsidRPr="006E725C">
              <w:rPr>
                <w:lang w:val="en-GB" w:eastAsia="en-US"/>
              </w:rPr>
              <w:t>3</w:t>
            </w:r>
            <w:r w:rsidR="009B6F41" w:rsidRPr="006E725C">
              <w:rPr>
                <w:lang w:val="en-GB" w:eastAsia="en-US"/>
              </w:rPr>
              <w:t>.</w:t>
            </w:r>
            <w:r w:rsidR="00EA1EBB" w:rsidRPr="006E725C">
              <w:rPr>
                <w:lang w:val="en-GB" w:eastAsia="en-US"/>
              </w:rPr>
              <w:t>4%) a</w:t>
            </w:r>
            <w:r w:rsidR="009B6F41" w:rsidRPr="006E725C">
              <w:rPr>
                <w:lang w:val="en-GB" w:eastAsia="en-US"/>
              </w:rPr>
              <w:t xml:space="preserve">nd </w:t>
            </w:r>
            <w:r w:rsidR="00B3732D">
              <w:rPr>
                <w:lang w:val="en-GB" w:eastAsia="en-US"/>
              </w:rPr>
              <w:t>transport</w:t>
            </w:r>
            <w:r w:rsidR="009B6F41" w:rsidRPr="006E725C">
              <w:rPr>
                <w:lang w:val="en-GB" w:eastAsia="en-US"/>
              </w:rPr>
              <w:t xml:space="preserve"> </w:t>
            </w:r>
            <w:r w:rsidR="00EA1EBB" w:rsidRPr="006E725C">
              <w:rPr>
                <w:lang w:val="en-GB" w:eastAsia="en-US"/>
              </w:rPr>
              <w:t>(</w:t>
            </w:r>
            <w:r w:rsidR="009B6F41" w:rsidRPr="006E725C">
              <w:rPr>
                <w:lang w:val="en-GB" w:eastAsia="en-US"/>
              </w:rPr>
              <w:t xml:space="preserve">from </w:t>
            </w:r>
            <w:r w:rsidR="00EA1EBB" w:rsidRPr="006E725C">
              <w:rPr>
                <w:lang w:val="en-GB" w:eastAsia="en-US"/>
              </w:rPr>
              <w:t>12</w:t>
            </w:r>
            <w:r w:rsidR="009B6F41" w:rsidRPr="006E725C">
              <w:rPr>
                <w:lang w:val="en-GB" w:eastAsia="en-US"/>
              </w:rPr>
              <w:t>.</w:t>
            </w:r>
            <w:r w:rsidR="00EA1EBB" w:rsidRPr="006E725C">
              <w:rPr>
                <w:lang w:val="en-GB" w:eastAsia="en-US"/>
              </w:rPr>
              <w:t>1%</w:t>
            </w:r>
            <w:r w:rsidR="009B6F41" w:rsidRPr="006E725C">
              <w:rPr>
                <w:lang w:val="en-GB" w:eastAsia="en-US"/>
              </w:rPr>
              <w:t xml:space="preserve"> to </w:t>
            </w:r>
            <w:r w:rsidR="00EA1EBB" w:rsidRPr="006E725C">
              <w:rPr>
                <w:lang w:val="en-GB" w:eastAsia="en-US"/>
              </w:rPr>
              <w:t>2</w:t>
            </w:r>
            <w:r w:rsidR="009B6F41" w:rsidRPr="006E725C">
              <w:rPr>
                <w:lang w:val="en-GB" w:eastAsia="en-US"/>
              </w:rPr>
              <w:t>.</w:t>
            </w:r>
            <w:r w:rsidR="00EA1EBB" w:rsidRPr="006E725C">
              <w:rPr>
                <w:lang w:val="en-GB" w:eastAsia="en-US"/>
              </w:rPr>
              <w:t xml:space="preserve">5%). </w:t>
            </w:r>
            <w:r w:rsidR="00E56BA4" w:rsidRPr="006E725C">
              <w:rPr>
                <w:lang w:val="en-GB" w:eastAsia="en-US"/>
              </w:rPr>
              <w:t xml:space="preserve">Growth of prices of </w:t>
            </w:r>
            <w:r w:rsidR="002638DD" w:rsidRPr="006E725C">
              <w:rPr>
                <w:lang w:val="en-GB" w:eastAsia="en-US"/>
              </w:rPr>
              <w:t xml:space="preserve">food and non-alcoholic beverages </w:t>
            </w:r>
            <w:r w:rsidR="00EA1EBB" w:rsidRPr="006E725C">
              <w:rPr>
                <w:lang w:val="en-GB" w:eastAsia="en-US"/>
              </w:rPr>
              <w:t>(12</w:t>
            </w:r>
            <w:r w:rsidR="002638DD" w:rsidRPr="006E725C">
              <w:rPr>
                <w:lang w:val="en-GB" w:eastAsia="en-US"/>
              </w:rPr>
              <w:t>.</w:t>
            </w:r>
            <w:r w:rsidR="00EA1EBB" w:rsidRPr="006E725C">
              <w:rPr>
                <w:lang w:val="en-GB" w:eastAsia="en-US"/>
              </w:rPr>
              <w:t>6%),</w:t>
            </w:r>
            <w:r w:rsidR="002638DD" w:rsidRPr="006E725C">
              <w:rPr>
                <w:lang w:val="en-GB" w:eastAsia="en-US"/>
              </w:rPr>
              <w:t xml:space="preserve"> hotels and restaurants </w:t>
            </w:r>
            <w:r w:rsidR="00EA1EBB" w:rsidRPr="006E725C">
              <w:rPr>
                <w:lang w:val="en-GB" w:eastAsia="en-US"/>
              </w:rPr>
              <w:t>(8</w:t>
            </w:r>
            <w:r w:rsidR="002638DD" w:rsidRPr="006E725C">
              <w:rPr>
                <w:lang w:val="en-GB" w:eastAsia="en-US"/>
              </w:rPr>
              <w:t>.</w:t>
            </w:r>
            <w:r w:rsidR="00EA1EBB" w:rsidRPr="006E725C">
              <w:rPr>
                <w:lang w:val="en-GB" w:eastAsia="en-US"/>
              </w:rPr>
              <w:t>4%)</w:t>
            </w:r>
            <w:r w:rsidR="00E56BA4" w:rsidRPr="006E725C">
              <w:rPr>
                <w:lang w:val="en-GB" w:eastAsia="en-US"/>
              </w:rPr>
              <w:t xml:space="preserve"> mildly strengthened last year</w:t>
            </w:r>
            <w:r w:rsidR="00EA1EBB" w:rsidRPr="006E725C">
              <w:rPr>
                <w:lang w:val="en-GB" w:eastAsia="en-US"/>
              </w:rPr>
              <w:t xml:space="preserve"> a</w:t>
            </w:r>
            <w:r w:rsidR="00E56BA4" w:rsidRPr="006E725C">
              <w:rPr>
                <w:lang w:val="en-GB" w:eastAsia="en-US"/>
              </w:rPr>
              <w:t>nd</w:t>
            </w:r>
            <w:r w:rsidR="00EA1EBB" w:rsidRPr="006E725C">
              <w:rPr>
                <w:lang w:val="en-GB" w:eastAsia="en-US"/>
              </w:rPr>
              <w:t xml:space="preserve"> </w:t>
            </w:r>
            <w:r w:rsidR="00E56BA4" w:rsidRPr="006E725C">
              <w:rPr>
                <w:lang w:val="en-GB" w:eastAsia="en-US"/>
              </w:rPr>
              <w:t>prices of alcoholic beverage and tobacco</w:t>
            </w:r>
            <w:r w:rsidR="002638DD" w:rsidRPr="006E725C">
              <w:rPr>
                <w:lang w:val="en-GB" w:eastAsia="en-US"/>
              </w:rPr>
              <w:t xml:space="preserve"> (7.8%) and recreation and culture (6.1%)</w:t>
            </w:r>
            <w:r w:rsidR="00E56BA4" w:rsidRPr="006E725C">
              <w:rPr>
                <w:lang w:val="en-GB" w:eastAsia="en-US"/>
              </w:rPr>
              <w:t xml:space="preserve"> </w:t>
            </w:r>
            <w:r w:rsidR="002638DD" w:rsidRPr="006E725C">
              <w:rPr>
                <w:lang w:val="en-GB" w:eastAsia="en-US"/>
              </w:rPr>
              <w:t xml:space="preserve">also grew stronger. </w:t>
            </w:r>
            <w:r w:rsidR="00DD0771" w:rsidRPr="006E725C">
              <w:rPr>
                <w:lang w:val="en-GB" w:eastAsia="en-US"/>
              </w:rPr>
              <w:t xml:space="preserve">Based on the </w:t>
            </w:r>
            <w:r w:rsidR="00EA1EBB" w:rsidRPr="006E725C">
              <w:rPr>
                <w:lang w:val="en-GB" w:eastAsia="en-US"/>
              </w:rPr>
              <w:t>HICP</w:t>
            </w:r>
            <w:r w:rsidR="00DD0771" w:rsidRPr="006E725C">
              <w:rPr>
                <w:lang w:val="en-GB" w:eastAsia="en-US"/>
              </w:rPr>
              <w:t xml:space="preserve">, the consumer prices grew the most in Hungary </w:t>
            </w:r>
            <w:r w:rsidR="00EA1EBB" w:rsidRPr="006E725C">
              <w:rPr>
                <w:lang w:val="en-GB" w:eastAsia="en-US"/>
              </w:rPr>
              <w:t>(17</w:t>
            </w:r>
            <w:r w:rsidR="00DD0771" w:rsidRPr="006E725C">
              <w:rPr>
                <w:lang w:val="en-GB" w:eastAsia="en-US"/>
              </w:rPr>
              <w:t>.</w:t>
            </w:r>
            <w:r w:rsidR="00EA1EBB" w:rsidRPr="006E725C">
              <w:rPr>
                <w:lang w:val="en-GB" w:eastAsia="en-US"/>
              </w:rPr>
              <w:t>0%),</w:t>
            </w:r>
            <w:r w:rsidR="00DD0771" w:rsidRPr="006E725C">
              <w:rPr>
                <w:lang w:val="en-GB" w:eastAsia="en-US"/>
              </w:rPr>
              <w:t xml:space="preserve"> the CR </w:t>
            </w:r>
            <w:r w:rsidR="00EA1EBB" w:rsidRPr="006E725C">
              <w:rPr>
                <w:lang w:val="en-GB" w:eastAsia="en-US"/>
              </w:rPr>
              <w:t>(12</w:t>
            </w:r>
            <w:r w:rsidR="00DD0771" w:rsidRPr="006E725C">
              <w:rPr>
                <w:lang w:val="en-GB" w:eastAsia="en-US"/>
              </w:rPr>
              <w:t>.</w:t>
            </w:r>
            <w:r w:rsidR="00EA1EBB" w:rsidRPr="006E725C">
              <w:rPr>
                <w:lang w:val="en-GB" w:eastAsia="en-US"/>
              </w:rPr>
              <w:t>0%) a</w:t>
            </w:r>
            <w:r w:rsidR="00DD0771" w:rsidRPr="006E725C">
              <w:rPr>
                <w:lang w:val="en-GB" w:eastAsia="en-US"/>
              </w:rPr>
              <w:t xml:space="preserve">nd Slovakia </w:t>
            </w:r>
            <w:r w:rsidR="00EA1EBB" w:rsidRPr="006E725C">
              <w:rPr>
                <w:lang w:val="en-GB" w:eastAsia="en-US"/>
              </w:rPr>
              <w:t>(11</w:t>
            </w:r>
            <w:r w:rsidR="00DD0771" w:rsidRPr="006E725C">
              <w:rPr>
                <w:lang w:val="en-GB" w:eastAsia="en-US"/>
              </w:rPr>
              <w:t>.</w:t>
            </w:r>
            <w:r w:rsidR="00EA1EBB" w:rsidRPr="006E725C">
              <w:rPr>
                <w:lang w:val="en-GB" w:eastAsia="en-US"/>
              </w:rPr>
              <w:t>0%) a</w:t>
            </w:r>
            <w:r w:rsidR="00DD0771" w:rsidRPr="006E725C">
              <w:rPr>
                <w:lang w:val="en-GB" w:eastAsia="en-US"/>
              </w:rPr>
              <w:t>nd</w:t>
            </w:r>
            <w:r w:rsidR="00EA1EBB" w:rsidRPr="006E725C">
              <w:rPr>
                <w:lang w:val="en-GB" w:eastAsia="en-US"/>
              </w:rPr>
              <w:t xml:space="preserve"> </w:t>
            </w:r>
            <w:r w:rsidR="00DD0771" w:rsidRPr="006E725C">
              <w:rPr>
                <w:lang w:val="en-GB" w:eastAsia="en-US"/>
              </w:rPr>
              <w:t xml:space="preserve">the dynamics of prices crossed the </w:t>
            </w:r>
            <w:r w:rsidR="00EA1EBB" w:rsidRPr="006E725C">
              <w:rPr>
                <w:lang w:val="en-GB" w:eastAsia="en-US"/>
              </w:rPr>
              <w:t>10%</w:t>
            </w:r>
            <w:r w:rsidR="00DD0771" w:rsidRPr="006E725C">
              <w:rPr>
                <w:lang w:val="en-GB" w:eastAsia="en-US"/>
              </w:rPr>
              <w:t xml:space="preserve"> boundary also in Poland </w:t>
            </w:r>
            <w:r w:rsidR="00EA1EBB" w:rsidRPr="006E725C">
              <w:rPr>
                <w:lang w:val="en-GB" w:eastAsia="en-US"/>
              </w:rPr>
              <w:t>(10</w:t>
            </w:r>
            <w:r w:rsidR="00DD0771" w:rsidRPr="006E725C">
              <w:rPr>
                <w:lang w:val="en-GB" w:eastAsia="en-US"/>
              </w:rPr>
              <w:t>.</w:t>
            </w:r>
            <w:r w:rsidR="00EA1EBB" w:rsidRPr="006E725C">
              <w:rPr>
                <w:lang w:val="en-GB" w:eastAsia="en-US"/>
              </w:rPr>
              <w:t>9%)</w:t>
            </w:r>
            <w:r w:rsidR="00DD0771" w:rsidRPr="006E725C">
              <w:rPr>
                <w:lang w:val="en-GB" w:eastAsia="en-US"/>
              </w:rPr>
              <w:t xml:space="preserve"> last year</w:t>
            </w:r>
            <w:r w:rsidR="00EA1EBB" w:rsidRPr="006E725C">
              <w:rPr>
                <w:lang w:val="en-GB" w:eastAsia="en-US"/>
              </w:rPr>
              <w:t xml:space="preserve">. </w:t>
            </w:r>
            <w:r w:rsidR="003D60C1" w:rsidRPr="006E725C">
              <w:rPr>
                <w:lang w:val="en-GB" w:eastAsia="en-US"/>
              </w:rPr>
              <w:t xml:space="preserve">Consumer prices increased the least in Belgium </w:t>
            </w:r>
            <w:r w:rsidR="00EA1EBB" w:rsidRPr="006E725C">
              <w:rPr>
                <w:lang w:val="en-GB" w:eastAsia="en-US"/>
              </w:rPr>
              <w:t>(2</w:t>
            </w:r>
            <w:r w:rsidR="003D60C1" w:rsidRPr="006E725C">
              <w:rPr>
                <w:lang w:val="en-GB" w:eastAsia="en-US"/>
              </w:rPr>
              <w:t>.</w:t>
            </w:r>
            <w:r w:rsidR="00EA1EBB" w:rsidRPr="006E725C">
              <w:rPr>
                <w:lang w:val="en-GB" w:eastAsia="en-US"/>
              </w:rPr>
              <w:t>3%),</w:t>
            </w:r>
            <w:r w:rsidR="003D60C1" w:rsidRPr="006E725C">
              <w:rPr>
                <w:lang w:val="en-GB" w:eastAsia="en-US"/>
              </w:rPr>
              <w:t xml:space="preserve"> Luxembourg </w:t>
            </w:r>
            <w:r w:rsidR="00EA1EBB" w:rsidRPr="006E725C">
              <w:rPr>
                <w:lang w:val="en-GB" w:eastAsia="en-US"/>
              </w:rPr>
              <w:t>(2</w:t>
            </w:r>
            <w:r w:rsidR="003D60C1" w:rsidRPr="006E725C">
              <w:rPr>
                <w:lang w:val="en-GB" w:eastAsia="en-US"/>
              </w:rPr>
              <w:t>.</w:t>
            </w:r>
            <w:r w:rsidR="00EA1EBB" w:rsidRPr="006E725C">
              <w:rPr>
                <w:lang w:val="en-GB" w:eastAsia="en-US"/>
              </w:rPr>
              <w:t>9%) a</w:t>
            </w:r>
            <w:r w:rsidR="003D60C1" w:rsidRPr="006E725C">
              <w:rPr>
                <w:lang w:val="en-GB" w:eastAsia="en-US"/>
              </w:rPr>
              <w:t xml:space="preserve">nd similarly by </w:t>
            </w:r>
            <w:r w:rsidR="00EA1EBB" w:rsidRPr="006E725C">
              <w:rPr>
                <w:lang w:val="en-GB" w:eastAsia="en-US"/>
              </w:rPr>
              <w:t>3</w:t>
            </w:r>
            <w:r w:rsidR="003D60C1" w:rsidRPr="006E725C">
              <w:rPr>
                <w:lang w:val="en-GB" w:eastAsia="en-US"/>
              </w:rPr>
              <w:t>.</w:t>
            </w:r>
            <w:r w:rsidR="00EA1EBB" w:rsidRPr="006E725C">
              <w:rPr>
                <w:lang w:val="en-GB" w:eastAsia="en-US"/>
              </w:rPr>
              <w:t xml:space="preserve">4% </w:t>
            </w:r>
            <w:r w:rsidR="003D60C1" w:rsidRPr="006E725C">
              <w:rPr>
                <w:lang w:val="en-GB" w:eastAsia="en-US"/>
              </w:rPr>
              <w:t>in Denmark and Spain last year</w:t>
            </w:r>
            <w:r w:rsidR="00EA1EBB" w:rsidRPr="006E725C">
              <w:rPr>
                <w:lang w:val="en-GB" w:eastAsia="en-US"/>
              </w:rPr>
              <w:t xml:space="preserve">. </w:t>
            </w:r>
            <w:r w:rsidR="008C7303" w:rsidRPr="006E725C">
              <w:rPr>
                <w:lang w:val="en-GB" w:eastAsia="en-US"/>
              </w:rPr>
              <w:t>The year-on-year growth of prices gradually slowed down during the year to 3.4% in the EU in Q</w:t>
            </w:r>
            <w:r w:rsidR="00EA1EBB" w:rsidRPr="006E725C">
              <w:rPr>
                <w:lang w:val="en-GB" w:eastAsia="en-US"/>
              </w:rPr>
              <w:t>4.</w:t>
            </w:r>
            <w:r w:rsidR="008C7303" w:rsidRPr="006E725C">
              <w:rPr>
                <w:lang w:val="en-GB" w:eastAsia="en-US"/>
              </w:rPr>
              <w:t xml:space="preserve"> </w:t>
            </w:r>
            <w:r w:rsidR="006F61FB" w:rsidRPr="006E725C">
              <w:rPr>
                <w:lang w:val="en-GB" w:eastAsia="en-US"/>
              </w:rPr>
              <w:t xml:space="preserve">Prices grew the most in the CR </w:t>
            </w:r>
            <w:r w:rsidR="00EA1EBB" w:rsidRPr="006E725C">
              <w:rPr>
                <w:lang w:val="en-GB" w:eastAsia="en-US"/>
              </w:rPr>
              <w:t>(8</w:t>
            </w:r>
            <w:r w:rsidR="006F61FB" w:rsidRPr="006E725C">
              <w:rPr>
                <w:lang w:val="en-GB" w:eastAsia="en-US"/>
              </w:rPr>
              <w:t>.</w:t>
            </w:r>
            <w:r w:rsidR="00EA1EBB" w:rsidRPr="006E725C">
              <w:rPr>
                <w:lang w:val="en-GB" w:eastAsia="en-US"/>
              </w:rPr>
              <w:t>4%),</w:t>
            </w:r>
            <w:r w:rsidR="006F61FB" w:rsidRPr="006E725C">
              <w:rPr>
                <w:lang w:val="en-GB" w:eastAsia="en-US"/>
              </w:rPr>
              <w:t xml:space="preserve"> Hungary </w:t>
            </w:r>
            <w:r w:rsidR="00EA1EBB" w:rsidRPr="006E725C">
              <w:rPr>
                <w:lang w:val="en-GB" w:eastAsia="en-US"/>
              </w:rPr>
              <w:t>(7</w:t>
            </w:r>
            <w:r w:rsidR="006F61FB" w:rsidRPr="006E725C">
              <w:rPr>
                <w:lang w:val="en-GB" w:eastAsia="en-US"/>
              </w:rPr>
              <w:t>.</w:t>
            </w:r>
            <w:r w:rsidR="00EA1EBB" w:rsidRPr="006E725C">
              <w:rPr>
                <w:lang w:val="en-GB" w:eastAsia="en-US"/>
              </w:rPr>
              <w:t>6%) a</w:t>
            </w:r>
            <w:r w:rsidR="006F61FB" w:rsidRPr="006E725C">
              <w:rPr>
                <w:lang w:val="en-GB" w:eastAsia="en-US"/>
              </w:rPr>
              <w:t xml:space="preserve">nd in Romania </w:t>
            </w:r>
            <w:r w:rsidR="00EA1EBB" w:rsidRPr="006E725C">
              <w:rPr>
                <w:lang w:val="en-GB" w:eastAsia="en-US"/>
              </w:rPr>
              <w:t>(7</w:t>
            </w:r>
            <w:r w:rsidR="006F61FB" w:rsidRPr="006E725C">
              <w:rPr>
                <w:lang w:val="en-GB" w:eastAsia="en-US"/>
              </w:rPr>
              <w:t>.</w:t>
            </w:r>
            <w:r w:rsidR="00EA1EBB" w:rsidRPr="006E725C">
              <w:rPr>
                <w:lang w:val="en-GB" w:eastAsia="en-US"/>
              </w:rPr>
              <w:t xml:space="preserve">4%). </w:t>
            </w:r>
            <w:r w:rsidR="006F61FB" w:rsidRPr="006E725C">
              <w:rPr>
                <w:lang w:val="en-GB" w:eastAsia="en-US"/>
              </w:rPr>
              <w:t>Belgium was the only country, where HICP fell year-on-year in Q</w:t>
            </w:r>
            <w:r w:rsidR="00EA1EBB" w:rsidRPr="006E725C">
              <w:rPr>
                <w:lang w:val="en-GB" w:eastAsia="en-US"/>
              </w:rPr>
              <w:t>4</w:t>
            </w:r>
            <w:r w:rsidR="006F61FB" w:rsidRPr="006E725C">
              <w:rPr>
                <w:lang w:val="en-GB" w:eastAsia="en-US"/>
              </w:rPr>
              <w:t xml:space="preserve"> </w:t>
            </w:r>
            <w:r w:rsidR="00EA1EBB" w:rsidRPr="006E725C">
              <w:rPr>
                <w:lang w:val="en-GB" w:eastAsia="en-US"/>
              </w:rPr>
              <w:t>(−0</w:t>
            </w:r>
            <w:r w:rsidR="006F61FB" w:rsidRPr="006E725C">
              <w:rPr>
                <w:lang w:val="en-GB" w:eastAsia="en-US"/>
              </w:rPr>
              <w:t>.</w:t>
            </w:r>
            <w:r w:rsidR="00EA1EBB" w:rsidRPr="006E725C">
              <w:rPr>
                <w:lang w:val="en-GB" w:eastAsia="en-US"/>
              </w:rPr>
              <w:t xml:space="preserve">6%). </w:t>
            </w:r>
            <w:r w:rsidR="006F61FB" w:rsidRPr="006E725C">
              <w:rPr>
                <w:lang w:val="en-GB" w:eastAsia="en-US"/>
              </w:rPr>
              <w:t xml:space="preserve">Consumer prices grew the slowest year-on-year in Denmark </w:t>
            </w:r>
            <w:r w:rsidR="00EA1EBB" w:rsidRPr="006E725C">
              <w:rPr>
                <w:lang w:val="en-GB" w:eastAsia="en-US"/>
              </w:rPr>
              <w:t>(0</w:t>
            </w:r>
            <w:r w:rsidR="006F61FB" w:rsidRPr="006E725C">
              <w:rPr>
                <w:lang w:val="en-GB" w:eastAsia="en-US"/>
              </w:rPr>
              <w:t>.</w:t>
            </w:r>
            <w:r w:rsidR="00EA1EBB" w:rsidRPr="006E725C">
              <w:rPr>
                <w:lang w:val="en-GB" w:eastAsia="en-US"/>
              </w:rPr>
              <w:t>1%) a</w:t>
            </w:r>
            <w:r w:rsidR="006F61FB" w:rsidRPr="006E725C">
              <w:rPr>
                <w:lang w:val="en-GB" w:eastAsia="en-US"/>
              </w:rPr>
              <w:t xml:space="preserve">nd in the Netherlands </w:t>
            </w:r>
            <w:r w:rsidR="00EA1EBB" w:rsidRPr="006E725C">
              <w:rPr>
                <w:lang w:val="en-GB" w:eastAsia="en-US"/>
              </w:rPr>
              <w:t>(0</w:t>
            </w:r>
            <w:r w:rsidR="006F61FB" w:rsidRPr="006E725C">
              <w:rPr>
                <w:lang w:val="en-GB" w:eastAsia="en-US"/>
              </w:rPr>
              <w:t>.</w:t>
            </w:r>
            <w:r w:rsidR="00EA1EBB" w:rsidRPr="006E725C">
              <w:rPr>
                <w:lang w:val="en-GB" w:eastAsia="en-US"/>
              </w:rPr>
              <w:t>4%). HICP</w:t>
            </w:r>
            <w:r w:rsidR="00E749D9" w:rsidRPr="006E725C">
              <w:rPr>
                <w:lang w:val="en-GB" w:eastAsia="en-US"/>
              </w:rPr>
              <w:t xml:space="preserve"> in the EU increased by 0.2% quarter-on-quarter in Q</w:t>
            </w:r>
            <w:r w:rsidR="00EA1EBB" w:rsidRPr="006E725C">
              <w:rPr>
                <w:lang w:val="en-GB" w:eastAsia="en-US"/>
              </w:rPr>
              <w:t xml:space="preserve">4.   </w:t>
            </w:r>
          </w:p>
        </w:tc>
      </w:tr>
      <w:tr w:rsidR="00BF5759" w:rsidRPr="006E725C" w14:paraId="25EF1D59" w14:textId="77777777" w:rsidTr="00EA1EBB">
        <w:trPr>
          <w:trHeight w:val="145"/>
        </w:trPr>
        <w:tc>
          <w:tcPr>
            <w:tcW w:w="1804" w:type="dxa"/>
          </w:tcPr>
          <w:p w14:paraId="56CA28B7" w14:textId="78A3ED5C" w:rsidR="00BF5759" w:rsidRPr="006E725C" w:rsidRDefault="00BF5759" w:rsidP="00BF5759">
            <w:pPr>
              <w:pStyle w:val="Marginlie"/>
              <w:rPr>
                <w:spacing w:val="0"/>
                <w:lang w:val="en-GB" w:eastAsia="en-US"/>
              </w:rPr>
            </w:pPr>
            <w:r w:rsidRPr="006E725C">
              <w:rPr>
                <w:spacing w:val="0"/>
                <w:lang w:val="en-GB" w:eastAsia="en-US"/>
              </w:rPr>
              <w:t xml:space="preserve">Prices of flats decreased year-on-year. </w:t>
            </w:r>
          </w:p>
        </w:tc>
        <w:tc>
          <w:tcPr>
            <w:tcW w:w="224" w:type="dxa"/>
          </w:tcPr>
          <w:p w14:paraId="2488E014" w14:textId="77777777" w:rsidR="00BF5759" w:rsidRPr="006E725C" w:rsidRDefault="00BF5759" w:rsidP="00BF5759">
            <w:pPr>
              <w:pStyle w:val="Textpoznpodarou1"/>
              <w:jc w:val="both"/>
              <w:rPr>
                <w:lang w:val="en-GB" w:eastAsia="en-US"/>
              </w:rPr>
            </w:pPr>
          </w:p>
        </w:tc>
        <w:tc>
          <w:tcPr>
            <w:tcW w:w="7611" w:type="dxa"/>
          </w:tcPr>
          <w:p w14:paraId="320932D0" w14:textId="1551A7ED" w:rsidR="00BF5759" w:rsidRPr="006E725C" w:rsidRDefault="00BF5759" w:rsidP="00BF5759">
            <w:pPr>
              <w:rPr>
                <w:lang w:val="en-GB"/>
              </w:rPr>
            </w:pPr>
            <w:r w:rsidRPr="006E725C">
              <w:rPr>
                <w:lang w:val="en-GB" w:eastAsia="en-US"/>
              </w:rPr>
              <w:t xml:space="preserve">Catalogue prices of flats continued in their year-on-year decrease in the CR in Q4, which lasted already the third quarter and deepened to −4.2%. Catalogue prices of flats in the CR lowered by 0.4% quarter-on-quarter, for the fourth time in a row. Prices of flats outside Prague sank more notably year-on-year in Q4 (−4.9%), which also fell quarter-on-quarter for the fifth time in a row, specifically by 0.9%. Catalogue prices of flats fell by 3.6% in Prague year-on-year and did not change quarter-on-quarter. Realised prices of older flats in the CR fell by 5.6% year-on-year in Q4 and the decrease thus moderated compared to the previous quarter. At the same time, the realised prices again increased quarter-on-quarter (0.4%) towards the end of year 2023 following four quarters of decreases. Realised prices of flats outside Prague fell by 6.4% year-on-year and their quarter-on-quarter decrease also lasted (−0.3%). Situation in Prague differed from the rest of the country in Q4 2023. Realized prices of older flats grew by 3.2% </w:t>
            </w:r>
            <w:r w:rsidRPr="006E725C">
              <w:rPr>
                <w:lang w:val="en-GB" w:eastAsia="en-US"/>
              </w:rPr>
              <w:lastRenderedPageBreak/>
              <w:t xml:space="preserve">quarter-on-quarter here and their year-on-year decrease thus reduced to −2.6%. Realised prices of new flats, which are survey only for Prague, decreased by 3.3% year-on-year in Q4 and by 1.9% quarter-on-quarter.        </w:t>
            </w:r>
          </w:p>
        </w:tc>
      </w:tr>
      <w:tr w:rsidR="00BF5759" w:rsidRPr="006E725C" w14:paraId="1C2D94F4" w14:textId="77777777" w:rsidTr="00EA1EBB">
        <w:trPr>
          <w:trHeight w:val="170"/>
        </w:trPr>
        <w:tc>
          <w:tcPr>
            <w:tcW w:w="1804" w:type="dxa"/>
            <w:vMerge w:val="restart"/>
          </w:tcPr>
          <w:p w14:paraId="20285C90" w14:textId="77777777" w:rsidR="00BF5759" w:rsidRPr="006E725C" w:rsidRDefault="00BF5759" w:rsidP="00BF5759">
            <w:pPr>
              <w:pStyle w:val="Marginlie"/>
              <w:rPr>
                <w:spacing w:val="0"/>
                <w:lang w:val="en-GB" w:eastAsia="en-US"/>
              </w:rPr>
            </w:pPr>
          </w:p>
        </w:tc>
        <w:tc>
          <w:tcPr>
            <w:tcW w:w="224" w:type="dxa"/>
            <w:vMerge w:val="restart"/>
          </w:tcPr>
          <w:p w14:paraId="4773BE6E" w14:textId="77777777" w:rsidR="00BF5759" w:rsidRPr="006E725C" w:rsidRDefault="00BF5759" w:rsidP="00BF5759">
            <w:pPr>
              <w:pStyle w:val="Textpoznpodarou1"/>
              <w:jc w:val="both"/>
              <w:rPr>
                <w:lang w:val="en-GB" w:eastAsia="en-US"/>
              </w:rPr>
            </w:pPr>
          </w:p>
        </w:tc>
        <w:tc>
          <w:tcPr>
            <w:tcW w:w="7611" w:type="dxa"/>
            <w:hideMark/>
          </w:tcPr>
          <w:p w14:paraId="3E5D4BB1" w14:textId="31E6BEF4" w:rsidR="00BF5759" w:rsidRPr="006E725C" w:rsidRDefault="00BF5759" w:rsidP="00BF5759">
            <w:pPr>
              <w:spacing w:after="0"/>
              <w:rPr>
                <w:lang w:val="en-GB" w:eastAsia="en-US"/>
              </w:rPr>
            </w:pPr>
            <w:r>
              <w:rPr>
                <w:b/>
                <w:sz w:val="18"/>
                <w:szCs w:val="18"/>
                <w:lang w:val="en-GB" w:eastAsia="en-US"/>
              </w:rPr>
              <w:t xml:space="preserve">Chart </w:t>
            </w:r>
            <w:r w:rsidRPr="006E725C">
              <w:rPr>
                <w:b/>
                <w:sz w:val="18"/>
                <w:szCs w:val="18"/>
                <w:lang w:val="en-GB" w:eastAsia="en-US"/>
              </w:rPr>
              <w:t xml:space="preserve">12 Prices of real estate </w:t>
            </w:r>
            <w:r w:rsidRPr="006E725C">
              <w:rPr>
                <w:sz w:val="18"/>
                <w:szCs w:val="18"/>
                <w:lang w:val="en-GB" w:eastAsia="en-US"/>
              </w:rPr>
              <w:t>(year-on-year change, in %)</w:t>
            </w:r>
          </w:p>
        </w:tc>
      </w:tr>
      <w:tr w:rsidR="00BF5759" w:rsidRPr="006E725C" w14:paraId="4DA84CE8" w14:textId="77777777" w:rsidTr="0079457A">
        <w:tblPrEx>
          <w:tblCellMar>
            <w:left w:w="70" w:type="dxa"/>
            <w:right w:w="70" w:type="dxa"/>
          </w:tblCellMar>
        </w:tblPrEx>
        <w:trPr>
          <w:trHeight w:val="170"/>
        </w:trPr>
        <w:tc>
          <w:tcPr>
            <w:tcW w:w="1804" w:type="dxa"/>
            <w:vMerge/>
            <w:vAlign w:val="center"/>
            <w:hideMark/>
          </w:tcPr>
          <w:p w14:paraId="1BB80B57" w14:textId="77777777" w:rsidR="00BF5759" w:rsidRPr="006E725C" w:rsidRDefault="00BF5759" w:rsidP="00BF5759">
            <w:pPr>
              <w:spacing w:after="0" w:line="240" w:lineRule="auto"/>
              <w:jc w:val="left"/>
              <w:rPr>
                <w:sz w:val="16"/>
                <w:szCs w:val="16"/>
                <w:lang w:val="en-GB" w:eastAsia="en-US"/>
              </w:rPr>
            </w:pPr>
          </w:p>
        </w:tc>
        <w:tc>
          <w:tcPr>
            <w:tcW w:w="224" w:type="dxa"/>
            <w:vMerge/>
            <w:vAlign w:val="center"/>
            <w:hideMark/>
          </w:tcPr>
          <w:p w14:paraId="7E97D301" w14:textId="77777777" w:rsidR="00BF5759" w:rsidRPr="006E725C" w:rsidRDefault="00BF5759" w:rsidP="00BF5759">
            <w:pPr>
              <w:spacing w:after="0" w:line="240" w:lineRule="auto"/>
              <w:jc w:val="left"/>
              <w:rPr>
                <w:rFonts w:eastAsia="Calibri"/>
                <w:szCs w:val="20"/>
                <w:lang w:val="en-GB" w:eastAsia="en-US"/>
              </w:rPr>
            </w:pPr>
          </w:p>
        </w:tc>
        <w:tc>
          <w:tcPr>
            <w:tcW w:w="7611" w:type="dxa"/>
            <w:hideMark/>
          </w:tcPr>
          <w:p w14:paraId="2186DBBB" w14:textId="19A97747" w:rsidR="00BF5759" w:rsidRPr="006E725C" w:rsidRDefault="00BF5759" w:rsidP="00BF5759">
            <w:pPr>
              <w:spacing w:after="0"/>
              <w:rPr>
                <w:lang w:val="en-GB" w:eastAsia="en-US"/>
              </w:rPr>
            </w:pPr>
            <w:r>
              <w:rPr>
                <w:noProof/>
              </w:rPr>
              <w:drawing>
                <wp:inline distT="0" distB="0" distL="0" distR="0" wp14:anchorId="295FD88C" wp14:editId="0D1BA75E">
                  <wp:extent cx="4737600" cy="3553200"/>
                  <wp:effectExtent l="0" t="0" r="6350" b="0"/>
                  <wp:docPr id="45" name="Graf 4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BF5759" w:rsidRPr="006E725C" w14:paraId="632C258F" w14:textId="77777777" w:rsidTr="00EA1EBB">
        <w:trPr>
          <w:trHeight w:val="170"/>
        </w:trPr>
        <w:tc>
          <w:tcPr>
            <w:tcW w:w="0" w:type="auto"/>
            <w:vMerge/>
            <w:vAlign w:val="center"/>
            <w:hideMark/>
          </w:tcPr>
          <w:p w14:paraId="4C9B2E0E" w14:textId="77777777" w:rsidR="00BF5759" w:rsidRPr="006E725C" w:rsidRDefault="00BF5759" w:rsidP="00BF5759">
            <w:pPr>
              <w:spacing w:after="0" w:line="240" w:lineRule="auto"/>
              <w:jc w:val="left"/>
              <w:rPr>
                <w:sz w:val="16"/>
                <w:szCs w:val="16"/>
                <w:lang w:val="en-GB" w:eastAsia="en-US"/>
              </w:rPr>
            </w:pPr>
          </w:p>
        </w:tc>
        <w:tc>
          <w:tcPr>
            <w:tcW w:w="0" w:type="auto"/>
            <w:vMerge/>
            <w:vAlign w:val="center"/>
            <w:hideMark/>
          </w:tcPr>
          <w:p w14:paraId="7842BDC0" w14:textId="77777777" w:rsidR="00BF5759" w:rsidRPr="006E725C" w:rsidRDefault="00BF5759" w:rsidP="00BF5759">
            <w:pPr>
              <w:spacing w:after="0" w:line="240" w:lineRule="auto"/>
              <w:jc w:val="left"/>
              <w:rPr>
                <w:rFonts w:eastAsia="Calibri"/>
                <w:szCs w:val="20"/>
                <w:lang w:val="en-GB" w:eastAsia="en-US"/>
              </w:rPr>
            </w:pPr>
          </w:p>
        </w:tc>
        <w:tc>
          <w:tcPr>
            <w:tcW w:w="7611" w:type="dxa"/>
            <w:hideMark/>
          </w:tcPr>
          <w:p w14:paraId="337679D1" w14:textId="3CBE2B47" w:rsidR="00BF5759" w:rsidRPr="006E725C" w:rsidRDefault="00BF5759" w:rsidP="00BF5759">
            <w:pPr>
              <w:rPr>
                <w:b/>
                <w:bCs/>
                <w:sz w:val="16"/>
                <w:szCs w:val="16"/>
                <w:lang w:val="en-GB" w:eastAsia="en-US"/>
              </w:rPr>
            </w:pPr>
            <w:r w:rsidRPr="006E725C">
              <w:rPr>
                <w:sz w:val="14"/>
                <w:szCs w:val="14"/>
                <w:lang w:val="en-GB" w:eastAsia="en-US"/>
              </w:rPr>
              <w:t>Source: CZSO</w:t>
            </w:r>
          </w:p>
        </w:tc>
      </w:tr>
      <w:tr w:rsidR="00BF5759" w:rsidRPr="006E725C" w14:paraId="3FCE32C0" w14:textId="77777777" w:rsidTr="00EA1EBB">
        <w:trPr>
          <w:trHeight w:val="145"/>
        </w:trPr>
        <w:tc>
          <w:tcPr>
            <w:tcW w:w="1804" w:type="dxa"/>
            <w:hideMark/>
          </w:tcPr>
          <w:p w14:paraId="380EF479" w14:textId="7BBDA8B7" w:rsidR="00BF5759" w:rsidRPr="006E725C" w:rsidRDefault="00BF5759" w:rsidP="00BF5759">
            <w:pPr>
              <w:pStyle w:val="Marginlie"/>
              <w:rPr>
                <w:spacing w:val="0"/>
                <w:lang w:val="en-GB" w:eastAsia="en-US"/>
              </w:rPr>
            </w:pPr>
            <w:r w:rsidRPr="006E725C">
              <w:rPr>
                <w:spacing w:val="0"/>
                <w:lang w:val="en-GB" w:eastAsia="en-US"/>
              </w:rPr>
              <w:t xml:space="preserve">Industrial producer prices grew year-on-year for the whole year, the increase nevertheless slowed down during the year. </w:t>
            </w:r>
          </w:p>
        </w:tc>
        <w:tc>
          <w:tcPr>
            <w:tcW w:w="224" w:type="dxa"/>
          </w:tcPr>
          <w:p w14:paraId="30C58546" w14:textId="77777777" w:rsidR="00BF5759" w:rsidRPr="006E725C" w:rsidRDefault="00BF5759" w:rsidP="00BF5759">
            <w:pPr>
              <w:pStyle w:val="Textpoznpodarou1"/>
              <w:jc w:val="both"/>
              <w:rPr>
                <w:lang w:val="en-GB" w:eastAsia="en-US"/>
              </w:rPr>
            </w:pPr>
          </w:p>
        </w:tc>
        <w:tc>
          <w:tcPr>
            <w:tcW w:w="7611" w:type="dxa"/>
            <w:hideMark/>
          </w:tcPr>
          <w:p w14:paraId="24969491" w14:textId="02FB82F2" w:rsidR="00BF5759" w:rsidRPr="006E725C" w:rsidRDefault="00BF5759" w:rsidP="00BF5759">
            <w:pPr>
              <w:rPr>
                <w:lang w:val="en-GB" w:eastAsia="en-US"/>
              </w:rPr>
            </w:pPr>
            <w:r w:rsidRPr="006E725C">
              <w:rPr>
                <w:lang w:val="en-GB" w:eastAsia="en-US"/>
              </w:rPr>
              <w:t xml:space="preserve">Industrial producer prices increased by 0.8% year-on-year in Q4. Their growth markedly slowed down during the last year (15.0%, 3.9% and 1.3% in Q1, Q2 and Q3). Quarter-on-quarter, the industrial producer prices decreased by 0.3% in Q4. Industrial producer prices increased by 5.0% for the whole year 2023. Year-on-year growth of the prices of mining and quarrying (40.2%) stayed at a very high level in Q4 itself. Year-on-year growth of prices of petroleum and natural gas strengthened (40.6%), the increase for black and brown coal and lignite weakened to 61.9% and the dynamics for other mining and quarrying of mineral resources was still substantial (18.6%), including mainly building materials. Strong year-on-year growth of prices of mining and quarrying for the whole year 2023 (in total by 46.4%) was the result of mainly sharp quarter-on-quarter increase in the first quarter of the year. Prices increased by 0.8% in this division quarter-on-quarter in Q4. Also, for the prices of electricity, gas, steam and air conditioning, the year-on-year growth slowed during the year down to 7.1% in Q4. Prices lowered here by 0.5% quarter-on-quarter. Their increase was 15.8% for the whole year 2023. Prices of water distribution and services associated with wastewaters rose by 16.3% in Q4, the same as for the whole last year. </w:t>
            </w:r>
          </w:p>
        </w:tc>
      </w:tr>
      <w:tr w:rsidR="00BF5759" w:rsidRPr="006E725C" w14:paraId="0D3CBDF0" w14:textId="77777777" w:rsidTr="00EA1EBB">
        <w:trPr>
          <w:trHeight w:val="145"/>
        </w:trPr>
        <w:tc>
          <w:tcPr>
            <w:tcW w:w="1804" w:type="dxa"/>
          </w:tcPr>
          <w:p w14:paraId="099266CF" w14:textId="0A69E1C5" w:rsidR="00BF5759" w:rsidRDefault="00BF5759" w:rsidP="00BF5759">
            <w:pPr>
              <w:pStyle w:val="Marginlie"/>
              <w:rPr>
                <w:spacing w:val="0"/>
                <w:lang w:val="en-GB" w:eastAsia="en-US"/>
              </w:rPr>
            </w:pPr>
            <w:r w:rsidRPr="006E725C">
              <w:rPr>
                <w:spacing w:val="0"/>
                <w:lang w:val="en-GB" w:eastAsia="en-US"/>
              </w:rPr>
              <w:t xml:space="preserve">Mainly prices of materials were falling in manufacturing. </w:t>
            </w:r>
          </w:p>
        </w:tc>
        <w:tc>
          <w:tcPr>
            <w:tcW w:w="224" w:type="dxa"/>
          </w:tcPr>
          <w:p w14:paraId="507EB8D0" w14:textId="77777777" w:rsidR="00BF5759" w:rsidRPr="006E725C" w:rsidRDefault="00BF5759" w:rsidP="00BF5759">
            <w:pPr>
              <w:pStyle w:val="Textpoznpodarou1"/>
              <w:jc w:val="both"/>
              <w:rPr>
                <w:lang w:val="en-GB" w:eastAsia="en-US"/>
              </w:rPr>
            </w:pPr>
          </w:p>
        </w:tc>
        <w:tc>
          <w:tcPr>
            <w:tcW w:w="7611" w:type="dxa"/>
          </w:tcPr>
          <w:p w14:paraId="2884E472" w14:textId="661795F9" w:rsidR="00BF5759" w:rsidRPr="006E725C" w:rsidRDefault="00BF5759" w:rsidP="002D2D0C">
            <w:pPr>
              <w:rPr>
                <w:lang w:val="en-GB" w:eastAsia="en-US"/>
              </w:rPr>
            </w:pPr>
            <w:r w:rsidRPr="006E725C">
              <w:rPr>
                <w:lang w:val="en-GB" w:eastAsia="en-US"/>
              </w:rPr>
              <w:t xml:space="preserve">Prices </w:t>
            </w:r>
            <w:r w:rsidR="002D2D0C">
              <w:rPr>
                <w:lang w:val="en-GB" w:eastAsia="en-US"/>
              </w:rPr>
              <w:t xml:space="preserve">of </w:t>
            </w:r>
            <w:r w:rsidRPr="006E725C">
              <w:rPr>
                <w:lang w:val="en-GB" w:eastAsia="en-US"/>
              </w:rPr>
              <w:t>manufacturing decreased (−2.3%) year-on-year in Q4. Quarter-on-quarter, the prices dropped by 0.3% in Q4. Prices of products associated with basic materials, such as wood and wood products (apart from furniture, −22.9%), paper and paper products (−14.5%), basic metals (−14.5 %) or chemical substances and products (−9.2%) were in deep year-on-year decline in Q4. Prices of coke and refined petroleum products were also lower</w:t>
            </w:r>
            <w:r w:rsidRPr="006E725C">
              <w:rPr>
                <w:rStyle w:val="Znakapoznpodarou"/>
                <w:lang w:val="en-GB" w:eastAsia="en-US"/>
              </w:rPr>
              <w:footnoteReference w:id="4"/>
            </w:r>
            <w:r w:rsidRPr="006E725C">
              <w:rPr>
                <w:lang w:val="en-GB" w:eastAsia="en-US"/>
              </w:rPr>
              <w:t xml:space="preserve">. Year-on-year decrease was also recorded for food products (−3.1%), rubber and plastic products (−3.0%) or metalworking products (−0.5%). Strong </w:t>
            </w:r>
            <w:r w:rsidRPr="006E725C">
              <w:rPr>
                <w:lang w:val="en-GB" w:eastAsia="en-US"/>
              </w:rPr>
              <w:lastRenderedPageBreak/>
              <w:t xml:space="preserve">year-on-year increase stayed for prices of repairs, maintenance and installation of machinery and equipment (9.6%) and prices of weight significant types of goods, such machinery and equipment (6.1%), computers, electronic and optical appliances (4.8%), motor vehicles (3.3%) or electrical appliances (0.8%) also increased year-on-year. </w:t>
            </w:r>
          </w:p>
        </w:tc>
      </w:tr>
      <w:tr w:rsidR="00BF5759" w:rsidRPr="006E725C" w14:paraId="633FAC7D" w14:textId="77777777" w:rsidTr="00EA1EBB">
        <w:trPr>
          <w:trHeight w:val="170"/>
        </w:trPr>
        <w:tc>
          <w:tcPr>
            <w:tcW w:w="1804" w:type="dxa"/>
            <w:vMerge w:val="restart"/>
          </w:tcPr>
          <w:p w14:paraId="647DD2CE" w14:textId="77296720" w:rsidR="00BF5759" w:rsidRPr="006E725C" w:rsidRDefault="00BF5759" w:rsidP="00BF5759">
            <w:pPr>
              <w:pStyle w:val="Marginlie"/>
              <w:rPr>
                <w:spacing w:val="0"/>
                <w:lang w:val="en-GB" w:eastAsia="en-US"/>
              </w:rPr>
            </w:pPr>
          </w:p>
        </w:tc>
        <w:tc>
          <w:tcPr>
            <w:tcW w:w="224" w:type="dxa"/>
            <w:vMerge w:val="restart"/>
          </w:tcPr>
          <w:p w14:paraId="4A0D079F" w14:textId="77777777" w:rsidR="00BF5759" w:rsidRPr="006E725C" w:rsidRDefault="00BF5759" w:rsidP="00BF5759">
            <w:pPr>
              <w:pStyle w:val="Textpoznpodarou1"/>
              <w:jc w:val="both"/>
              <w:rPr>
                <w:highlight w:val="yellow"/>
                <w:lang w:val="en-GB" w:eastAsia="en-US"/>
              </w:rPr>
            </w:pPr>
          </w:p>
        </w:tc>
        <w:tc>
          <w:tcPr>
            <w:tcW w:w="7611" w:type="dxa"/>
            <w:hideMark/>
          </w:tcPr>
          <w:p w14:paraId="70EA2FFB" w14:textId="252E2AB7" w:rsidR="00BF5759" w:rsidRPr="006E725C" w:rsidRDefault="00BF5759" w:rsidP="00BF5759">
            <w:pPr>
              <w:spacing w:after="0"/>
              <w:rPr>
                <w:b/>
                <w:szCs w:val="20"/>
                <w:lang w:val="en-GB" w:eastAsia="en-US"/>
              </w:rPr>
            </w:pPr>
            <w:r w:rsidRPr="006E725C">
              <w:rPr>
                <w:b/>
                <w:sz w:val="18"/>
                <w:szCs w:val="18"/>
                <w:lang w:val="en-GB" w:eastAsia="en-US"/>
              </w:rPr>
              <w:t xml:space="preserve">Chart 13 Prices of main groups of industrial producers </w:t>
            </w:r>
            <w:r w:rsidRPr="006E725C">
              <w:rPr>
                <w:bCs/>
                <w:sz w:val="18"/>
                <w:szCs w:val="18"/>
                <w:lang w:val="en-GB" w:eastAsia="en-US"/>
              </w:rPr>
              <w:t>(year-on-year change, in %, based on CPA classification)</w:t>
            </w:r>
            <w:r w:rsidRPr="006E725C">
              <w:rPr>
                <w:b/>
                <w:sz w:val="18"/>
                <w:szCs w:val="18"/>
                <w:lang w:val="en-GB" w:eastAsia="en-US"/>
              </w:rPr>
              <w:t xml:space="preserve"> </w:t>
            </w:r>
          </w:p>
        </w:tc>
      </w:tr>
      <w:tr w:rsidR="00BF5759" w:rsidRPr="006E725C" w14:paraId="77CBB589" w14:textId="77777777" w:rsidTr="0079457A">
        <w:tblPrEx>
          <w:tblCellMar>
            <w:left w:w="70" w:type="dxa"/>
            <w:right w:w="70" w:type="dxa"/>
          </w:tblCellMar>
        </w:tblPrEx>
        <w:trPr>
          <w:trHeight w:val="170"/>
        </w:trPr>
        <w:tc>
          <w:tcPr>
            <w:tcW w:w="1804" w:type="dxa"/>
            <w:vMerge/>
            <w:vAlign w:val="center"/>
            <w:hideMark/>
          </w:tcPr>
          <w:p w14:paraId="1CC91E70" w14:textId="77777777" w:rsidR="00BF5759" w:rsidRPr="006E725C" w:rsidRDefault="00BF5759" w:rsidP="00BF5759">
            <w:pPr>
              <w:spacing w:after="0" w:line="240" w:lineRule="auto"/>
              <w:jc w:val="left"/>
              <w:rPr>
                <w:sz w:val="16"/>
                <w:szCs w:val="16"/>
                <w:lang w:val="en-GB" w:eastAsia="en-US"/>
              </w:rPr>
            </w:pPr>
          </w:p>
        </w:tc>
        <w:tc>
          <w:tcPr>
            <w:tcW w:w="224" w:type="dxa"/>
            <w:vMerge/>
            <w:vAlign w:val="center"/>
            <w:hideMark/>
          </w:tcPr>
          <w:p w14:paraId="6AA17F29" w14:textId="77777777" w:rsidR="00BF5759" w:rsidRPr="006E725C" w:rsidRDefault="00BF5759" w:rsidP="00BF5759">
            <w:pPr>
              <w:spacing w:after="0" w:line="240" w:lineRule="auto"/>
              <w:jc w:val="left"/>
              <w:rPr>
                <w:rFonts w:eastAsia="Calibri"/>
                <w:szCs w:val="20"/>
                <w:highlight w:val="yellow"/>
                <w:lang w:val="en-GB" w:eastAsia="en-US"/>
              </w:rPr>
            </w:pPr>
          </w:p>
        </w:tc>
        <w:tc>
          <w:tcPr>
            <w:tcW w:w="7611" w:type="dxa"/>
            <w:hideMark/>
          </w:tcPr>
          <w:p w14:paraId="509824E1" w14:textId="48DB6E95" w:rsidR="00BF5759" w:rsidRPr="006E725C" w:rsidRDefault="00BF5759" w:rsidP="00BF5759">
            <w:pPr>
              <w:spacing w:after="0"/>
              <w:rPr>
                <w:lang w:val="en-GB" w:eastAsia="en-US"/>
              </w:rPr>
            </w:pPr>
            <w:r>
              <w:rPr>
                <w:noProof/>
              </w:rPr>
              <w:drawing>
                <wp:inline distT="0" distB="0" distL="0" distR="0" wp14:anchorId="157C2246" wp14:editId="38E17346">
                  <wp:extent cx="4722350" cy="3564975"/>
                  <wp:effectExtent l="0" t="0" r="2540" b="0"/>
                  <wp:docPr id="46" name="Graf 46">
                    <a:extLst xmlns:a="http://schemas.openxmlformats.org/drawingml/2006/main">
                      <a:ext uri="{FF2B5EF4-FFF2-40B4-BE49-F238E27FC236}">
                        <a16:creationId xmlns:a16="http://schemas.microsoft.com/office/drawing/2014/main" id="{A96326AA-2E19-A591-4C15-9F538FA2AF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BF5759" w:rsidRPr="006E725C" w14:paraId="2BCEA42A" w14:textId="77777777" w:rsidTr="00EA1EBB">
        <w:trPr>
          <w:trHeight w:val="170"/>
        </w:trPr>
        <w:tc>
          <w:tcPr>
            <w:tcW w:w="0" w:type="auto"/>
            <w:vMerge/>
            <w:vAlign w:val="center"/>
            <w:hideMark/>
          </w:tcPr>
          <w:p w14:paraId="5D0034E4" w14:textId="77777777" w:rsidR="00BF5759" w:rsidRPr="006E725C" w:rsidRDefault="00BF5759" w:rsidP="00BF5759">
            <w:pPr>
              <w:spacing w:after="0" w:line="240" w:lineRule="auto"/>
              <w:jc w:val="left"/>
              <w:rPr>
                <w:sz w:val="16"/>
                <w:szCs w:val="16"/>
                <w:lang w:val="en-GB" w:eastAsia="en-US"/>
              </w:rPr>
            </w:pPr>
          </w:p>
        </w:tc>
        <w:tc>
          <w:tcPr>
            <w:tcW w:w="0" w:type="auto"/>
            <w:vMerge/>
            <w:vAlign w:val="center"/>
            <w:hideMark/>
          </w:tcPr>
          <w:p w14:paraId="6BF9ECDC" w14:textId="77777777" w:rsidR="00BF5759" w:rsidRPr="006E725C" w:rsidRDefault="00BF5759" w:rsidP="00BF5759">
            <w:pPr>
              <w:spacing w:after="0" w:line="240" w:lineRule="auto"/>
              <w:jc w:val="left"/>
              <w:rPr>
                <w:rFonts w:eastAsia="Calibri"/>
                <w:szCs w:val="20"/>
                <w:highlight w:val="yellow"/>
                <w:lang w:val="en-GB" w:eastAsia="en-US"/>
              </w:rPr>
            </w:pPr>
          </w:p>
        </w:tc>
        <w:tc>
          <w:tcPr>
            <w:tcW w:w="7611" w:type="dxa"/>
            <w:hideMark/>
          </w:tcPr>
          <w:p w14:paraId="6E00B28C" w14:textId="2CFBECB5" w:rsidR="00BF5759" w:rsidRPr="006E725C" w:rsidRDefault="00BF5759" w:rsidP="00BF5759">
            <w:pPr>
              <w:rPr>
                <w:b/>
                <w:bCs/>
                <w:sz w:val="16"/>
                <w:szCs w:val="16"/>
                <w:lang w:val="en-GB" w:eastAsia="en-US"/>
              </w:rPr>
            </w:pPr>
            <w:r w:rsidRPr="006E725C">
              <w:rPr>
                <w:sz w:val="14"/>
                <w:szCs w:val="14"/>
                <w:lang w:val="en-GB" w:eastAsia="en-US"/>
              </w:rPr>
              <w:t>Source: CZSO</w:t>
            </w:r>
          </w:p>
        </w:tc>
      </w:tr>
      <w:tr w:rsidR="00BF5759" w:rsidRPr="006E725C" w14:paraId="4F8AFAD6" w14:textId="77777777" w:rsidTr="00EA1EBB">
        <w:trPr>
          <w:trHeight w:val="145"/>
        </w:trPr>
        <w:tc>
          <w:tcPr>
            <w:tcW w:w="1804" w:type="dxa"/>
            <w:hideMark/>
          </w:tcPr>
          <w:p w14:paraId="0F983950" w14:textId="646A9EB1" w:rsidR="00BF5759" w:rsidRPr="006E725C" w:rsidRDefault="00BF5759" w:rsidP="002D2D0C">
            <w:pPr>
              <w:pStyle w:val="Marginlie"/>
              <w:rPr>
                <w:spacing w:val="0"/>
                <w:lang w:val="en-GB" w:eastAsia="en-US"/>
              </w:rPr>
            </w:pPr>
            <w:r w:rsidRPr="006E725C">
              <w:rPr>
                <w:spacing w:val="0"/>
                <w:lang w:val="en-GB" w:eastAsia="en-US"/>
              </w:rPr>
              <w:t xml:space="preserve">Prices of manufacturing in total increased last year. </w:t>
            </w:r>
          </w:p>
        </w:tc>
        <w:tc>
          <w:tcPr>
            <w:tcW w:w="224" w:type="dxa"/>
          </w:tcPr>
          <w:p w14:paraId="5DDB67DC" w14:textId="77777777" w:rsidR="00BF5759" w:rsidRPr="006E725C" w:rsidRDefault="00BF5759" w:rsidP="00BF5759">
            <w:pPr>
              <w:pStyle w:val="Textpoznpodarou1"/>
              <w:jc w:val="both"/>
              <w:rPr>
                <w:lang w:val="en-GB" w:eastAsia="en-US"/>
              </w:rPr>
            </w:pPr>
          </w:p>
        </w:tc>
        <w:tc>
          <w:tcPr>
            <w:tcW w:w="7611" w:type="dxa"/>
            <w:hideMark/>
          </w:tcPr>
          <w:p w14:paraId="452C4CCC" w14:textId="485DF9AC" w:rsidR="00BF5759" w:rsidRPr="006E725C" w:rsidRDefault="00BF5759" w:rsidP="00BF5759">
            <w:pPr>
              <w:rPr>
                <w:lang w:val="en-GB" w:eastAsia="en-US"/>
              </w:rPr>
            </w:pPr>
            <w:r w:rsidRPr="006E725C">
              <w:rPr>
                <w:lang w:val="en-GB" w:eastAsia="en-US"/>
              </w:rPr>
              <w:t xml:space="preserve">Following the strong increase at the beginning of the year (10.3% in Q1), the year-on-year dynamics of prices fell into decrease in manufacturing (−0.9% and −2.4% in Q2 and Q3) and prices in this division increased by 0.9% in total for the whole year. Yearly result in the direction of downturn affected especially the development of prices of materials and associated products, where the high comparative basis of year 2022 played a role – wood and wood products (apart from furniture, −12.7%), basic metals (−9.4%), chemical substances and products (−9.0%), paper and paper products (−4.2%) or prices of coke and refined petroleum products. On the contrary, the prices of beverages considerably increased (12.2%) as well as food products (8.6%), repairs, maintenance and installation of machinery and equipment (9.5%), machinery and equipment (8.0%), computers, electronic and optical appliances (4.0%) or motor vehicles (3.7%). </w:t>
            </w:r>
          </w:p>
        </w:tc>
      </w:tr>
      <w:tr w:rsidR="00BF5759" w:rsidRPr="006E725C" w14:paraId="38F55783" w14:textId="77777777" w:rsidTr="00EA1EBB">
        <w:trPr>
          <w:trHeight w:val="145"/>
        </w:trPr>
        <w:tc>
          <w:tcPr>
            <w:tcW w:w="1804" w:type="dxa"/>
            <w:hideMark/>
          </w:tcPr>
          <w:p w14:paraId="21C5BD95" w14:textId="4B70FB1A" w:rsidR="00BF5759" w:rsidRPr="006E725C" w:rsidRDefault="00BF5759" w:rsidP="00BF5759">
            <w:pPr>
              <w:pStyle w:val="Marginlie"/>
              <w:rPr>
                <w:spacing w:val="0"/>
                <w:lang w:val="en-GB" w:eastAsia="en-US"/>
              </w:rPr>
            </w:pPr>
            <w:r w:rsidRPr="006E725C">
              <w:rPr>
                <w:spacing w:val="0"/>
                <w:lang w:val="en-GB" w:eastAsia="en-US"/>
              </w:rPr>
              <w:t xml:space="preserve">Industrial producer prices decreased in the EU last year. </w:t>
            </w:r>
          </w:p>
        </w:tc>
        <w:tc>
          <w:tcPr>
            <w:tcW w:w="224" w:type="dxa"/>
          </w:tcPr>
          <w:p w14:paraId="3A06CECD" w14:textId="77777777" w:rsidR="00BF5759" w:rsidRPr="006E725C" w:rsidRDefault="00BF5759" w:rsidP="00BF5759">
            <w:pPr>
              <w:pStyle w:val="Textpoznpodarou1"/>
              <w:jc w:val="both"/>
              <w:rPr>
                <w:lang w:val="en-GB" w:eastAsia="en-US"/>
              </w:rPr>
            </w:pPr>
          </w:p>
        </w:tc>
        <w:tc>
          <w:tcPr>
            <w:tcW w:w="7611" w:type="dxa"/>
            <w:hideMark/>
          </w:tcPr>
          <w:p w14:paraId="323867DD" w14:textId="7E1DF4C3" w:rsidR="00BF5759" w:rsidRPr="006E725C" w:rsidRDefault="00BF5759" w:rsidP="002D2D0C">
            <w:pPr>
              <w:rPr>
                <w:lang w:val="en-GB" w:eastAsia="en-US"/>
              </w:rPr>
            </w:pPr>
            <w:r w:rsidRPr="006E725C">
              <w:rPr>
                <w:lang w:val="en-GB" w:eastAsia="en-US"/>
              </w:rPr>
              <w:t>Development of industrial producer prices in the EU</w:t>
            </w:r>
            <w:r w:rsidRPr="006E725C">
              <w:rPr>
                <w:rStyle w:val="Znakapoznpodarou"/>
                <w:lang w:val="en-GB" w:eastAsia="en-US"/>
              </w:rPr>
              <w:footnoteReference w:id="5"/>
            </w:r>
            <w:r w:rsidRPr="006E725C">
              <w:rPr>
                <w:lang w:val="en-GB" w:eastAsia="en-US"/>
              </w:rPr>
              <w:t xml:space="preserve"> was rather varied last year. After the sharp surge from year 2022 (34.4%)</w:t>
            </w:r>
            <w:r>
              <w:rPr>
                <w:lang w:val="en-GB" w:eastAsia="en-US"/>
              </w:rPr>
              <w:t>,</w:t>
            </w:r>
            <w:r w:rsidRPr="006E725C">
              <w:rPr>
                <w:lang w:val="en-GB" w:eastAsia="en-US"/>
              </w:rPr>
              <w:t xml:space="preserve"> industrial producer prices fell in total by 2.1% in the EU last year. While the prices still grew strongly despite pace weakening in some countries – by 21.5% in Hungary, by 17.2% in Luxembourg and by 16.9% in Slovakia, 14 countries observed decrease, the most in Ireland (−25.6%), Bulgaria (−12.5%) and Belgium (−9.3%). In total prices of mining and quarrying (−6.9%) and electricity, gas, steam and air conditioning (−12.7%) sank in the EU last year. On the contrary, prices of manufacturing slightly grew in the EU last year (1.9%). Industrial producer prices fell by 8.9% year-on-year in the EU in Q4 itself, while they slightly grew quarter-on-quarter </w:t>
            </w:r>
            <w:r w:rsidRPr="006E725C">
              <w:rPr>
                <w:lang w:val="en-GB" w:eastAsia="en-US"/>
              </w:rPr>
              <w:lastRenderedPageBreak/>
              <w:t xml:space="preserve">(0.2%). Year-on-year decrease of the industrial producer prices affected all divisions – prices of mining and quarrying were lower by 10.0%, prices of manufacturing by 1.6% and prices of electricity, gas, steam and air conditioning by 26.0%. Industrial producer prices were falling in the majority of EU countries year-on-year in Q4 except for Luxembourg (19.1%), Slovakia (8.1%), Slovenia (2.4%), the CR (0.8%) and Malta (0.8%). In contrast, the industrial producer prices plunged the most year-on-year in Ireland (−22.0%), Bulgaria (−20.3%) and Belgium (−19.2%).    </w:t>
            </w:r>
          </w:p>
        </w:tc>
      </w:tr>
      <w:tr w:rsidR="00BF5759" w:rsidRPr="006E725C" w14:paraId="4C29B5A1" w14:textId="77777777" w:rsidTr="00EA1EBB">
        <w:trPr>
          <w:trHeight w:val="145"/>
        </w:trPr>
        <w:tc>
          <w:tcPr>
            <w:tcW w:w="1804" w:type="dxa"/>
            <w:hideMark/>
          </w:tcPr>
          <w:p w14:paraId="372B0858" w14:textId="3B70A8BE" w:rsidR="00BF5759" w:rsidRPr="006E725C" w:rsidRDefault="00BF5759" w:rsidP="00BF5759">
            <w:pPr>
              <w:pStyle w:val="Marginlie"/>
              <w:rPr>
                <w:spacing w:val="0"/>
                <w:lang w:val="en-GB" w:eastAsia="en-US"/>
              </w:rPr>
            </w:pPr>
            <w:r w:rsidRPr="006E725C">
              <w:rPr>
                <w:spacing w:val="0"/>
                <w:lang w:val="en-GB" w:eastAsia="en-US"/>
              </w:rPr>
              <w:lastRenderedPageBreak/>
              <w:t xml:space="preserve">Prices of materials and goods used in construction grew markedly slower last year than in year 2022. </w:t>
            </w:r>
          </w:p>
        </w:tc>
        <w:tc>
          <w:tcPr>
            <w:tcW w:w="224" w:type="dxa"/>
          </w:tcPr>
          <w:p w14:paraId="08EBE3F3" w14:textId="77777777" w:rsidR="00BF5759" w:rsidRPr="006E725C" w:rsidRDefault="00BF5759" w:rsidP="00BF5759">
            <w:pPr>
              <w:pStyle w:val="Textpoznpodarou1"/>
              <w:jc w:val="both"/>
              <w:rPr>
                <w:lang w:val="en-GB" w:eastAsia="en-US"/>
              </w:rPr>
            </w:pPr>
          </w:p>
        </w:tc>
        <w:tc>
          <w:tcPr>
            <w:tcW w:w="7611" w:type="dxa"/>
            <w:hideMark/>
          </w:tcPr>
          <w:p w14:paraId="5C949BCC" w14:textId="0F47708F" w:rsidR="00BF5759" w:rsidRPr="006E725C" w:rsidRDefault="00BF5759" w:rsidP="001609AE">
            <w:pPr>
              <w:rPr>
                <w:lang w:val="en-GB" w:eastAsia="en-US"/>
              </w:rPr>
            </w:pPr>
            <w:r w:rsidRPr="006E725C">
              <w:rPr>
                <w:lang w:val="en-GB" w:eastAsia="en-US"/>
              </w:rPr>
              <w:t>Year-on-year growth of prices of construction work gradually slowed down during year 2023 and according to estimates reached 3.2% in Q4. Quarter-on-quarter, the price of construction work went up by 0.6%. Prices of construction works then increased by 6.0% for the whole year 2023 (more accurate figure after revision in year 2022 by 12.4%). Prices of material</w:t>
            </w:r>
            <w:r w:rsidR="002D2D0C">
              <w:rPr>
                <w:lang w:val="en-GB" w:eastAsia="en-US"/>
              </w:rPr>
              <w:t xml:space="preserve"> inputs of </w:t>
            </w:r>
            <w:r w:rsidRPr="006E725C">
              <w:rPr>
                <w:lang w:val="en-GB" w:eastAsia="en-US"/>
              </w:rPr>
              <w:t>construction</w:t>
            </w:r>
            <w:r w:rsidR="002D2D0C">
              <w:rPr>
                <w:lang w:val="en-GB" w:eastAsia="en-US"/>
              </w:rPr>
              <w:t xml:space="preserve"> output</w:t>
            </w:r>
            <w:r w:rsidRPr="006E725C">
              <w:rPr>
                <w:lang w:val="en-GB" w:eastAsia="en-US"/>
              </w:rPr>
              <w:t xml:space="preserve"> in contrast fell by 0.3% year-on-year in Q4 and were by 0.7% lower quarter-on-quarter. Prices of </w:t>
            </w:r>
            <w:r w:rsidR="001609AE" w:rsidRPr="006E725C">
              <w:rPr>
                <w:lang w:val="en-GB" w:eastAsia="en-US"/>
              </w:rPr>
              <w:t>material</w:t>
            </w:r>
            <w:r w:rsidR="001609AE">
              <w:rPr>
                <w:lang w:val="en-GB" w:eastAsia="en-US"/>
              </w:rPr>
              <w:t xml:space="preserve"> inputs of </w:t>
            </w:r>
            <w:r w:rsidR="001609AE" w:rsidRPr="006E725C">
              <w:rPr>
                <w:lang w:val="en-GB" w:eastAsia="en-US"/>
              </w:rPr>
              <w:t>construction</w:t>
            </w:r>
            <w:r w:rsidR="001609AE">
              <w:rPr>
                <w:lang w:val="en-GB" w:eastAsia="en-US"/>
              </w:rPr>
              <w:t xml:space="preserve"> output</w:t>
            </w:r>
            <w:r w:rsidR="001609AE" w:rsidRPr="006E725C">
              <w:rPr>
                <w:lang w:val="en-GB" w:eastAsia="en-US"/>
              </w:rPr>
              <w:t xml:space="preserve"> </w:t>
            </w:r>
            <w:r w:rsidRPr="006E725C">
              <w:rPr>
                <w:lang w:val="en-GB" w:eastAsia="en-US"/>
              </w:rPr>
              <w:t xml:space="preserve">increased on average by 3.8% for the whole year 2023. It represents sharp deceleration in comparison to year 2022, when prices of </w:t>
            </w:r>
            <w:r w:rsidR="001609AE" w:rsidRPr="006E725C">
              <w:rPr>
                <w:lang w:val="en-GB" w:eastAsia="en-US"/>
              </w:rPr>
              <w:t>material</w:t>
            </w:r>
            <w:r w:rsidR="001609AE">
              <w:rPr>
                <w:lang w:val="en-GB" w:eastAsia="en-US"/>
              </w:rPr>
              <w:t xml:space="preserve"> inputs of </w:t>
            </w:r>
            <w:r w:rsidR="001609AE" w:rsidRPr="006E725C">
              <w:rPr>
                <w:lang w:val="en-GB" w:eastAsia="en-US"/>
              </w:rPr>
              <w:t>construction</w:t>
            </w:r>
            <w:r w:rsidR="001609AE">
              <w:rPr>
                <w:lang w:val="en-GB" w:eastAsia="en-US"/>
              </w:rPr>
              <w:t xml:space="preserve"> output</w:t>
            </w:r>
            <w:r w:rsidR="001609AE" w:rsidRPr="006E725C">
              <w:rPr>
                <w:lang w:val="en-GB" w:eastAsia="en-US"/>
              </w:rPr>
              <w:t xml:space="preserve"> </w:t>
            </w:r>
            <w:r w:rsidRPr="006E725C">
              <w:rPr>
                <w:lang w:val="en-GB" w:eastAsia="en-US"/>
              </w:rPr>
              <w:t>were raised by 20.7% and the material costs were thus a substantial break on the construction output development.</w:t>
            </w:r>
          </w:p>
        </w:tc>
      </w:tr>
      <w:tr w:rsidR="00BF5759" w:rsidRPr="006E725C" w14:paraId="61E7B8A0" w14:textId="77777777" w:rsidTr="00EA1EBB">
        <w:trPr>
          <w:trHeight w:val="145"/>
        </w:trPr>
        <w:tc>
          <w:tcPr>
            <w:tcW w:w="1804" w:type="dxa"/>
            <w:hideMark/>
          </w:tcPr>
          <w:p w14:paraId="7729B721" w14:textId="27E8C3FF" w:rsidR="00BF5759" w:rsidRPr="006E725C" w:rsidRDefault="00BF5759" w:rsidP="00BF5759">
            <w:pPr>
              <w:pStyle w:val="Marginlie"/>
              <w:rPr>
                <w:spacing w:val="0"/>
                <w:lang w:val="en-GB" w:eastAsia="en-US"/>
              </w:rPr>
            </w:pPr>
            <w:r w:rsidRPr="006E725C">
              <w:rPr>
                <w:spacing w:val="0"/>
                <w:lang w:val="en-GB" w:eastAsia="en-US"/>
              </w:rPr>
              <w:t xml:space="preserve">Growth of prices of market services stayed at high level for the whole year. </w:t>
            </w:r>
          </w:p>
        </w:tc>
        <w:tc>
          <w:tcPr>
            <w:tcW w:w="224" w:type="dxa"/>
          </w:tcPr>
          <w:p w14:paraId="16635E6F" w14:textId="77777777" w:rsidR="00BF5759" w:rsidRPr="006E725C" w:rsidRDefault="00BF5759" w:rsidP="00BF5759">
            <w:pPr>
              <w:pStyle w:val="Textpoznpodarou1"/>
              <w:jc w:val="both"/>
              <w:rPr>
                <w:lang w:val="en-GB" w:eastAsia="en-US"/>
              </w:rPr>
            </w:pPr>
          </w:p>
        </w:tc>
        <w:tc>
          <w:tcPr>
            <w:tcW w:w="7611" w:type="dxa"/>
            <w:hideMark/>
          </w:tcPr>
          <w:p w14:paraId="7D2A7C19" w14:textId="52A02AF1" w:rsidR="00BF5759" w:rsidRPr="006E725C" w:rsidRDefault="00BF5759" w:rsidP="00BF5759">
            <w:pPr>
              <w:rPr>
                <w:lang w:val="en-GB" w:eastAsia="en-US"/>
              </w:rPr>
            </w:pPr>
            <w:r w:rsidRPr="006E725C">
              <w:rPr>
                <w:lang w:val="en-GB" w:eastAsia="en-US"/>
              </w:rPr>
              <w:t xml:space="preserve">Prices of market services increased by 4.9% year-on-year in Q4 and the increase was thus the mildest for the whole year 2023. The prices increased by 1.2% quarter-on-quarter in Q4. Prices of services in the area of real estate (year-on-year increase of 6.7%), services in programming and associated consultancy (6.5%), land transport and transport via pipelines (3.1%) and employment activities (15.6%) worked the most in the direction of the year-on-year growth. Development of prices of cleaning activities (12.9%), postal and courier services (11.7%), information (10.0%), legal and accounting activities (6.8%), advertising and market research (4.3%), warehousing and support activities for </w:t>
            </w:r>
            <w:r w:rsidR="00B3732D">
              <w:rPr>
                <w:lang w:val="en-GB" w:eastAsia="en-US"/>
              </w:rPr>
              <w:t>transport</w:t>
            </w:r>
            <w:r w:rsidRPr="006E725C">
              <w:rPr>
                <w:lang w:val="en-GB" w:eastAsia="en-US"/>
              </w:rPr>
              <w:t xml:space="preserve"> (3.6%) or architectural and engineering activities and technical testing and analysis (2.6%) also had a significant contribution. Year-on-year dynamics of prices of market services remained high and unlike the rest of the economy did not decelerate notably during the year. It manifested the persisting strong nominal growth of wages, which form a key part of costs for services. Prices of market services increased by 5.6% for the whole year 2023. Prices of services in the area of programming and associated consultancy (growth of 8.2%), real estate (6.5%), land transport and transport via pipelines (4.2%) and employment activities (22.1%) contributed the most. </w:t>
            </w:r>
          </w:p>
        </w:tc>
      </w:tr>
      <w:tr w:rsidR="00BF5759" w:rsidRPr="006E725C" w14:paraId="4B22C9D2" w14:textId="77777777" w:rsidTr="00EA1EBB">
        <w:trPr>
          <w:trHeight w:val="145"/>
        </w:trPr>
        <w:tc>
          <w:tcPr>
            <w:tcW w:w="1804" w:type="dxa"/>
            <w:hideMark/>
          </w:tcPr>
          <w:p w14:paraId="11A2C18C" w14:textId="7E5A50E9" w:rsidR="00BF5759" w:rsidRPr="006E725C" w:rsidRDefault="00BF5759" w:rsidP="00BF5759">
            <w:pPr>
              <w:pStyle w:val="Marginlie"/>
              <w:rPr>
                <w:spacing w:val="0"/>
                <w:lang w:val="en-GB" w:eastAsia="en-US"/>
              </w:rPr>
            </w:pPr>
            <w:r w:rsidRPr="006E725C">
              <w:rPr>
                <w:spacing w:val="0"/>
                <w:lang w:val="en-GB" w:eastAsia="en-US"/>
              </w:rPr>
              <w:t>Prices of agricultural producers markedly sank year-on-year in Q4.</w:t>
            </w:r>
          </w:p>
        </w:tc>
        <w:tc>
          <w:tcPr>
            <w:tcW w:w="224" w:type="dxa"/>
          </w:tcPr>
          <w:p w14:paraId="2BE7CF28" w14:textId="77777777" w:rsidR="00BF5759" w:rsidRPr="006E725C" w:rsidRDefault="00BF5759" w:rsidP="00BF5759">
            <w:pPr>
              <w:pStyle w:val="Textpoznpodarou1"/>
              <w:jc w:val="both"/>
              <w:rPr>
                <w:lang w:val="en-GB" w:eastAsia="en-US"/>
              </w:rPr>
            </w:pPr>
          </w:p>
        </w:tc>
        <w:tc>
          <w:tcPr>
            <w:tcW w:w="7611" w:type="dxa"/>
            <w:hideMark/>
          </w:tcPr>
          <w:p w14:paraId="77030D51" w14:textId="02079DC7" w:rsidR="00BF5759" w:rsidRPr="006E725C" w:rsidRDefault="00BF5759" w:rsidP="001609AE">
            <w:pPr>
              <w:rPr>
                <w:lang w:val="en-GB" w:eastAsia="en-US"/>
              </w:rPr>
            </w:pPr>
            <w:r w:rsidRPr="006E725C">
              <w:rPr>
                <w:lang w:val="en-GB" w:eastAsia="en-US"/>
              </w:rPr>
              <w:t>Agricultural producer prices (including fish</w:t>
            </w:r>
            <w:r w:rsidR="001609AE">
              <w:rPr>
                <w:lang w:val="en-GB" w:eastAsia="en-US"/>
              </w:rPr>
              <w:t>es</w:t>
            </w:r>
            <w:r w:rsidRPr="006E725C">
              <w:rPr>
                <w:lang w:val="en-GB" w:eastAsia="en-US"/>
              </w:rPr>
              <w:t xml:space="preserve">) fell by 14.5% year-on-year in Q4 2023 and the depth of the slump thus nearly did not change against Q3. Prices of both </w:t>
            </w:r>
            <w:r w:rsidR="001609AE">
              <w:rPr>
                <w:lang w:val="en-GB" w:eastAsia="en-US"/>
              </w:rPr>
              <w:t>crop</w:t>
            </w:r>
            <w:r w:rsidRPr="006E725C">
              <w:rPr>
                <w:lang w:val="en-GB" w:eastAsia="en-US"/>
              </w:rPr>
              <w:t xml:space="preserve"> (−16.5%) and animal (−10.9%) production were lower year-on-year. Prices of cereals deeply lagged behind the level of the same period of year 2022 (−36.0%). Prices of wheat, rye, barley, oats as well as corn plummeted by tens of percentages year-on-year. Prices of industrial </w:t>
            </w:r>
            <w:r w:rsidR="001609AE">
              <w:rPr>
                <w:lang w:val="en-GB" w:eastAsia="en-US"/>
              </w:rPr>
              <w:t>crop</w:t>
            </w:r>
            <w:r w:rsidRPr="006E725C">
              <w:rPr>
                <w:lang w:val="en-GB" w:eastAsia="en-US"/>
              </w:rPr>
              <w:t xml:space="preserve">s were by 16.7% lower, in that oil </w:t>
            </w:r>
            <w:r w:rsidR="001609AE">
              <w:rPr>
                <w:lang w:val="en-GB" w:eastAsia="en-US"/>
              </w:rPr>
              <w:t>seeds</w:t>
            </w:r>
            <w:r w:rsidRPr="006E725C">
              <w:rPr>
                <w:lang w:val="en-GB" w:eastAsia="en-US"/>
              </w:rPr>
              <w:t xml:space="preserve"> by more than one third. On the contrary, prices of sugar beet went up by 14.8%. Prices of fo</w:t>
            </w:r>
            <w:r w:rsidR="001609AE">
              <w:rPr>
                <w:lang w:val="en-GB" w:eastAsia="en-US"/>
              </w:rPr>
              <w:t>rage plants</w:t>
            </w:r>
            <w:r w:rsidRPr="006E725C">
              <w:rPr>
                <w:lang w:val="en-GB" w:eastAsia="en-US"/>
              </w:rPr>
              <w:t xml:space="preserve"> were however raised by 17.9% year-on-year, vegetables and </w:t>
            </w:r>
            <w:r w:rsidR="001609AE">
              <w:rPr>
                <w:lang w:val="en-GB" w:eastAsia="en-US"/>
              </w:rPr>
              <w:t xml:space="preserve">horticultural products </w:t>
            </w:r>
            <w:r w:rsidRPr="006E725C">
              <w:rPr>
                <w:lang w:val="en-GB" w:eastAsia="en-US"/>
              </w:rPr>
              <w:t>by 12.5%, potatoes by 34.7% and fruit</w:t>
            </w:r>
            <w:r w:rsidR="001609AE">
              <w:rPr>
                <w:lang w:val="en-GB" w:eastAsia="en-US"/>
              </w:rPr>
              <w:t>s</w:t>
            </w:r>
            <w:r w:rsidRPr="006E725C">
              <w:rPr>
                <w:lang w:val="en-GB" w:eastAsia="en-US"/>
              </w:rPr>
              <w:t xml:space="preserve"> by 32.8% (mainly apples had an effect with more than one third price increase). Within animal production, prices of live animals stagnated year-on-year in Q4 (0.1%), in that however prices of poultry (−6.9%) and beef cattle (−3.1%) were falling and on the contrary prices of pigs and piglets grew (8.7%). Animal products were on the contrary in deep decline (−17.8%). Milk was cheaper year-on-year by 18.7% and eggs by 10.8%.     </w:t>
            </w:r>
          </w:p>
        </w:tc>
      </w:tr>
      <w:tr w:rsidR="00BF5759" w:rsidRPr="006E725C" w14:paraId="7B7C0B85" w14:textId="77777777" w:rsidTr="00EA1EBB">
        <w:trPr>
          <w:trHeight w:val="145"/>
        </w:trPr>
        <w:tc>
          <w:tcPr>
            <w:tcW w:w="1804" w:type="dxa"/>
            <w:hideMark/>
          </w:tcPr>
          <w:p w14:paraId="10A55EA0" w14:textId="38CC6167" w:rsidR="00BF5759" w:rsidRPr="006E725C" w:rsidRDefault="00BF5759" w:rsidP="00BF5759">
            <w:pPr>
              <w:pStyle w:val="Marginlie"/>
              <w:rPr>
                <w:spacing w:val="0"/>
                <w:lang w:val="en-GB" w:eastAsia="en-US"/>
              </w:rPr>
            </w:pPr>
            <w:r w:rsidRPr="006E725C">
              <w:rPr>
                <w:spacing w:val="0"/>
                <w:lang w:val="en-GB" w:eastAsia="en-US"/>
              </w:rPr>
              <w:t xml:space="preserve">Prices of plant production decreased </w:t>
            </w:r>
            <w:r w:rsidRPr="006E725C">
              <w:rPr>
                <w:spacing w:val="0"/>
                <w:lang w:val="en-GB" w:eastAsia="en-US"/>
              </w:rPr>
              <w:lastRenderedPageBreak/>
              <w:t xml:space="preserve">last year, while the animal production in total recorded an increase. </w:t>
            </w:r>
          </w:p>
        </w:tc>
        <w:tc>
          <w:tcPr>
            <w:tcW w:w="224" w:type="dxa"/>
          </w:tcPr>
          <w:p w14:paraId="332BD1BB" w14:textId="77777777" w:rsidR="00BF5759" w:rsidRPr="006E725C" w:rsidRDefault="00BF5759" w:rsidP="00BF5759">
            <w:pPr>
              <w:pStyle w:val="Textpoznpodarou1"/>
              <w:jc w:val="both"/>
              <w:rPr>
                <w:lang w:val="en-GB" w:eastAsia="en-US"/>
              </w:rPr>
            </w:pPr>
          </w:p>
        </w:tc>
        <w:tc>
          <w:tcPr>
            <w:tcW w:w="7611" w:type="dxa"/>
            <w:hideMark/>
          </w:tcPr>
          <w:p w14:paraId="3319AFDA" w14:textId="3CE8E7BD" w:rsidR="00BF5759" w:rsidRPr="006E725C" w:rsidRDefault="00BF5759" w:rsidP="001609AE">
            <w:pPr>
              <w:rPr>
                <w:lang w:val="en-GB" w:eastAsia="en-US"/>
              </w:rPr>
            </w:pPr>
            <w:r w:rsidRPr="006E725C">
              <w:rPr>
                <w:lang w:val="en-GB" w:eastAsia="en-US"/>
              </w:rPr>
              <w:t>Prices of agricultural production including fish</w:t>
            </w:r>
            <w:r w:rsidR="001609AE">
              <w:rPr>
                <w:lang w:val="en-GB" w:eastAsia="en-US"/>
              </w:rPr>
              <w:t>es</w:t>
            </w:r>
            <w:r w:rsidRPr="006E725C">
              <w:rPr>
                <w:lang w:val="en-GB" w:eastAsia="en-US"/>
              </w:rPr>
              <w:t xml:space="preserve"> still grew year-on-year in Q1 (19.4%) and subsequently went down (−8.1% and −14.7% in Q2 and Q3). Prices of agricultural </w:t>
            </w:r>
            <w:r w:rsidRPr="006E725C">
              <w:rPr>
                <w:lang w:val="en-GB" w:eastAsia="en-US"/>
              </w:rPr>
              <w:lastRenderedPageBreak/>
              <w:t xml:space="preserve">production were by 6.0% lower for the whole year. The decrease was mainly supported by the development of prices of the </w:t>
            </w:r>
            <w:r w:rsidR="001609AE">
              <w:rPr>
                <w:lang w:val="en-GB" w:eastAsia="en-US"/>
              </w:rPr>
              <w:t xml:space="preserve">crop </w:t>
            </w:r>
            <w:r w:rsidRPr="006E725C">
              <w:rPr>
                <w:lang w:val="en-GB" w:eastAsia="en-US"/>
              </w:rPr>
              <w:t>product</w:t>
            </w:r>
            <w:r w:rsidR="001609AE">
              <w:rPr>
                <w:lang w:val="en-GB" w:eastAsia="en-US"/>
              </w:rPr>
              <w:t>s</w:t>
            </w:r>
            <w:r w:rsidRPr="006E725C">
              <w:rPr>
                <w:lang w:val="en-GB" w:eastAsia="en-US"/>
              </w:rPr>
              <w:t>, which fell by 13.7%. The comparison with year 2022, when the geopolitical affairs led to sharp hike of prices of key plants, was an important factor. Also for this reason, the prices of cereals (−20.4%, in that wheat by 24.0%) as well as industrial crop</w:t>
            </w:r>
            <w:r w:rsidR="001609AE">
              <w:rPr>
                <w:lang w:val="en-GB" w:eastAsia="en-US"/>
              </w:rPr>
              <w:t>s</w:t>
            </w:r>
            <w:r w:rsidRPr="006E725C">
              <w:rPr>
                <w:lang w:val="en-GB" w:eastAsia="en-US"/>
              </w:rPr>
              <w:t xml:space="preserve"> (−21.8%, in that oil </w:t>
            </w:r>
            <w:r w:rsidR="001609AE">
              <w:rPr>
                <w:lang w:val="en-GB" w:eastAsia="en-US"/>
              </w:rPr>
              <w:t>seeds</w:t>
            </w:r>
            <w:r w:rsidRPr="006E725C">
              <w:rPr>
                <w:lang w:val="en-GB" w:eastAsia="en-US"/>
              </w:rPr>
              <w:t xml:space="preserve"> by 28.8%) plunged last year. On the contrary, the prices of vegetables and </w:t>
            </w:r>
            <w:r w:rsidR="001609AE">
              <w:rPr>
                <w:lang w:val="en-GB" w:eastAsia="en-US"/>
              </w:rPr>
              <w:t>horticultural</w:t>
            </w:r>
            <w:r w:rsidRPr="006E725C">
              <w:rPr>
                <w:lang w:val="en-GB" w:eastAsia="en-US"/>
              </w:rPr>
              <w:t xml:space="preserve"> products were by 15.4% larger last year, potatoes by 39.4% and fruit by 10.4%. Prices of animal production on the contrary increased in total by 7.0% in year 2023. Prices of live animals were higher by 12.6%, in that pigs by 25.0%. Prices of animal products increased by 3.3%. While the prices of milk rather stagnated last year (0.5%), eggs recorded an increase of 28.6%. </w:t>
            </w:r>
          </w:p>
        </w:tc>
      </w:tr>
      <w:tr w:rsidR="00BF5759" w:rsidRPr="006E725C" w14:paraId="57497850" w14:textId="77777777" w:rsidTr="00EA1EBB">
        <w:trPr>
          <w:trHeight w:val="145"/>
        </w:trPr>
        <w:tc>
          <w:tcPr>
            <w:tcW w:w="1804" w:type="dxa"/>
            <w:hideMark/>
          </w:tcPr>
          <w:p w14:paraId="60D2D88A" w14:textId="31F126BF" w:rsidR="00BF5759" w:rsidRPr="006E725C" w:rsidRDefault="00BF5759" w:rsidP="00BF5759">
            <w:pPr>
              <w:pStyle w:val="Marginlie"/>
              <w:rPr>
                <w:spacing w:val="0"/>
                <w:lang w:val="en-GB" w:eastAsia="en-US"/>
              </w:rPr>
            </w:pPr>
            <w:r w:rsidRPr="006E725C">
              <w:rPr>
                <w:spacing w:val="0"/>
                <w:lang w:val="en-GB" w:eastAsia="en-US"/>
              </w:rPr>
              <w:lastRenderedPageBreak/>
              <w:t xml:space="preserve">Prices of export fell year-on-year last year. </w:t>
            </w:r>
          </w:p>
        </w:tc>
        <w:tc>
          <w:tcPr>
            <w:tcW w:w="224" w:type="dxa"/>
          </w:tcPr>
          <w:p w14:paraId="13C9FD47" w14:textId="77777777" w:rsidR="00BF5759" w:rsidRPr="006E725C" w:rsidRDefault="00BF5759" w:rsidP="00BF5759">
            <w:pPr>
              <w:pStyle w:val="Textpoznpodarou1"/>
              <w:jc w:val="both"/>
              <w:rPr>
                <w:lang w:val="en-GB" w:eastAsia="en-US"/>
              </w:rPr>
            </w:pPr>
          </w:p>
        </w:tc>
        <w:tc>
          <w:tcPr>
            <w:tcW w:w="7611" w:type="dxa"/>
            <w:hideMark/>
          </w:tcPr>
          <w:p w14:paraId="470649C9" w14:textId="08E4D12F" w:rsidR="00BF5759" w:rsidRPr="006E725C" w:rsidRDefault="00BF5759" w:rsidP="008E3D0D">
            <w:pPr>
              <w:rPr>
                <w:lang w:val="en-GB" w:eastAsia="en-US"/>
              </w:rPr>
            </w:pPr>
            <w:r w:rsidRPr="006E725C">
              <w:rPr>
                <w:lang w:val="en-GB" w:eastAsia="en-US"/>
              </w:rPr>
              <w:t>Prices of exports of goods in total fell by 0.7% last year. Prices of exports of other materials</w:t>
            </w:r>
            <w:r w:rsidRPr="006E725C">
              <w:rPr>
                <w:rStyle w:val="Znakapoznpodarou"/>
                <w:lang w:val="en-GB" w:eastAsia="en-US"/>
              </w:rPr>
              <w:footnoteReference w:id="6"/>
            </w:r>
            <w:r w:rsidRPr="006E725C">
              <w:rPr>
                <w:lang w:val="en-GB" w:eastAsia="en-US"/>
              </w:rPr>
              <w:t xml:space="preserve"> (−18.6%) and chemicals (−7.2%) dropped the most. On the contrary, prices of beverages sharply increased (16.0%). After year-on-year increase in Q1, the prices of exports were falling in the rest of the year 2023. Prices of exports were by 2.2% lower in Q4 2023. The effect of koruna foreign exchange on the year-on-year development of prices of the international trade weakened towards the end of the year</w:t>
            </w:r>
            <w:r w:rsidRPr="006E725C">
              <w:rPr>
                <w:rStyle w:val="Znakapoznpodarou"/>
                <w:lang w:val="en-GB" w:eastAsia="en-US"/>
              </w:rPr>
              <w:footnoteReference w:id="7"/>
            </w:r>
            <w:r w:rsidRPr="006E725C">
              <w:rPr>
                <w:lang w:val="en-GB" w:eastAsia="en-US"/>
              </w:rPr>
              <w:t>. Prices of exports increased by 0.6% quarter-on-quarter in Q4. Prices of other materials (−14.7%) and mineral fuels (−13.7%) decreased the most year-on-year in Q4. Prices of exports of chemicals (−7.7%), food and live animals (−7.3%) and semi-finished products</w:t>
            </w:r>
            <w:r w:rsidRPr="006E725C">
              <w:rPr>
                <w:rStyle w:val="Znakapoznpodarou"/>
                <w:lang w:val="en-GB" w:eastAsia="en-US"/>
              </w:rPr>
              <w:footnoteReference w:id="8"/>
            </w:r>
            <w:r w:rsidRPr="006E725C">
              <w:rPr>
                <w:lang w:val="en-GB" w:eastAsia="en-US"/>
              </w:rPr>
              <w:t xml:space="preserve"> (−6.8%) were also lower. Similarly to the previous quarters, the prices of beverages also sharply grew in Q4 (11.1%). Year-on-year increase of prices of exports of the </w:t>
            </w:r>
            <w:r w:rsidR="008E3D0D">
              <w:rPr>
                <w:lang w:val="en-GB" w:eastAsia="en-US"/>
              </w:rPr>
              <w:t>m</w:t>
            </w:r>
            <w:r w:rsidR="008E3D0D" w:rsidRPr="008E3D0D">
              <w:rPr>
                <w:lang w:val="en-GB" w:eastAsia="en-US"/>
              </w:rPr>
              <w:t xml:space="preserve">iscellaneous manufactured articles </w:t>
            </w:r>
            <w:r w:rsidRPr="006E725C">
              <w:rPr>
                <w:lang w:val="en-GB" w:eastAsia="en-US"/>
              </w:rPr>
              <w:t>(4.1%) and machinery and transport equipment (2.8%) strengthened.</w:t>
            </w:r>
          </w:p>
        </w:tc>
      </w:tr>
      <w:tr w:rsidR="00BF5759" w:rsidRPr="006E725C" w14:paraId="53F95227" w14:textId="77777777" w:rsidTr="00EA1EBB">
        <w:trPr>
          <w:trHeight w:val="145"/>
        </w:trPr>
        <w:tc>
          <w:tcPr>
            <w:tcW w:w="1804" w:type="dxa"/>
            <w:hideMark/>
          </w:tcPr>
          <w:p w14:paraId="38997C2A" w14:textId="2A2EF6CA" w:rsidR="00BF5759" w:rsidRPr="006E725C" w:rsidRDefault="00BF5759" w:rsidP="00BF5759">
            <w:pPr>
              <w:pStyle w:val="Marginlie"/>
              <w:rPr>
                <w:spacing w:val="0"/>
                <w:lang w:val="en-GB" w:eastAsia="en-US"/>
              </w:rPr>
            </w:pPr>
            <w:r w:rsidRPr="006E725C">
              <w:rPr>
                <w:spacing w:val="0"/>
                <w:lang w:val="en-GB" w:eastAsia="en-US"/>
              </w:rPr>
              <w:t xml:space="preserve">Terms of trade were markedly positive last year. </w:t>
            </w:r>
          </w:p>
        </w:tc>
        <w:tc>
          <w:tcPr>
            <w:tcW w:w="224" w:type="dxa"/>
          </w:tcPr>
          <w:p w14:paraId="733D2EB2" w14:textId="77777777" w:rsidR="00BF5759" w:rsidRPr="006E725C" w:rsidRDefault="00BF5759" w:rsidP="00BF5759">
            <w:pPr>
              <w:pStyle w:val="Textpoznpodarou1"/>
              <w:jc w:val="both"/>
              <w:rPr>
                <w:lang w:val="en-GB" w:eastAsia="en-US"/>
              </w:rPr>
            </w:pPr>
          </w:p>
        </w:tc>
        <w:tc>
          <w:tcPr>
            <w:tcW w:w="7611" w:type="dxa"/>
            <w:hideMark/>
          </w:tcPr>
          <w:p w14:paraId="0D3561E5" w14:textId="18C57BA9" w:rsidR="00BF5759" w:rsidRPr="006E725C" w:rsidRDefault="00BF5759" w:rsidP="008E3D0D">
            <w:pPr>
              <w:rPr>
                <w:lang w:val="en-GB" w:eastAsia="en-US"/>
              </w:rPr>
            </w:pPr>
            <w:r w:rsidRPr="006E725C">
              <w:rPr>
                <w:lang w:val="en-GB" w:eastAsia="en-US"/>
              </w:rPr>
              <w:t xml:space="preserve">Import prices of goods fell in total by 5.7% last year. The decrease was mainly the result of development of prices of mineral fuels (−27.7%) and other materials (−10.7%). Prices of imports of chemical products were also in deep decrease (−7.9%). On the contrary, prices of beverages and tobacco increased by more than one fifth (22.7%). In Q4 2023 itself, the prices of import fell by 6.1% year-on-year, while they grew by 1.5% quarter-on-quarter. Prices of imports of mineral fuels (−28.7%), other materials (−9.6%), chemical products (−8.0%) and semi-finished products (−5.9%) increased the most year-on-year in Q4. On the contrary, prices of imports of beverages and tobacco (23.9%), </w:t>
            </w:r>
            <w:r w:rsidR="008E3D0D">
              <w:rPr>
                <w:lang w:val="en-GB" w:eastAsia="en-US"/>
              </w:rPr>
              <w:t xml:space="preserve">miscellaneous manufactured articles </w:t>
            </w:r>
            <w:r w:rsidRPr="006E725C">
              <w:rPr>
                <w:lang w:val="en-GB" w:eastAsia="en-US"/>
              </w:rPr>
              <w:t xml:space="preserve">(2.3%), food and live animals (1.7%), machinery and transport equipment (0.3%) were higher year-on-year. Year-on-year terms of trade of international trade of goods remained in greatly positive band. Total terms of trade reached 105.3% for year 2023. Terms of trade were 104.2% year-on-year in Q4 itself. Trade with mineral fuels (121.0%), machinery and transport equipment (102.4%), </w:t>
            </w:r>
            <w:r w:rsidR="008E3D0D">
              <w:rPr>
                <w:lang w:val="en-GB" w:eastAsia="en-US"/>
              </w:rPr>
              <w:t xml:space="preserve">miscellaneous manufactured articles </w:t>
            </w:r>
            <w:r w:rsidRPr="006E725C">
              <w:rPr>
                <w:lang w:val="en-GB" w:eastAsia="en-US"/>
              </w:rPr>
              <w:t xml:space="preserve">(101.8%) and chemicals (100.3%) had positive terms of trade. In contrast, trade with beverages and tobacco (89.7%), food and live animals (91.2%), other materials (94.4%) and semi-finished products (99.0%) featured negative terms of trade. </w:t>
            </w:r>
          </w:p>
        </w:tc>
      </w:tr>
    </w:tbl>
    <w:p w14:paraId="6FD91E5A" w14:textId="1416C17B" w:rsidR="00106BCC" w:rsidRPr="006E725C" w:rsidRDefault="00106BCC" w:rsidP="001E1AF1">
      <w:pPr>
        <w:pStyle w:val="Nadpis11"/>
        <w:rPr>
          <w:sz w:val="2"/>
          <w:szCs w:val="2"/>
          <w:lang w:val="en-GB"/>
        </w:rPr>
      </w:pPr>
      <w:bookmarkStart w:id="3" w:name="_GoBack"/>
      <w:bookmarkEnd w:id="0"/>
      <w:bookmarkEnd w:id="3"/>
    </w:p>
    <w:sectPr w:rsidR="00106BCC" w:rsidRPr="006E725C" w:rsidSect="00D25AD0">
      <w:headerReference w:type="even" r:id="rId15"/>
      <w:headerReference w:type="default" r:id="rId16"/>
      <w:footerReference w:type="even" r:id="rId17"/>
      <w:footerReference w:type="default" r:id="rId18"/>
      <w:pgSz w:w="11906" w:h="16838" w:code="9"/>
      <w:pgMar w:top="1134" w:right="1134" w:bottom="1418" w:left="1134" w:header="680" w:footer="737"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5E54" w14:textId="77777777" w:rsidR="003B4260" w:rsidRDefault="003B4260" w:rsidP="00E71A58">
      <w:r>
        <w:separator/>
      </w:r>
    </w:p>
  </w:endnote>
  <w:endnote w:type="continuationSeparator" w:id="0">
    <w:p w14:paraId="4A502AE6" w14:textId="77777777" w:rsidR="003B4260" w:rsidRDefault="003B426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0322B173" w:rsidR="003B4260" w:rsidRPr="00932443" w:rsidRDefault="003B4260"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D25AD0">
      <w:rPr>
        <w:szCs w:val="16"/>
      </w:rPr>
      <w:t>32</w:t>
    </w:r>
    <w:r w:rsidRPr="00932443">
      <w:rPr>
        <w:szCs w:val="16"/>
      </w:rPr>
      <w:fldChar w:fldCharType="end"/>
    </w:r>
    <w:r w:rsidRPr="00932443">
      <w:rPr>
        <w:szCs w:val="16"/>
      </w:rPr>
      <w:tab/>
    </w:r>
    <w:r>
      <w:rPr>
        <w:szCs w:val="16"/>
      </w:rPr>
      <w:t>year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01FA99C7" w:rsidR="003B4260" w:rsidRPr="00932443" w:rsidRDefault="003B4260" w:rsidP="00FA6CB6">
    <w:pPr>
      <w:pStyle w:val="Zpat"/>
      <w:rPr>
        <w:szCs w:val="16"/>
      </w:rPr>
    </w:pPr>
    <w:r>
      <w:rPr>
        <w:lang w:eastAsia="cs-CZ"/>
      </w:rPr>
      <w:drawing>
        <wp:anchor distT="0" distB="0" distL="114300" distR="114300" simplePos="0" relativeHeight="251670016" behindDoc="0" locked="0" layoutInCell="1" allowOverlap="1" wp14:anchorId="61E29A61" wp14:editId="1E02F1E3">
          <wp:simplePos x="0" y="0"/>
          <wp:positionH relativeFrom="margin">
            <wp:posOffset>17145</wp:posOffset>
          </wp:positionH>
          <wp:positionV relativeFrom="paragraph">
            <wp:posOffset>-55657</wp:posOffset>
          </wp:positionV>
          <wp:extent cx="676910" cy="201930"/>
          <wp:effectExtent l="0" t="0" r="8890" b="7620"/>
          <wp:wrapNone/>
          <wp:docPr id="3"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D25AD0">
      <w:rPr>
        <w:rStyle w:val="ZpatChar"/>
        <w:szCs w:val="16"/>
      </w:rPr>
      <w:t>31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3BD3" w14:textId="77777777" w:rsidR="003B4260" w:rsidRDefault="003B4260" w:rsidP="00A21B4D">
      <w:pPr>
        <w:spacing w:after="0"/>
      </w:pPr>
      <w:r>
        <w:separator/>
      </w:r>
    </w:p>
  </w:footnote>
  <w:footnote w:type="continuationSeparator" w:id="0">
    <w:p w14:paraId="225CD336" w14:textId="77777777" w:rsidR="003B4260" w:rsidRDefault="003B4260" w:rsidP="00E71A58">
      <w:r>
        <w:continuationSeparator/>
      </w:r>
    </w:p>
  </w:footnote>
  <w:footnote w:id="1">
    <w:p w14:paraId="6C72D3BA" w14:textId="36663CFD" w:rsidR="003B4260" w:rsidRPr="000B1A37" w:rsidRDefault="003B4260" w:rsidP="004E0434">
      <w:pPr>
        <w:pStyle w:val="Textpoznpodarou"/>
        <w:jc w:val="both"/>
        <w:rPr>
          <w:sz w:val="16"/>
          <w:szCs w:val="16"/>
        </w:rPr>
      </w:pPr>
      <w:r>
        <w:rPr>
          <w:rStyle w:val="Znakapoznpodarou"/>
          <w:sz w:val="16"/>
          <w:szCs w:val="16"/>
        </w:rPr>
        <w:footnoteRef/>
      </w:r>
      <w:r>
        <w:rPr>
          <w:sz w:val="16"/>
          <w:szCs w:val="16"/>
        </w:rPr>
        <w:t xml:space="preserve"> </w:t>
      </w:r>
      <w:r w:rsidRPr="00A14F4D">
        <w:rPr>
          <w:sz w:val="16"/>
          <w:szCs w:val="16"/>
          <w:lang w:val="en-GB"/>
        </w:rPr>
        <w:t xml:space="preserve">Imputed rent expresses the cost of owner living. Apart from prices of housing themselves, it also contains the cost of construction and renovation and further fees. </w:t>
      </w:r>
      <w:hyperlink r:id="rId1" w:history="1">
        <w:r>
          <w:rPr>
            <w:rStyle w:val="Hypertextovodkaz"/>
            <w:sz w:val="16"/>
            <w:szCs w:val="16"/>
          </w:rPr>
          <w:t>https://www.czso.cz/csu/czso/methodological-note-to-consumer-price-index-imputed-rentals</w:t>
        </w:r>
      </w:hyperlink>
      <w:r w:rsidRPr="000B1A37">
        <w:rPr>
          <w:rStyle w:val="Hypertextovodkaz"/>
          <w:sz w:val="16"/>
          <w:szCs w:val="16"/>
        </w:rPr>
        <w:t>.</w:t>
      </w:r>
    </w:p>
  </w:footnote>
  <w:footnote w:id="2">
    <w:p w14:paraId="0C3183EE" w14:textId="2A0904D6" w:rsidR="003B4260" w:rsidRPr="0034741E" w:rsidRDefault="003B4260" w:rsidP="0034741E">
      <w:pPr>
        <w:pStyle w:val="Textpoznpodarou"/>
        <w:jc w:val="both"/>
        <w:rPr>
          <w:sz w:val="16"/>
          <w:szCs w:val="16"/>
          <w:lang w:val="en-GB"/>
        </w:rPr>
      </w:pPr>
      <w:r>
        <w:rPr>
          <w:rStyle w:val="Znakapoznpodarou"/>
          <w:sz w:val="16"/>
          <w:szCs w:val="16"/>
        </w:rPr>
        <w:footnoteRef/>
      </w:r>
      <w:r>
        <w:rPr>
          <w:sz w:val="16"/>
          <w:szCs w:val="16"/>
        </w:rPr>
        <w:t xml:space="preserve"> </w:t>
      </w:r>
      <w:r w:rsidRPr="00247B13">
        <w:rPr>
          <w:sz w:val="16"/>
          <w:szCs w:val="16"/>
          <w:lang w:val="en-GB"/>
        </w:rPr>
        <w:t>Co</w:t>
      </w:r>
      <w:r>
        <w:rPr>
          <w:sz w:val="16"/>
          <w:szCs w:val="16"/>
          <w:lang w:val="en-GB"/>
        </w:rPr>
        <w:t xml:space="preserve">ntains </w:t>
      </w:r>
      <w:r w:rsidRPr="00247B13">
        <w:rPr>
          <w:sz w:val="16"/>
          <w:szCs w:val="16"/>
          <w:lang w:val="en-GB"/>
        </w:rPr>
        <w:t>services of personal care and personal need</w:t>
      </w:r>
      <w:r>
        <w:rPr>
          <w:sz w:val="16"/>
          <w:szCs w:val="16"/>
          <w:lang w:val="en-GB"/>
        </w:rPr>
        <w:t>s</w:t>
      </w:r>
      <w:r w:rsidRPr="00247B13">
        <w:rPr>
          <w:sz w:val="16"/>
          <w:szCs w:val="16"/>
          <w:lang w:val="en-GB"/>
        </w:rPr>
        <w:t xml:space="preserve"> and accessories, social care, insurance and further financial services etc</w:t>
      </w:r>
      <w:r>
        <w:rPr>
          <w:sz w:val="16"/>
          <w:szCs w:val="16"/>
          <w:lang w:val="en-GB"/>
        </w:rPr>
        <w:t xml:space="preserve">. </w:t>
      </w:r>
    </w:p>
  </w:footnote>
  <w:footnote w:id="3">
    <w:p w14:paraId="629EF097" w14:textId="50306A91" w:rsidR="003B4260" w:rsidRPr="00E749D9" w:rsidRDefault="003B4260" w:rsidP="00E749D9">
      <w:pPr>
        <w:pStyle w:val="Textpoznpodarou"/>
        <w:jc w:val="both"/>
        <w:rPr>
          <w:sz w:val="16"/>
          <w:szCs w:val="16"/>
        </w:rPr>
      </w:pPr>
      <w:r w:rsidRPr="0034741E">
        <w:rPr>
          <w:rStyle w:val="Znakapoznpodarou"/>
          <w:sz w:val="16"/>
          <w:szCs w:val="16"/>
          <w:lang w:val="en-GB"/>
        </w:rPr>
        <w:footnoteRef/>
      </w:r>
      <w:r w:rsidRPr="0034741E">
        <w:rPr>
          <w:sz w:val="16"/>
          <w:szCs w:val="16"/>
          <w:lang w:val="en-GB"/>
        </w:rPr>
        <w:t xml:space="preserve"> </w:t>
      </w:r>
      <w:r>
        <w:rPr>
          <w:sz w:val="16"/>
          <w:szCs w:val="16"/>
          <w:lang w:val="en-GB"/>
        </w:rPr>
        <w:t xml:space="preserve">Contrary to the consumer price index, which is compiled by the CZSO for the Czech economy, </w:t>
      </w:r>
      <w:r w:rsidRPr="00B10B82">
        <w:rPr>
          <w:sz w:val="16"/>
          <w:szCs w:val="16"/>
          <w:lang w:val="en-GB"/>
        </w:rPr>
        <w:t>HICP</w:t>
      </w:r>
      <w:r>
        <w:rPr>
          <w:sz w:val="16"/>
          <w:szCs w:val="16"/>
          <w:lang w:val="en-GB"/>
        </w:rPr>
        <w:t xml:space="preserve"> does not include imputed rent, which is the main reason for the difference between the HICP and Consumer price index. </w:t>
      </w:r>
    </w:p>
  </w:footnote>
  <w:footnote w:id="4">
    <w:p w14:paraId="377F5246" w14:textId="77777777" w:rsidR="003B4260" w:rsidRDefault="003B4260" w:rsidP="004135BB">
      <w:pPr>
        <w:pStyle w:val="Textpoznpodarou"/>
        <w:jc w:val="both"/>
        <w:rPr>
          <w:sz w:val="16"/>
          <w:szCs w:val="16"/>
        </w:rPr>
      </w:pPr>
      <w:r>
        <w:rPr>
          <w:rStyle w:val="Znakapoznpodarou"/>
          <w:sz w:val="16"/>
          <w:szCs w:val="16"/>
        </w:rPr>
        <w:footnoteRef/>
      </w:r>
      <w:r>
        <w:rPr>
          <w:sz w:val="16"/>
          <w:szCs w:val="16"/>
        </w:rPr>
        <w:t xml:space="preserve"> Precise </w:t>
      </w:r>
      <w:r w:rsidRPr="00E35D83">
        <w:rPr>
          <w:sz w:val="16"/>
          <w:szCs w:val="16"/>
          <w:lang w:val="en-GB"/>
        </w:rPr>
        <w:t>values of the indicator are not provided due to the protection of individual data.</w:t>
      </w:r>
      <w:r>
        <w:rPr>
          <w:sz w:val="16"/>
          <w:szCs w:val="16"/>
          <w:lang w:val="en-GB"/>
        </w:rPr>
        <w:t xml:space="preserve"> </w:t>
      </w:r>
    </w:p>
  </w:footnote>
  <w:footnote w:id="5">
    <w:p w14:paraId="12940FA8" w14:textId="45DD58B6" w:rsidR="003B4260" w:rsidRDefault="003B4260" w:rsidP="00CD3D33">
      <w:pPr>
        <w:pStyle w:val="Textpoznpodarou"/>
        <w:rPr>
          <w:sz w:val="16"/>
          <w:szCs w:val="16"/>
        </w:rPr>
      </w:pPr>
      <w:r>
        <w:rPr>
          <w:rStyle w:val="Znakapoznpodarou"/>
          <w:sz w:val="16"/>
          <w:szCs w:val="16"/>
        </w:rPr>
        <w:footnoteRef/>
      </w:r>
      <w:r>
        <w:rPr>
          <w:sz w:val="16"/>
          <w:szCs w:val="16"/>
        </w:rPr>
        <w:t xml:space="preserve"> </w:t>
      </w:r>
      <w:r w:rsidRPr="00DE6E29">
        <w:rPr>
          <w:sz w:val="16"/>
          <w:szCs w:val="16"/>
          <w:lang w:val="en-GB"/>
        </w:rPr>
        <w:t xml:space="preserve">Without prices of water distribution and </w:t>
      </w:r>
      <w:r>
        <w:rPr>
          <w:sz w:val="16"/>
          <w:szCs w:val="16"/>
          <w:lang w:val="en-GB"/>
        </w:rPr>
        <w:t>s</w:t>
      </w:r>
      <w:r w:rsidRPr="00DE6E29">
        <w:rPr>
          <w:sz w:val="16"/>
          <w:szCs w:val="16"/>
          <w:lang w:val="en-GB"/>
        </w:rPr>
        <w:t xml:space="preserve">ervices associated with wastewaters. </w:t>
      </w:r>
    </w:p>
  </w:footnote>
  <w:footnote w:id="6">
    <w:p w14:paraId="55295887" w14:textId="603AD61F" w:rsidR="003B4260" w:rsidRPr="00040D93" w:rsidRDefault="003B4260" w:rsidP="00040D93">
      <w:pPr>
        <w:pStyle w:val="Textpoznpodarou"/>
        <w:jc w:val="both"/>
        <w:rPr>
          <w:sz w:val="16"/>
          <w:szCs w:val="16"/>
          <w:lang w:val="en-GB"/>
        </w:rPr>
      </w:pPr>
      <w:r>
        <w:rPr>
          <w:rStyle w:val="Znakapoznpodarou"/>
          <w:sz w:val="16"/>
          <w:szCs w:val="16"/>
        </w:rPr>
        <w:footnoteRef/>
      </w:r>
      <w:r>
        <w:rPr>
          <w:sz w:val="16"/>
          <w:szCs w:val="16"/>
        </w:rPr>
        <w:t xml:space="preserve"> </w:t>
      </w:r>
      <w:r w:rsidRPr="00940B11">
        <w:rPr>
          <w:sz w:val="16"/>
          <w:szCs w:val="16"/>
        </w:rPr>
        <w:t>SITC</w:t>
      </w:r>
      <w:r>
        <w:rPr>
          <w:sz w:val="16"/>
          <w:szCs w:val="16"/>
        </w:rPr>
        <w:t> </w:t>
      </w:r>
      <w:r w:rsidRPr="00940B11">
        <w:rPr>
          <w:sz w:val="16"/>
          <w:szCs w:val="16"/>
        </w:rPr>
        <w:t>2</w:t>
      </w:r>
      <w:r>
        <w:rPr>
          <w:sz w:val="16"/>
          <w:szCs w:val="16"/>
        </w:rPr>
        <w:t> </w:t>
      </w:r>
      <w:r w:rsidRPr="00940B11">
        <w:rPr>
          <w:sz w:val="16"/>
          <w:szCs w:val="16"/>
        </w:rPr>
        <w:t xml:space="preserve">– </w:t>
      </w:r>
      <w:r w:rsidRPr="00A25E62">
        <w:rPr>
          <w:sz w:val="16"/>
          <w:szCs w:val="16"/>
          <w:lang w:val="en-GB"/>
        </w:rPr>
        <w:t>crude materials inedible, except fuels</w:t>
      </w:r>
      <w:r>
        <w:rPr>
          <w:sz w:val="16"/>
          <w:szCs w:val="16"/>
          <w:lang w:val="en-GB"/>
        </w:rPr>
        <w:t xml:space="preserve">. </w:t>
      </w:r>
    </w:p>
  </w:footnote>
  <w:footnote w:id="7">
    <w:p w14:paraId="2E360B3C" w14:textId="6C4EB1CA" w:rsidR="003B4260" w:rsidRPr="00040D93" w:rsidRDefault="003B4260" w:rsidP="00C733B3">
      <w:pPr>
        <w:pStyle w:val="Textpoznpodarou"/>
        <w:jc w:val="both"/>
        <w:rPr>
          <w:sz w:val="16"/>
          <w:szCs w:val="16"/>
          <w:lang w:val="en-GB"/>
        </w:rPr>
      </w:pPr>
      <w:r w:rsidRPr="00040D93">
        <w:rPr>
          <w:rStyle w:val="Znakapoznpodarou"/>
          <w:sz w:val="16"/>
          <w:szCs w:val="16"/>
          <w:lang w:val="en-GB"/>
        </w:rPr>
        <w:footnoteRef/>
      </w:r>
      <w:r w:rsidRPr="00040D93">
        <w:rPr>
          <w:sz w:val="16"/>
          <w:szCs w:val="16"/>
          <w:lang w:val="en-GB"/>
        </w:rPr>
        <w:t xml:space="preserve"> </w:t>
      </w:r>
      <w:r>
        <w:rPr>
          <w:sz w:val="16"/>
          <w:szCs w:val="16"/>
          <w:lang w:val="en-GB"/>
        </w:rPr>
        <w:t>Based on the CNB data, th</w:t>
      </w:r>
      <w:r w:rsidRPr="00A25E62">
        <w:rPr>
          <w:sz w:val="16"/>
          <w:szCs w:val="16"/>
          <w:lang w:val="en-GB"/>
        </w:rPr>
        <w:t xml:space="preserve">e average koruna foreign </w:t>
      </w:r>
      <w:r>
        <w:rPr>
          <w:sz w:val="16"/>
          <w:szCs w:val="16"/>
          <w:lang w:val="en-GB"/>
        </w:rPr>
        <w:t>e</w:t>
      </w:r>
      <w:r w:rsidRPr="00A25E62">
        <w:rPr>
          <w:sz w:val="16"/>
          <w:szCs w:val="16"/>
          <w:lang w:val="en-GB"/>
        </w:rPr>
        <w:t xml:space="preserve">xchange per euro reached </w:t>
      </w:r>
      <w:r>
        <w:rPr>
          <w:sz w:val="16"/>
          <w:szCs w:val="16"/>
          <w:lang w:val="en-GB"/>
        </w:rPr>
        <w:t xml:space="preserve">2.521 CZK/EUR in Q4 2023. It was 24.387 CZK/EUR in the year 2022. Koruna foreign exchange per dollar markedly strengthened year-on-year. </w:t>
      </w:r>
      <w:r w:rsidRPr="00A25E62">
        <w:rPr>
          <w:sz w:val="16"/>
          <w:szCs w:val="16"/>
          <w:lang w:val="en-GB"/>
        </w:rPr>
        <w:t>The average was 2</w:t>
      </w:r>
      <w:r>
        <w:rPr>
          <w:sz w:val="16"/>
          <w:szCs w:val="16"/>
          <w:lang w:val="en-GB"/>
        </w:rPr>
        <w:t>3</w:t>
      </w:r>
      <w:r w:rsidRPr="00A25E62">
        <w:rPr>
          <w:sz w:val="16"/>
          <w:szCs w:val="16"/>
          <w:lang w:val="en-GB"/>
        </w:rPr>
        <w:t>.</w:t>
      </w:r>
      <w:r>
        <w:rPr>
          <w:sz w:val="16"/>
          <w:szCs w:val="16"/>
          <w:lang w:val="en-GB"/>
        </w:rPr>
        <w:t>923</w:t>
      </w:r>
      <w:r w:rsidRPr="00A25E62">
        <w:rPr>
          <w:sz w:val="16"/>
          <w:szCs w:val="16"/>
          <w:lang w:val="en-GB"/>
        </w:rPr>
        <w:t> CZK/USD</w:t>
      </w:r>
      <w:r>
        <w:rPr>
          <w:sz w:val="16"/>
          <w:szCs w:val="16"/>
          <w:lang w:val="en-GB"/>
        </w:rPr>
        <w:t xml:space="preserve"> in Q4 2022 and 22.820 CZK/USD this year.</w:t>
      </w:r>
    </w:p>
  </w:footnote>
  <w:footnote w:id="8">
    <w:p w14:paraId="6A59CE9E" w14:textId="23F25F9C" w:rsidR="003B4260" w:rsidRPr="00040D93" w:rsidRDefault="003B4260" w:rsidP="00040D93">
      <w:pPr>
        <w:pStyle w:val="Textpoznpodarou"/>
        <w:jc w:val="both"/>
        <w:rPr>
          <w:sz w:val="16"/>
          <w:szCs w:val="16"/>
          <w:lang w:val="en-GB"/>
        </w:rPr>
      </w:pPr>
      <w:r w:rsidRPr="00040D93">
        <w:rPr>
          <w:rStyle w:val="Znakapoznpodarou"/>
          <w:sz w:val="16"/>
          <w:szCs w:val="16"/>
          <w:lang w:val="en-GB"/>
        </w:rPr>
        <w:footnoteRef/>
      </w:r>
      <w:r w:rsidRPr="00040D93">
        <w:rPr>
          <w:sz w:val="16"/>
          <w:szCs w:val="16"/>
          <w:lang w:val="en-GB"/>
        </w:rPr>
        <w:t xml:space="preserve"> </w:t>
      </w:r>
      <w:r w:rsidRPr="00940B11">
        <w:rPr>
          <w:sz w:val="16"/>
          <w:szCs w:val="16"/>
        </w:rPr>
        <w:t>SITC</w:t>
      </w:r>
      <w:r>
        <w:rPr>
          <w:sz w:val="16"/>
          <w:szCs w:val="16"/>
        </w:rPr>
        <w:t> </w:t>
      </w:r>
      <w:r w:rsidRPr="00940B11">
        <w:rPr>
          <w:sz w:val="16"/>
          <w:szCs w:val="16"/>
        </w:rPr>
        <w:t>6</w:t>
      </w:r>
      <w:r>
        <w:rPr>
          <w:sz w:val="16"/>
          <w:szCs w:val="16"/>
        </w:rPr>
        <w:t> </w:t>
      </w:r>
      <w:r w:rsidRPr="00940B11">
        <w:rPr>
          <w:sz w:val="16"/>
          <w:szCs w:val="16"/>
        </w:rPr>
        <w:t xml:space="preserve">– </w:t>
      </w:r>
      <w:r w:rsidRPr="00A25E62">
        <w:rPr>
          <w:sz w:val="16"/>
          <w:szCs w:val="16"/>
          <w:lang w:val="en-GB"/>
        </w:rPr>
        <w:t>m</w:t>
      </w:r>
      <w:r w:rsidRPr="00217809">
        <w:rPr>
          <w:sz w:val="16"/>
          <w:szCs w:val="16"/>
          <w:lang w:val="en-GB"/>
        </w:rPr>
        <w:t>anufactured goods classified chiefly by material</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3CA608AA" w:rsidR="003B4260" w:rsidRDefault="003B4260" w:rsidP="00937AE2">
    <w:pPr>
      <w:pStyle w:val="Zhlav"/>
    </w:pPr>
    <w:r>
      <w:t>The Czech Economy Development</w:t>
    </w:r>
  </w:p>
  <w:p w14:paraId="3E881AB3" w14:textId="77777777" w:rsidR="003B4260" w:rsidRPr="006F5416" w:rsidRDefault="003B4260"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22785F80" w:rsidR="003B4260" w:rsidRDefault="003B4260" w:rsidP="00937AE2">
    <w:pPr>
      <w:pStyle w:val="Zhlav"/>
    </w:pPr>
    <w:r>
      <w:t>The Czech Economy Development</w:t>
    </w:r>
  </w:p>
  <w:p w14:paraId="57266714" w14:textId="77777777" w:rsidR="003B4260" w:rsidRPr="006F5416" w:rsidRDefault="003B4260"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5C59E0"/>
    <w:multiLevelType w:val="multilevel"/>
    <w:tmpl w:val="74A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AB4B86"/>
    <w:multiLevelType w:val="multilevel"/>
    <w:tmpl w:val="52D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6C06F7"/>
    <w:multiLevelType w:val="multilevel"/>
    <w:tmpl w:val="AF4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3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4077D1"/>
    <w:multiLevelType w:val="multilevel"/>
    <w:tmpl w:val="B70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9A0FF0"/>
    <w:multiLevelType w:val="hybridMultilevel"/>
    <w:tmpl w:val="3D88D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67F0B9"/>
    <w:multiLevelType w:val="hybridMultilevel"/>
    <w:tmpl w:val="9B0C99B6"/>
    <w:lvl w:ilvl="0" w:tplc="5FC8F242">
      <w:start w:val="1"/>
      <w:numFmt w:val="bullet"/>
      <w:lvlText w:val=""/>
      <w:lvlJc w:val="left"/>
      <w:pPr>
        <w:ind w:left="720" w:hanging="360"/>
      </w:pPr>
      <w:rPr>
        <w:rFonts w:ascii="Symbol" w:hAnsi="Symbol" w:hint="default"/>
      </w:rPr>
    </w:lvl>
    <w:lvl w:ilvl="1" w:tplc="5E7298D6">
      <w:start w:val="1"/>
      <w:numFmt w:val="bullet"/>
      <w:lvlText w:val="o"/>
      <w:lvlJc w:val="left"/>
      <w:pPr>
        <w:ind w:left="1440" w:hanging="360"/>
      </w:pPr>
      <w:rPr>
        <w:rFonts w:ascii="Courier New" w:hAnsi="Courier New" w:hint="default"/>
      </w:rPr>
    </w:lvl>
    <w:lvl w:ilvl="2" w:tplc="F418EABE">
      <w:start w:val="1"/>
      <w:numFmt w:val="bullet"/>
      <w:lvlText w:val=""/>
      <w:lvlJc w:val="left"/>
      <w:pPr>
        <w:ind w:left="2160" w:hanging="360"/>
      </w:pPr>
      <w:rPr>
        <w:rFonts w:ascii="Wingdings" w:hAnsi="Wingdings" w:hint="default"/>
      </w:rPr>
    </w:lvl>
    <w:lvl w:ilvl="3" w:tplc="0F78DB5E">
      <w:start w:val="1"/>
      <w:numFmt w:val="bullet"/>
      <w:lvlText w:val=""/>
      <w:lvlJc w:val="left"/>
      <w:pPr>
        <w:ind w:left="2880" w:hanging="360"/>
      </w:pPr>
      <w:rPr>
        <w:rFonts w:ascii="Symbol" w:hAnsi="Symbol" w:hint="default"/>
      </w:rPr>
    </w:lvl>
    <w:lvl w:ilvl="4" w:tplc="29062F28">
      <w:start w:val="1"/>
      <w:numFmt w:val="bullet"/>
      <w:lvlText w:val="o"/>
      <w:lvlJc w:val="left"/>
      <w:pPr>
        <w:ind w:left="3600" w:hanging="360"/>
      </w:pPr>
      <w:rPr>
        <w:rFonts w:ascii="Courier New" w:hAnsi="Courier New" w:hint="default"/>
      </w:rPr>
    </w:lvl>
    <w:lvl w:ilvl="5" w:tplc="A1920AAC">
      <w:start w:val="1"/>
      <w:numFmt w:val="bullet"/>
      <w:lvlText w:val=""/>
      <w:lvlJc w:val="left"/>
      <w:pPr>
        <w:ind w:left="4320" w:hanging="360"/>
      </w:pPr>
      <w:rPr>
        <w:rFonts w:ascii="Wingdings" w:hAnsi="Wingdings" w:hint="default"/>
      </w:rPr>
    </w:lvl>
    <w:lvl w:ilvl="6" w:tplc="E4A63608">
      <w:start w:val="1"/>
      <w:numFmt w:val="bullet"/>
      <w:lvlText w:val=""/>
      <w:lvlJc w:val="left"/>
      <w:pPr>
        <w:ind w:left="5040" w:hanging="360"/>
      </w:pPr>
      <w:rPr>
        <w:rFonts w:ascii="Symbol" w:hAnsi="Symbol" w:hint="default"/>
      </w:rPr>
    </w:lvl>
    <w:lvl w:ilvl="7" w:tplc="320420C0">
      <w:start w:val="1"/>
      <w:numFmt w:val="bullet"/>
      <w:lvlText w:val="o"/>
      <w:lvlJc w:val="left"/>
      <w:pPr>
        <w:ind w:left="5760" w:hanging="360"/>
      </w:pPr>
      <w:rPr>
        <w:rFonts w:ascii="Courier New" w:hAnsi="Courier New" w:hint="default"/>
      </w:rPr>
    </w:lvl>
    <w:lvl w:ilvl="8" w:tplc="F24CCE7A">
      <w:start w:val="1"/>
      <w:numFmt w:val="bullet"/>
      <w:lvlText w:val=""/>
      <w:lvlJc w:val="left"/>
      <w:pPr>
        <w:ind w:left="6480" w:hanging="360"/>
      </w:pPr>
      <w:rPr>
        <w:rFonts w:ascii="Wingdings" w:hAnsi="Wingdings" w:hint="default"/>
      </w:rPr>
    </w:lvl>
  </w:abstractNum>
  <w:abstractNum w:abstractNumId="43" w15:restartNumberingAfterBreak="0">
    <w:nsid w:val="71CC6022"/>
    <w:multiLevelType w:val="multilevel"/>
    <w:tmpl w:val="70CA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819D0"/>
    <w:multiLevelType w:val="multilevel"/>
    <w:tmpl w:val="DBA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7"/>
  </w:num>
  <w:num w:numId="14">
    <w:abstractNumId w:val="14"/>
  </w:num>
  <w:num w:numId="15">
    <w:abstractNumId w:val="23"/>
  </w:num>
  <w:num w:numId="16">
    <w:abstractNumId w:val="18"/>
  </w:num>
  <w:num w:numId="17">
    <w:abstractNumId w:val="38"/>
  </w:num>
  <w:num w:numId="18">
    <w:abstractNumId w:val="29"/>
  </w:num>
  <w:num w:numId="19">
    <w:abstractNumId w:val="41"/>
  </w:num>
  <w:num w:numId="20">
    <w:abstractNumId w:val="44"/>
  </w:num>
  <w:num w:numId="21">
    <w:abstractNumId w:val="36"/>
  </w:num>
  <w:num w:numId="22">
    <w:abstractNumId w:val="22"/>
  </w:num>
  <w:num w:numId="23">
    <w:abstractNumId w:val="19"/>
  </w:num>
  <w:num w:numId="24">
    <w:abstractNumId w:val="20"/>
  </w:num>
  <w:num w:numId="25">
    <w:abstractNumId w:val="13"/>
  </w:num>
  <w:num w:numId="26">
    <w:abstractNumId w:val="31"/>
  </w:num>
  <w:num w:numId="27">
    <w:abstractNumId w:val="30"/>
  </w:num>
  <w:num w:numId="28">
    <w:abstractNumId w:val="10"/>
  </w:num>
  <w:num w:numId="29">
    <w:abstractNumId w:val="44"/>
  </w:num>
  <w:num w:numId="30">
    <w:abstractNumId w:val="32"/>
  </w:num>
  <w:num w:numId="31">
    <w:abstractNumId w:val="12"/>
  </w:num>
  <w:num w:numId="32">
    <w:abstractNumId w:val="46"/>
  </w:num>
  <w:num w:numId="33">
    <w:abstractNumId w:val="44"/>
  </w:num>
  <w:num w:numId="34">
    <w:abstractNumId w:val="11"/>
  </w:num>
  <w:num w:numId="35">
    <w:abstractNumId w:val="39"/>
  </w:num>
  <w:num w:numId="36">
    <w:abstractNumId w:val="33"/>
  </w:num>
  <w:num w:numId="37">
    <w:abstractNumId w:val="24"/>
  </w:num>
  <w:num w:numId="38">
    <w:abstractNumId w:val="28"/>
  </w:num>
  <w:num w:numId="39">
    <w:abstractNumId w:val="15"/>
  </w:num>
  <w:num w:numId="40">
    <w:abstractNumId w:val="26"/>
  </w:num>
  <w:num w:numId="41">
    <w:abstractNumId w:val="27"/>
  </w:num>
  <w:num w:numId="42">
    <w:abstractNumId w:val="45"/>
  </w:num>
  <w:num w:numId="43">
    <w:abstractNumId w:val="25"/>
  </w:num>
  <w:num w:numId="44">
    <w:abstractNumId w:val="16"/>
  </w:num>
  <w:num w:numId="45">
    <w:abstractNumId w:val="21"/>
  </w:num>
  <w:num w:numId="46">
    <w:abstractNumId w:val="35"/>
  </w:num>
  <w:num w:numId="47">
    <w:abstractNumId w:val="43"/>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1295"/>
    <w:rsid w:val="0000209D"/>
    <w:rsid w:val="00002566"/>
    <w:rsid w:val="00002AE5"/>
    <w:rsid w:val="00002D0D"/>
    <w:rsid w:val="0000370A"/>
    <w:rsid w:val="00003849"/>
    <w:rsid w:val="00003AAE"/>
    <w:rsid w:val="00003F5C"/>
    <w:rsid w:val="00004D5A"/>
    <w:rsid w:val="00004EA4"/>
    <w:rsid w:val="00005219"/>
    <w:rsid w:val="000056D5"/>
    <w:rsid w:val="00005D9E"/>
    <w:rsid w:val="000063D5"/>
    <w:rsid w:val="00006625"/>
    <w:rsid w:val="00006ABD"/>
    <w:rsid w:val="00006B67"/>
    <w:rsid w:val="00006BF3"/>
    <w:rsid w:val="00006C0B"/>
    <w:rsid w:val="000073A0"/>
    <w:rsid w:val="00007656"/>
    <w:rsid w:val="0000767A"/>
    <w:rsid w:val="00007ABE"/>
    <w:rsid w:val="00007D73"/>
    <w:rsid w:val="00010107"/>
    <w:rsid w:val="00010256"/>
    <w:rsid w:val="00010702"/>
    <w:rsid w:val="00010A2C"/>
    <w:rsid w:val="0001128E"/>
    <w:rsid w:val="00011912"/>
    <w:rsid w:val="000122C2"/>
    <w:rsid w:val="000129B7"/>
    <w:rsid w:val="000137BD"/>
    <w:rsid w:val="0001387D"/>
    <w:rsid w:val="00014715"/>
    <w:rsid w:val="00014ED0"/>
    <w:rsid w:val="00016420"/>
    <w:rsid w:val="00016BDB"/>
    <w:rsid w:val="00017B01"/>
    <w:rsid w:val="000200BE"/>
    <w:rsid w:val="000205D1"/>
    <w:rsid w:val="000209A4"/>
    <w:rsid w:val="00020F22"/>
    <w:rsid w:val="000210C0"/>
    <w:rsid w:val="0002195D"/>
    <w:rsid w:val="00021B76"/>
    <w:rsid w:val="00021D2F"/>
    <w:rsid w:val="00021DD9"/>
    <w:rsid w:val="00021E39"/>
    <w:rsid w:val="00021F9B"/>
    <w:rsid w:val="0002248B"/>
    <w:rsid w:val="000228AE"/>
    <w:rsid w:val="000233D1"/>
    <w:rsid w:val="000234D6"/>
    <w:rsid w:val="00023D29"/>
    <w:rsid w:val="00024348"/>
    <w:rsid w:val="00024377"/>
    <w:rsid w:val="00025C85"/>
    <w:rsid w:val="00026109"/>
    <w:rsid w:val="0002622B"/>
    <w:rsid w:val="000262B5"/>
    <w:rsid w:val="00026389"/>
    <w:rsid w:val="0002669F"/>
    <w:rsid w:val="000279E5"/>
    <w:rsid w:val="000305E0"/>
    <w:rsid w:val="00031AE0"/>
    <w:rsid w:val="00031BB2"/>
    <w:rsid w:val="000322EF"/>
    <w:rsid w:val="00032C3C"/>
    <w:rsid w:val="00033FCD"/>
    <w:rsid w:val="000348AF"/>
    <w:rsid w:val="00034B70"/>
    <w:rsid w:val="00034DF7"/>
    <w:rsid w:val="00034E58"/>
    <w:rsid w:val="00034E68"/>
    <w:rsid w:val="000350C8"/>
    <w:rsid w:val="000351E0"/>
    <w:rsid w:val="00036195"/>
    <w:rsid w:val="000366CD"/>
    <w:rsid w:val="000374B2"/>
    <w:rsid w:val="000376C0"/>
    <w:rsid w:val="00037D64"/>
    <w:rsid w:val="000400BD"/>
    <w:rsid w:val="000403A7"/>
    <w:rsid w:val="00040632"/>
    <w:rsid w:val="00040D93"/>
    <w:rsid w:val="00040EE0"/>
    <w:rsid w:val="00040F4C"/>
    <w:rsid w:val="00041AFC"/>
    <w:rsid w:val="00041CEC"/>
    <w:rsid w:val="00041D02"/>
    <w:rsid w:val="0004219A"/>
    <w:rsid w:val="00042596"/>
    <w:rsid w:val="00042A4A"/>
    <w:rsid w:val="00043033"/>
    <w:rsid w:val="00044183"/>
    <w:rsid w:val="0004431D"/>
    <w:rsid w:val="00044906"/>
    <w:rsid w:val="00044AAC"/>
    <w:rsid w:val="00046514"/>
    <w:rsid w:val="0004694F"/>
    <w:rsid w:val="00046CFC"/>
    <w:rsid w:val="00046F12"/>
    <w:rsid w:val="00046F2F"/>
    <w:rsid w:val="000472CA"/>
    <w:rsid w:val="00047AD4"/>
    <w:rsid w:val="00047D54"/>
    <w:rsid w:val="0005033D"/>
    <w:rsid w:val="00050541"/>
    <w:rsid w:val="0005054A"/>
    <w:rsid w:val="0005087F"/>
    <w:rsid w:val="00050A87"/>
    <w:rsid w:val="00051506"/>
    <w:rsid w:val="00051810"/>
    <w:rsid w:val="000522E4"/>
    <w:rsid w:val="00053713"/>
    <w:rsid w:val="0005434E"/>
    <w:rsid w:val="00054793"/>
    <w:rsid w:val="00054ED8"/>
    <w:rsid w:val="00055CB6"/>
    <w:rsid w:val="00055E2F"/>
    <w:rsid w:val="0005691D"/>
    <w:rsid w:val="0005704A"/>
    <w:rsid w:val="000572DD"/>
    <w:rsid w:val="00057B1E"/>
    <w:rsid w:val="00057CBA"/>
    <w:rsid w:val="00057EC1"/>
    <w:rsid w:val="0006033F"/>
    <w:rsid w:val="00060382"/>
    <w:rsid w:val="000610E1"/>
    <w:rsid w:val="000616AD"/>
    <w:rsid w:val="000620AE"/>
    <w:rsid w:val="00062113"/>
    <w:rsid w:val="000622A6"/>
    <w:rsid w:val="00062405"/>
    <w:rsid w:val="00062A71"/>
    <w:rsid w:val="00062D70"/>
    <w:rsid w:val="00062EC5"/>
    <w:rsid w:val="00062F22"/>
    <w:rsid w:val="00063975"/>
    <w:rsid w:val="00063CEA"/>
    <w:rsid w:val="00064013"/>
    <w:rsid w:val="0006444D"/>
    <w:rsid w:val="000645FC"/>
    <w:rsid w:val="00065296"/>
    <w:rsid w:val="0006533F"/>
    <w:rsid w:val="00065348"/>
    <w:rsid w:val="00065423"/>
    <w:rsid w:val="0006551C"/>
    <w:rsid w:val="0006558D"/>
    <w:rsid w:val="00065A75"/>
    <w:rsid w:val="000663F0"/>
    <w:rsid w:val="00066558"/>
    <w:rsid w:val="000671DB"/>
    <w:rsid w:val="00067363"/>
    <w:rsid w:val="00067982"/>
    <w:rsid w:val="00070A87"/>
    <w:rsid w:val="000712B3"/>
    <w:rsid w:val="00071A7C"/>
    <w:rsid w:val="00071B5D"/>
    <w:rsid w:val="00071E38"/>
    <w:rsid w:val="00072FF5"/>
    <w:rsid w:val="00073A5A"/>
    <w:rsid w:val="00073B01"/>
    <w:rsid w:val="0007474E"/>
    <w:rsid w:val="00074988"/>
    <w:rsid w:val="00075068"/>
    <w:rsid w:val="0007512B"/>
    <w:rsid w:val="00075551"/>
    <w:rsid w:val="000758F0"/>
    <w:rsid w:val="000763A1"/>
    <w:rsid w:val="000767F5"/>
    <w:rsid w:val="00076D90"/>
    <w:rsid w:val="0007735D"/>
    <w:rsid w:val="00077714"/>
    <w:rsid w:val="00077BB3"/>
    <w:rsid w:val="00077FF0"/>
    <w:rsid w:val="00081A55"/>
    <w:rsid w:val="00081BB4"/>
    <w:rsid w:val="00081EBA"/>
    <w:rsid w:val="0008263E"/>
    <w:rsid w:val="00082C19"/>
    <w:rsid w:val="00082F89"/>
    <w:rsid w:val="00083457"/>
    <w:rsid w:val="000834ED"/>
    <w:rsid w:val="000837CD"/>
    <w:rsid w:val="00083B7F"/>
    <w:rsid w:val="000842DB"/>
    <w:rsid w:val="000845BB"/>
    <w:rsid w:val="00084BFF"/>
    <w:rsid w:val="000851A9"/>
    <w:rsid w:val="00085395"/>
    <w:rsid w:val="00086896"/>
    <w:rsid w:val="00086AC1"/>
    <w:rsid w:val="00086D19"/>
    <w:rsid w:val="00087634"/>
    <w:rsid w:val="00087F2B"/>
    <w:rsid w:val="00090694"/>
    <w:rsid w:val="0009098B"/>
    <w:rsid w:val="00090EE2"/>
    <w:rsid w:val="00090FC6"/>
    <w:rsid w:val="0009122C"/>
    <w:rsid w:val="000913B1"/>
    <w:rsid w:val="0009290F"/>
    <w:rsid w:val="00092F51"/>
    <w:rsid w:val="00093093"/>
    <w:rsid w:val="00093241"/>
    <w:rsid w:val="000934D5"/>
    <w:rsid w:val="00093868"/>
    <w:rsid w:val="0009445D"/>
    <w:rsid w:val="00094A84"/>
    <w:rsid w:val="00095025"/>
    <w:rsid w:val="00095135"/>
    <w:rsid w:val="00095152"/>
    <w:rsid w:val="00095A60"/>
    <w:rsid w:val="0009626E"/>
    <w:rsid w:val="0009644D"/>
    <w:rsid w:val="0009653A"/>
    <w:rsid w:val="0009704A"/>
    <w:rsid w:val="00097191"/>
    <w:rsid w:val="000974D1"/>
    <w:rsid w:val="00097784"/>
    <w:rsid w:val="0009799E"/>
    <w:rsid w:val="000A07CB"/>
    <w:rsid w:val="000A0BC0"/>
    <w:rsid w:val="000A0CD8"/>
    <w:rsid w:val="000A1183"/>
    <w:rsid w:val="000A12ED"/>
    <w:rsid w:val="000A1D49"/>
    <w:rsid w:val="000A212B"/>
    <w:rsid w:val="000A242D"/>
    <w:rsid w:val="000A256D"/>
    <w:rsid w:val="000A2643"/>
    <w:rsid w:val="000A2778"/>
    <w:rsid w:val="000A288C"/>
    <w:rsid w:val="000A2E5F"/>
    <w:rsid w:val="000A385C"/>
    <w:rsid w:val="000A3A2C"/>
    <w:rsid w:val="000A3D9E"/>
    <w:rsid w:val="000A3FD4"/>
    <w:rsid w:val="000A4A54"/>
    <w:rsid w:val="000A4ED9"/>
    <w:rsid w:val="000A55C4"/>
    <w:rsid w:val="000A5858"/>
    <w:rsid w:val="000A589E"/>
    <w:rsid w:val="000A5DB7"/>
    <w:rsid w:val="000A6254"/>
    <w:rsid w:val="000A629B"/>
    <w:rsid w:val="000A6753"/>
    <w:rsid w:val="000A6D94"/>
    <w:rsid w:val="000A72BC"/>
    <w:rsid w:val="000A7377"/>
    <w:rsid w:val="000A74A4"/>
    <w:rsid w:val="000A74BB"/>
    <w:rsid w:val="000A76E0"/>
    <w:rsid w:val="000A775A"/>
    <w:rsid w:val="000A79B3"/>
    <w:rsid w:val="000A7D63"/>
    <w:rsid w:val="000A7FF4"/>
    <w:rsid w:val="000B03CC"/>
    <w:rsid w:val="000B1A37"/>
    <w:rsid w:val="000B25DA"/>
    <w:rsid w:val="000B28BD"/>
    <w:rsid w:val="000B3D72"/>
    <w:rsid w:val="000B4212"/>
    <w:rsid w:val="000B4309"/>
    <w:rsid w:val="000B4461"/>
    <w:rsid w:val="000B51CC"/>
    <w:rsid w:val="000B52D8"/>
    <w:rsid w:val="000B67B7"/>
    <w:rsid w:val="000B6A0A"/>
    <w:rsid w:val="000B75A7"/>
    <w:rsid w:val="000C0127"/>
    <w:rsid w:val="000C0190"/>
    <w:rsid w:val="000C0CA6"/>
    <w:rsid w:val="000C0EA8"/>
    <w:rsid w:val="000C13A2"/>
    <w:rsid w:val="000C1BF6"/>
    <w:rsid w:val="000C21E7"/>
    <w:rsid w:val="000C23EC"/>
    <w:rsid w:val="000C26A2"/>
    <w:rsid w:val="000C290E"/>
    <w:rsid w:val="000C30C3"/>
    <w:rsid w:val="000C3330"/>
    <w:rsid w:val="000C3408"/>
    <w:rsid w:val="000C3422"/>
    <w:rsid w:val="000C35AB"/>
    <w:rsid w:val="000C3F7B"/>
    <w:rsid w:val="000C4769"/>
    <w:rsid w:val="000C4D56"/>
    <w:rsid w:val="000C52FC"/>
    <w:rsid w:val="000C5DFA"/>
    <w:rsid w:val="000C6AFD"/>
    <w:rsid w:val="000C6C90"/>
    <w:rsid w:val="000C72B7"/>
    <w:rsid w:val="000C735A"/>
    <w:rsid w:val="000C77CF"/>
    <w:rsid w:val="000C7A79"/>
    <w:rsid w:val="000D0A26"/>
    <w:rsid w:val="000D0D18"/>
    <w:rsid w:val="000D127B"/>
    <w:rsid w:val="000D13CB"/>
    <w:rsid w:val="000D2196"/>
    <w:rsid w:val="000D2C2E"/>
    <w:rsid w:val="000D3058"/>
    <w:rsid w:val="000D310A"/>
    <w:rsid w:val="000D3EF4"/>
    <w:rsid w:val="000D4497"/>
    <w:rsid w:val="000D4761"/>
    <w:rsid w:val="000D4DC0"/>
    <w:rsid w:val="000D4E8E"/>
    <w:rsid w:val="000D55BA"/>
    <w:rsid w:val="000D5637"/>
    <w:rsid w:val="000D585E"/>
    <w:rsid w:val="000D5A03"/>
    <w:rsid w:val="000D5ED3"/>
    <w:rsid w:val="000D6A2D"/>
    <w:rsid w:val="000D6F4E"/>
    <w:rsid w:val="000D6FDA"/>
    <w:rsid w:val="000D71A4"/>
    <w:rsid w:val="000D73BB"/>
    <w:rsid w:val="000D78F5"/>
    <w:rsid w:val="000D7AC7"/>
    <w:rsid w:val="000D7C6F"/>
    <w:rsid w:val="000E04FD"/>
    <w:rsid w:val="000E0E96"/>
    <w:rsid w:val="000E298B"/>
    <w:rsid w:val="000E2C7D"/>
    <w:rsid w:val="000E3E56"/>
    <w:rsid w:val="000E440D"/>
    <w:rsid w:val="000E4AC5"/>
    <w:rsid w:val="000E5B90"/>
    <w:rsid w:val="000E5DB7"/>
    <w:rsid w:val="000E6253"/>
    <w:rsid w:val="000E6AC4"/>
    <w:rsid w:val="000E6E4D"/>
    <w:rsid w:val="000E6FBD"/>
    <w:rsid w:val="000E6FCB"/>
    <w:rsid w:val="000F001C"/>
    <w:rsid w:val="000F00AA"/>
    <w:rsid w:val="000F0848"/>
    <w:rsid w:val="000F090B"/>
    <w:rsid w:val="000F0E42"/>
    <w:rsid w:val="000F15F7"/>
    <w:rsid w:val="000F1AA2"/>
    <w:rsid w:val="000F378E"/>
    <w:rsid w:val="000F3B71"/>
    <w:rsid w:val="000F3F3B"/>
    <w:rsid w:val="000F45A2"/>
    <w:rsid w:val="000F4721"/>
    <w:rsid w:val="000F47E8"/>
    <w:rsid w:val="000F4C6D"/>
    <w:rsid w:val="000F4E9C"/>
    <w:rsid w:val="000F60E1"/>
    <w:rsid w:val="000F70E4"/>
    <w:rsid w:val="000F7269"/>
    <w:rsid w:val="000F76EA"/>
    <w:rsid w:val="000F7C7E"/>
    <w:rsid w:val="001005BD"/>
    <w:rsid w:val="00100A8B"/>
    <w:rsid w:val="00100F5C"/>
    <w:rsid w:val="00101B15"/>
    <w:rsid w:val="00101BF3"/>
    <w:rsid w:val="00101CDA"/>
    <w:rsid w:val="00102037"/>
    <w:rsid w:val="0010228E"/>
    <w:rsid w:val="0010343F"/>
    <w:rsid w:val="00103DCB"/>
    <w:rsid w:val="00104C4C"/>
    <w:rsid w:val="00105015"/>
    <w:rsid w:val="001050E8"/>
    <w:rsid w:val="0010544F"/>
    <w:rsid w:val="001055D2"/>
    <w:rsid w:val="001057C2"/>
    <w:rsid w:val="00106BCC"/>
    <w:rsid w:val="00107124"/>
    <w:rsid w:val="001074C0"/>
    <w:rsid w:val="00107B0A"/>
    <w:rsid w:val="0011038E"/>
    <w:rsid w:val="0011055D"/>
    <w:rsid w:val="001112D2"/>
    <w:rsid w:val="001112DD"/>
    <w:rsid w:val="00111573"/>
    <w:rsid w:val="00112370"/>
    <w:rsid w:val="0011239B"/>
    <w:rsid w:val="001125EF"/>
    <w:rsid w:val="00112919"/>
    <w:rsid w:val="00112CAB"/>
    <w:rsid w:val="00112CEB"/>
    <w:rsid w:val="00113A77"/>
    <w:rsid w:val="0011440C"/>
    <w:rsid w:val="0011456E"/>
    <w:rsid w:val="00114C33"/>
    <w:rsid w:val="00114D5B"/>
    <w:rsid w:val="00114E3A"/>
    <w:rsid w:val="001150CE"/>
    <w:rsid w:val="001154D8"/>
    <w:rsid w:val="00115AA5"/>
    <w:rsid w:val="00115DD6"/>
    <w:rsid w:val="00116D3F"/>
    <w:rsid w:val="00117474"/>
    <w:rsid w:val="00117623"/>
    <w:rsid w:val="00117FEA"/>
    <w:rsid w:val="001200CF"/>
    <w:rsid w:val="001202B0"/>
    <w:rsid w:val="001208E3"/>
    <w:rsid w:val="001211F9"/>
    <w:rsid w:val="00121609"/>
    <w:rsid w:val="00121735"/>
    <w:rsid w:val="0012192F"/>
    <w:rsid w:val="001223CD"/>
    <w:rsid w:val="00122994"/>
    <w:rsid w:val="00123204"/>
    <w:rsid w:val="001238F5"/>
    <w:rsid w:val="00123C7D"/>
    <w:rsid w:val="00124B46"/>
    <w:rsid w:val="001257BE"/>
    <w:rsid w:val="001257E0"/>
    <w:rsid w:val="00125D69"/>
    <w:rsid w:val="00127263"/>
    <w:rsid w:val="0012799C"/>
    <w:rsid w:val="00127BC2"/>
    <w:rsid w:val="00127E15"/>
    <w:rsid w:val="00130654"/>
    <w:rsid w:val="001308F1"/>
    <w:rsid w:val="00130ACD"/>
    <w:rsid w:val="00130ADC"/>
    <w:rsid w:val="00130D9F"/>
    <w:rsid w:val="00132C4D"/>
    <w:rsid w:val="00133FC1"/>
    <w:rsid w:val="00134659"/>
    <w:rsid w:val="00135111"/>
    <w:rsid w:val="00135376"/>
    <w:rsid w:val="00136175"/>
    <w:rsid w:val="0013689F"/>
    <w:rsid w:val="00136A6F"/>
    <w:rsid w:val="00136C1A"/>
    <w:rsid w:val="001371E1"/>
    <w:rsid w:val="00137812"/>
    <w:rsid w:val="00137DE5"/>
    <w:rsid w:val="00137F06"/>
    <w:rsid w:val="001405FA"/>
    <w:rsid w:val="00140802"/>
    <w:rsid w:val="00140D1A"/>
    <w:rsid w:val="00141184"/>
    <w:rsid w:val="00141315"/>
    <w:rsid w:val="0014152B"/>
    <w:rsid w:val="00141740"/>
    <w:rsid w:val="00141AA0"/>
    <w:rsid w:val="00141AE4"/>
    <w:rsid w:val="001425C3"/>
    <w:rsid w:val="0014262D"/>
    <w:rsid w:val="00142B29"/>
    <w:rsid w:val="00143EED"/>
    <w:rsid w:val="00144108"/>
    <w:rsid w:val="00144440"/>
    <w:rsid w:val="00144588"/>
    <w:rsid w:val="001447DD"/>
    <w:rsid w:val="00145358"/>
    <w:rsid w:val="001459BC"/>
    <w:rsid w:val="00145B0F"/>
    <w:rsid w:val="00146B27"/>
    <w:rsid w:val="00146F76"/>
    <w:rsid w:val="0014779E"/>
    <w:rsid w:val="00147B13"/>
    <w:rsid w:val="001500D8"/>
    <w:rsid w:val="00150384"/>
    <w:rsid w:val="001504BA"/>
    <w:rsid w:val="00150860"/>
    <w:rsid w:val="001509D4"/>
    <w:rsid w:val="00150ECA"/>
    <w:rsid w:val="0015108F"/>
    <w:rsid w:val="00151707"/>
    <w:rsid w:val="0015218F"/>
    <w:rsid w:val="00152C86"/>
    <w:rsid w:val="00152EBC"/>
    <w:rsid w:val="00152F4F"/>
    <w:rsid w:val="00153264"/>
    <w:rsid w:val="0015329F"/>
    <w:rsid w:val="00154286"/>
    <w:rsid w:val="001544A1"/>
    <w:rsid w:val="00154CA1"/>
    <w:rsid w:val="001553B8"/>
    <w:rsid w:val="001554C2"/>
    <w:rsid w:val="00155571"/>
    <w:rsid w:val="00156D04"/>
    <w:rsid w:val="001571C0"/>
    <w:rsid w:val="001574FE"/>
    <w:rsid w:val="0015753D"/>
    <w:rsid w:val="00157984"/>
    <w:rsid w:val="00157CC9"/>
    <w:rsid w:val="001609AE"/>
    <w:rsid w:val="00160C21"/>
    <w:rsid w:val="001612DB"/>
    <w:rsid w:val="001612F4"/>
    <w:rsid w:val="00161553"/>
    <w:rsid w:val="0016216F"/>
    <w:rsid w:val="0016256B"/>
    <w:rsid w:val="00162F81"/>
    <w:rsid w:val="00163660"/>
    <w:rsid w:val="00163793"/>
    <w:rsid w:val="00163868"/>
    <w:rsid w:val="00164CA1"/>
    <w:rsid w:val="00165313"/>
    <w:rsid w:val="001659C3"/>
    <w:rsid w:val="00165DC6"/>
    <w:rsid w:val="00166593"/>
    <w:rsid w:val="001665AB"/>
    <w:rsid w:val="00166A55"/>
    <w:rsid w:val="00166D80"/>
    <w:rsid w:val="00167485"/>
    <w:rsid w:val="00167809"/>
    <w:rsid w:val="001679F5"/>
    <w:rsid w:val="00167B92"/>
    <w:rsid w:val="00167CB9"/>
    <w:rsid w:val="00167DD8"/>
    <w:rsid w:val="001705AD"/>
    <w:rsid w:val="001706D6"/>
    <w:rsid w:val="00170CFD"/>
    <w:rsid w:val="00170F1A"/>
    <w:rsid w:val="001714F2"/>
    <w:rsid w:val="00171FEA"/>
    <w:rsid w:val="00172F60"/>
    <w:rsid w:val="00173622"/>
    <w:rsid w:val="00173D32"/>
    <w:rsid w:val="0017448A"/>
    <w:rsid w:val="00174ED1"/>
    <w:rsid w:val="00175B9F"/>
    <w:rsid w:val="001762F4"/>
    <w:rsid w:val="001765D1"/>
    <w:rsid w:val="001777BA"/>
    <w:rsid w:val="00180DA4"/>
    <w:rsid w:val="00181029"/>
    <w:rsid w:val="00181276"/>
    <w:rsid w:val="00181BBC"/>
    <w:rsid w:val="00182D75"/>
    <w:rsid w:val="0018385F"/>
    <w:rsid w:val="00183BCF"/>
    <w:rsid w:val="00184017"/>
    <w:rsid w:val="001847BB"/>
    <w:rsid w:val="00184B08"/>
    <w:rsid w:val="00185010"/>
    <w:rsid w:val="001854F2"/>
    <w:rsid w:val="00185C22"/>
    <w:rsid w:val="00186A7F"/>
    <w:rsid w:val="00186BA9"/>
    <w:rsid w:val="00186FB2"/>
    <w:rsid w:val="00187D50"/>
    <w:rsid w:val="00190B4D"/>
    <w:rsid w:val="0019123D"/>
    <w:rsid w:val="0019196C"/>
    <w:rsid w:val="00191F6B"/>
    <w:rsid w:val="001926A9"/>
    <w:rsid w:val="00192BA8"/>
    <w:rsid w:val="00192F05"/>
    <w:rsid w:val="00194024"/>
    <w:rsid w:val="00194729"/>
    <w:rsid w:val="00194850"/>
    <w:rsid w:val="00195234"/>
    <w:rsid w:val="00195EA6"/>
    <w:rsid w:val="00196016"/>
    <w:rsid w:val="00196117"/>
    <w:rsid w:val="00197A70"/>
    <w:rsid w:val="00197A8B"/>
    <w:rsid w:val="00197C0F"/>
    <w:rsid w:val="00197D0E"/>
    <w:rsid w:val="001A0487"/>
    <w:rsid w:val="001A0675"/>
    <w:rsid w:val="001A0A37"/>
    <w:rsid w:val="001A164B"/>
    <w:rsid w:val="001A1F68"/>
    <w:rsid w:val="001A21FA"/>
    <w:rsid w:val="001A28C9"/>
    <w:rsid w:val="001A3474"/>
    <w:rsid w:val="001A422F"/>
    <w:rsid w:val="001A4A73"/>
    <w:rsid w:val="001A4D7C"/>
    <w:rsid w:val="001A4EF0"/>
    <w:rsid w:val="001A552F"/>
    <w:rsid w:val="001A5CB7"/>
    <w:rsid w:val="001A6042"/>
    <w:rsid w:val="001A6A14"/>
    <w:rsid w:val="001A6F58"/>
    <w:rsid w:val="001A70B1"/>
    <w:rsid w:val="001A7672"/>
    <w:rsid w:val="001B0738"/>
    <w:rsid w:val="001B1235"/>
    <w:rsid w:val="001B158D"/>
    <w:rsid w:val="001B1BBB"/>
    <w:rsid w:val="001B2CA9"/>
    <w:rsid w:val="001B3110"/>
    <w:rsid w:val="001B3328"/>
    <w:rsid w:val="001B37CA"/>
    <w:rsid w:val="001B3E38"/>
    <w:rsid w:val="001B40F5"/>
    <w:rsid w:val="001B4729"/>
    <w:rsid w:val="001B4DF6"/>
    <w:rsid w:val="001B4F0E"/>
    <w:rsid w:val="001B5292"/>
    <w:rsid w:val="001B5F40"/>
    <w:rsid w:val="001B6310"/>
    <w:rsid w:val="001B6C09"/>
    <w:rsid w:val="001B6E12"/>
    <w:rsid w:val="001B7A58"/>
    <w:rsid w:val="001B7E67"/>
    <w:rsid w:val="001B7FAD"/>
    <w:rsid w:val="001C05CD"/>
    <w:rsid w:val="001C082B"/>
    <w:rsid w:val="001C0F17"/>
    <w:rsid w:val="001C11A6"/>
    <w:rsid w:val="001C1B24"/>
    <w:rsid w:val="001C1B66"/>
    <w:rsid w:val="001C1BB5"/>
    <w:rsid w:val="001C1C72"/>
    <w:rsid w:val="001C24A7"/>
    <w:rsid w:val="001C24BB"/>
    <w:rsid w:val="001C2732"/>
    <w:rsid w:val="001C31A2"/>
    <w:rsid w:val="001C351D"/>
    <w:rsid w:val="001C3794"/>
    <w:rsid w:val="001C3855"/>
    <w:rsid w:val="001C41C1"/>
    <w:rsid w:val="001C4ABB"/>
    <w:rsid w:val="001C4B8F"/>
    <w:rsid w:val="001C4BB8"/>
    <w:rsid w:val="001C4D8C"/>
    <w:rsid w:val="001C4FD0"/>
    <w:rsid w:val="001C544D"/>
    <w:rsid w:val="001C5E46"/>
    <w:rsid w:val="001C6AB8"/>
    <w:rsid w:val="001C6B3B"/>
    <w:rsid w:val="001C7A26"/>
    <w:rsid w:val="001C7E3F"/>
    <w:rsid w:val="001D0EF1"/>
    <w:rsid w:val="001D0F32"/>
    <w:rsid w:val="001D16D0"/>
    <w:rsid w:val="001D1A44"/>
    <w:rsid w:val="001D1C56"/>
    <w:rsid w:val="001D1D2C"/>
    <w:rsid w:val="001D22C2"/>
    <w:rsid w:val="001D2C99"/>
    <w:rsid w:val="001D2FE3"/>
    <w:rsid w:val="001D3A7F"/>
    <w:rsid w:val="001D3B75"/>
    <w:rsid w:val="001D452E"/>
    <w:rsid w:val="001D54C1"/>
    <w:rsid w:val="001D556E"/>
    <w:rsid w:val="001D5DF2"/>
    <w:rsid w:val="001D6175"/>
    <w:rsid w:val="001D68B2"/>
    <w:rsid w:val="001D6B3F"/>
    <w:rsid w:val="001D6FE1"/>
    <w:rsid w:val="001D759D"/>
    <w:rsid w:val="001D7EFD"/>
    <w:rsid w:val="001D7F60"/>
    <w:rsid w:val="001E085B"/>
    <w:rsid w:val="001E0CAA"/>
    <w:rsid w:val="001E149B"/>
    <w:rsid w:val="001E155C"/>
    <w:rsid w:val="001E15CB"/>
    <w:rsid w:val="001E18A0"/>
    <w:rsid w:val="001E1AF1"/>
    <w:rsid w:val="001E297E"/>
    <w:rsid w:val="001E3306"/>
    <w:rsid w:val="001E34DC"/>
    <w:rsid w:val="001E3802"/>
    <w:rsid w:val="001E40B1"/>
    <w:rsid w:val="001E504C"/>
    <w:rsid w:val="001E52DE"/>
    <w:rsid w:val="001E56AC"/>
    <w:rsid w:val="001E5A17"/>
    <w:rsid w:val="001E6441"/>
    <w:rsid w:val="001E6B52"/>
    <w:rsid w:val="001E74C5"/>
    <w:rsid w:val="001F0A97"/>
    <w:rsid w:val="001F1236"/>
    <w:rsid w:val="001F18F2"/>
    <w:rsid w:val="001F2F90"/>
    <w:rsid w:val="001F3021"/>
    <w:rsid w:val="001F3C7C"/>
    <w:rsid w:val="001F4597"/>
    <w:rsid w:val="001F4826"/>
    <w:rsid w:val="001F4933"/>
    <w:rsid w:val="001F5918"/>
    <w:rsid w:val="001F59C8"/>
    <w:rsid w:val="001F5E33"/>
    <w:rsid w:val="001F6483"/>
    <w:rsid w:val="001F6CD3"/>
    <w:rsid w:val="001F75DA"/>
    <w:rsid w:val="001F7931"/>
    <w:rsid w:val="001F7CE0"/>
    <w:rsid w:val="00200085"/>
    <w:rsid w:val="002007D3"/>
    <w:rsid w:val="00201633"/>
    <w:rsid w:val="002019B5"/>
    <w:rsid w:val="00203332"/>
    <w:rsid w:val="002036E6"/>
    <w:rsid w:val="002038E8"/>
    <w:rsid w:val="00203CD5"/>
    <w:rsid w:val="00203D8F"/>
    <w:rsid w:val="00203DA4"/>
    <w:rsid w:val="0020460A"/>
    <w:rsid w:val="00204EA6"/>
    <w:rsid w:val="00205019"/>
    <w:rsid w:val="00205186"/>
    <w:rsid w:val="002062DE"/>
    <w:rsid w:val="00206516"/>
    <w:rsid w:val="00206598"/>
    <w:rsid w:val="002070CF"/>
    <w:rsid w:val="002071D5"/>
    <w:rsid w:val="002073FD"/>
    <w:rsid w:val="00207414"/>
    <w:rsid w:val="00207AB0"/>
    <w:rsid w:val="00207B33"/>
    <w:rsid w:val="00207E73"/>
    <w:rsid w:val="002102F8"/>
    <w:rsid w:val="002110EC"/>
    <w:rsid w:val="002111E5"/>
    <w:rsid w:val="0021149E"/>
    <w:rsid w:val="0021173B"/>
    <w:rsid w:val="002118B9"/>
    <w:rsid w:val="00211CFD"/>
    <w:rsid w:val="002125DC"/>
    <w:rsid w:val="00213691"/>
    <w:rsid w:val="002142C0"/>
    <w:rsid w:val="00214853"/>
    <w:rsid w:val="00215388"/>
    <w:rsid w:val="002165A2"/>
    <w:rsid w:val="00217993"/>
    <w:rsid w:val="00217BED"/>
    <w:rsid w:val="00217C5B"/>
    <w:rsid w:val="00217CC3"/>
    <w:rsid w:val="00220128"/>
    <w:rsid w:val="00220362"/>
    <w:rsid w:val="00220989"/>
    <w:rsid w:val="00220A43"/>
    <w:rsid w:val="0022139E"/>
    <w:rsid w:val="00222312"/>
    <w:rsid w:val="00222729"/>
    <w:rsid w:val="0022287B"/>
    <w:rsid w:val="002228DB"/>
    <w:rsid w:val="00223185"/>
    <w:rsid w:val="00223264"/>
    <w:rsid w:val="002233D6"/>
    <w:rsid w:val="00223E20"/>
    <w:rsid w:val="00224335"/>
    <w:rsid w:val="0022441D"/>
    <w:rsid w:val="00224574"/>
    <w:rsid w:val="00224BB6"/>
    <w:rsid w:val="00224E3F"/>
    <w:rsid w:val="00225000"/>
    <w:rsid w:val="0022521D"/>
    <w:rsid w:val="002252E0"/>
    <w:rsid w:val="00225396"/>
    <w:rsid w:val="002255F6"/>
    <w:rsid w:val="00225B43"/>
    <w:rsid w:val="00226032"/>
    <w:rsid w:val="002267F7"/>
    <w:rsid w:val="0022738D"/>
    <w:rsid w:val="00227605"/>
    <w:rsid w:val="00227850"/>
    <w:rsid w:val="00227A53"/>
    <w:rsid w:val="00227C6C"/>
    <w:rsid w:val="00227E2E"/>
    <w:rsid w:val="00227F36"/>
    <w:rsid w:val="00227F53"/>
    <w:rsid w:val="00230AFA"/>
    <w:rsid w:val="00230C6E"/>
    <w:rsid w:val="00230E21"/>
    <w:rsid w:val="00231066"/>
    <w:rsid w:val="002316A8"/>
    <w:rsid w:val="00231855"/>
    <w:rsid w:val="00231859"/>
    <w:rsid w:val="002320C9"/>
    <w:rsid w:val="0023288F"/>
    <w:rsid w:val="0023290A"/>
    <w:rsid w:val="00232B6D"/>
    <w:rsid w:val="0023359B"/>
    <w:rsid w:val="00233603"/>
    <w:rsid w:val="00233FE7"/>
    <w:rsid w:val="002340EF"/>
    <w:rsid w:val="00234B82"/>
    <w:rsid w:val="00236443"/>
    <w:rsid w:val="00236700"/>
    <w:rsid w:val="00236D2A"/>
    <w:rsid w:val="0023714F"/>
    <w:rsid w:val="00237C24"/>
    <w:rsid w:val="00237C8B"/>
    <w:rsid w:val="00240391"/>
    <w:rsid w:val="00240AF3"/>
    <w:rsid w:val="002418D5"/>
    <w:rsid w:val="00241A9F"/>
    <w:rsid w:val="00241B06"/>
    <w:rsid w:val="0024343A"/>
    <w:rsid w:val="002436BA"/>
    <w:rsid w:val="0024385F"/>
    <w:rsid w:val="002438DC"/>
    <w:rsid w:val="00244652"/>
    <w:rsid w:val="00244A15"/>
    <w:rsid w:val="00244BB9"/>
    <w:rsid w:val="002452D9"/>
    <w:rsid w:val="0024629B"/>
    <w:rsid w:val="0024649B"/>
    <w:rsid w:val="00246CAA"/>
    <w:rsid w:val="002470EB"/>
    <w:rsid w:val="00247319"/>
    <w:rsid w:val="0024799E"/>
    <w:rsid w:val="00247E60"/>
    <w:rsid w:val="00251001"/>
    <w:rsid w:val="002512B7"/>
    <w:rsid w:val="00251496"/>
    <w:rsid w:val="00251B08"/>
    <w:rsid w:val="00251C53"/>
    <w:rsid w:val="00251E6D"/>
    <w:rsid w:val="00252AB9"/>
    <w:rsid w:val="002532B1"/>
    <w:rsid w:val="00253952"/>
    <w:rsid w:val="00253C0F"/>
    <w:rsid w:val="00253F48"/>
    <w:rsid w:val="00254A01"/>
    <w:rsid w:val="00254FC3"/>
    <w:rsid w:val="00255452"/>
    <w:rsid w:val="002558C1"/>
    <w:rsid w:val="00256207"/>
    <w:rsid w:val="002565FC"/>
    <w:rsid w:val="002575F3"/>
    <w:rsid w:val="002601B4"/>
    <w:rsid w:val="00260374"/>
    <w:rsid w:val="002603E1"/>
    <w:rsid w:val="002605FE"/>
    <w:rsid w:val="0026120E"/>
    <w:rsid w:val="002617EE"/>
    <w:rsid w:val="00261DDB"/>
    <w:rsid w:val="00262582"/>
    <w:rsid w:val="0026291D"/>
    <w:rsid w:val="00262CF3"/>
    <w:rsid w:val="002632C6"/>
    <w:rsid w:val="002638DD"/>
    <w:rsid w:val="0026398B"/>
    <w:rsid w:val="00264309"/>
    <w:rsid w:val="00264992"/>
    <w:rsid w:val="00264B4F"/>
    <w:rsid w:val="00264B85"/>
    <w:rsid w:val="0026564B"/>
    <w:rsid w:val="00265C83"/>
    <w:rsid w:val="00265E85"/>
    <w:rsid w:val="00267B49"/>
    <w:rsid w:val="00267C51"/>
    <w:rsid w:val="002700D9"/>
    <w:rsid w:val="0027025F"/>
    <w:rsid w:val="002709CC"/>
    <w:rsid w:val="00270D25"/>
    <w:rsid w:val="00270D5D"/>
    <w:rsid w:val="00271022"/>
    <w:rsid w:val="00271389"/>
    <w:rsid w:val="00271465"/>
    <w:rsid w:val="00271A07"/>
    <w:rsid w:val="00271E47"/>
    <w:rsid w:val="00271E7B"/>
    <w:rsid w:val="002721F5"/>
    <w:rsid w:val="00272DF4"/>
    <w:rsid w:val="0027334D"/>
    <w:rsid w:val="002734AB"/>
    <w:rsid w:val="00273B51"/>
    <w:rsid w:val="00275062"/>
    <w:rsid w:val="002752AD"/>
    <w:rsid w:val="00275758"/>
    <w:rsid w:val="0027583D"/>
    <w:rsid w:val="002759C7"/>
    <w:rsid w:val="00275DEF"/>
    <w:rsid w:val="00275E0B"/>
    <w:rsid w:val="00275E43"/>
    <w:rsid w:val="0027609F"/>
    <w:rsid w:val="002763A2"/>
    <w:rsid w:val="002765D8"/>
    <w:rsid w:val="00276B33"/>
    <w:rsid w:val="00276FBB"/>
    <w:rsid w:val="002771D9"/>
    <w:rsid w:val="00277669"/>
    <w:rsid w:val="002778C8"/>
    <w:rsid w:val="002803A5"/>
    <w:rsid w:val="00280ACB"/>
    <w:rsid w:val="0028120B"/>
    <w:rsid w:val="002812E3"/>
    <w:rsid w:val="00281576"/>
    <w:rsid w:val="00282AD4"/>
    <w:rsid w:val="00282B3F"/>
    <w:rsid w:val="0028341F"/>
    <w:rsid w:val="002837AE"/>
    <w:rsid w:val="00283C13"/>
    <w:rsid w:val="00283F7B"/>
    <w:rsid w:val="0028405F"/>
    <w:rsid w:val="00284229"/>
    <w:rsid w:val="0028431A"/>
    <w:rsid w:val="002853FA"/>
    <w:rsid w:val="00285412"/>
    <w:rsid w:val="00286220"/>
    <w:rsid w:val="002868F0"/>
    <w:rsid w:val="00291043"/>
    <w:rsid w:val="0029110B"/>
    <w:rsid w:val="002915D0"/>
    <w:rsid w:val="00291640"/>
    <w:rsid w:val="0029237E"/>
    <w:rsid w:val="00292997"/>
    <w:rsid w:val="00292D82"/>
    <w:rsid w:val="00293D24"/>
    <w:rsid w:val="0029461A"/>
    <w:rsid w:val="00294977"/>
    <w:rsid w:val="00294A56"/>
    <w:rsid w:val="0029509B"/>
    <w:rsid w:val="00295369"/>
    <w:rsid w:val="0029588F"/>
    <w:rsid w:val="00295E96"/>
    <w:rsid w:val="00296878"/>
    <w:rsid w:val="00297256"/>
    <w:rsid w:val="00297560"/>
    <w:rsid w:val="00297A5C"/>
    <w:rsid w:val="00297D51"/>
    <w:rsid w:val="002A0044"/>
    <w:rsid w:val="002A0122"/>
    <w:rsid w:val="002A0132"/>
    <w:rsid w:val="002A016B"/>
    <w:rsid w:val="002A0D51"/>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6614"/>
    <w:rsid w:val="002A7089"/>
    <w:rsid w:val="002A70B9"/>
    <w:rsid w:val="002A7B05"/>
    <w:rsid w:val="002B060E"/>
    <w:rsid w:val="002B0692"/>
    <w:rsid w:val="002B1619"/>
    <w:rsid w:val="002B1AB8"/>
    <w:rsid w:val="002B3EF4"/>
    <w:rsid w:val="002B4845"/>
    <w:rsid w:val="002B5436"/>
    <w:rsid w:val="002B5567"/>
    <w:rsid w:val="002B5812"/>
    <w:rsid w:val="002B6D2D"/>
    <w:rsid w:val="002B72AA"/>
    <w:rsid w:val="002B75C0"/>
    <w:rsid w:val="002C0D7D"/>
    <w:rsid w:val="002C1110"/>
    <w:rsid w:val="002C1BC2"/>
    <w:rsid w:val="002C1F09"/>
    <w:rsid w:val="002C22A4"/>
    <w:rsid w:val="002C2551"/>
    <w:rsid w:val="002C260B"/>
    <w:rsid w:val="002C268F"/>
    <w:rsid w:val="002C27A6"/>
    <w:rsid w:val="002C31E4"/>
    <w:rsid w:val="002C398D"/>
    <w:rsid w:val="002C3B72"/>
    <w:rsid w:val="002C40D2"/>
    <w:rsid w:val="002C43BD"/>
    <w:rsid w:val="002C509F"/>
    <w:rsid w:val="002C5245"/>
    <w:rsid w:val="002C564A"/>
    <w:rsid w:val="002C59D8"/>
    <w:rsid w:val="002C5FEB"/>
    <w:rsid w:val="002C6494"/>
    <w:rsid w:val="002C64D1"/>
    <w:rsid w:val="002D05CB"/>
    <w:rsid w:val="002D0E59"/>
    <w:rsid w:val="002D191B"/>
    <w:rsid w:val="002D2380"/>
    <w:rsid w:val="002D25D3"/>
    <w:rsid w:val="002D26B8"/>
    <w:rsid w:val="002D2842"/>
    <w:rsid w:val="002D2C4F"/>
    <w:rsid w:val="002D2D0C"/>
    <w:rsid w:val="002D3A49"/>
    <w:rsid w:val="002D3EBB"/>
    <w:rsid w:val="002D40D0"/>
    <w:rsid w:val="002D4256"/>
    <w:rsid w:val="002D455C"/>
    <w:rsid w:val="002D495E"/>
    <w:rsid w:val="002D4AE8"/>
    <w:rsid w:val="002D6066"/>
    <w:rsid w:val="002D6A4C"/>
    <w:rsid w:val="002E02A1"/>
    <w:rsid w:val="002E1281"/>
    <w:rsid w:val="002E196A"/>
    <w:rsid w:val="002E1F8A"/>
    <w:rsid w:val="002E20C7"/>
    <w:rsid w:val="002E20CD"/>
    <w:rsid w:val="002E2137"/>
    <w:rsid w:val="002E222E"/>
    <w:rsid w:val="002E28D8"/>
    <w:rsid w:val="002E3080"/>
    <w:rsid w:val="002E3638"/>
    <w:rsid w:val="002E37D1"/>
    <w:rsid w:val="002E3BEE"/>
    <w:rsid w:val="002E4DCE"/>
    <w:rsid w:val="002E4E4C"/>
    <w:rsid w:val="002E4EA7"/>
    <w:rsid w:val="002E5846"/>
    <w:rsid w:val="002E631B"/>
    <w:rsid w:val="002E792B"/>
    <w:rsid w:val="002E7AEB"/>
    <w:rsid w:val="002E7B79"/>
    <w:rsid w:val="002E7C7A"/>
    <w:rsid w:val="002F044E"/>
    <w:rsid w:val="002F1B09"/>
    <w:rsid w:val="002F1D56"/>
    <w:rsid w:val="002F1DCB"/>
    <w:rsid w:val="002F1DE4"/>
    <w:rsid w:val="002F2D8A"/>
    <w:rsid w:val="002F333D"/>
    <w:rsid w:val="002F351A"/>
    <w:rsid w:val="002F357F"/>
    <w:rsid w:val="002F4027"/>
    <w:rsid w:val="002F46D6"/>
    <w:rsid w:val="002F498A"/>
    <w:rsid w:val="002F4AD8"/>
    <w:rsid w:val="002F5285"/>
    <w:rsid w:val="002F545A"/>
    <w:rsid w:val="002F5723"/>
    <w:rsid w:val="002F5820"/>
    <w:rsid w:val="002F64BB"/>
    <w:rsid w:val="002F7D9B"/>
    <w:rsid w:val="0030028C"/>
    <w:rsid w:val="00300AEB"/>
    <w:rsid w:val="00300C31"/>
    <w:rsid w:val="00300D42"/>
    <w:rsid w:val="00301294"/>
    <w:rsid w:val="003015C8"/>
    <w:rsid w:val="003017EC"/>
    <w:rsid w:val="00302165"/>
    <w:rsid w:val="00303AC8"/>
    <w:rsid w:val="00303BB4"/>
    <w:rsid w:val="00304439"/>
    <w:rsid w:val="00304771"/>
    <w:rsid w:val="00304D16"/>
    <w:rsid w:val="00304F9C"/>
    <w:rsid w:val="003052D4"/>
    <w:rsid w:val="00305863"/>
    <w:rsid w:val="003060D6"/>
    <w:rsid w:val="003060E9"/>
    <w:rsid w:val="00306147"/>
    <w:rsid w:val="0030617B"/>
    <w:rsid w:val="00306C5B"/>
    <w:rsid w:val="00306D98"/>
    <w:rsid w:val="003073BA"/>
    <w:rsid w:val="00307529"/>
    <w:rsid w:val="00307DB3"/>
    <w:rsid w:val="00307ED2"/>
    <w:rsid w:val="003106A6"/>
    <w:rsid w:val="0031076D"/>
    <w:rsid w:val="0031169A"/>
    <w:rsid w:val="00311AA6"/>
    <w:rsid w:val="00311C4D"/>
    <w:rsid w:val="00311D5F"/>
    <w:rsid w:val="003121AB"/>
    <w:rsid w:val="00312A85"/>
    <w:rsid w:val="00312F7E"/>
    <w:rsid w:val="003135C4"/>
    <w:rsid w:val="003144BC"/>
    <w:rsid w:val="00314879"/>
    <w:rsid w:val="00314D47"/>
    <w:rsid w:val="00315169"/>
    <w:rsid w:val="003153C8"/>
    <w:rsid w:val="00315524"/>
    <w:rsid w:val="00315561"/>
    <w:rsid w:val="00315D2C"/>
    <w:rsid w:val="00316A8B"/>
    <w:rsid w:val="00316B3D"/>
    <w:rsid w:val="00317660"/>
    <w:rsid w:val="00320336"/>
    <w:rsid w:val="0032058C"/>
    <w:rsid w:val="003208D0"/>
    <w:rsid w:val="003209D6"/>
    <w:rsid w:val="00320DB8"/>
    <w:rsid w:val="003217B9"/>
    <w:rsid w:val="003217DE"/>
    <w:rsid w:val="00321924"/>
    <w:rsid w:val="00321A92"/>
    <w:rsid w:val="00321AF1"/>
    <w:rsid w:val="00321EB6"/>
    <w:rsid w:val="00321ED1"/>
    <w:rsid w:val="003220A5"/>
    <w:rsid w:val="003221F0"/>
    <w:rsid w:val="0032331F"/>
    <w:rsid w:val="003238E0"/>
    <w:rsid w:val="00323A1C"/>
    <w:rsid w:val="00323A2F"/>
    <w:rsid w:val="00323A8E"/>
    <w:rsid w:val="00323EDA"/>
    <w:rsid w:val="003247E1"/>
    <w:rsid w:val="00324B59"/>
    <w:rsid w:val="0032525E"/>
    <w:rsid w:val="00325E46"/>
    <w:rsid w:val="00325EB7"/>
    <w:rsid w:val="0032656E"/>
    <w:rsid w:val="00326D81"/>
    <w:rsid w:val="0032788F"/>
    <w:rsid w:val="00327B15"/>
    <w:rsid w:val="003306F1"/>
    <w:rsid w:val="00332190"/>
    <w:rsid w:val="00332A98"/>
    <w:rsid w:val="003334BD"/>
    <w:rsid w:val="00333973"/>
    <w:rsid w:val="00333B99"/>
    <w:rsid w:val="00333CD0"/>
    <w:rsid w:val="0033448D"/>
    <w:rsid w:val="00334AD2"/>
    <w:rsid w:val="00334C7F"/>
    <w:rsid w:val="00334CB6"/>
    <w:rsid w:val="00334D87"/>
    <w:rsid w:val="00335CF6"/>
    <w:rsid w:val="0033709C"/>
    <w:rsid w:val="003370C5"/>
    <w:rsid w:val="00337224"/>
    <w:rsid w:val="003373C6"/>
    <w:rsid w:val="0033753A"/>
    <w:rsid w:val="003375E0"/>
    <w:rsid w:val="00337DD5"/>
    <w:rsid w:val="00340BF3"/>
    <w:rsid w:val="00341C6C"/>
    <w:rsid w:val="00341D26"/>
    <w:rsid w:val="00341EF0"/>
    <w:rsid w:val="00341F05"/>
    <w:rsid w:val="00342BA6"/>
    <w:rsid w:val="00342E43"/>
    <w:rsid w:val="0034335E"/>
    <w:rsid w:val="00343410"/>
    <w:rsid w:val="00343AA7"/>
    <w:rsid w:val="00343B41"/>
    <w:rsid w:val="00344668"/>
    <w:rsid w:val="00344940"/>
    <w:rsid w:val="0034506D"/>
    <w:rsid w:val="0034599A"/>
    <w:rsid w:val="00345F2D"/>
    <w:rsid w:val="00346234"/>
    <w:rsid w:val="003462D9"/>
    <w:rsid w:val="00346712"/>
    <w:rsid w:val="0034723F"/>
    <w:rsid w:val="00347247"/>
    <w:rsid w:val="0034741E"/>
    <w:rsid w:val="003474B6"/>
    <w:rsid w:val="0034770F"/>
    <w:rsid w:val="00347DD4"/>
    <w:rsid w:val="00350D81"/>
    <w:rsid w:val="00351894"/>
    <w:rsid w:val="00351DF5"/>
    <w:rsid w:val="003523A9"/>
    <w:rsid w:val="00352B43"/>
    <w:rsid w:val="00352C28"/>
    <w:rsid w:val="0035378B"/>
    <w:rsid w:val="0035383B"/>
    <w:rsid w:val="00353A78"/>
    <w:rsid w:val="00353B33"/>
    <w:rsid w:val="003541BB"/>
    <w:rsid w:val="00354502"/>
    <w:rsid w:val="00354931"/>
    <w:rsid w:val="00354B4A"/>
    <w:rsid w:val="00354F89"/>
    <w:rsid w:val="0035506D"/>
    <w:rsid w:val="003560FF"/>
    <w:rsid w:val="00356894"/>
    <w:rsid w:val="00356E17"/>
    <w:rsid w:val="003579A1"/>
    <w:rsid w:val="0036077F"/>
    <w:rsid w:val="00360A35"/>
    <w:rsid w:val="00360B1C"/>
    <w:rsid w:val="00360C86"/>
    <w:rsid w:val="00360F7A"/>
    <w:rsid w:val="00360FBC"/>
    <w:rsid w:val="00361537"/>
    <w:rsid w:val="00361B2D"/>
    <w:rsid w:val="00361FB7"/>
    <w:rsid w:val="0036242A"/>
    <w:rsid w:val="00362C23"/>
    <w:rsid w:val="00362DCA"/>
    <w:rsid w:val="00362E63"/>
    <w:rsid w:val="00362E90"/>
    <w:rsid w:val="00364F8B"/>
    <w:rsid w:val="00364FA0"/>
    <w:rsid w:val="003650A1"/>
    <w:rsid w:val="003657F3"/>
    <w:rsid w:val="00365844"/>
    <w:rsid w:val="00365F61"/>
    <w:rsid w:val="0036624C"/>
    <w:rsid w:val="003666F0"/>
    <w:rsid w:val="003672B6"/>
    <w:rsid w:val="00367B15"/>
    <w:rsid w:val="00367F84"/>
    <w:rsid w:val="00370384"/>
    <w:rsid w:val="0037039F"/>
    <w:rsid w:val="003712BC"/>
    <w:rsid w:val="003712D8"/>
    <w:rsid w:val="00372164"/>
    <w:rsid w:val="00372507"/>
    <w:rsid w:val="003738BD"/>
    <w:rsid w:val="00373FFC"/>
    <w:rsid w:val="00374263"/>
    <w:rsid w:val="003746F0"/>
    <w:rsid w:val="0037480D"/>
    <w:rsid w:val="00374A20"/>
    <w:rsid w:val="00374AB7"/>
    <w:rsid w:val="00374B96"/>
    <w:rsid w:val="00374E21"/>
    <w:rsid w:val="0037537A"/>
    <w:rsid w:val="0037708B"/>
    <w:rsid w:val="00377B2E"/>
    <w:rsid w:val="003805A3"/>
    <w:rsid w:val="00380C9B"/>
    <w:rsid w:val="003810F0"/>
    <w:rsid w:val="0038159D"/>
    <w:rsid w:val="003815D4"/>
    <w:rsid w:val="003818DC"/>
    <w:rsid w:val="00381A55"/>
    <w:rsid w:val="00382446"/>
    <w:rsid w:val="00382513"/>
    <w:rsid w:val="00383388"/>
    <w:rsid w:val="003834F8"/>
    <w:rsid w:val="003838D0"/>
    <w:rsid w:val="003840C2"/>
    <w:rsid w:val="00384327"/>
    <w:rsid w:val="00384A89"/>
    <w:rsid w:val="00384CB8"/>
    <w:rsid w:val="00385086"/>
    <w:rsid w:val="00385D98"/>
    <w:rsid w:val="0038744D"/>
    <w:rsid w:val="00387518"/>
    <w:rsid w:val="0038775D"/>
    <w:rsid w:val="00387EDC"/>
    <w:rsid w:val="00390306"/>
    <w:rsid w:val="003908A6"/>
    <w:rsid w:val="0039109D"/>
    <w:rsid w:val="003914C2"/>
    <w:rsid w:val="00391636"/>
    <w:rsid w:val="00391989"/>
    <w:rsid w:val="00391A6C"/>
    <w:rsid w:val="003927F6"/>
    <w:rsid w:val="0039398D"/>
    <w:rsid w:val="00393B3F"/>
    <w:rsid w:val="0039402D"/>
    <w:rsid w:val="003957FE"/>
    <w:rsid w:val="0039645E"/>
    <w:rsid w:val="00396739"/>
    <w:rsid w:val="003967D9"/>
    <w:rsid w:val="003970CA"/>
    <w:rsid w:val="003978B1"/>
    <w:rsid w:val="00397B61"/>
    <w:rsid w:val="003A04F6"/>
    <w:rsid w:val="003A0837"/>
    <w:rsid w:val="003A18CA"/>
    <w:rsid w:val="003A1A73"/>
    <w:rsid w:val="003A1FA7"/>
    <w:rsid w:val="003A2B4D"/>
    <w:rsid w:val="003A2BCE"/>
    <w:rsid w:val="003A2D12"/>
    <w:rsid w:val="003A2EBA"/>
    <w:rsid w:val="003A32DB"/>
    <w:rsid w:val="003A36FA"/>
    <w:rsid w:val="003A3D27"/>
    <w:rsid w:val="003A45E3"/>
    <w:rsid w:val="003A46B8"/>
    <w:rsid w:val="003A478C"/>
    <w:rsid w:val="003A4964"/>
    <w:rsid w:val="003A4A38"/>
    <w:rsid w:val="003A5295"/>
    <w:rsid w:val="003A5525"/>
    <w:rsid w:val="003A5889"/>
    <w:rsid w:val="003A5C8C"/>
    <w:rsid w:val="003A689E"/>
    <w:rsid w:val="003A6B38"/>
    <w:rsid w:val="003A6B83"/>
    <w:rsid w:val="003A6C97"/>
    <w:rsid w:val="003A722F"/>
    <w:rsid w:val="003A7373"/>
    <w:rsid w:val="003A7CF7"/>
    <w:rsid w:val="003A7D09"/>
    <w:rsid w:val="003B039F"/>
    <w:rsid w:val="003B0834"/>
    <w:rsid w:val="003B0DF4"/>
    <w:rsid w:val="003B1F9D"/>
    <w:rsid w:val="003B2504"/>
    <w:rsid w:val="003B2A8D"/>
    <w:rsid w:val="003B2AD1"/>
    <w:rsid w:val="003B2D2E"/>
    <w:rsid w:val="003B376A"/>
    <w:rsid w:val="003B4260"/>
    <w:rsid w:val="003B4538"/>
    <w:rsid w:val="003B461F"/>
    <w:rsid w:val="003B483F"/>
    <w:rsid w:val="003B4998"/>
    <w:rsid w:val="003B4A56"/>
    <w:rsid w:val="003B5A32"/>
    <w:rsid w:val="003B5B59"/>
    <w:rsid w:val="003B68C5"/>
    <w:rsid w:val="003B709D"/>
    <w:rsid w:val="003B7B50"/>
    <w:rsid w:val="003C0B07"/>
    <w:rsid w:val="003C160A"/>
    <w:rsid w:val="003C19B1"/>
    <w:rsid w:val="003C2034"/>
    <w:rsid w:val="003C23ED"/>
    <w:rsid w:val="003C2557"/>
    <w:rsid w:val="003C2CE7"/>
    <w:rsid w:val="003C2DB8"/>
    <w:rsid w:val="003C3490"/>
    <w:rsid w:val="003C3512"/>
    <w:rsid w:val="003C3608"/>
    <w:rsid w:val="003C3A87"/>
    <w:rsid w:val="003C3AE8"/>
    <w:rsid w:val="003C3D2C"/>
    <w:rsid w:val="003C4058"/>
    <w:rsid w:val="003C4E13"/>
    <w:rsid w:val="003C58A5"/>
    <w:rsid w:val="003C6221"/>
    <w:rsid w:val="003C63D7"/>
    <w:rsid w:val="003C68CC"/>
    <w:rsid w:val="003C74CD"/>
    <w:rsid w:val="003C7E62"/>
    <w:rsid w:val="003D12B9"/>
    <w:rsid w:val="003D147D"/>
    <w:rsid w:val="003D1E7A"/>
    <w:rsid w:val="003D242B"/>
    <w:rsid w:val="003D2492"/>
    <w:rsid w:val="003D28BE"/>
    <w:rsid w:val="003D29AA"/>
    <w:rsid w:val="003D2A99"/>
    <w:rsid w:val="003D3232"/>
    <w:rsid w:val="003D3B79"/>
    <w:rsid w:val="003D4AED"/>
    <w:rsid w:val="003D5C43"/>
    <w:rsid w:val="003D5EBF"/>
    <w:rsid w:val="003D5F28"/>
    <w:rsid w:val="003D60C1"/>
    <w:rsid w:val="003D6869"/>
    <w:rsid w:val="003D6920"/>
    <w:rsid w:val="003D6982"/>
    <w:rsid w:val="003D7B43"/>
    <w:rsid w:val="003E0249"/>
    <w:rsid w:val="003E08A4"/>
    <w:rsid w:val="003E105C"/>
    <w:rsid w:val="003E1EF8"/>
    <w:rsid w:val="003E2DFB"/>
    <w:rsid w:val="003E30FB"/>
    <w:rsid w:val="003E347A"/>
    <w:rsid w:val="003E4466"/>
    <w:rsid w:val="003E4C91"/>
    <w:rsid w:val="003E502A"/>
    <w:rsid w:val="003E52D8"/>
    <w:rsid w:val="003E62F1"/>
    <w:rsid w:val="003E6451"/>
    <w:rsid w:val="003E6597"/>
    <w:rsid w:val="003E6ED5"/>
    <w:rsid w:val="003E6F84"/>
    <w:rsid w:val="003F0148"/>
    <w:rsid w:val="003F07A8"/>
    <w:rsid w:val="003F1750"/>
    <w:rsid w:val="003F1E67"/>
    <w:rsid w:val="003F3051"/>
    <w:rsid w:val="003F313C"/>
    <w:rsid w:val="003F33B1"/>
    <w:rsid w:val="003F33B9"/>
    <w:rsid w:val="003F3583"/>
    <w:rsid w:val="003F37FC"/>
    <w:rsid w:val="003F3E76"/>
    <w:rsid w:val="003F4318"/>
    <w:rsid w:val="003F4B2C"/>
    <w:rsid w:val="003F4C00"/>
    <w:rsid w:val="003F54B4"/>
    <w:rsid w:val="003F54DF"/>
    <w:rsid w:val="003F551C"/>
    <w:rsid w:val="003F626D"/>
    <w:rsid w:val="003F72ED"/>
    <w:rsid w:val="003F7447"/>
    <w:rsid w:val="003F7D23"/>
    <w:rsid w:val="00400050"/>
    <w:rsid w:val="004002C8"/>
    <w:rsid w:val="00400468"/>
    <w:rsid w:val="0040099D"/>
    <w:rsid w:val="00400A68"/>
    <w:rsid w:val="004016CB"/>
    <w:rsid w:val="00401B23"/>
    <w:rsid w:val="00402222"/>
    <w:rsid w:val="00402689"/>
    <w:rsid w:val="00402ADB"/>
    <w:rsid w:val="0040368D"/>
    <w:rsid w:val="00403926"/>
    <w:rsid w:val="00403D1D"/>
    <w:rsid w:val="00403F57"/>
    <w:rsid w:val="0040444F"/>
    <w:rsid w:val="004046BD"/>
    <w:rsid w:val="00404BAB"/>
    <w:rsid w:val="00404D5C"/>
    <w:rsid w:val="00405318"/>
    <w:rsid w:val="004059D2"/>
    <w:rsid w:val="004060C9"/>
    <w:rsid w:val="004066D0"/>
    <w:rsid w:val="00406C2E"/>
    <w:rsid w:val="00406CDA"/>
    <w:rsid w:val="00406EB0"/>
    <w:rsid w:val="00406FBE"/>
    <w:rsid w:val="00407711"/>
    <w:rsid w:val="00407911"/>
    <w:rsid w:val="00407C13"/>
    <w:rsid w:val="0041018E"/>
    <w:rsid w:val="004103F6"/>
    <w:rsid w:val="00410638"/>
    <w:rsid w:val="00411826"/>
    <w:rsid w:val="00411F34"/>
    <w:rsid w:val="0041231B"/>
    <w:rsid w:val="00412511"/>
    <w:rsid w:val="004125C2"/>
    <w:rsid w:val="00412DFA"/>
    <w:rsid w:val="00413465"/>
    <w:rsid w:val="004135BB"/>
    <w:rsid w:val="004149AC"/>
    <w:rsid w:val="0041501E"/>
    <w:rsid w:val="00415452"/>
    <w:rsid w:val="004158D3"/>
    <w:rsid w:val="004158F7"/>
    <w:rsid w:val="004159C3"/>
    <w:rsid w:val="00415A57"/>
    <w:rsid w:val="00415E0D"/>
    <w:rsid w:val="00416097"/>
    <w:rsid w:val="0041650F"/>
    <w:rsid w:val="00416566"/>
    <w:rsid w:val="00416DAC"/>
    <w:rsid w:val="00416DDF"/>
    <w:rsid w:val="00416E9B"/>
    <w:rsid w:val="00417106"/>
    <w:rsid w:val="00417256"/>
    <w:rsid w:val="0041779F"/>
    <w:rsid w:val="00417DAE"/>
    <w:rsid w:val="00417DAF"/>
    <w:rsid w:val="00420880"/>
    <w:rsid w:val="00421179"/>
    <w:rsid w:val="00421DE7"/>
    <w:rsid w:val="004225D7"/>
    <w:rsid w:val="00423623"/>
    <w:rsid w:val="0042459A"/>
    <w:rsid w:val="0042470E"/>
    <w:rsid w:val="0042507B"/>
    <w:rsid w:val="00425352"/>
    <w:rsid w:val="00425381"/>
    <w:rsid w:val="00426BB5"/>
    <w:rsid w:val="00426C99"/>
    <w:rsid w:val="00426F72"/>
    <w:rsid w:val="004272BE"/>
    <w:rsid w:val="00427538"/>
    <w:rsid w:val="004306C2"/>
    <w:rsid w:val="00430939"/>
    <w:rsid w:val="00430C96"/>
    <w:rsid w:val="004310BA"/>
    <w:rsid w:val="0043174F"/>
    <w:rsid w:val="00431BFF"/>
    <w:rsid w:val="00432199"/>
    <w:rsid w:val="004322C4"/>
    <w:rsid w:val="00432337"/>
    <w:rsid w:val="004328F8"/>
    <w:rsid w:val="00432A58"/>
    <w:rsid w:val="00432FC7"/>
    <w:rsid w:val="004331C3"/>
    <w:rsid w:val="00433C17"/>
    <w:rsid w:val="00434617"/>
    <w:rsid w:val="00434BBB"/>
    <w:rsid w:val="00434DE9"/>
    <w:rsid w:val="00435051"/>
    <w:rsid w:val="00435C69"/>
    <w:rsid w:val="004360FB"/>
    <w:rsid w:val="004364BA"/>
    <w:rsid w:val="00436764"/>
    <w:rsid w:val="00437CED"/>
    <w:rsid w:val="004407BF"/>
    <w:rsid w:val="00440900"/>
    <w:rsid w:val="00440D2A"/>
    <w:rsid w:val="0044121D"/>
    <w:rsid w:val="00441822"/>
    <w:rsid w:val="00441BF6"/>
    <w:rsid w:val="00441C64"/>
    <w:rsid w:val="00441D2B"/>
    <w:rsid w:val="00441F8B"/>
    <w:rsid w:val="00442085"/>
    <w:rsid w:val="0044227A"/>
    <w:rsid w:val="0044279E"/>
    <w:rsid w:val="0044356B"/>
    <w:rsid w:val="004441A0"/>
    <w:rsid w:val="00445861"/>
    <w:rsid w:val="00445A8E"/>
    <w:rsid w:val="00446613"/>
    <w:rsid w:val="00446D44"/>
    <w:rsid w:val="004504E7"/>
    <w:rsid w:val="0045078A"/>
    <w:rsid w:val="0045086D"/>
    <w:rsid w:val="00450DAB"/>
    <w:rsid w:val="0045125B"/>
    <w:rsid w:val="00451794"/>
    <w:rsid w:val="004519E2"/>
    <w:rsid w:val="00451E25"/>
    <w:rsid w:val="00451EF1"/>
    <w:rsid w:val="0045220F"/>
    <w:rsid w:val="00452E60"/>
    <w:rsid w:val="0045321B"/>
    <w:rsid w:val="00454871"/>
    <w:rsid w:val="004548F7"/>
    <w:rsid w:val="00454D31"/>
    <w:rsid w:val="00454E5B"/>
    <w:rsid w:val="00455833"/>
    <w:rsid w:val="00455AE3"/>
    <w:rsid w:val="00456C88"/>
    <w:rsid w:val="00456FB5"/>
    <w:rsid w:val="00456FE5"/>
    <w:rsid w:val="00457490"/>
    <w:rsid w:val="0045778B"/>
    <w:rsid w:val="0045786C"/>
    <w:rsid w:val="00457953"/>
    <w:rsid w:val="00457AC5"/>
    <w:rsid w:val="004604D8"/>
    <w:rsid w:val="00460656"/>
    <w:rsid w:val="00460964"/>
    <w:rsid w:val="00460FB3"/>
    <w:rsid w:val="00462236"/>
    <w:rsid w:val="00463091"/>
    <w:rsid w:val="00463D3C"/>
    <w:rsid w:val="00464851"/>
    <w:rsid w:val="00464BF5"/>
    <w:rsid w:val="00464F2B"/>
    <w:rsid w:val="00465432"/>
    <w:rsid w:val="00465862"/>
    <w:rsid w:val="00466595"/>
    <w:rsid w:val="00466B3E"/>
    <w:rsid w:val="0046746A"/>
    <w:rsid w:val="004675AC"/>
    <w:rsid w:val="00467B14"/>
    <w:rsid w:val="004705FC"/>
    <w:rsid w:val="004707FE"/>
    <w:rsid w:val="00470EDC"/>
    <w:rsid w:val="00472418"/>
    <w:rsid w:val="0047276D"/>
    <w:rsid w:val="00472AF6"/>
    <w:rsid w:val="00473482"/>
    <w:rsid w:val="004740A0"/>
    <w:rsid w:val="00474646"/>
    <w:rsid w:val="00474A04"/>
    <w:rsid w:val="00476240"/>
    <w:rsid w:val="00476439"/>
    <w:rsid w:val="00476450"/>
    <w:rsid w:val="004769BF"/>
    <w:rsid w:val="004769E1"/>
    <w:rsid w:val="00476AEE"/>
    <w:rsid w:val="0047735C"/>
    <w:rsid w:val="0047766A"/>
    <w:rsid w:val="004776BC"/>
    <w:rsid w:val="00477820"/>
    <w:rsid w:val="00477B96"/>
    <w:rsid w:val="00480802"/>
    <w:rsid w:val="00480BAE"/>
    <w:rsid w:val="00480CAC"/>
    <w:rsid w:val="00480D7F"/>
    <w:rsid w:val="00480E30"/>
    <w:rsid w:val="0048139F"/>
    <w:rsid w:val="004819AD"/>
    <w:rsid w:val="00481E1D"/>
    <w:rsid w:val="00481E40"/>
    <w:rsid w:val="00482405"/>
    <w:rsid w:val="004826A7"/>
    <w:rsid w:val="004828DA"/>
    <w:rsid w:val="004830BB"/>
    <w:rsid w:val="00483359"/>
    <w:rsid w:val="0048368C"/>
    <w:rsid w:val="0048372F"/>
    <w:rsid w:val="0048399F"/>
    <w:rsid w:val="004839DD"/>
    <w:rsid w:val="00483A0C"/>
    <w:rsid w:val="004841CC"/>
    <w:rsid w:val="00484ECE"/>
    <w:rsid w:val="00485775"/>
    <w:rsid w:val="00485E82"/>
    <w:rsid w:val="00485F19"/>
    <w:rsid w:val="00486132"/>
    <w:rsid w:val="0048686D"/>
    <w:rsid w:val="00486A1C"/>
    <w:rsid w:val="00486A4D"/>
    <w:rsid w:val="004878F0"/>
    <w:rsid w:val="00487DBA"/>
    <w:rsid w:val="004915CB"/>
    <w:rsid w:val="00491A2B"/>
    <w:rsid w:val="004920FA"/>
    <w:rsid w:val="004924DC"/>
    <w:rsid w:val="00492580"/>
    <w:rsid w:val="00492879"/>
    <w:rsid w:val="00493CA0"/>
    <w:rsid w:val="00493D35"/>
    <w:rsid w:val="00493E85"/>
    <w:rsid w:val="00493E8B"/>
    <w:rsid w:val="004945C1"/>
    <w:rsid w:val="00494AA4"/>
    <w:rsid w:val="0049505A"/>
    <w:rsid w:val="00495145"/>
    <w:rsid w:val="0049531F"/>
    <w:rsid w:val="00495BE3"/>
    <w:rsid w:val="00495DA8"/>
    <w:rsid w:val="00496F61"/>
    <w:rsid w:val="004970F9"/>
    <w:rsid w:val="004979A5"/>
    <w:rsid w:val="004A0144"/>
    <w:rsid w:val="004A036E"/>
    <w:rsid w:val="004A0389"/>
    <w:rsid w:val="004A0498"/>
    <w:rsid w:val="004A06B0"/>
    <w:rsid w:val="004A0A22"/>
    <w:rsid w:val="004A0D0E"/>
    <w:rsid w:val="004A14E4"/>
    <w:rsid w:val="004A204E"/>
    <w:rsid w:val="004A26A5"/>
    <w:rsid w:val="004A27F0"/>
    <w:rsid w:val="004A310A"/>
    <w:rsid w:val="004A3212"/>
    <w:rsid w:val="004A3454"/>
    <w:rsid w:val="004A376B"/>
    <w:rsid w:val="004A37CD"/>
    <w:rsid w:val="004A3BE4"/>
    <w:rsid w:val="004A40D9"/>
    <w:rsid w:val="004A48CE"/>
    <w:rsid w:val="004A49A5"/>
    <w:rsid w:val="004A4D3C"/>
    <w:rsid w:val="004A4F8A"/>
    <w:rsid w:val="004A52AB"/>
    <w:rsid w:val="004A5494"/>
    <w:rsid w:val="004A5D4E"/>
    <w:rsid w:val="004A61C5"/>
    <w:rsid w:val="004A620D"/>
    <w:rsid w:val="004A62A0"/>
    <w:rsid w:val="004A71A4"/>
    <w:rsid w:val="004A7604"/>
    <w:rsid w:val="004A77DF"/>
    <w:rsid w:val="004A7DC0"/>
    <w:rsid w:val="004B0866"/>
    <w:rsid w:val="004B09C2"/>
    <w:rsid w:val="004B1417"/>
    <w:rsid w:val="004B1627"/>
    <w:rsid w:val="004B2249"/>
    <w:rsid w:val="004B305C"/>
    <w:rsid w:val="004B31B8"/>
    <w:rsid w:val="004B339A"/>
    <w:rsid w:val="004B37F2"/>
    <w:rsid w:val="004B4C83"/>
    <w:rsid w:val="004B4DA5"/>
    <w:rsid w:val="004B51F8"/>
    <w:rsid w:val="004B55B7"/>
    <w:rsid w:val="004B591D"/>
    <w:rsid w:val="004B599A"/>
    <w:rsid w:val="004B5BFA"/>
    <w:rsid w:val="004B619E"/>
    <w:rsid w:val="004B6468"/>
    <w:rsid w:val="004B6EF8"/>
    <w:rsid w:val="004B7125"/>
    <w:rsid w:val="004B7480"/>
    <w:rsid w:val="004B74DC"/>
    <w:rsid w:val="004B756A"/>
    <w:rsid w:val="004B7FB1"/>
    <w:rsid w:val="004C0970"/>
    <w:rsid w:val="004C0B3F"/>
    <w:rsid w:val="004C0F87"/>
    <w:rsid w:val="004C2346"/>
    <w:rsid w:val="004C25F9"/>
    <w:rsid w:val="004C2735"/>
    <w:rsid w:val="004C2794"/>
    <w:rsid w:val="004C29F0"/>
    <w:rsid w:val="004C2BB6"/>
    <w:rsid w:val="004C2BE7"/>
    <w:rsid w:val="004C2C2D"/>
    <w:rsid w:val="004C3027"/>
    <w:rsid w:val="004C3119"/>
    <w:rsid w:val="004C384C"/>
    <w:rsid w:val="004C3867"/>
    <w:rsid w:val="004C3CE4"/>
    <w:rsid w:val="004C3DB0"/>
    <w:rsid w:val="004C439A"/>
    <w:rsid w:val="004C43F9"/>
    <w:rsid w:val="004C4720"/>
    <w:rsid w:val="004C4CD0"/>
    <w:rsid w:val="004C5060"/>
    <w:rsid w:val="004C515E"/>
    <w:rsid w:val="004C5165"/>
    <w:rsid w:val="004C583F"/>
    <w:rsid w:val="004C589C"/>
    <w:rsid w:val="004C5A25"/>
    <w:rsid w:val="004C5AE8"/>
    <w:rsid w:val="004C5F7F"/>
    <w:rsid w:val="004C6E0E"/>
    <w:rsid w:val="004C70DC"/>
    <w:rsid w:val="004D0211"/>
    <w:rsid w:val="004D0794"/>
    <w:rsid w:val="004D0C17"/>
    <w:rsid w:val="004D1685"/>
    <w:rsid w:val="004D17A6"/>
    <w:rsid w:val="004D1A7B"/>
    <w:rsid w:val="004D2621"/>
    <w:rsid w:val="004D270A"/>
    <w:rsid w:val="004D2D31"/>
    <w:rsid w:val="004D2E03"/>
    <w:rsid w:val="004D3296"/>
    <w:rsid w:val="004D3EB3"/>
    <w:rsid w:val="004D3EC2"/>
    <w:rsid w:val="004D4056"/>
    <w:rsid w:val="004D4452"/>
    <w:rsid w:val="004D45B5"/>
    <w:rsid w:val="004D4CB0"/>
    <w:rsid w:val="004D58C0"/>
    <w:rsid w:val="004D5B0F"/>
    <w:rsid w:val="004D63BA"/>
    <w:rsid w:val="004D6B28"/>
    <w:rsid w:val="004D75BC"/>
    <w:rsid w:val="004D7626"/>
    <w:rsid w:val="004D76A4"/>
    <w:rsid w:val="004D7804"/>
    <w:rsid w:val="004E0434"/>
    <w:rsid w:val="004E085C"/>
    <w:rsid w:val="004E086D"/>
    <w:rsid w:val="004E12DF"/>
    <w:rsid w:val="004E186A"/>
    <w:rsid w:val="004E1A40"/>
    <w:rsid w:val="004E1C97"/>
    <w:rsid w:val="004E1DB2"/>
    <w:rsid w:val="004E200A"/>
    <w:rsid w:val="004E23FC"/>
    <w:rsid w:val="004E2409"/>
    <w:rsid w:val="004E261D"/>
    <w:rsid w:val="004E28B1"/>
    <w:rsid w:val="004E3927"/>
    <w:rsid w:val="004E3B7F"/>
    <w:rsid w:val="004E5342"/>
    <w:rsid w:val="004E563C"/>
    <w:rsid w:val="004E57BF"/>
    <w:rsid w:val="004E5C94"/>
    <w:rsid w:val="004E5F41"/>
    <w:rsid w:val="004E6011"/>
    <w:rsid w:val="004E6CEE"/>
    <w:rsid w:val="004E6DE6"/>
    <w:rsid w:val="004E70DD"/>
    <w:rsid w:val="004E765E"/>
    <w:rsid w:val="004E7815"/>
    <w:rsid w:val="004E7BF7"/>
    <w:rsid w:val="004F06F5"/>
    <w:rsid w:val="004F12A4"/>
    <w:rsid w:val="004F1456"/>
    <w:rsid w:val="004F1A07"/>
    <w:rsid w:val="004F253F"/>
    <w:rsid w:val="004F296F"/>
    <w:rsid w:val="004F33A0"/>
    <w:rsid w:val="004F36FA"/>
    <w:rsid w:val="004F3873"/>
    <w:rsid w:val="004F3A15"/>
    <w:rsid w:val="004F3BD2"/>
    <w:rsid w:val="004F46ED"/>
    <w:rsid w:val="004F4995"/>
    <w:rsid w:val="004F49A3"/>
    <w:rsid w:val="004F4C99"/>
    <w:rsid w:val="004F4F69"/>
    <w:rsid w:val="004F5358"/>
    <w:rsid w:val="004F601B"/>
    <w:rsid w:val="004F61D5"/>
    <w:rsid w:val="004F63C1"/>
    <w:rsid w:val="004F6484"/>
    <w:rsid w:val="004F6539"/>
    <w:rsid w:val="004F6A3E"/>
    <w:rsid w:val="00501188"/>
    <w:rsid w:val="00502372"/>
    <w:rsid w:val="00503D54"/>
    <w:rsid w:val="0050461B"/>
    <w:rsid w:val="005046CE"/>
    <w:rsid w:val="005048E2"/>
    <w:rsid w:val="00505FC8"/>
    <w:rsid w:val="00506603"/>
    <w:rsid w:val="0050682C"/>
    <w:rsid w:val="0050689D"/>
    <w:rsid w:val="00506ACA"/>
    <w:rsid w:val="00506F41"/>
    <w:rsid w:val="0050736A"/>
    <w:rsid w:val="0050753E"/>
    <w:rsid w:val="005077F5"/>
    <w:rsid w:val="005108C0"/>
    <w:rsid w:val="0051094F"/>
    <w:rsid w:val="00510BC5"/>
    <w:rsid w:val="00511217"/>
    <w:rsid w:val="00511873"/>
    <w:rsid w:val="00511BAF"/>
    <w:rsid w:val="00511E2E"/>
    <w:rsid w:val="00512461"/>
    <w:rsid w:val="00512585"/>
    <w:rsid w:val="00512749"/>
    <w:rsid w:val="00512A2F"/>
    <w:rsid w:val="00513B7E"/>
    <w:rsid w:val="00513E9D"/>
    <w:rsid w:val="005140CB"/>
    <w:rsid w:val="0051432A"/>
    <w:rsid w:val="0051475D"/>
    <w:rsid w:val="00514B11"/>
    <w:rsid w:val="00514DED"/>
    <w:rsid w:val="00515485"/>
    <w:rsid w:val="00515BD0"/>
    <w:rsid w:val="00515BE9"/>
    <w:rsid w:val="00515C74"/>
    <w:rsid w:val="00515CEB"/>
    <w:rsid w:val="0051630F"/>
    <w:rsid w:val="0051672B"/>
    <w:rsid w:val="00517113"/>
    <w:rsid w:val="0052007E"/>
    <w:rsid w:val="00520098"/>
    <w:rsid w:val="0052032E"/>
    <w:rsid w:val="0052185B"/>
    <w:rsid w:val="0052199F"/>
    <w:rsid w:val="00521CAD"/>
    <w:rsid w:val="0052200D"/>
    <w:rsid w:val="00522425"/>
    <w:rsid w:val="00522A1B"/>
    <w:rsid w:val="00522E01"/>
    <w:rsid w:val="0052337A"/>
    <w:rsid w:val="00523F39"/>
    <w:rsid w:val="00524385"/>
    <w:rsid w:val="005246BE"/>
    <w:rsid w:val="00525137"/>
    <w:rsid w:val="005251DD"/>
    <w:rsid w:val="00525AA7"/>
    <w:rsid w:val="00527510"/>
    <w:rsid w:val="0052762C"/>
    <w:rsid w:val="0052792D"/>
    <w:rsid w:val="0053012B"/>
    <w:rsid w:val="005301A6"/>
    <w:rsid w:val="00530A68"/>
    <w:rsid w:val="00530AD4"/>
    <w:rsid w:val="0053129F"/>
    <w:rsid w:val="00531C5A"/>
    <w:rsid w:val="00532C44"/>
    <w:rsid w:val="00532CE7"/>
    <w:rsid w:val="00532D8B"/>
    <w:rsid w:val="0053324C"/>
    <w:rsid w:val="00533A8D"/>
    <w:rsid w:val="00534068"/>
    <w:rsid w:val="0053417E"/>
    <w:rsid w:val="005344D9"/>
    <w:rsid w:val="00534A28"/>
    <w:rsid w:val="00535018"/>
    <w:rsid w:val="00535782"/>
    <w:rsid w:val="0053595E"/>
    <w:rsid w:val="00537389"/>
    <w:rsid w:val="00537571"/>
    <w:rsid w:val="00540056"/>
    <w:rsid w:val="00540313"/>
    <w:rsid w:val="005410E2"/>
    <w:rsid w:val="00541508"/>
    <w:rsid w:val="00541AE3"/>
    <w:rsid w:val="00543498"/>
    <w:rsid w:val="00544011"/>
    <w:rsid w:val="00544BE5"/>
    <w:rsid w:val="00544C1D"/>
    <w:rsid w:val="00544E6E"/>
    <w:rsid w:val="005453A3"/>
    <w:rsid w:val="005455D1"/>
    <w:rsid w:val="005455F6"/>
    <w:rsid w:val="0054582F"/>
    <w:rsid w:val="0054632B"/>
    <w:rsid w:val="00546F77"/>
    <w:rsid w:val="00546FC7"/>
    <w:rsid w:val="00547F9D"/>
    <w:rsid w:val="005500F9"/>
    <w:rsid w:val="00550160"/>
    <w:rsid w:val="00550249"/>
    <w:rsid w:val="00550540"/>
    <w:rsid w:val="00550544"/>
    <w:rsid w:val="005519E2"/>
    <w:rsid w:val="00551E16"/>
    <w:rsid w:val="005523A8"/>
    <w:rsid w:val="00552F2C"/>
    <w:rsid w:val="00553007"/>
    <w:rsid w:val="005536CA"/>
    <w:rsid w:val="00553A25"/>
    <w:rsid w:val="005547EB"/>
    <w:rsid w:val="00554863"/>
    <w:rsid w:val="00555122"/>
    <w:rsid w:val="005552A2"/>
    <w:rsid w:val="005555E0"/>
    <w:rsid w:val="0055599F"/>
    <w:rsid w:val="00556D68"/>
    <w:rsid w:val="0055707B"/>
    <w:rsid w:val="005570D6"/>
    <w:rsid w:val="00557245"/>
    <w:rsid w:val="00557D13"/>
    <w:rsid w:val="00557E0E"/>
    <w:rsid w:val="00557E45"/>
    <w:rsid w:val="005605F3"/>
    <w:rsid w:val="00560C41"/>
    <w:rsid w:val="00560C68"/>
    <w:rsid w:val="00560CAC"/>
    <w:rsid w:val="005610EA"/>
    <w:rsid w:val="00561D85"/>
    <w:rsid w:val="00561F44"/>
    <w:rsid w:val="00562B4D"/>
    <w:rsid w:val="00562DB1"/>
    <w:rsid w:val="0056347A"/>
    <w:rsid w:val="00563E41"/>
    <w:rsid w:val="00563EB8"/>
    <w:rsid w:val="005647BF"/>
    <w:rsid w:val="005648F8"/>
    <w:rsid w:val="00564AF1"/>
    <w:rsid w:val="00564D10"/>
    <w:rsid w:val="00564FA3"/>
    <w:rsid w:val="00565083"/>
    <w:rsid w:val="005650BF"/>
    <w:rsid w:val="005650DC"/>
    <w:rsid w:val="005655DB"/>
    <w:rsid w:val="00565A9E"/>
    <w:rsid w:val="00565E88"/>
    <w:rsid w:val="00567339"/>
    <w:rsid w:val="005678EE"/>
    <w:rsid w:val="00567910"/>
    <w:rsid w:val="00570270"/>
    <w:rsid w:val="00570464"/>
    <w:rsid w:val="00570601"/>
    <w:rsid w:val="00570BC3"/>
    <w:rsid w:val="00571766"/>
    <w:rsid w:val="0057182A"/>
    <w:rsid w:val="00571AF0"/>
    <w:rsid w:val="00571E59"/>
    <w:rsid w:val="00572079"/>
    <w:rsid w:val="00572900"/>
    <w:rsid w:val="00572FDF"/>
    <w:rsid w:val="00573602"/>
    <w:rsid w:val="0057364B"/>
    <w:rsid w:val="00573C67"/>
    <w:rsid w:val="00574773"/>
    <w:rsid w:val="005761EC"/>
    <w:rsid w:val="00576353"/>
    <w:rsid w:val="00576B08"/>
    <w:rsid w:val="00576E34"/>
    <w:rsid w:val="00577247"/>
    <w:rsid w:val="0057789F"/>
    <w:rsid w:val="00577C07"/>
    <w:rsid w:val="00577DB1"/>
    <w:rsid w:val="00577FEC"/>
    <w:rsid w:val="00580180"/>
    <w:rsid w:val="00580AD3"/>
    <w:rsid w:val="00580DE7"/>
    <w:rsid w:val="005810E1"/>
    <w:rsid w:val="00581B64"/>
    <w:rsid w:val="00581CF3"/>
    <w:rsid w:val="005820CD"/>
    <w:rsid w:val="00582A12"/>
    <w:rsid w:val="005830BB"/>
    <w:rsid w:val="005831AA"/>
    <w:rsid w:val="005832A1"/>
    <w:rsid w:val="00583BDD"/>
    <w:rsid w:val="00583E52"/>
    <w:rsid w:val="00583FFD"/>
    <w:rsid w:val="00584132"/>
    <w:rsid w:val="00584252"/>
    <w:rsid w:val="005848DD"/>
    <w:rsid w:val="0058519A"/>
    <w:rsid w:val="005855B4"/>
    <w:rsid w:val="005856BD"/>
    <w:rsid w:val="00585983"/>
    <w:rsid w:val="00585C85"/>
    <w:rsid w:val="005865AF"/>
    <w:rsid w:val="005868C6"/>
    <w:rsid w:val="00586BCA"/>
    <w:rsid w:val="00586DC4"/>
    <w:rsid w:val="00587038"/>
    <w:rsid w:val="00587319"/>
    <w:rsid w:val="00590218"/>
    <w:rsid w:val="00590608"/>
    <w:rsid w:val="00590B28"/>
    <w:rsid w:val="005911BE"/>
    <w:rsid w:val="00591273"/>
    <w:rsid w:val="00591E9E"/>
    <w:rsid w:val="005927A4"/>
    <w:rsid w:val="00593152"/>
    <w:rsid w:val="00593389"/>
    <w:rsid w:val="00593FE6"/>
    <w:rsid w:val="00594309"/>
    <w:rsid w:val="00594538"/>
    <w:rsid w:val="00594B24"/>
    <w:rsid w:val="005956A3"/>
    <w:rsid w:val="00595958"/>
    <w:rsid w:val="00595CAB"/>
    <w:rsid w:val="0059622E"/>
    <w:rsid w:val="0059684D"/>
    <w:rsid w:val="00597671"/>
    <w:rsid w:val="00597BBF"/>
    <w:rsid w:val="005A0280"/>
    <w:rsid w:val="005A040C"/>
    <w:rsid w:val="005A0463"/>
    <w:rsid w:val="005A046F"/>
    <w:rsid w:val="005A05DF"/>
    <w:rsid w:val="005A0948"/>
    <w:rsid w:val="005A0A03"/>
    <w:rsid w:val="005A0BB3"/>
    <w:rsid w:val="005A10F2"/>
    <w:rsid w:val="005A16C0"/>
    <w:rsid w:val="005A2156"/>
    <w:rsid w:val="005A21E0"/>
    <w:rsid w:val="005A2401"/>
    <w:rsid w:val="005A28FF"/>
    <w:rsid w:val="005A2C09"/>
    <w:rsid w:val="005A3778"/>
    <w:rsid w:val="005A37B0"/>
    <w:rsid w:val="005A3B90"/>
    <w:rsid w:val="005A3DF8"/>
    <w:rsid w:val="005A53E4"/>
    <w:rsid w:val="005A5549"/>
    <w:rsid w:val="005A566A"/>
    <w:rsid w:val="005A56E0"/>
    <w:rsid w:val="005A6E21"/>
    <w:rsid w:val="005A70CA"/>
    <w:rsid w:val="005A7ABD"/>
    <w:rsid w:val="005A7CF8"/>
    <w:rsid w:val="005A7E84"/>
    <w:rsid w:val="005B00FF"/>
    <w:rsid w:val="005B0B9B"/>
    <w:rsid w:val="005B0EDA"/>
    <w:rsid w:val="005B1042"/>
    <w:rsid w:val="005B121D"/>
    <w:rsid w:val="005B16AB"/>
    <w:rsid w:val="005B1705"/>
    <w:rsid w:val="005B1A0C"/>
    <w:rsid w:val="005B26B0"/>
    <w:rsid w:val="005B362D"/>
    <w:rsid w:val="005B41C9"/>
    <w:rsid w:val="005B4277"/>
    <w:rsid w:val="005B427B"/>
    <w:rsid w:val="005B44E6"/>
    <w:rsid w:val="005B4853"/>
    <w:rsid w:val="005B521C"/>
    <w:rsid w:val="005B591B"/>
    <w:rsid w:val="005B623D"/>
    <w:rsid w:val="005B6CA1"/>
    <w:rsid w:val="005B70EB"/>
    <w:rsid w:val="005B770C"/>
    <w:rsid w:val="005C02F0"/>
    <w:rsid w:val="005C06ED"/>
    <w:rsid w:val="005C0A57"/>
    <w:rsid w:val="005C0CE1"/>
    <w:rsid w:val="005C11B8"/>
    <w:rsid w:val="005C179F"/>
    <w:rsid w:val="005C1B24"/>
    <w:rsid w:val="005C216C"/>
    <w:rsid w:val="005C2609"/>
    <w:rsid w:val="005C2B30"/>
    <w:rsid w:val="005C38FB"/>
    <w:rsid w:val="005C412B"/>
    <w:rsid w:val="005C41AF"/>
    <w:rsid w:val="005C43EC"/>
    <w:rsid w:val="005C45DD"/>
    <w:rsid w:val="005C4620"/>
    <w:rsid w:val="005C4704"/>
    <w:rsid w:val="005C4CB1"/>
    <w:rsid w:val="005C61BE"/>
    <w:rsid w:val="005C63A5"/>
    <w:rsid w:val="005C64FD"/>
    <w:rsid w:val="005C6783"/>
    <w:rsid w:val="005C70AB"/>
    <w:rsid w:val="005C7C79"/>
    <w:rsid w:val="005C7CA0"/>
    <w:rsid w:val="005D015C"/>
    <w:rsid w:val="005D1472"/>
    <w:rsid w:val="005D1A8A"/>
    <w:rsid w:val="005D33A3"/>
    <w:rsid w:val="005D3F06"/>
    <w:rsid w:val="005D4608"/>
    <w:rsid w:val="005D48E0"/>
    <w:rsid w:val="005D4B73"/>
    <w:rsid w:val="005D533D"/>
    <w:rsid w:val="005D5645"/>
    <w:rsid w:val="005D5802"/>
    <w:rsid w:val="005D5AA9"/>
    <w:rsid w:val="005D5B60"/>
    <w:rsid w:val="005D66E6"/>
    <w:rsid w:val="005D7119"/>
    <w:rsid w:val="005D76C8"/>
    <w:rsid w:val="005D7833"/>
    <w:rsid w:val="005D7890"/>
    <w:rsid w:val="005D7AAF"/>
    <w:rsid w:val="005E0A95"/>
    <w:rsid w:val="005E0E74"/>
    <w:rsid w:val="005E19C1"/>
    <w:rsid w:val="005E2194"/>
    <w:rsid w:val="005E23A3"/>
    <w:rsid w:val="005E24F0"/>
    <w:rsid w:val="005E2542"/>
    <w:rsid w:val="005E3113"/>
    <w:rsid w:val="005E34D1"/>
    <w:rsid w:val="005E36FE"/>
    <w:rsid w:val="005E3F66"/>
    <w:rsid w:val="005E490F"/>
    <w:rsid w:val="005E4B04"/>
    <w:rsid w:val="005E4BC9"/>
    <w:rsid w:val="005E5314"/>
    <w:rsid w:val="005E53DC"/>
    <w:rsid w:val="005E6C6A"/>
    <w:rsid w:val="005E764D"/>
    <w:rsid w:val="005E7724"/>
    <w:rsid w:val="005E7BB3"/>
    <w:rsid w:val="005E7C78"/>
    <w:rsid w:val="005F04A7"/>
    <w:rsid w:val="005F0B43"/>
    <w:rsid w:val="005F10B3"/>
    <w:rsid w:val="005F114F"/>
    <w:rsid w:val="005F18C5"/>
    <w:rsid w:val="005F18E4"/>
    <w:rsid w:val="005F1CCA"/>
    <w:rsid w:val="005F247B"/>
    <w:rsid w:val="005F2A08"/>
    <w:rsid w:val="005F36CC"/>
    <w:rsid w:val="005F3A6F"/>
    <w:rsid w:val="005F3B48"/>
    <w:rsid w:val="005F3EB1"/>
    <w:rsid w:val="005F413E"/>
    <w:rsid w:val="005F466B"/>
    <w:rsid w:val="005F46D8"/>
    <w:rsid w:val="005F480F"/>
    <w:rsid w:val="005F5156"/>
    <w:rsid w:val="005F51D8"/>
    <w:rsid w:val="005F5271"/>
    <w:rsid w:val="005F5469"/>
    <w:rsid w:val="005F63F3"/>
    <w:rsid w:val="005F66F0"/>
    <w:rsid w:val="005F6A64"/>
    <w:rsid w:val="005F6D7F"/>
    <w:rsid w:val="005F6DFE"/>
    <w:rsid w:val="005F7174"/>
    <w:rsid w:val="005F7B79"/>
    <w:rsid w:val="00600D6E"/>
    <w:rsid w:val="0060120D"/>
    <w:rsid w:val="006017C1"/>
    <w:rsid w:val="00601818"/>
    <w:rsid w:val="00601ADE"/>
    <w:rsid w:val="00601EEF"/>
    <w:rsid w:val="0060255A"/>
    <w:rsid w:val="006027E2"/>
    <w:rsid w:val="00602998"/>
    <w:rsid w:val="00602D7F"/>
    <w:rsid w:val="00602EB3"/>
    <w:rsid w:val="0060342F"/>
    <w:rsid w:val="006035A1"/>
    <w:rsid w:val="0060364A"/>
    <w:rsid w:val="0060393D"/>
    <w:rsid w:val="00603BA8"/>
    <w:rsid w:val="00604307"/>
    <w:rsid w:val="0060487F"/>
    <w:rsid w:val="00604EAD"/>
    <w:rsid w:val="0060513F"/>
    <w:rsid w:val="006062DA"/>
    <w:rsid w:val="006065E2"/>
    <w:rsid w:val="00606635"/>
    <w:rsid w:val="0060694B"/>
    <w:rsid w:val="00607E1D"/>
    <w:rsid w:val="006104FB"/>
    <w:rsid w:val="00611092"/>
    <w:rsid w:val="006116FF"/>
    <w:rsid w:val="0061176D"/>
    <w:rsid w:val="00611EA8"/>
    <w:rsid w:val="0061200F"/>
    <w:rsid w:val="00612756"/>
    <w:rsid w:val="00612A2F"/>
    <w:rsid w:val="00612AAE"/>
    <w:rsid w:val="00612B07"/>
    <w:rsid w:val="00612FD9"/>
    <w:rsid w:val="006139E0"/>
    <w:rsid w:val="00613E1C"/>
    <w:rsid w:val="006146C5"/>
    <w:rsid w:val="00614D35"/>
    <w:rsid w:val="006156B4"/>
    <w:rsid w:val="00615ADD"/>
    <w:rsid w:val="00615DAF"/>
    <w:rsid w:val="00615EA5"/>
    <w:rsid w:val="00616254"/>
    <w:rsid w:val="0061672A"/>
    <w:rsid w:val="00616E05"/>
    <w:rsid w:val="00617985"/>
    <w:rsid w:val="00617C0F"/>
    <w:rsid w:val="00620641"/>
    <w:rsid w:val="00620B77"/>
    <w:rsid w:val="00621190"/>
    <w:rsid w:val="0062131B"/>
    <w:rsid w:val="00621435"/>
    <w:rsid w:val="00621E26"/>
    <w:rsid w:val="006224EA"/>
    <w:rsid w:val="0062263A"/>
    <w:rsid w:val="006227DF"/>
    <w:rsid w:val="00622EFA"/>
    <w:rsid w:val="0062326B"/>
    <w:rsid w:val="006234A0"/>
    <w:rsid w:val="006236C8"/>
    <w:rsid w:val="00624093"/>
    <w:rsid w:val="0062415E"/>
    <w:rsid w:val="00625370"/>
    <w:rsid w:val="00625A84"/>
    <w:rsid w:val="00626079"/>
    <w:rsid w:val="00626B3B"/>
    <w:rsid w:val="00626B8F"/>
    <w:rsid w:val="006275B5"/>
    <w:rsid w:val="006300DB"/>
    <w:rsid w:val="006309CF"/>
    <w:rsid w:val="00631198"/>
    <w:rsid w:val="00631698"/>
    <w:rsid w:val="00631B14"/>
    <w:rsid w:val="00631E44"/>
    <w:rsid w:val="0063373E"/>
    <w:rsid w:val="00634C57"/>
    <w:rsid w:val="00634CE7"/>
    <w:rsid w:val="00634F30"/>
    <w:rsid w:val="006350D5"/>
    <w:rsid w:val="00635AA6"/>
    <w:rsid w:val="00635EBE"/>
    <w:rsid w:val="0063642C"/>
    <w:rsid w:val="006376B3"/>
    <w:rsid w:val="00637858"/>
    <w:rsid w:val="006403E6"/>
    <w:rsid w:val="006404A7"/>
    <w:rsid w:val="00640A38"/>
    <w:rsid w:val="00640E6B"/>
    <w:rsid w:val="00641242"/>
    <w:rsid w:val="00641787"/>
    <w:rsid w:val="0064179B"/>
    <w:rsid w:val="00641E2C"/>
    <w:rsid w:val="00642338"/>
    <w:rsid w:val="00642489"/>
    <w:rsid w:val="006428D3"/>
    <w:rsid w:val="0064402D"/>
    <w:rsid w:val="00644055"/>
    <w:rsid w:val="00644137"/>
    <w:rsid w:val="006445BC"/>
    <w:rsid w:val="0064478C"/>
    <w:rsid w:val="00644938"/>
    <w:rsid w:val="00645160"/>
    <w:rsid w:val="006451E4"/>
    <w:rsid w:val="0064574B"/>
    <w:rsid w:val="00645B33"/>
    <w:rsid w:val="006475A3"/>
    <w:rsid w:val="00647D47"/>
    <w:rsid w:val="00647EDF"/>
    <w:rsid w:val="00650A4F"/>
    <w:rsid w:val="00650E38"/>
    <w:rsid w:val="00650FFC"/>
    <w:rsid w:val="0065153D"/>
    <w:rsid w:val="006516CB"/>
    <w:rsid w:val="006523F5"/>
    <w:rsid w:val="00652444"/>
    <w:rsid w:val="006529A6"/>
    <w:rsid w:val="00652E30"/>
    <w:rsid w:val="00653542"/>
    <w:rsid w:val="00653BD0"/>
    <w:rsid w:val="00654110"/>
    <w:rsid w:val="006545E7"/>
    <w:rsid w:val="00654659"/>
    <w:rsid w:val="006547CD"/>
    <w:rsid w:val="00654DCC"/>
    <w:rsid w:val="00655F54"/>
    <w:rsid w:val="00656C5D"/>
    <w:rsid w:val="00656CFB"/>
    <w:rsid w:val="00656D25"/>
    <w:rsid w:val="00657964"/>
    <w:rsid w:val="00657E87"/>
    <w:rsid w:val="0066063F"/>
    <w:rsid w:val="00660D2D"/>
    <w:rsid w:val="0066110B"/>
    <w:rsid w:val="00661C41"/>
    <w:rsid w:val="00661EC9"/>
    <w:rsid w:val="00662469"/>
    <w:rsid w:val="0066411C"/>
    <w:rsid w:val="00664205"/>
    <w:rsid w:val="00664647"/>
    <w:rsid w:val="00664803"/>
    <w:rsid w:val="00664B35"/>
    <w:rsid w:val="0066502F"/>
    <w:rsid w:val="006652B9"/>
    <w:rsid w:val="006653CC"/>
    <w:rsid w:val="00665501"/>
    <w:rsid w:val="00665982"/>
    <w:rsid w:val="00665AAC"/>
    <w:rsid w:val="00665BA4"/>
    <w:rsid w:val="00666BF3"/>
    <w:rsid w:val="00667748"/>
    <w:rsid w:val="00667856"/>
    <w:rsid w:val="006679A1"/>
    <w:rsid w:val="00667AF2"/>
    <w:rsid w:val="00670489"/>
    <w:rsid w:val="006710C9"/>
    <w:rsid w:val="00671CFE"/>
    <w:rsid w:val="00671D85"/>
    <w:rsid w:val="00672586"/>
    <w:rsid w:val="006727BC"/>
    <w:rsid w:val="00673006"/>
    <w:rsid w:val="00673392"/>
    <w:rsid w:val="0067404B"/>
    <w:rsid w:val="006741CD"/>
    <w:rsid w:val="006745DF"/>
    <w:rsid w:val="00674BAC"/>
    <w:rsid w:val="00674D89"/>
    <w:rsid w:val="00674DF4"/>
    <w:rsid w:val="0067514E"/>
    <w:rsid w:val="00675A15"/>
    <w:rsid w:val="00675E37"/>
    <w:rsid w:val="0067635D"/>
    <w:rsid w:val="00676736"/>
    <w:rsid w:val="006769A4"/>
    <w:rsid w:val="006769C6"/>
    <w:rsid w:val="00676D76"/>
    <w:rsid w:val="00676F9F"/>
    <w:rsid w:val="00677519"/>
    <w:rsid w:val="00677591"/>
    <w:rsid w:val="00677594"/>
    <w:rsid w:val="00677FA3"/>
    <w:rsid w:val="0068020C"/>
    <w:rsid w:val="0068032F"/>
    <w:rsid w:val="00680D37"/>
    <w:rsid w:val="0068174E"/>
    <w:rsid w:val="00681DCE"/>
    <w:rsid w:val="00682110"/>
    <w:rsid w:val="0068260E"/>
    <w:rsid w:val="006846B3"/>
    <w:rsid w:val="006849E7"/>
    <w:rsid w:val="006849F8"/>
    <w:rsid w:val="00684B9B"/>
    <w:rsid w:val="00684D59"/>
    <w:rsid w:val="00684E25"/>
    <w:rsid w:val="006858A4"/>
    <w:rsid w:val="00685C08"/>
    <w:rsid w:val="00685C8C"/>
    <w:rsid w:val="00686718"/>
    <w:rsid w:val="00686BFA"/>
    <w:rsid w:val="00686DED"/>
    <w:rsid w:val="00686FD2"/>
    <w:rsid w:val="0068706C"/>
    <w:rsid w:val="006875A0"/>
    <w:rsid w:val="006878C6"/>
    <w:rsid w:val="00687D27"/>
    <w:rsid w:val="00687E40"/>
    <w:rsid w:val="00691943"/>
    <w:rsid w:val="00693361"/>
    <w:rsid w:val="00693550"/>
    <w:rsid w:val="00694622"/>
    <w:rsid w:val="00695065"/>
    <w:rsid w:val="00695651"/>
    <w:rsid w:val="00695BEF"/>
    <w:rsid w:val="006961FC"/>
    <w:rsid w:val="00696251"/>
    <w:rsid w:val="006966C7"/>
    <w:rsid w:val="006968C1"/>
    <w:rsid w:val="006977F6"/>
    <w:rsid w:val="00697A13"/>
    <w:rsid w:val="00697FC2"/>
    <w:rsid w:val="006A0DD4"/>
    <w:rsid w:val="006A109C"/>
    <w:rsid w:val="006A3CAF"/>
    <w:rsid w:val="006A41B9"/>
    <w:rsid w:val="006A4E6C"/>
    <w:rsid w:val="006A4E91"/>
    <w:rsid w:val="006A521C"/>
    <w:rsid w:val="006A5C69"/>
    <w:rsid w:val="006A5F27"/>
    <w:rsid w:val="006A5F4B"/>
    <w:rsid w:val="006A6114"/>
    <w:rsid w:val="006A6565"/>
    <w:rsid w:val="006A6BE3"/>
    <w:rsid w:val="006A7665"/>
    <w:rsid w:val="006A7691"/>
    <w:rsid w:val="006A7EE2"/>
    <w:rsid w:val="006B0409"/>
    <w:rsid w:val="006B0514"/>
    <w:rsid w:val="006B0F92"/>
    <w:rsid w:val="006B13F2"/>
    <w:rsid w:val="006B2785"/>
    <w:rsid w:val="006B27C7"/>
    <w:rsid w:val="006B2A1F"/>
    <w:rsid w:val="006B340F"/>
    <w:rsid w:val="006B344A"/>
    <w:rsid w:val="006B39E1"/>
    <w:rsid w:val="006B55DF"/>
    <w:rsid w:val="006B58C9"/>
    <w:rsid w:val="006B5F9A"/>
    <w:rsid w:val="006B60ED"/>
    <w:rsid w:val="006B614C"/>
    <w:rsid w:val="006B6C82"/>
    <w:rsid w:val="006B6CC5"/>
    <w:rsid w:val="006B6CF6"/>
    <w:rsid w:val="006B74AC"/>
    <w:rsid w:val="006B757B"/>
    <w:rsid w:val="006B78D8"/>
    <w:rsid w:val="006B79EA"/>
    <w:rsid w:val="006B7EA8"/>
    <w:rsid w:val="006C0C5D"/>
    <w:rsid w:val="006C113F"/>
    <w:rsid w:val="006C123E"/>
    <w:rsid w:val="006C15A1"/>
    <w:rsid w:val="006C1752"/>
    <w:rsid w:val="006C1DDC"/>
    <w:rsid w:val="006C1F77"/>
    <w:rsid w:val="006C1F94"/>
    <w:rsid w:val="006C28CA"/>
    <w:rsid w:val="006C2A0B"/>
    <w:rsid w:val="006C2B31"/>
    <w:rsid w:val="006C2BBF"/>
    <w:rsid w:val="006C2FBD"/>
    <w:rsid w:val="006C3336"/>
    <w:rsid w:val="006C3495"/>
    <w:rsid w:val="006C3742"/>
    <w:rsid w:val="006C4355"/>
    <w:rsid w:val="006C4587"/>
    <w:rsid w:val="006C469D"/>
    <w:rsid w:val="006C46B5"/>
    <w:rsid w:val="006C484F"/>
    <w:rsid w:val="006C501A"/>
    <w:rsid w:val="006C52EC"/>
    <w:rsid w:val="006C5506"/>
    <w:rsid w:val="006C56D4"/>
    <w:rsid w:val="006C5C22"/>
    <w:rsid w:val="006C65FF"/>
    <w:rsid w:val="006C6681"/>
    <w:rsid w:val="006C683C"/>
    <w:rsid w:val="006C6924"/>
    <w:rsid w:val="006C6C1E"/>
    <w:rsid w:val="006C7076"/>
    <w:rsid w:val="006C7981"/>
    <w:rsid w:val="006C7AEC"/>
    <w:rsid w:val="006C7CA6"/>
    <w:rsid w:val="006D12FB"/>
    <w:rsid w:val="006D156E"/>
    <w:rsid w:val="006D15D3"/>
    <w:rsid w:val="006D18B3"/>
    <w:rsid w:val="006D1BA2"/>
    <w:rsid w:val="006D1E89"/>
    <w:rsid w:val="006D26CE"/>
    <w:rsid w:val="006D2CE1"/>
    <w:rsid w:val="006D3045"/>
    <w:rsid w:val="006D317E"/>
    <w:rsid w:val="006D3E8A"/>
    <w:rsid w:val="006D47D9"/>
    <w:rsid w:val="006D49BA"/>
    <w:rsid w:val="006D4BA3"/>
    <w:rsid w:val="006D4F1E"/>
    <w:rsid w:val="006D5C7F"/>
    <w:rsid w:val="006D61F6"/>
    <w:rsid w:val="006D66DD"/>
    <w:rsid w:val="006D766A"/>
    <w:rsid w:val="006D7F30"/>
    <w:rsid w:val="006E1081"/>
    <w:rsid w:val="006E1332"/>
    <w:rsid w:val="006E13F6"/>
    <w:rsid w:val="006E19CB"/>
    <w:rsid w:val="006E279A"/>
    <w:rsid w:val="006E313B"/>
    <w:rsid w:val="006E34B2"/>
    <w:rsid w:val="006E3553"/>
    <w:rsid w:val="006E3A45"/>
    <w:rsid w:val="006E4078"/>
    <w:rsid w:val="006E51C4"/>
    <w:rsid w:val="006E53AD"/>
    <w:rsid w:val="006E58CB"/>
    <w:rsid w:val="006E594C"/>
    <w:rsid w:val="006E6A93"/>
    <w:rsid w:val="006E7227"/>
    <w:rsid w:val="006E725C"/>
    <w:rsid w:val="006E761A"/>
    <w:rsid w:val="006F0646"/>
    <w:rsid w:val="006F0741"/>
    <w:rsid w:val="006F1C27"/>
    <w:rsid w:val="006F2575"/>
    <w:rsid w:val="006F29CB"/>
    <w:rsid w:val="006F2A65"/>
    <w:rsid w:val="006F3DD6"/>
    <w:rsid w:val="006F40DF"/>
    <w:rsid w:val="006F42BB"/>
    <w:rsid w:val="006F438E"/>
    <w:rsid w:val="006F440B"/>
    <w:rsid w:val="006F48A3"/>
    <w:rsid w:val="006F4DA4"/>
    <w:rsid w:val="006F5416"/>
    <w:rsid w:val="006F5CB9"/>
    <w:rsid w:val="006F60EE"/>
    <w:rsid w:val="006F61FB"/>
    <w:rsid w:val="006F624B"/>
    <w:rsid w:val="006F6D87"/>
    <w:rsid w:val="006F6FF2"/>
    <w:rsid w:val="006F79FB"/>
    <w:rsid w:val="007008A9"/>
    <w:rsid w:val="00700E8A"/>
    <w:rsid w:val="007018A4"/>
    <w:rsid w:val="0070284F"/>
    <w:rsid w:val="00702D15"/>
    <w:rsid w:val="0070398A"/>
    <w:rsid w:val="007039C4"/>
    <w:rsid w:val="007045FD"/>
    <w:rsid w:val="0070494B"/>
    <w:rsid w:val="00705242"/>
    <w:rsid w:val="0070540C"/>
    <w:rsid w:val="007055E0"/>
    <w:rsid w:val="007056ED"/>
    <w:rsid w:val="00705F4E"/>
    <w:rsid w:val="0070658E"/>
    <w:rsid w:val="007065C5"/>
    <w:rsid w:val="007068E1"/>
    <w:rsid w:val="00706AA0"/>
    <w:rsid w:val="00706AD4"/>
    <w:rsid w:val="00707150"/>
    <w:rsid w:val="007079E5"/>
    <w:rsid w:val="00707CA3"/>
    <w:rsid w:val="00707FD9"/>
    <w:rsid w:val="00710CE8"/>
    <w:rsid w:val="00711A9E"/>
    <w:rsid w:val="007124D7"/>
    <w:rsid w:val="00712C20"/>
    <w:rsid w:val="00712E1F"/>
    <w:rsid w:val="007132CA"/>
    <w:rsid w:val="0071333D"/>
    <w:rsid w:val="00713549"/>
    <w:rsid w:val="0071399A"/>
    <w:rsid w:val="007140BE"/>
    <w:rsid w:val="007147AB"/>
    <w:rsid w:val="00715231"/>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1BC1"/>
    <w:rsid w:val="00721BE1"/>
    <w:rsid w:val="00722727"/>
    <w:rsid w:val="00722777"/>
    <w:rsid w:val="0072306E"/>
    <w:rsid w:val="00723401"/>
    <w:rsid w:val="00723435"/>
    <w:rsid w:val="00723436"/>
    <w:rsid w:val="0072396B"/>
    <w:rsid w:val="007240E2"/>
    <w:rsid w:val="0072454C"/>
    <w:rsid w:val="0072583E"/>
    <w:rsid w:val="0072594F"/>
    <w:rsid w:val="00725B5F"/>
    <w:rsid w:val="00725BB5"/>
    <w:rsid w:val="00726788"/>
    <w:rsid w:val="00727C02"/>
    <w:rsid w:val="00727EE2"/>
    <w:rsid w:val="0073008E"/>
    <w:rsid w:val="00730884"/>
    <w:rsid w:val="00730A8B"/>
    <w:rsid w:val="00730AE8"/>
    <w:rsid w:val="00730CB4"/>
    <w:rsid w:val="00730D59"/>
    <w:rsid w:val="00730F1B"/>
    <w:rsid w:val="0073186D"/>
    <w:rsid w:val="007324A6"/>
    <w:rsid w:val="0073261D"/>
    <w:rsid w:val="0073333D"/>
    <w:rsid w:val="007343D9"/>
    <w:rsid w:val="00734F71"/>
    <w:rsid w:val="00735448"/>
    <w:rsid w:val="00735749"/>
    <w:rsid w:val="00736F07"/>
    <w:rsid w:val="00737557"/>
    <w:rsid w:val="007377BD"/>
    <w:rsid w:val="00737DEC"/>
    <w:rsid w:val="0074004D"/>
    <w:rsid w:val="00741493"/>
    <w:rsid w:val="00741B6B"/>
    <w:rsid w:val="00741F2A"/>
    <w:rsid w:val="0074333D"/>
    <w:rsid w:val="007434E5"/>
    <w:rsid w:val="00743884"/>
    <w:rsid w:val="007446AB"/>
    <w:rsid w:val="0074499B"/>
    <w:rsid w:val="007449D6"/>
    <w:rsid w:val="00744FC1"/>
    <w:rsid w:val="0074501E"/>
    <w:rsid w:val="007450BF"/>
    <w:rsid w:val="0074518B"/>
    <w:rsid w:val="0074599A"/>
    <w:rsid w:val="00746EE5"/>
    <w:rsid w:val="00746F45"/>
    <w:rsid w:val="007471A1"/>
    <w:rsid w:val="007477BD"/>
    <w:rsid w:val="007477DA"/>
    <w:rsid w:val="007477ED"/>
    <w:rsid w:val="00747EE9"/>
    <w:rsid w:val="0075016F"/>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57D7C"/>
    <w:rsid w:val="007601AE"/>
    <w:rsid w:val="007601D2"/>
    <w:rsid w:val="007602CF"/>
    <w:rsid w:val="00760391"/>
    <w:rsid w:val="0076052B"/>
    <w:rsid w:val="007609C6"/>
    <w:rsid w:val="007615F3"/>
    <w:rsid w:val="00761625"/>
    <w:rsid w:val="0076175D"/>
    <w:rsid w:val="0076190A"/>
    <w:rsid w:val="00761A96"/>
    <w:rsid w:val="00761CB5"/>
    <w:rsid w:val="00761F7B"/>
    <w:rsid w:val="007629D5"/>
    <w:rsid w:val="007635F8"/>
    <w:rsid w:val="0076384E"/>
    <w:rsid w:val="00763A88"/>
    <w:rsid w:val="00763B23"/>
    <w:rsid w:val="00763B85"/>
    <w:rsid w:val="00763DAC"/>
    <w:rsid w:val="00764341"/>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5CC"/>
    <w:rsid w:val="00772DAB"/>
    <w:rsid w:val="00772FF9"/>
    <w:rsid w:val="0077348B"/>
    <w:rsid w:val="00773B76"/>
    <w:rsid w:val="00773BF4"/>
    <w:rsid w:val="00773F5D"/>
    <w:rsid w:val="00774269"/>
    <w:rsid w:val="007743DB"/>
    <w:rsid w:val="0077452E"/>
    <w:rsid w:val="00774D2C"/>
    <w:rsid w:val="00775E00"/>
    <w:rsid w:val="0077605B"/>
    <w:rsid w:val="00776169"/>
    <w:rsid w:val="00776527"/>
    <w:rsid w:val="00776783"/>
    <w:rsid w:val="00777040"/>
    <w:rsid w:val="00777CE6"/>
    <w:rsid w:val="00777D57"/>
    <w:rsid w:val="00780BF0"/>
    <w:rsid w:val="00780EF1"/>
    <w:rsid w:val="007819B2"/>
    <w:rsid w:val="00781A91"/>
    <w:rsid w:val="00781AD3"/>
    <w:rsid w:val="00781B70"/>
    <w:rsid w:val="00781F36"/>
    <w:rsid w:val="00782E4D"/>
    <w:rsid w:val="00783339"/>
    <w:rsid w:val="00783576"/>
    <w:rsid w:val="00783810"/>
    <w:rsid w:val="007838D8"/>
    <w:rsid w:val="00784276"/>
    <w:rsid w:val="0078440C"/>
    <w:rsid w:val="00784980"/>
    <w:rsid w:val="00784D45"/>
    <w:rsid w:val="007853FD"/>
    <w:rsid w:val="00785778"/>
    <w:rsid w:val="00786C87"/>
    <w:rsid w:val="00786CD1"/>
    <w:rsid w:val="007873BE"/>
    <w:rsid w:val="0078755E"/>
    <w:rsid w:val="007877C9"/>
    <w:rsid w:val="00790764"/>
    <w:rsid w:val="007907D5"/>
    <w:rsid w:val="0079085F"/>
    <w:rsid w:val="00790E96"/>
    <w:rsid w:val="00791005"/>
    <w:rsid w:val="0079139B"/>
    <w:rsid w:val="00793D78"/>
    <w:rsid w:val="007940EB"/>
    <w:rsid w:val="0079420B"/>
    <w:rsid w:val="0079453C"/>
    <w:rsid w:val="0079457A"/>
    <w:rsid w:val="00794677"/>
    <w:rsid w:val="00795367"/>
    <w:rsid w:val="00795759"/>
    <w:rsid w:val="00795788"/>
    <w:rsid w:val="00795B47"/>
    <w:rsid w:val="00797D3C"/>
    <w:rsid w:val="007A0B5E"/>
    <w:rsid w:val="007A0C93"/>
    <w:rsid w:val="007A147A"/>
    <w:rsid w:val="007A15BA"/>
    <w:rsid w:val="007A16E3"/>
    <w:rsid w:val="007A170B"/>
    <w:rsid w:val="007A20EB"/>
    <w:rsid w:val="007A236B"/>
    <w:rsid w:val="007A282C"/>
    <w:rsid w:val="007A293C"/>
    <w:rsid w:val="007A2A3A"/>
    <w:rsid w:val="007A33E2"/>
    <w:rsid w:val="007A3CAF"/>
    <w:rsid w:val="007A4551"/>
    <w:rsid w:val="007A4664"/>
    <w:rsid w:val="007A4782"/>
    <w:rsid w:val="007A516D"/>
    <w:rsid w:val="007A51C9"/>
    <w:rsid w:val="007A5E65"/>
    <w:rsid w:val="007A5FEE"/>
    <w:rsid w:val="007A65E1"/>
    <w:rsid w:val="007A6A6E"/>
    <w:rsid w:val="007A6AAA"/>
    <w:rsid w:val="007A6FF6"/>
    <w:rsid w:val="007A7033"/>
    <w:rsid w:val="007A775D"/>
    <w:rsid w:val="007B02AD"/>
    <w:rsid w:val="007B04B0"/>
    <w:rsid w:val="007B0834"/>
    <w:rsid w:val="007B0E83"/>
    <w:rsid w:val="007B112B"/>
    <w:rsid w:val="007B11FA"/>
    <w:rsid w:val="007B1396"/>
    <w:rsid w:val="007B16D6"/>
    <w:rsid w:val="007B1D1B"/>
    <w:rsid w:val="007B1E3F"/>
    <w:rsid w:val="007B2011"/>
    <w:rsid w:val="007B2221"/>
    <w:rsid w:val="007B23E7"/>
    <w:rsid w:val="007B2CFE"/>
    <w:rsid w:val="007B309B"/>
    <w:rsid w:val="007B37AB"/>
    <w:rsid w:val="007B3BB3"/>
    <w:rsid w:val="007B3D5E"/>
    <w:rsid w:val="007B3DCB"/>
    <w:rsid w:val="007B46BF"/>
    <w:rsid w:val="007B54AE"/>
    <w:rsid w:val="007B5725"/>
    <w:rsid w:val="007B5C1F"/>
    <w:rsid w:val="007B5D3E"/>
    <w:rsid w:val="007B5F59"/>
    <w:rsid w:val="007B6319"/>
    <w:rsid w:val="007B6689"/>
    <w:rsid w:val="007B6747"/>
    <w:rsid w:val="007B6F72"/>
    <w:rsid w:val="007B74AA"/>
    <w:rsid w:val="007B756F"/>
    <w:rsid w:val="007B7AD3"/>
    <w:rsid w:val="007B7D1A"/>
    <w:rsid w:val="007C0D78"/>
    <w:rsid w:val="007C10BD"/>
    <w:rsid w:val="007C162D"/>
    <w:rsid w:val="007C1A03"/>
    <w:rsid w:val="007C1A88"/>
    <w:rsid w:val="007C1DD4"/>
    <w:rsid w:val="007C1F0C"/>
    <w:rsid w:val="007C1FFB"/>
    <w:rsid w:val="007C2767"/>
    <w:rsid w:val="007C2D94"/>
    <w:rsid w:val="007C4A6B"/>
    <w:rsid w:val="007C5F92"/>
    <w:rsid w:val="007C6227"/>
    <w:rsid w:val="007C6319"/>
    <w:rsid w:val="007C634E"/>
    <w:rsid w:val="007C63DB"/>
    <w:rsid w:val="007C64F7"/>
    <w:rsid w:val="007C6970"/>
    <w:rsid w:val="007C6BBD"/>
    <w:rsid w:val="007C6D89"/>
    <w:rsid w:val="007C6F5E"/>
    <w:rsid w:val="007D0382"/>
    <w:rsid w:val="007D08F2"/>
    <w:rsid w:val="007D0F6B"/>
    <w:rsid w:val="007D14FE"/>
    <w:rsid w:val="007D1A1F"/>
    <w:rsid w:val="007D213B"/>
    <w:rsid w:val="007D2783"/>
    <w:rsid w:val="007D2E18"/>
    <w:rsid w:val="007D3A68"/>
    <w:rsid w:val="007D3EF3"/>
    <w:rsid w:val="007D40DF"/>
    <w:rsid w:val="007D42E5"/>
    <w:rsid w:val="007D4458"/>
    <w:rsid w:val="007D4FA5"/>
    <w:rsid w:val="007D579C"/>
    <w:rsid w:val="007D62F0"/>
    <w:rsid w:val="007D65C3"/>
    <w:rsid w:val="007D6AF9"/>
    <w:rsid w:val="007D7646"/>
    <w:rsid w:val="007D7763"/>
    <w:rsid w:val="007D7F4F"/>
    <w:rsid w:val="007E01E9"/>
    <w:rsid w:val="007E0535"/>
    <w:rsid w:val="007E07F2"/>
    <w:rsid w:val="007E0D4A"/>
    <w:rsid w:val="007E0E91"/>
    <w:rsid w:val="007E1788"/>
    <w:rsid w:val="007E1EE3"/>
    <w:rsid w:val="007E29B4"/>
    <w:rsid w:val="007E2C81"/>
    <w:rsid w:val="007E2DD4"/>
    <w:rsid w:val="007E2F12"/>
    <w:rsid w:val="007E32AE"/>
    <w:rsid w:val="007E354A"/>
    <w:rsid w:val="007E3627"/>
    <w:rsid w:val="007E413C"/>
    <w:rsid w:val="007E435A"/>
    <w:rsid w:val="007E445C"/>
    <w:rsid w:val="007E49F7"/>
    <w:rsid w:val="007E4C70"/>
    <w:rsid w:val="007E5149"/>
    <w:rsid w:val="007E532F"/>
    <w:rsid w:val="007E5759"/>
    <w:rsid w:val="007E585C"/>
    <w:rsid w:val="007E5B19"/>
    <w:rsid w:val="007E5B5F"/>
    <w:rsid w:val="007E69C6"/>
    <w:rsid w:val="007E78B6"/>
    <w:rsid w:val="007E7E61"/>
    <w:rsid w:val="007F0845"/>
    <w:rsid w:val="007F0873"/>
    <w:rsid w:val="007F20F3"/>
    <w:rsid w:val="007F2353"/>
    <w:rsid w:val="007F2390"/>
    <w:rsid w:val="007F2CAC"/>
    <w:rsid w:val="007F2DFD"/>
    <w:rsid w:val="007F3546"/>
    <w:rsid w:val="007F3CB6"/>
    <w:rsid w:val="007F4740"/>
    <w:rsid w:val="007F595A"/>
    <w:rsid w:val="007F5C38"/>
    <w:rsid w:val="007F708D"/>
    <w:rsid w:val="007F727E"/>
    <w:rsid w:val="007F72E3"/>
    <w:rsid w:val="007F7E3F"/>
    <w:rsid w:val="008006B3"/>
    <w:rsid w:val="00800B63"/>
    <w:rsid w:val="0080158A"/>
    <w:rsid w:val="00801BFE"/>
    <w:rsid w:val="00801E13"/>
    <w:rsid w:val="00802791"/>
    <w:rsid w:val="00802B5F"/>
    <w:rsid w:val="00803008"/>
    <w:rsid w:val="00803069"/>
    <w:rsid w:val="0080346B"/>
    <w:rsid w:val="00803E08"/>
    <w:rsid w:val="00804155"/>
    <w:rsid w:val="00804C40"/>
    <w:rsid w:val="00804C9F"/>
    <w:rsid w:val="008054A3"/>
    <w:rsid w:val="0080559E"/>
    <w:rsid w:val="00805AF3"/>
    <w:rsid w:val="0080621E"/>
    <w:rsid w:val="00806955"/>
    <w:rsid w:val="00806C9C"/>
    <w:rsid w:val="008071B1"/>
    <w:rsid w:val="0080734C"/>
    <w:rsid w:val="00807BC0"/>
    <w:rsid w:val="00807C82"/>
    <w:rsid w:val="008107EE"/>
    <w:rsid w:val="008117CC"/>
    <w:rsid w:val="00811FF8"/>
    <w:rsid w:val="0081249F"/>
    <w:rsid w:val="00812708"/>
    <w:rsid w:val="00813D58"/>
    <w:rsid w:val="00813DCA"/>
    <w:rsid w:val="008147B9"/>
    <w:rsid w:val="00814F45"/>
    <w:rsid w:val="00815B3A"/>
    <w:rsid w:val="00815EE3"/>
    <w:rsid w:val="008161A6"/>
    <w:rsid w:val="008165B8"/>
    <w:rsid w:val="00816905"/>
    <w:rsid w:val="00816D98"/>
    <w:rsid w:val="00816E42"/>
    <w:rsid w:val="00817040"/>
    <w:rsid w:val="00817A17"/>
    <w:rsid w:val="00817EC1"/>
    <w:rsid w:val="0082112D"/>
    <w:rsid w:val="00821624"/>
    <w:rsid w:val="008217C1"/>
    <w:rsid w:val="00821B4F"/>
    <w:rsid w:val="00821FF6"/>
    <w:rsid w:val="00822574"/>
    <w:rsid w:val="00822980"/>
    <w:rsid w:val="00822F08"/>
    <w:rsid w:val="00824BA6"/>
    <w:rsid w:val="00824BF4"/>
    <w:rsid w:val="00825007"/>
    <w:rsid w:val="00825120"/>
    <w:rsid w:val="0082528D"/>
    <w:rsid w:val="00825C4D"/>
    <w:rsid w:val="0082654E"/>
    <w:rsid w:val="00826A08"/>
    <w:rsid w:val="00826AC0"/>
    <w:rsid w:val="00826C77"/>
    <w:rsid w:val="00826D45"/>
    <w:rsid w:val="00827186"/>
    <w:rsid w:val="00827C8E"/>
    <w:rsid w:val="00830569"/>
    <w:rsid w:val="00830AEA"/>
    <w:rsid w:val="00830E86"/>
    <w:rsid w:val="0083143E"/>
    <w:rsid w:val="008315B8"/>
    <w:rsid w:val="008315D5"/>
    <w:rsid w:val="00831CDE"/>
    <w:rsid w:val="00831F2B"/>
    <w:rsid w:val="008320CF"/>
    <w:rsid w:val="0083245D"/>
    <w:rsid w:val="008324A3"/>
    <w:rsid w:val="00832A1C"/>
    <w:rsid w:val="00832F77"/>
    <w:rsid w:val="00834304"/>
    <w:rsid w:val="008343CE"/>
    <w:rsid w:val="0083471A"/>
    <w:rsid w:val="00834FAA"/>
    <w:rsid w:val="00835495"/>
    <w:rsid w:val="008354FB"/>
    <w:rsid w:val="008357DA"/>
    <w:rsid w:val="00835FF1"/>
    <w:rsid w:val="00836086"/>
    <w:rsid w:val="0083630F"/>
    <w:rsid w:val="00836A06"/>
    <w:rsid w:val="008374BC"/>
    <w:rsid w:val="008379D6"/>
    <w:rsid w:val="00837E48"/>
    <w:rsid w:val="00840293"/>
    <w:rsid w:val="008402AD"/>
    <w:rsid w:val="008408D4"/>
    <w:rsid w:val="00840C73"/>
    <w:rsid w:val="008414EE"/>
    <w:rsid w:val="008417B5"/>
    <w:rsid w:val="00841901"/>
    <w:rsid w:val="00842701"/>
    <w:rsid w:val="0084473C"/>
    <w:rsid w:val="00844998"/>
    <w:rsid w:val="008458A0"/>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294C"/>
    <w:rsid w:val="00852B1F"/>
    <w:rsid w:val="00853282"/>
    <w:rsid w:val="0085334C"/>
    <w:rsid w:val="00853CE7"/>
    <w:rsid w:val="00854291"/>
    <w:rsid w:val="00854806"/>
    <w:rsid w:val="00855408"/>
    <w:rsid w:val="00855D03"/>
    <w:rsid w:val="00856030"/>
    <w:rsid w:val="00856AA1"/>
    <w:rsid w:val="00856D65"/>
    <w:rsid w:val="00856FA4"/>
    <w:rsid w:val="008603CA"/>
    <w:rsid w:val="00860D79"/>
    <w:rsid w:val="00861B41"/>
    <w:rsid w:val="00861B9F"/>
    <w:rsid w:val="00861BE3"/>
    <w:rsid w:val="00861EB6"/>
    <w:rsid w:val="008620A3"/>
    <w:rsid w:val="008625D3"/>
    <w:rsid w:val="00862C0A"/>
    <w:rsid w:val="00862C86"/>
    <w:rsid w:val="00863434"/>
    <w:rsid w:val="0086344F"/>
    <w:rsid w:val="008641AC"/>
    <w:rsid w:val="0086484F"/>
    <w:rsid w:val="00865C4B"/>
    <w:rsid w:val="00865DDD"/>
    <w:rsid w:val="00865E4C"/>
    <w:rsid w:val="00865E80"/>
    <w:rsid w:val="00866074"/>
    <w:rsid w:val="00867546"/>
    <w:rsid w:val="0086796D"/>
    <w:rsid w:val="00867DAB"/>
    <w:rsid w:val="0087000B"/>
    <w:rsid w:val="008701E4"/>
    <w:rsid w:val="008704E9"/>
    <w:rsid w:val="008705FB"/>
    <w:rsid w:val="00870ECD"/>
    <w:rsid w:val="00871B86"/>
    <w:rsid w:val="0087347C"/>
    <w:rsid w:val="008734E7"/>
    <w:rsid w:val="0087368D"/>
    <w:rsid w:val="008740CC"/>
    <w:rsid w:val="0087442A"/>
    <w:rsid w:val="00874578"/>
    <w:rsid w:val="00874904"/>
    <w:rsid w:val="00874FE8"/>
    <w:rsid w:val="00875A32"/>
    <w:rsid w:val="00875CC1"/>
    <w:rsid w:val="00876086"/>
    <w:rsid w:val="00876651"/>
    <w:rsid w:val="00876E83"/>
    <w:rsid w:val="0087722C"/>
    <w:rsid w:val="008772BC"/>
    <w:rsid w:val="00877957"/>
    <w:rsid w:val="00880A0E"/>
    <w:rsid w:val="00880DD7"/>
    <w:rsid w:val="008817FE"/>
    <w:rsid w:val="008819EB"/>
    <w:rsid w:val="00881CD7"/>
    <w:rsid w:val="00881DFE"/>
    <w:rsid w:val="00882911"/>
    <w:rsid w:val="00882F6E"/>
    <w:rsid w:val="00883202"/>
    <w:rsid w:val="00884E02"/>
    <w:rsid w:val="0088502B"/>
    <w:rsid w:val="00885D40"/>
    <w:rsid w:val="0088657A"/>
    <w:rsid w:val="00886E94"/>
    <w:rsid w:val="008873D4"/>
    <w:rsid w:val="008902A5"/>
    <w:rsid w:val="00890CB1"/>
    <w:rsid w:val="00891EDF"/>
    <w:rsid w:val="00892872"/>
    <w:rsid w:val="0089296D"/>
    <w:rsid w:val="00893E85"/>
    <w:rsid w:val="00893EBE"/>
    <w:rsid w:val="00893F50"/>
    <w:rsid w:val="00894031"/>
    <w:rsid w:val="00894C5D"/>
    <w:rsid w:val="00895508"/>
    <w:rsid w:val="0089570B"/>
    <w:rsid w:val="00895797"/>
    <w:rsid w:val="008962CD"/>
    <w:rsid w:val="008967E9"/>
    <w:rsid w:val="00896A5C"/>
    <w:rsid w:val="00896DF6"/>
    <w:rsid w:val="00897155"/>
    <w:rsid w:val="008972D2"/>
    <w:rsid w:val="0089754C"/>
    <w:rsid w:val="00897CFA"/>
    <w:rsid w:val="008A0659"/>
    <w:rsid w:val="008A0ADD"/>
    <w:rsid w:val="008A0D27"/>
    <w:rsid w:val="008A1C59"/>
    <w:rsid w:val="008A2254"/>
    <w:rsid w:val="008A37E2"/>
    <w:rsid w:val="008A388E"/>
    <w:rsid w:val="008A394E"/>
    <w:rsid w:val="008A3C28"/>
    <w:rsid w:val="008A3CBA"/>
    <w:rsid w:val="008A3D90"/>
    <w:rsid w:val="008A4278"/>
    <w:rsid w:val="008A4B59"/>
    <w:rsid w:val="008A55F4"/>
    <w:rsid w:val="008A63E1"/>
    <w:rsid w:val="008A66B7"/>
    <w:rsid w:val="008A68BB"/>
    <w:rsid w:val="008A6AA5"/>
    <w:rsid w:val="008A7127"/>
    <w:rsid w:val="008B02E7"/>
    <w:rsid w:val="008B0472"/>
    <w:rsid w:val="008B0CBA"/>
    <w:rsid w:val="008B1850"/>
    <w:rsid w:val="008B1860"/>
    <w:rsid w:val="008B2639"/>
    <w:rsid w:val="008B3537"/>
    <w:rsid w:val="008B35C1"/>
    <w:rsid w:val="008B3690"/>
    <w:rsid w:val="008B3A80"/>
    <w:rsid w:val="008B3AEC"/>
    <w:rsid w:val="008B3C07"/>
    <w:rsid w:val="008B3C6E"/>
    <w:rsid w:val="008B3F7B"/>
    <w:rsid w:val="008B43CA"/>
    <w:rsid w:val="008B4575"/>
    <w:rsid w:val="008B4758"/>
    <w:rsid w:val="008B51B7"/>
    <w:rsid w:val="008B5324"/>
    <w:rsid w:val="008B5C99"/>
    <w:rsid w:val="008B6106"/>
    <w:rsid w:val="008B65A8"/>
    <w:rsid w:val="008B697D"/>
    <w:rsid w:val="008B7C02"/>
    <w:rsid w:val="008B7D2B"/>
    <w:rsid w:val="008B7EF9"/>
    <w:rsid w:val="008C0049"/>
    <w:rsid w:val="008C025A"/>
    <w:rsid w:val="008C0314"/>
    <w:rsid w:val="008C056C"/>
    <w:rsid w:val="008C0654"/>
    <w:rsid w:val="008C0680"/>
    <w:rsid w:val="008C0E88"/>
    <w:rsid w:val="008C0EBE"/>
    <w:rsid w:val="008C1717"/>
    <w:rsid w:val="008C17F0"/>
    <w:rsid w:val="008C1D26"/>
    <w:rsid w:val="008C301D"/>
    <w:rsid w:val="008C3A32"/>
    <w:rsid w:val="008C3B05"/>
    <w:rsid w:val="008C451F"/>
    <w:rsid w:val="008C471B"/>
    <w:rsid w:val="008C4B50"/>
    <w:rsid w:val="008C5A37"/>
    <w:rsid w:val="008C6CD6"/>
    <w:rsid w:val="008C7303"/>
    <w:rsid w:val="008C7569"/>
    <w:rsid w:val="008C79C3"/>
    <w:rsid w:val="008D006F"/>
    <w:rsid w:val="008D033D"/>
    <w:rsid w:val="008D06A2"/>
    <w:rsid w:val="008D0C2A"/>
    <w:rsid w:val="008D0DBD"/>
    <w:rsid w:val="008D117E"/>
    <w:rsid w:val="008D127E"/>
    <w:rsid w:val="008D1CA8"/>
    <w:rsid w:val="008D1E0A"/>
    <w:rsid w:val="008D1E6A"/>
    <w:rsid w:val="008D1FD3"/>
    <w:rsid w:val="008D2304"/>
    <w:rsid w:val="008D2407"/>
    <w:rsid w:val="008D2A16"/>
    <w:rsid w:val="008D2AAF"/>
    <w:rsid w:val="008D2ABB"/>
    <w:rsid w:val="008D2AEC"/>
    <w:rsid w:val="008D2CB5"/>
    <w:rsid w:val="008D3295"/>
    <w:rsid w:val="008D33F5"/>
    <w:rsid w:val="008D35E4"/>
    <w:rsid w:val="008D3ACD"/>
    <w:rsid w:val="008D3D21"/>
    <w:rsid w:val="008D3ECE"/>
    <w:rsid w:val="008D400B"/>
    <w:rsid w:val="008D50FA"/>
    <w:rsid w:val="008D6C3A"/>
    <w:rsid w:val="008D70E2"/>
    <w:rsid w:val="008D7F47"/>
    <w:rsid w:val="008D7FF4"/>
    <w:rsid w:val="008E0001"/>
    <w:rsid w:val="008E0243"/>
    <w:rsid w:val="008E039E"/>
    <w:rsid w:val="008E1697"/>
    <w:rsid w:val="008E18EC"/>
    <w:rsid w:val="008E292B"/>
    <w:rsid w:val="008E2C57"/>
    <w:rsid w:val="008E31FF"/>
    <w:rsid w:val="008E3287"/>
    <w:rsid w:val="008E38E4"/>
    <w:rsid w:val="008E3D0D"/>
    <w:rsid w:val="008E3DFA"/>
    <w:rsid w:val="008E419B"/>
    <w:rsid w:val="008E4566"/>
    <w:rsid w:val="008E487E"/>
    <w:rsid w:val="008E4C65"/>
    <w:rsid w:val="008E51EB"/>
    <w:rsid w:val="008E5274"/>
    <w:rsid w:val="008E5746"/>
    <w:rsid w:val="008E64D7"/>
    <w:rsid w:val="008E6DCB"/>
    <w:rsid w:val="008E6E5D"/>
    <w:rsid w:val="008E6F06"/>
    <w:rsid w:val="008E7000"/>
    <w:rsid w:val="008E7039"/>
    <w:rsid w:val="008E723E"/>
    <w:rsid w:val="008E7B8E"/>
    <w:rsid w:val="008E7FC9"/>
    <w:rsid w:val="008F0107"/>
    <w:rsid w:val="008F029B"/>
    <w:rsid w:val="008F0589"/>
    <w:rsid w:val="008F130B"/>
    <w:rsid w:val="008F26D4"/>
    <w:rsid w:val="008F2A5D"/>
    <w:rsid w:val="008F2BC7"/>
    <w:rsid w:val="008F2E83"/>
    <w:rsid w:val="008F3636"/>
    <w:rsid w:val="008F3E91"/>
    <w:rsid w:val="008F3FC9"/>
    <w:rsid w:val="008F418F"/>
    <w:rsid w:val="008F4D9C"/>
    <w:rsid w:val="008F509F"/>
    <w:rsid w:val="008F525A"/>
    <w:rsid w:val="008F5383"/>
    <w:rsid w:val="008F585B"/>
    <w:rsid w:val="008F631F"/>
    <w:rsid w:val="008F77CC"/>
    <w:rsid w:val="008F7FB0"/>
    <w:rsid w:val="009003A8"/>
    <w:rsid w:val="009005E4"/>
    <w:rsid w:val="00900977"/>
    <w:rsid w:val="0090165B"/>
    <w:rsid w:val="00901D43"/>
    <w:rsid w:val="00901F6D"/>
    <w:rsid w:val="009021DA"/>
    <w:rsid w:val="00902337"/>
    <w:rsid w:val="00902500"/>
    <w:rsid w:val="00902EFF"/>
    <w:rsid w:val="0090356D"/>
    <w:rsid w:val="00903A8E"/>
    <w:rsid w:val="0090432C"/>
    <w:rsid w:val="00904F96"/>
    <w:rsid w:val="009052A3"/>
    <w:rsid w:val="00905314"/>
    <w:rsid w:val="009056D7"/>
    <w:rsid w:val="00905B8D"/>
    <w:rsid w:val="00906401"/>
    <w:rsid w:val="009065CB"/>
    <w:rsid w:val="0090674A"/>
    <w:rsid w:val="009067EA"/>
    <w:rsid w:val="00906860"/>
    <w:rsid w:val="00906B79"/>
    <w:rsid w:val="0090786F"/>
    <w:rsid w:val="0091001E"/>
    <w:rsid w:val="009101D4"/>
    <w:rsid w:val="00910702"/>
    <w:rsid w:val="00910C18"/>
    <w:rsid w:val="009110F7"/>
    <w:rsid w:val="009112E3"/>
    <w:rsid w:val="0091155E"/>
    <w:rsid w:val="00912437"/>
    <w:rsid w:val="00912A92"/>
    <w:rsid w:val="00912AF9"/>
    <w:rsid w:val="00913237"/>
    <w:rsid w:val="00913B36"/>
    <w:rsid w:val="0091476D"/>
    <w:rsid w:val="00914DFA"/>
    <w:rsid w:val="009154EF"/>
    <w:rsid w:val="00915D07"/>
    <w:rsid w:val="009162AE"/>
    <w:rsid w:val="009165BB"/>
    <w:rsid w:val="00917154"/>
    <w:rsid w:val="00917251"/>
    <w:rsid w:val="0091728D"/>
    <w:rsid w:val="0092008B"/>
    <w:rsid w:val="0092036B"/>
    <w:rsid w:val="009203CC"/>
    <w:rsid w:val="00920EC4"/>
    <w:rsid w:val="0092180B"/>
    <w:rsid w:val="00921F14"/>
    <w:rsid w:val="0092292F"/>
    <w:rsid w:val="00922D28"/>
    <w:rsid w:val="00923322"/>
    <w:rsid w:val="009233B9"/>
    <w:rsid w:val="00923CB0"/>
    <w:rsid w:val="00923D8C"/>
    <w:rsid w:val="00924871"/>
    <w:rsid w:val="00924AC8"/>
    <w:rsid w:val="00925429"/>
    <w:rsid w:val="00925488"/>
    <w:rsid w:val="00925615"/>
    <w:rsid w:val="00925795"/>
    <w:rsid w:val="0092597A"/>
    <w:rsid w:val="00926520"/>
    <w:rsid w:val="0092691E"/>
    <w:rsid w:val="00926B2B"/>
    <w:rsid w:val="00926CF0"/>
    <w:rsid w:val="009273A9"/>
    <w:rsid w:val="00930251"/>
    <w:rsid w:val="0093033E"/>
    <w:rsid w:val="009305FC"/>
    <w:rsid w:val="00930FB1"/>
    <w:rsid w:val="0093104E"/>
    <w:rsid w:val="0093139F"/>
    <w:rsid w:val="00932117"/>
    <w:rsid w:val="00932239"/>
    <w:rsid w:val="00932443"/>
    <w:rsid w:val="00932A09"/>
    <w:rsid w:val="00932B32"/>
    <w:rsid w:val="00932E00"/>
    <w:rsid w:val="00932F66"/>
    <w:rsid w:val="0093305E"/>
    <w:rsid w:val="009332D2"/>
    <w:rsid w:val="00933959"/>
    <w:rsid w:val="00933E43"/>
    <w:rsid w:val="00933F4A"/>
    <w:rsid w:val="00933FEB"/>
    <w:rsid w:val="009341F1"/>
    <w:rsid w:val="00934897"/>
    <w:rsid w:val="00934B2A"/>
    <w:rsid w:val="00934C3C"/>
    <w:rsid w:val="00934FF2"/>
    <w:rsid w:val="00935448"/>
    <w:rsid w:val="00935524"/>
    <w:rsid w:val="009358D7"/>
    <w:rsid w:val="00935BD4"/>
    <w:rsid w:val="00935DFE"/>
    <w:rsid w:val="00935F70"/>
    <w:rsid w:val="009360FA"/>
    <w:rsid w:val="009361BA"/>
    <w:rsid w:val="0093648B"/>
    <w:rsid w:val="00937017"/>
    <w:rsid w:val="009373B2"/>
    <w:rsid w:val="00937AE2"/>
    <w:rsid w:val="00940207"/>
    <w:rsid w:val="0094061F"/>
    <w:rsid w:val="00940C37"/>
    <w:rsid w:val="00940F0F"/>
    <w:rsid w:val="00941912"/>
    <w:rsid w:val="00942A89"/>
    <w:rsid w:val="0094416B"/>
    <w:rsid w:val="0094427A"/>
    <w:rsid w:val="009449C6"/>
    <w:rsid w:val="00944C7C"/>
    <w:rsid w:val="00945245"/>
    <w:rsid w:val="0094537F"/>
    <w:rsid w:val="00945523"/>
    <w:rsid w:val="00946415"/>
    <w:rsid w:val="00946C43"/>
    <w:rsid w:val="00946FE0"/>
    <w:rsid w:val="009473BB"/>
    <w:rsid w:val="00947816"/>
    <w:rsid w:val="0094795E"/>
    <w:rsid w:val="00947C89"/>
    <w:rsid w:val="009507E6"/>
    <w:rsid w:val="00950921"/>
    <w:rsid w:val="00951D68"/>
    <w:rsid w:val="00951E5B"/>
    <w:rsid w:val="00952050"/>
    <w:rsid w:val="00952315"/>
    <w:rsid w:val="009523D9"/>
    <w:rsid w:val="00952B7B"/>
    <w:rsid w:val="00952BEF"/>
    <w:rsid w:val="0095357B"/>
    <w:rsid w:val="009538B3"/>
    <w:rsid w:val="0095408D"/>
    <w:rsid w:val="00954F39"/>
    <w:rsid w:val="00955554"/>
    <w:rsid w:val="009555FD"/>
    <w:rsid w:val="00955BAD"/>
    <w:rsid w:val="0095664B"/>
    <w:rsid w:val="009568DC"/>
    <w:rsid w:val="00956B8B"/>
    <w:rsid w:val="00956D75"/>
    <w:rsid w:val="00957140"/>
    <w:rsid w:val="00957445"/>
    <w:rsid w:val="0095759C"/>
    <w:rsid w:val="00960405"/>
    <w:rsid w:val="009618EE"/>
    <w:rsid w:val="0096195C"/>
    <w:rsid w:val="00961CB4"/>
    <w:rsid w:val="00961DDD"/>
    <w:rsid w:val="0096249D"/>
    <w:rsid w:val="009624D2"/>
    <w:rsid w:val="009628D9"/>
    <w:rsid w:val="00963171"/>
    <w:rsid w:val="009637AE"/>
    <w:rsid w:val="00963A06"/>
    <w:rsid w:val="00964068"/>
    <w:rsid w:val="009640F6"/>
    <w:rsid w:val="0096469D"/>
    <w:rsid w:val="00964776"/>
    <w:rsid w:val="00964A4E"/>
    <w:rsid w:val="00964B35"/>
    <w:rsid w:val="009651C7"/>
    <w:rsid w:val="00965797"/>
    <w:rsid w:val="00965A10"/>
    <w:rsid w:val="00965AD0"/>
    <w:rsid w:val="009664D8"/>
    <w:rsid w:val="009665AB"/>
    <w:rsid w:val="009670A3"/>
    <w:rsid w:val="009674BE"/>
    <w:rsid w:val="009678D1"/>
    <w:rsid w:val="00967E01"/>
    <w:rsid w:val="00970386"/>
    <w:rsid w:val="009709EE"/>
    <w:rsid w:val="00970FB5"/>
    <w:rsid w:val="00971195"/>
    <w:rsid w:val="00971710"/>
    <w:rsid w:val="00971B87"/>
    <w:rsid w:val="00971C77"/>
    <w:rsid w:val="0097203A"/>
    <w:rsid w:val="00972057"/>
    <w:rsid w:val="00972FCD"/>
    <w:rsid w:val="00973324"/>
    <w:rsid w:val="009736DF"/>
    <w:rsid w:val="009741AE"/>
    <w:rsid w:val="009741FC"/>
    <w:rsid w:val="00974520"/>
    <w:rsid w:val="0097452F"/>
    <w:rsid w:val="00974782"/>
    <w:rsid w:val="00974923"/>
    <w:rsid w:val="00974AA8"/>
    <w:rsid w:val="009753C9"/>
    <w:rsid w:val="009754D3"/>
    <w:rsid w:val="00975909"/>
    <w:rsid w:val="009763FC"/>
    <w:rsid w:val="0097768D"/>
    <w:rsid w:val="0097799F"/>
    <w:rsid w:val="00977C33"/>
    <w:rsid w:val="00977C3D"/>
    <w:rsid w:val="0098000C"/>
    <w:rsid w:val="00980D3D"/>
    <w:rsid w:val="00980F78"/>
    <w:rsid w:val="0098103E"/>
    <w:rsid w:val="0098157D"/>
    <w:rsid w:val="0098203B"/>
    <w:rsid w:val="009822D3"/>
    <w:rsid w:val="00983101"/>
    <w:rsid w:val="009834D2"/>
    <w:rsid w:val="0098371F"/>
    <w:rsid w:val="00983E41"/>
    <w:rsid w:val="0098417C"/>
    <w:rsid w:val="009845E1"/>
    <w:rsid w:val="00984600"/>
    <w:rsid w:val="009848D1"/>
    <w:rsid w:val="00984CE5"/>
    <w:rsid w:val="00984D1B"/>
    <w:rsid w:val="00984DF6"/>
    <w:rsid w:val="00986246"/>
    <w:rsid w:val="009864E3"/>
    <w:rsid w:val="009866EB"/>
    <w:rsid w:val="00987277"/>
    <w:rsid w:val="00987A30"/>
    <w:rsid w:val="00990197"/>
    <w:rsid w:val="00990312"/>
    <w:rsid w:val="009908AF"/>
    <w:rsid w:val="00990D4E"/>
    <w:rsid w:val="0099182E"/>
    <w:rsid w:val="00991D45"/>
    <w:rsid w:val="00992736"/>
    <w:rsid w:val="00992B49"/>
    <w:rsid w:val="00992BB3"/>
    <w:rsid w:val="00992CF3"/>
    <w:rsid w:val="00993194"/>
    <w:rsid w:val="0099321E"/>
    <w:rsid w:val="00993673"/>
    <w:rsid w:val="00993ECA"/>
    <w:rsid w:val="00994171"/>
    <w:rsid w:val="00994868"/>
    <w:rsid w:val="00994976"/>
    <w:rsid w:val="00994D28"/>
    <w:rsid w:val="00994F2C"/>
    <w:rsid w:val="00995720"/>
    <w:rsid w:val="009957CC"/>
    <w:rsid w:val="00995B3D"/>
    <w:rsid w:val="009968D6"/>
    <w:rsid w:val="00996D3F"/>
    <w:rsid w:val="009975A6"/>
    <w:rsid w:val="00997953"/>
    <w:rsid w:val="00997D55"/>
    <w:rsid w:val="009A049C"/>
    <w:rsid w:val="009A0BFF"/>
    <w:rsid w:val="009A10A0"/>
    <w:rsid w:val="009A12B7"/>
    <w:rsid w:val="009A1385"/>
    <w:rsid w:val="009A17FA"/>
    <w:rsid w:val="009A1CAB"/>
    <w:rsid w:val="009A1DA8"/>
    <w:rsid w:val="009A2188"/>
    <w:rsid w:val="009A2359"/>
    <w:rsid w:val="009A24F1"/>
    <w:rsid w:val="009A27E0"/>
    <w:rsid w:val="009A3126"/>
    <w:rsid w:val="009A3805"/>
    <w:rsid w:val="009A3E06"/>
    <w:rsid w:val="009A3E42"/>
    <w:rsid w:val="009A439F"/>
    <w:rsid w:val="009A4D57"/>
    <w:rsid w:val="009A51A5"/>
    <w:rsid w:val="009A5309"/>
    <w:rsid w:val="009A5759"/>
    <w:rsid w:val="009A5BA9"/>
    <w:rsid w:val="009A60D1"/>
    <w:rsid w:val="009A6225"/>
    <w:rsid w:val="009A64F5"/>
    <w:rsid w:val="009A6F53"/>
    <w:rsid w:val="009A7F8D"/>
    <w:rsid w:val="009B00D2"/>
    <w:rsid w:val="009B05B3"/>
    <w:rsid w:val="009B07C8"/>
    <w:rsid w:val="009B0CAF"/>
    <w:rsid w:val="009B1324"/>
    <w:rsid w:val="009B2558"/>
    <w:rsid w:val="009B284F"/>
    <w:rsid w:val="009B3742"/>
    <w:rsid w:val="009B3764"/>
    <w:rsid w:val="009B3840"/>
    <w:rsid w:val="009B39A8"/>
    <w:rsid w:val="009B4156"/>
    <w:rsid w:val="009B479C"/>
    <w:rsid w:val="009B52AC"/>
    <w:rsid w:val="009B553D"/>
    <w:rsid w:val="009B584D"/>
    <w:rsid w:val="009B59EA"/>
    <w:rsid w:val="009B5B6E"/>
    <w:rsid w:val="009B62A6"/>
    <w:rsid w:val="009B66CE"/>
    <w:rsid w:val="009B6F41"/>
    <w:rsid w:val="009B6FD3"/>
    <w:rsid w:val="009B72BE"/>
    <w:rsid w:val="009B78A4"/>
    <w:rsid w:val="009B7B0A"/>
    <w:rsid w:val="009B7DB2"/>
    <w:rsid w:val="009C0362"/>
    <w:rsid w:val="009C03DB"/>
    <w:rsid w:val="009C0832"/>
    <w:rsid w:val="009C13B7"/>
    <w:rsid w:val="009C1417"/>
    <w:rsid w:val="009C15AF"/>
    <w:rsid w:val="009C1750"/>
    <w:rsid w:val="009C175F"/>
    <w:rsid w:val="009C197C"/>
    <w:rsid w:val="009C29ED"/>
    <w:rsid w:val="009C2E29"/>
    <w:rsid w:val="009C3771"/>
    <w:rsid w:val="009C38F7"/>
    <w:rsid w:val="009C3E8F"/>
    <w:rsid w:val="009C4DBC"/>
    <w:rsid w:val="009C508E"/>
    <w:rsid w:val="009C554B"/>
    <w:rsid w:val="009C58B8"/>
    <w:rsid w:val="009C5E83"/>
    <w:rsid w:val="009C66F8"/>
    <w:rsid w:val="009C672B"/>
    <w:rsid w:val="009C67D7"/>
    <w:rsid w:val="009C7126"/>
    <w:rsid w:val="009C719E"/>
    <w:rsid w:val="009C7231"/>
    <w:rsid w:val="009C7782"/>
    <w:rsid w:val="009C7799"/>
    <w:rsid w:val="009D07A9"/>
    <w:rsid w:val="009D0AE2"/>
    <w:rsid w:val="009D0D9F"/>
    <w:rsid w:val="009D0EBB"/>
    <w:rsid w:val="009D10E7"/>
    <w:rsid w:val="009D1369"/>
    <w:rsid w:val="009D14D7"/>
    <w:rsid w:val="009D2C46"/>
    <w:rsid w:val="009D3ACD"/>
    <w:rsid w:val="009D4254"/>
    <w:rsid w:val="009D4F21"/>
    <w:rsid w:val="009D53AC"/>
    <w:rsid w:val="009D587D"/>
    <w:rsid w:val="009D6178"/>
    <w:rsid w:val="009D6EA6"/>
    <w:rsid w:val="009D7731"/>
    <w:rsid w:val="009D78C3"/>
    <w:rsid w:val="009E06B0"/>
    <w:rsid w:val="009E1120"/>
    <w:rsid w:val="009E1393"/>
    <w:rsid w:val="009E1922"/>
    <w:rsid w:val="009E1A3D"/>
    <w:rsid w:val="009E26A8"/>
    <w:rsid w:val="009E4715"/>
    <w:rsid w:val="009E4A35"/>
    <w:rsid w:val="009E4A58"/>
    <w:rsid w:val="009E5273"/>
    <w:rsid w:val="009E5685"/>
    <w:rsid w:val="009E57A8"/>
    <w:rsid w:val="009E5B85"/>
    <w:rsid w:val="009E5DDB"/>
    <w:rsid w:val="009E63CF"/>
    <w:rsid w:val="009E6FCB"/>
    <w:rsid w:val="009F032E"/>
    <w:rsid w:val="009F1CA6"/>
    <w:rsid w:val="009F1F17"/>
    <w:rsid w:val="009F2921"/>
    <w:rsid w:val="009F3063"/>
    <w:rsid w:val="009F324D"/>
    <w:rsid w:val="009F42CF"/>
    <w:rsid w:val="009F4982"/>
    <w:rsid w:val="009F4CA7"/>
    <w:rsid w:val="009F4F6A"/>
    <w:rsid w:val="009F55BA"/>
    <w:rsid w:val="009F5B8E"/>
    <w:rsid w:val="009F5F03"/>
    <w:rsid w:val="009F6AAF"/>
    <w:rsid w:val="009F6BF5"/>
    <w:rsid w:val="009F6CD1"/>
    <w:rsid w:val="009F7D36"/>
    <w:rsid w:val="009F7D61"/>
    <w:rsid w:val="00A00470"/>
    <w:rsid w:val="00A00E71"/>
    <w:rsid w:val="00A0187B"/>
    <w:rsid w:val="00A01F62"/>
    <w:rsid w:val="00A02317"/>
    <w:rsid w:val="00A02E8B"/>
    <w:rsid w:val="00A0306F"/>
    <w:rsid w:val="00A032CA"/>
    <w:rsid w:val="00A03306"/>
    <w:rsid w:val="00A03511"/>
    <w:rsid w:val="00A03B10"/>
    <w:rsid w:val="00A03E2E"/>
    <w:rsid w:val="00A04616"/>
    <w:rsid w:val="00A04717"/>
    <w:rsid w:val="00A05C51"/>
    <w:rsid w:val="00A05D8F"/>
    <w:rsid w:val="00A05EB1"/>
    <w:rsid w:val="00A05EE4"/>
    <w:rsid w:val="00A06E2D"/>
    <w:rsid w:val="00A06F99"/>
    <w:rsid w:val="00A102C3"/>
    <w:rsid w:val="00A1053B"/>
    <w:rsid w:val="00A10D66"/>
    <w:rsid w:val="00A113A4"/>
    <w:rsid w:val="00A124A0"/>
    <w:rsid w:val="00A12A8E"/>
    <w:rsid w:val="00A133F9"/>
    <w:rsid w:val="00A136B7"/>
    <w:rsid w:val="00A14114"/>
    <w:rsid w:val="00A141A7"/>
    <w:rsid w:val="00A141E8"/>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7DE"/>
    <w:rsid w:val="00A20FE1"/>
    <w:rsid w:val="00A2102F"/>
    <w:rsid w:val="00A21B4D"/>
    <w:rsid w:val="00A22073"/>
    <w:rsid w:val="00A223E0"/>
    <w:rsid w:val="00A22959"/>
    <w:rsid w:val="00A23158"/>
    <w:rsid w:val="00A232D7"/>
    <w:rsid w:val="00A23775"/>
    <w:rsid w:val="00A23847"/>
    <w:rsid w:val="00A23E43"/>
    <w:rsid w:val="00A24726"/>
    <w:rsid w:val="00A24DEB"/>
    <w:rsid w:val="00A24ED9"/>
    <w:rsid w:val="00A251DB"/>
    <w:rsid w:val="00A25216"/>
    <w:rsid w:val="00A2556A"/>
    <w:rsid w:val="00A2597D"/>
    <w:rsid w:val="00A25FC3"/>
    <w:rsid w:val="00A2628E"/>
    <w:rsid w:val="00A266BF"/>
    <w:rsid w:val="00A26777"/>
    <w:rsid w:val="00A269AB"/>
    <w:rsid w:val="00A26B56"/>
    <w:rsid w:val="00A26F8F"/>
    <w:rsid w:val="00A2731E"/>
    <w:rsid w:val="00A276E9"/>
    <w:rsid w:val="00A309AC"/>
    <w:rsid w:val="00A30EA4"/>
    <w:rsid w:val="00A30F65"/>
    <w:rsid w:val="00A3147A"/>
    <w:rsid w:val="00A315D0"/>
    <w:rsid w:val="00A3279E"/>
    <w:rsid w:val="00A336D2"/>
    <w:rsid w:val="00A33DB1"/>
    <w:rsid w:val="00A33EEB"/>
    <w:rsid w:val="00A348A1"/>
    <w:rsid w:val="00A351C8"/>
    <w:rsid w:val="00A35900"/>
    <w:rsid w:val="00A35F33"/>
    <w:rsid w:val="00A362F9"/>
    <w:rsid w:val="00A37311"/>
    <w:rsid w:val="00A401A3"/>
    <w:rsid w:val="00A40EAC"/>
    <w:rsid w:val="00A418BC"/>
    <w:rsid w:val="00A419FF"/>
    <w:rsid w:val="00A41FCF"/>
    <w:rsid w:val="00A428BA"/>
    <w:rsid w:val="00A42936"/>
    <w:rsid w:val="00A43CF8"/>
    <w:rsid w:val="00A43DF2"/>
    <w:rsid w:val="00A445A8"/>
    <w:rsid w:val="00A44B0D"/>
    <w:rsid w:val="00A44CB6"/>
    <w:rsid w:val="00A44D21"/>
    <w:rsid w:val="00A45087"/>
    <w:rsid w:val="00A45489"/>
    <w:rsid w:val="00A456C5"/>
    <w:rsid w:val="00A45731"/>
    <w:rsid w:val="00A45858"/>
    <w:rsid w:val="00A45CED"/>
    <w:rsid w:val="00A460FC"/>
    <w:rsid w:val="00A465E9"/>
    <w:rsid w:val="00A468E7"/>
    <w:rsid w:val="00A46D6E"/>
    <w:rsid w:val="00A46DE0"/>
    <w:rsid w:val="00A47240"/>
    <w:rsid w:val="00A478BA"/>
    <w:rsid w:val="00A5057A"/>
    <w:rsid w:val="00A50D73"/>
    <w:rsid w:val="00A518BB"/>
    <w:rsid w:val="00A51A9B"/>
    <w:rsid w:val="00A52A88"/>
    <w:rsid w:val="00A52CAD"/>
    <w:rsid w:val="00A53340"/>
    <w:rsid w:val="00A53FC7"/>
    <w:rsid w:val="00A55569"/>
    <w:rsid w:val="00A55C36"/>
    <w:rsid w:val="00A5661B"/>
    <w:rsid w:val="00A566A0"/>
    <w:rsid w:val="00A60005"/>
    <w:rsid w:val="00A601E7"/>
    <w:rsid w:val="00A60AC1"/>
    <w:rsid w:val="00A61944"/>
    <w:rsid w:val="00A61E5C"/>
    <w:rsid w:val="00A62162"/>
    <w:rsid w:val="00A626FF"/>
    <w:rsid w:val="00A627D7"/>
    <w:rsid w:val="00A62C71"/>
    <w:rsid w:val="00A62CE1"/>
    <w:rsid w:val="00A6428C"/>
    <w:rsid w:val="00A65469"/>
    <w:rsid w:val="00A65528"/>
    <w:rsid w:val="00A655D3"/>
    <w:rsid w:val="00A662D9"/>
    <w:rsid w:val="00A6630C"/>
    <w:rsid w:val="00A66AF5"/>
    <w:rsid w:val="00A6741E"/>
    <w:rsid w:val="00A67722"/>
    <w:rsid w:val="00A67E29"/>
    <w:rsid w:val="00A7016A"/>
    <w:rsid w:val="00A7018D"/>
    <w:rsid w:val="00A71215"/>
    <w:rsid w:val="00A716AC"/>
    <w:rsid w:val="00A7191D"/>
    <w:rsid w:val="00A722F9"/>
    <w:rsid w:val="00A723E3"/>
    <w:rsid w:val="00A72D42"/>
    <w:rsid w:val="00A73D1E"/>
    <w:rsid w:val="00A73D95"/>
    <w:rsid w:val="00A74158"/>
    <w:rsid w:val="00A746C9"/>
    <w:rsid w:val="00A74C2A"/>
    <w:rsid w:val="00A75E40"/>
    <w:rsid w:val="00A76818"/>
    <w:rsid w:val="00A77557"/>
    <w:rsid w:val="00A77B7D"/>
    <w:rsid w:val="00A77D1D"/>
    <w:rsid w:val="00A77E6B"/>
    <w:rsid w:val="00A800D7"/>
    <w:rsid w:val="00A809AD"/>
    <w:rsid w:val="00A81652"/>
    <w:rsid w:val="00A81A67"/>
    <w:rsid w:val="00A82BF0"/>
    <w:rsid w:val="00A82C91"/>
    <w:rsid w:val="00A82F4D"/>
    <w:rsid w:val="00A83150"/>
    <w:rsid w:val="00A83398"/>
    <w:rsid w:val="00A83D6E"/>
    <w:rsid w:val="00A83FA9"/>
    <w:rsid w:val="00A83FD5"/>
    <w:rsid w:val="00A84AF4"/>
    <w:rsid w:val="00A85001"/>
    <w:rsid w:val="00A8521A"/>
    <w:rsid w:val="00A852A2"/>
    <w:rsid w:val="00A85348"/>
    <w:rsid w:val="00A857C0"/>
    <w:rsid w:val="00A85ACB"/>
    <w:rsid w:val="00A85FBA"/>
    <w:rsid w:val="00A86901"/>
    <w:rsid w:val="00A8707C"/>
    <w:rsid w:val="00A87DF8"/>
    <w:rsid w:val="00A9036F"/>
    <w:rsid w:val="00A9092B"/>
    <w:rsid w:val="00A90F2C"/>
    <w:rsid w:val="00A90FED"/>
    <w:rsid w:val="00A91482"/>
    <w:rsid w:val="00A9189D"/>
    <w:rsid w:val="00A91E71"/>
    <w:rsid w:val="00A91EAD"/>
    <w:rsid w:val="00A925B1"/>
    <w:rsid w:val="00A92A3E"/>
    <w:rsid w:val="00A934F9"/>
    <w:rsid w:val="00A940E3"/>
    <w:rsid w:val="00A94983"/>
    <w:rsid w:val="00A94E67"/>
    <w:rsid w:val="00A94F63"/>
    <w:rsid w:val="00A94F87"/>
    <w:rsid w:val="00A9532C"/>
    <w:rsid w:val="00A95B8A"/>
    <w:rsid w:val="00A95F1A"/>
    <w:rsid w:val="00A96116"/>
    <w:rsid w:val="00A9614E"/>
    <w:rsid w:val="00A96422"/>
    <w:rsid w:val="00A96C0F"/>
    <w:rsid w:val="00A97075"/>
    <w:rsid w:val="00A975D7"/>
    <w:rsid w:val="00A97C59"/>
    <w:rsid w:val="00AA0E80"/>
    <w:rsid w:val="00AA16F4"/>
    <w:rsid w:val="00AA17CD"/>
    <w:rsid w:val="00AA1AAE"/>
    <w:rsid w:val="00AA1D85"/>
    <w:rsid w:val="00AA212B"/>
    <w:rsid w:val="00AA212F"/>
    <w:rsid w:val="00AA26A9"/>
    <w:rsid w:val="00AA2996"/>
    <w:rsid w:val="00AA2AF4"/>
    <w:rsid w:val="00AA314A"/>
    <w:rsid w:val="00AA4282"/>
    <w:rsid w:val="00AA43F2"/>
    <w:rsid w:val="00AA4790"/>
    <w:rsid w:val="00AA49E1"/>
    <w:rsid w:val="00AA52BF"/>
    <w:rsid w:val="00AA559A"/>
    <w:rsid w:val="00AA5667"/>
    <w:rsid w:val="00AA6C31"/>
    <w:rsid w:val="00AA6F9E"/>
    <w:rsid w:val="00AA7752"/>
    <w:rsid w:val="00AA7CE8"/>
    <w:rsid w:val="00AA7E0C"/>
    <w:rsid w:val="00AB02BD"/>
    <w:rsid w:val="00AB0596"/>
    <w:rsid w:val="00AB0680"/>
    <w:rsid w:val="00AB1457"/>
    <w:rsid w:val="00AB1ACD"/>
    <w:rsid w:val="00AB2AF1"/>
    <w:rsid w:val="00AB2D0F"/>
    <w:rsid w:val="00AB2F73"/>
    <w:rsid w:val="00AB32CB"/>
    <w:rsid w:val="00AB3AD7"/>
    <w:rsid w:val="00AB3BA7"/>
    <w:rsid w:val="00AB3EC7"/>
    <w:rsid w:val="00AB467A"/>
    <w:rsid w:val="00AB5297"/>
    <w:rsid w:val="00AB56E2"/>
    <w:rsid w:val="00AB5A64"/>
    <w:rsid w:val="00AB5CA1"/>
    <w:rsid w:val="00AB6456"/>
    <w:rsid w:val="00AB69DD"/>
    <w:rsid w:val="00AB75C5"/>
    <w:rsid w:val="00AB776E"/>
    <w:rsid w:val="00AC044E"/>
    <w:rsid w:val="00AC04B1"/>
    <w:rsid w:val="00AC1143"/>
    <w:rsid w:val="00AC1B53"/>
    <w:rsid w:val="00AC2118"/>
    <w:rsid w:val="00AC2395"/>
    <w:rsid w:val="00AC2960"/>
    <w:rsid w:val="00AC2A32"/>
    <w:rsid w:val="00AC2AC4"/>
    <w:rsid w:val="00AC3891"/>
    <w:rsid w:val="00AC4284"/>
    <w:rsid w:val="00AC45BD"/>
    <w:rsid w:val="00AC50BB"/>
    <w:rsid w:val="00AC5256"/>
    <w:rsid w:val="00AC6D17"/>
    <w:rsid w:val="00AC78F1"/>
    <w:rsid w:val="00AC7B96"/>
    <w:rsid w:val="00AD0B22"/>
    <w:rsid w:val="00AD0EE7"/>
    <w:rsid w:val="00AD146B"/>
    <w:rsid w:val="00AD14D3"/>
    <w:rsid w:val="00AD168E"/>
    <w:rsid w:val="00AD2E25"/>
    <w:rsid w:val="00AD306C"/>
    <w:rsid w:val="00AD449D"/>
    <w:rsid w:val="00AD44CD"/>
    <w:rsid w:val="00AD47A7"/>
    <w:rsid w:val="00AD47C0"/>
    <w:rsid w:val="00AD543F"/>
    <w:rsid w:val="00AD5AD2"/>
    <w:rsid w:val="00AD6462"/>
    <w:rsid w:val="00AD6634"/>
    <w:rsid w:val="00AD66C5"/>
    <w:rsid w:val="00AD68C4"/>
    <w:rsid w:val="00AD71F9"/>
    <w:rsid w:val="00AE09B3"/>
    <w:rsid w:val="00AE1579"/>
    <w:rsid w:val="00AE1A83"/>
    <w:rsid w:val="00AE2A78"/>
    <w:rsid w:val="00AE30BE"/>
    <w:rsid w:val="00AE38DD"/>
    <w:rsid w:val="00AE3E6A"/>
    <w:rsid w:val="00AE417E"/>
    <w:rsid w:val="00AE47CA"/>
    <w:rsid w:val="00AE5672"/>
    <w:rsid w:val="00AE56EE"/>
    <w:rsid w:val="00AE6414"/>
    <w:rsid w:val="00AE7269"/>
    <w:rsid w:val="00AE797C"/>
    <w:rsid w:val="00AE7CE7"/>
    <w:rsid w:val="00AE7FAB"/>
    <w:rsid w:val="00AF0DE4"/>
    <w:rsid w:val="00AF12A0"/>
    <w:rsid w:val="00AF1E87"/>
    <w:rsid w:val="00AF1F16"/>
    <w:rsid w:val="00AF2C3E"/>
    <w:rsid w:val="00AF422A"/>
    <w:rsid w:val="00AF436B"/>
    <w:rsid w:val="00AF5179"/>
    <w:rsid w:val="00AF5C91"/>
    <w:rsid w:val="00AF5CC2"/>
    <w:rsid w:val="00AF5F65"/>
    <w:rsid w:val="00AF660D"/>
    <w:rsid w:val="00AF6776"/>
    <w:rsid w:val="00AF6DB5"/>
    <w:rsid w:val="00AF6F98"/>
    <w:rsid w:val="00AF7277"/>
    <w:rsid w:val="00B00550"/>
    <w:rsid w:val="00B00913"/>
    <w:rsid w:val="00B00D4D"/>
    <w:rsid w:val="00B01593"/>
    <w:rsid w:val="00B01D0F"/>
    <w:rsid w:val="00B01FF9"/>
    <w:rsid w:val="00B0236E"/>
    <w:rsid w:val="00B023F2"/>
    <w:rsid w:val="00B026FE"/>
    <w:rsid w:val="00B0271F"/>
    <w:rsid w:val="00B02E10"/>
    <w:rsid w:val="00B0313F"/>
    <w:rsid w:val="00B03448"/>
    <w:rsid w:val="00B038CA"/>
    <w:rsid w:val="00B03A4C"/>
    <w:rsid w:val="00B04F7D"/>
    <w:rsid w:val="00B05F00"/>
    <w:rsid w:val="00B06DB4"/>
    <w:rsid w:val="00B070FA"/>
    <w:rsid w:val="00B0750D"/>
    <w:rsid w:val="00B07850"/>
    <w:rsid w:val="00B0799C"/>
    <w:rsid w:val="00B102CE"/>
    <w:rsid w:val="00B10A4D"/>
    <w:rsid w:val="00B10A5C"/>
    <w:rsid w:val="00B10ADC"/>
    <w:rsid w:val="00B10C90"/>
    <w:rsid w:val="00B11002"/>
    <w:rsid w:val="00B11117"/>
    <w:rsid w:val="00B1114F"/>
    <w:rsid w:val="00B121B2"/>
    <w:rsid w:val="00B131B1"/>
    <w:rsid w:val="00B135D1"/>
    <w:rsid w:val="00B141B6"/>
    <w:rsid w:val="00B14BC1"/>
    <w:rsid w:val="00B154DE"/>
    <w:rsid w:val="00B15591"/>
    <w:rsid w:val="00B15CAD"/>
    <w:rsid w:val="00B162C3"/>
    <w:rsid w:val="00B16960"/>
    <w:rsid w:val="00B16DD1"/>
    <w:rsid w:val="00B16EB8"/>
    <w:rsid w:val="00B1700A"/>
    <w:rsid w:val="00B176ED"/>
    <w:rsid w:val="00B17ACD"/>
    <w:rsid w:val="00B17B22"/>
    <w:rsid w:val="00B17E71"/>
    <w:rsid w:val="00B17FDE"/>
    <w:rsid w:val="00B20632"/>
    <w:rsid w:val="00B20F9F"/>
    <w:rsid w:val="00B21DE7"/>
    <w:rsid w:val="00B230DD"/>
    <w:rsid w:val="00B2379C"/>
    <w:rsid w:val="00B23D5D"/>
    <w:rsid w:val="00B23E6E"/>
    <w:rsid w:val="00B2450C"/>
    <w:rsid w:val="00B2687D"/>
    <w:rsid w:val="00B27178"/>
    <w:rsid w:val="00B27613"/>
    <w:rsid w:val="00B27CFE"/>
    <w:rsid w:val="00B27EC6"/>
    <w:rsid w:val="00B27EC7"/>
    <w:rsid w:val="00B30287"/>
    <w:rsid w:val="00B30C6B"/>
    <w:rsid w:val="00B3108D"/>
    <w:rsid w:val="00B31D2C"/>
    <w:rsid w:val="00B32DDB"/>
    <w:rsid w:val="00B32F57"/>
    <w:rsid w:val="00B3345C"/>
    <w:rsid w:val="00B33776"/>
    <w:rsid w:val="00B33D14"/>
    <w:rsid w:val="00B343C4"/>
    <w:rsid w:val="00B34528"/>
    <w:rsid w:val="00B34750"/>
    <w:rsid w:val="00B34CC8"/>
    <w:rsid w:val="00B34CC9"/>
    <w:rsid w:val="00B34CDA"/>
    <w:rsid w:val="00B35160"/>
    <w:rsid w:val="00B3563B"/>
    <w:rsid w:val="00B357C2"/>
    <w:rsid w:val="00B36AEB"/>
    <w:rsid w:val="00B36BDC"/>
    <w:rsid w:val="00B3732D"/>
    <w:rsid w:val="00B37C63"/>
    <w:rsid w:val="00B37D3A"/>
    <w:rsid w:val="00B37D96"/>
    <w:rsid w:val="00B402FC"/>
    <w:rsid w:val="00B4037D"/>
    <w:rsid w:val="00B40B4C"/>
    <w:rsid w:val="00B411B8"/>
    <w:rsid w:val="00B42271"/>
    <w:rsid w:val="00B422E2"/>
    <w:rsid w:val="00B42517"/>
    <w:rsid w:val="00B425D5"/>
    <w:rsid w:val="00B42902"/>
    <w:rsid w:val="00B42D5F"/>
    <w:rsid w:val="00B43216"/>
    <w:rsid w:val="00B439DA"/>
    <w:rsid w:val="00B43B6C"/>
    <w:rsid w:val="00B4411A"/>
    <w:rsid w:val="00B4489D"/>
    <w:rsid w:val="00B4594C"/>
    <w:rsid w:val="00B45FE4"/>
    <w:rsid w:val="00B45FE8"/>
    <w:rsid w:val="00B46604"/>
    <w:rsid w:val="00B46674"/>
    <w:rsid w:val="00B46BE1"/>
    <w:rsid w:val="00B47089"/>
    <w:rsid w:val="00B474DB"/>
    <w:rsid w:val="00B47587"/>
    <w:rsid w:val="00B47DC0"/>
    <w:rsid w:val="00B506A4"/>
    <w:rsid w:val="00B51176"/>
    <w:rsid w:val="00B5150A"/>
    <w:rsid w:val="00B52151"/>
    <w:rsid w:val="00B524CB"/>
    <w:rsid w:val="00B52673"/>
    <w:rsid w:val="00B530CD"/>
    <w:rsid w:val="00B534CE"/>
    <w:rsid w:val="00B53639"/>
    <w:rsid w:val="00B53B66"/>
    <w:rsid w:val="00B53C7D"/>
    <w:rsid w:val="00B53E56"/>
    <w:rsid w:val="00B55311"/>
    <w:rsid w:val="00B55946"/>
    <w:rsid w:val="00B55A97"/>
    <w:rsid w:val="00B55F5E"/>
    <w:rsid w:val="00B5601B"/>
    <w:rsid w:val="00B5642C"/>
    <w:rsid w:val="00B5658D"/>
    <w:rsid w:val="00B56B6F"/>
    <w:rsid w:val="00B5752E"/>
    <w:rsid w:val="00B57ED2"/>
    <w:rsid w:val="00B60AC1"/>
    <w:rsid w:val="00B60AE2"/>
    <w:rsid w:val="00B60BBF"/>
    <w:rsid w:val="00B60FA7"/>
    <w:rsid w:val="00B61FF6"/>
    <w:rsid w:val="00B62316"/>
    <w:rsid w:val="00B6274C"/>
    <w:rsid w:val="00B63A11"/>
    <w:rsid w:val="00B64425"/>
    <w:rsid w:val="00B64585"/>
    <w:rsid w:val="00B646CA"/>
    <w:rsid w:val="00B64C24"/>
    <w:rsid w:val="00B64E72"/>
    <w:rsid w:val="00B654E3"/>
    <w:rsid w:val="00B65CEF"/>
    <w:rsid w:val="00B6608F"/>
    <w:rsid w:val="00B663A1"/>
    <w:rsid w:val="00B6718D"/>
    <w:rsid w:val="00B674C7"/>
    <w:rsid w:val="00B67749"/>
    <w:rsid w:val="00B679FB"/>
    <w:rsid w:val="00B71982"/>
    <w:rsid w:val="00B71A8D"/>
    <w:rsid w:val="00B71FBF"/>
    <w:rsid w:val="00B72DD9"/>
    <w:rsid w:val="00B734A0"/>
    <w:rsid w:val="00B73A14"/>
    <w:rsid w:val="00B73FE8"/>
    <w:rsid w:val="00B7463A"/>
    <w:rsid w:val="00B748BD"/>
    <w:rsid w:val="00B74964"/>
    <w:rsid w:val="00B7497E"/>
    <w:rsid w:val="00B74F38"/>
    <w:rsid w:val="00B756C5"/>
    <w:rsid w:val="00B76100"/>
    <w:rsid w:val="00B7680F"/>
    <w:rsid w:val="00B76A49"/>
    <w:rsid w:val="00B76B48"/>
    <w:rsid w:val="00B76D1E"/>
    <w:rsid w:val="00B77543"/>
    <w:rsid w:val="00B77584"/>
    <w:rsid w:val="00B77E34"/>
    <w:rsid w:val="00B77E52"/>
    <w:rsid w:val="00B77ED4"/>
    <w:rsid w:val="00B77F8B"/>
    <w:rsid w:val="00B80D44"/>
    <w:rsid w:val="00B80D89"/>
    <w:rsid w:val="00B80EC6"/>
    <w:rsid w:val="00B8104B"/>
    <w:rsid w:val="00B81288"/>
    <w:rsid w:val="00B81D70"/>
    <w:rsid w:val="00B82A5F"/>
    <w:rsid w:val="00B82C5E"/>
    <w:rsid w:val="00B833B9"/>
    <w:rsid w:val="00B83AAF"/>
    <w:rsid w:val="00B83BF4"/>
    <w:rsid w:val="00B83E07"/>
    <w:rsid w:val="00B84CF6"/>
    <w:rsid w:val="00B85016"/>
    <w:rsid w:val="00B8561A"/>
    <w:rsid w:val="00B862C3"/>
    <w:rsid w:val="00B86628"/>
    <w:rsid w:val="00B86643"/>
    <w:rsid w:val="00B868F7"/>
    <w:rsid w:val="00B86EB1"/>
    <w:rsid w:val="00B871A7"/>
    <w:rsid w:val="00B873ED"/>
    <w:rsid w:val="00B90131"/>
    <w:rsid w:val="00B90359"/>
    <w:rsid w:val="00B92200"/>
    <w:rsid w:val="00B92951"/>
    <w:rsid w:val="00B92D1D"/>
    <w:rsid w:val="00B92D7E"/>
    <w:rsid w:val="00B930CE"/>
    <w:rsid w:val="00B938C5"/>
    <w:rsid w:val="00B939CD"/>
    <w:rsid w:val="00B93FCD"/>
    <w:rsid w:val="00B940A8"/>
    <w:rsid w:val="00B94A14"/>
    <w:rsid w:val="00B94A46"/>
    <w:rsid w:val="00B9554A"/>
    <w:rsid w:val="00B95720"/>
    <w:rsid w:val="00B95940"/>
    <w:rsid w:val="00B95ACA"/>
    <w:rsid w:val="00B95C12"/>
    <w:rsid w:val="00B96D74"/>
    <w:rsid w:val="00B96EE5"/>
    <w:rsid w:val="00B9720E"/>
    <w:rsid w:val="00B973F1"/>
    <w:rsid w:val="00B97ACC"/>
    <w:rsid w:val="00B97F3A"/>
    <w:rsid w:val="00B97FE2"/>
    <w:rsid w:val="00BA0E0B"/>
    <w:rsid w:val="00BA15D7"/>
    <w:rsid w:val="00BA201A"/>
    <w:rsid w:val="00BA21DF"/>
    <w:rsid w:val="00BA29B7"/>
    <w:rsid w:val="00BA31CC"/>
    <w:rsid w:val="00BA361D"/>
    <w:rsid w:val="00BA3787"/>
    <w:rsid w:val="00BA403A"/>
    <w:rsid w:val="00BA46E8"/>
    <w:rsid w:val="00BA49DB"/>
    <w:rsid w:val="00BA4AE9"/>
    <w:rsid w:val="00BA4E19"/>
    <w:rsid w:val="00BA5125"/>
    <w:rsid w:val="00BA6436"/>
    <w:rsid w:val="00BA64F2"/>
    <w:rsid w:val="00BA684E"/>
    <w:rsid w:val="00BA6C2B"/>
    <w:rsid w:val="00BA7B64"/>
    <w:rsid w:val="00BB02A3"/>
    <w:rsid w:val="00BB0351"/>
    <w:rsid w:val="00BB15C3"/>
    <w:rsid w:val="00BB1AF4"/>
    <w:rsid w:val="00BB2202"/>
    <w:rsid w:val="00BB25E8"/>
    <w:rsid w:val="00BB286B"/>
    <w:rsid w:val="00BB2BA1"/>
    <w:rsid w:val="00BB3340"/>
    <w:rsid w:val="00BB3AA1"/>
    <w:rsid w:val="00BB3C6B"/>
    <w:rsid w:val="00BB3FD6"/>
    <w:rsid w:val="00BB453F"/>
    <w:rsid w:val="00BB46F3"/>
    <w:rsid w:val="00BB4A71"/>
    <w:rsid w:val="00BB4CB1"/>
    <w:rsid w:val="00BB4E47"/>
    <w:rsid w:val="00BB4F98"/>
    <w:rsid w:val="00BB50C0"/>
    <w:rsid w:val="00BB5AB2"/>
    <w:rsid w:val="00BB5ABF"/>
    <w:rsid w:val="00BB5F94"/>
    <w:rsid w:val="00BB61E1"/>
    <w:rsid w:val="00BB6EA2"/>
    <w:rsid w:val="00BB6EE5"/>
    <w:rsid w:val="00BB7142"/>
    <w:rsid w:val="00BB76F3"/>
    <w:rsid w:val="00BB7B5B"/>
    <w:rsid w:val="00BB7EB1"/>
    <w:rsid w:val="00BC003F"/>
    <w:rsid w:val="00BC06AA"/>
    <w:rsid w:val="00BC0930"/>
    <w:rsid w:val="00BC0B14"/>
    <w:rsid w:val="00BC1119"/>
    <w:rsid w:val="00BC1293"/>
    <w:rsid w:val="00BC1C44"/>
    <w:rsid w:val="00BC223A"/>
    <w:rsid w:val="00BC3204"/>
    <w:rsid w:val="00BC327F"/>
    <w:rsid w:val="00BC3512"/>
    <w:rsid w:val="00BC4B35"/>
    <w:rsid w:val="00BC4C38"/>
    <w:rsid w:val="00BC4D3E"/>
    <w:rsid w:val="00BC50BE"/>
    <w:rsid w:val="00BC5332"/>
    <w:rsid w:val="00BC5715"/>
    <w:rsid w:val="00BC5AC1"/>
    <w:rsid w:val="00BC5B14"/>
    <w:rsid w:val="00BC5C12"/>
    <w:rsid w:val="00BC641B"/>
    <w:rsid w:val="00BC69EE"/>
    <w:rsid w:val="00BC7154"/>
    <w:rsid w:val="00BC731E"/>
    <w:rsid w:val="00BC7614"/>
    <w:rsid w:val="00BC7941"/>
    <w:rsid w:val="00BC7EFA"/>
    <w:rsid w:val="00BD041B"/>
    <w:rsid w:val="00BD163B"/>
    <w:rsid w:val="00BD25BB"/>
    <w:rsid w:val="00BD2AF8"/>
    <w:rsid w:val="00BD366B"/>
    <w:rsid w:val="00BD3C09"/>
    <w:rsid w:val="00BD410B"/>
    <w:rsid w:val="00BD49B1"/>
    <w:rsid w:val="00BD4A73"/>
    <w:rsid w:val="00BD4EDD"/>
    <w:rsid w:val="00BD4EF4"/>
    <w:rsid w:val="00BD505B"/>
    <w:rsid w:val="00BD6659"/>
    <w:rsid w:val="00BD6C75"/>
    <w:rsid w:val="00BD6D50"/>
    <w:rsid w:val="00BD7105"/>
    <w:rsid w:val="00BD73D2"/>
    <w:rsid w:val="00BE08AB"/>
    <w:rsid w:val="00BE0AD1"/>
    <w:rsid w:val="00BE0DDA"/>
    <w:rsid w:val="00BE0EF9"/>
    <w:rsid w:val="00BE10A1"/>
    <w:rsid w:val="00BE18B9"/>
    <w:rsid w:val="00BE190A"/>
    <w:rsid w:val="00BE23BE"/>
    <w:rsid w:val="00BE2495"/>
    <w:rsid w:val="00BE24DD"/>
    <w:rsid w:val="00BE34BB"/>
    <w:rsid w:val="00BE386D"/>
    <w:rsid w:val="00BE425E"/>
    <w:rsid w:val="00BE4DA9"/>
    <w:rsid w:val="00BE4E2F"/>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759"/>
    <w:rsid w:val="00BF5C4C"/>
    <w:rsid w:val="00BF63D6"/>
    <w:rsid w:val="00BF6E0F"/>
    <w:rsid w:val="00BF765C"/>
    <w:rsid w:val="00BF77FC"/>
    <w:rsid w:val="00BF7BA0"/>
    <w:rsid w:val="00C006D6"/>
    <w:rsid w:val="00C00BD7"/>
    <w:rsid w:val="00C01410"/>
    <w:rsid w:val="00C024BB"/>
    <w:rsid w:val="00C02B1B"/>
    <w:rsid w:val="00C02D23"/>
    <w:rsid w:val="00C03D4D"/>
    <w:rsid w:val="00C04293"/>
    <w:rsid w:val="00C044F4"/>
    <w:rsid w:val="00C04B78"/>
    <w:rsid w:val="00C04DD9"/>
    <w:rsid w:val="00C052AA"/>
    <w:rsid w:val="00C05F0A"/>
    <w:rsid w:val="00C06EE3"/>
    <w:rsid w:val="00C07279"/>
    <w:rsid w:val="00C07321"/>
    <w:rsid w:val="00C07749"/>
    <w:rsid w:val="00C07C2F"/>
    <w:rsid w:val="00C07C67"/>
    <w:rsid w:val="00C10805"/>
    <w:rsid w:val="00C10D44"/>
    <w:rsid w:val="00C11244"/>
    <w:rsid w:val="00C118A9"/>
    <w:rsid w:val="00C11D48"/>
    <w:rsid w:val="00C11DB5"/>
    <w:rsid w:val="00C12304"/>
    <w:rsid w:val="00C12316"/>
    <w:rsid w:val="00C1246C"/>
    <w:rsid w:val="00C128D4"/>
    <w:rsid w:val="00C129BB"/>
    <w:rsid w:val="00C13870"/>
    <w:rsid w:val="00C13D5D"/>
    <w:rsid w:val="00C1493E"/>
    <w:rsid w:val="00C15537"/>
    <w:rsid w:val="00C15DBD"/>
    <w:rsid w:val="00C161C5"/>
    <w:rsid w:val="00C172F7"/>
    <w:rsid w:val="00C2010D"/>
    <w:rsid w:val="00C20366"/>
    <w:rsid w:val="00C20CB5"/>
    <w:rsid w:val="00C21430"/>
    <w:rsid w:val="00C216DF"/>
    <w:rsid w:val="00C21E61"/>
    <w:rsid w:val="00C21F94"/>
    <w:rsid w:val="00C224BD"/>
    <w:rsid w:val="00C22576"/>
    <w:rsid w:val="00C2272B"/>
    <w:rsid w:val="00C234DB"/>
    <w:rsid w:val="00C23C5C"/>
    <w:rsid w:val="00C2479A"/>
    <w:rsid w:val="00C24903"/>
    <w:rsid w:val="00C25026"/>
    <w:rsid w:val="00C25099"/>
    <w:rsid w:val="00C250FA"/>
    <w:rsid w:val="00C255FB"/>
    <w:rsid w:val="00C2590D"/>
    <w:rsid w:val="00C25D9C"/>
    <w:rsid w:val="00C26086"/>
    <w:rsid w:val="00C268A9"/>
    <w:rsid w:val="00C27197"/>
    <w:rsid w:val="00C27913"/>
    <w:rsid w:val="00C27E64"/>
    <w:rsid w:val="00C27FA7"/>
    <w:rsid w:val="00C300E2"/>
    <w:rsid w:val="00C31010"/>
    <w:rsid w:val="00C313BF"/>
    <w:rsid w:val="00C31B80"/>
    <w:rsid w:val="00C31F21"/>
    <w:rsid w:val="00C32498"/>
    <w:rsid w:val="00C32631"/>
    <w:rsid w:val="00C327D8"/>
    <w:rsid w:val="00C32807"/>
    <w:rsid w:val="00C33301"/>
    <w:rsid w:val="00C33311"/>
    <w:rsid w:val="00C33B68"/>
    <w:rsid w:val="00C34AD4"/>
    <w:rsid w:val="00C34F2F"/>
    <w:rsid w:val="00C353AF"/>
    <w:rsid w:val="00C35570"/>
    <w:rsid w:val="00C3579B"/>
    <w:rsid w:val="00C35A2A"/>
    <w:rsid w:val="00C36A79"/>
    <w:rsid w:val="00C3707B"/>
    <w:rsid w:val="00C3788D"/>
    <w:rsid w:val="00C401A9"/>
    <w:rsid w:val="00C401D2"/>
    <w:rsid w:val="00C4031A"/>
    <w:rsid w:val="00C405D4"/>
    <w:rsid w:val="00C40996"/>
    <w:rsid w:val="00C419D5"/>
    <w:rsid w:val="00C41D54"/>
    <w:rsid w:val="00C42129"/>
    <w:rsid w:val="00C42766"/>
    <w:rsid w:val="00C42812"/>
    <w:rsid w:val="00C42EBB"/>
    <w:rsid w:val="00C435E8"/>
    <w:rsid w:val="00C43891"/>
    <w:rsid w:val="00C446AC"/>
    <w:rsid w:val="00C44DB6"/>
    <w:rsid w:val="00C4513B"/>
    <w:rsid w:val="00C46417"/>
    <w:rsid w:val="00C475E8"/>
    <w:rsid w:val="00C50ACF"/>
    <w:rsid w:val="00C50B94"/>
    <w:rsid w:val="00C50E79"/>
    <w:rsid w:val="00C514D1"/>
    <w:rsid w:val="00C5197D"/>
    <w:rsid w:val="00C521F5"/>
    <w:rsid w:val="00C525FB"/>
    <w:rsid w:val="00C527AD"/>
    <w:rsid w:val="00C5390B"/>
    <w:rsid w:val="00C53E3B"/>
    <w:rsid w:val="00C540D3"/>
    <w:rsid w:val="00C54257"/>
    <w:rsid w:val="00C54549"/>
    <w:rsid w:val="00C5459D"/>
    <w:rsid w:val="00C54697"/>
    <w:rsid w:val="00C550CE"/>
    <w:rsid w:val="00C553A5"/>
    <w:rsid w:val="00C55402"/>
    <w:rsid w:val="00C5603B"/>
    <w:rsid w:val="00C56423"/>
    <w:rsid w:val="00C56E94"/>
    <w:rsid w:val="00C56F92"/>
    <w:rsid w:val="00C571EE"/>
    <w:rsid w:val="00C57EC0"/>
    <w:rsid w:val="00C6020C"/>
    <w:rsid w:val="00C60AE3"/>
    <w:rsid w:val="00C617B8"/>
    <w:rsid w:val="00C61F47"/>
    <w:rsid w:val="00C6270E"/>
    <w:rsid w:val="00C62828"/>
    <w:rsid w:val="00C62B91"/>
    <w:rsid w:val="00C63132"/>
    <w:rsid w:val="00C647D0"/>
    <w:rsid w:val="00C653D5"/>
    <w:rsid w:val="00C654A5"/>
    <w:rsid w:val="00C655DA"/>
    <w:rsid w:val="00C6689D"/>
    <w:rsid w:val="00C672C1"/>
    <w:rsid w:val="00C67519"/>
    <w:rsid w:val="00C676BD"/>
    <w:rsid w:val="00C67C7F"/>
    <w:rsid w:val="00C706D2"/>
    <w:rsid w:val="00C715CC"/>
    <w:rsid w:val="00C719A3"/>
    <w:rsid w:val="00C71D2F"/>
    <w:rsid w:val="00C7245F"/>
    <w:rsid w:val="00C72984"/>
    <w:rsid w:val="00C72BC7"/>
    <w:rsid w:val="00C733B3"/>
    <w:rsid w:val="00C737F1"/>
    <w:rsid w:val="00C73885"/>
    <w:rsid w:val="00C73C93"/>
    <w:rsid w:val="00C73F7B"/>
    <w:rsid w:val="00C7435A"/>
    <w:rsid w:val="00C747B1"/>
    <w:rsid w:val="00C74F69"/>
    <w:rsid w:val="00C750B9"/>
    <w:rsid w:val="00C75510"/>
    <w:rsid w:val="00C755F9"/>
    <w:rsid w:val="00C75752"/>
    <w:rsid w:val="00C75B60"/>
    <w:rsid w:val="00C76025"/>
    <w:rsid w:val="00C761EC"/>
    <w:rsid w:val="00C76249"/>
    <w:rsid w:val="00C76323"/>
    <w:rsid w:val="00C770C9"/>
    <w:rsid w:val="00C8019E"/>
    <w:rsid w:val="00C80E36"/>
    <w:rsid w:val="00C81070"/>
    <w:rsid w:val="00C8174E"/>
    <w:rsid w:val="00C82191"/>
    <w:rsid w:val="00C82FBE"/>
    <w:rsid w:val="00C83134"/>
    <w:rsid w:val="00C831E7"/>
    <w:rsid w:val="00C83205"/>
    <w:rsid w:val="00C832F3"/>
    <w:rsid w:val="00C84307"/>
    <w:rsid w:val="00C845A4"/>
    <w:rsid w:val="00C84D26"/>
    <w:rsid w:val="00C8504C"/>
    <w:rsid w:val="00C85127"/>
    <w:rsid w:val="00C85545"/>
    <w:rsid w:val="00C855B5"/>
    <w:rsid w:val="00C85F0E"/>
    <w:rsid w:val="00C8602D"/>
    <w:rsid w:val="00C862C1"/>
    <w:rsid w:val="00C864E9"/>
    <w:rsid w:val="00C867F9"/>
    <w:rsid w:val="00C872AA"/>
    <w:rsid w:val="00C87C6B"/>
    <w:rsid w:val="00C90357"/>
    <w:rsid w:val="00C9079E"/>
    <w:rsid w:val="00C90CF4"/>
    <w:rsid w:val="00C90F18"/>
    <w:rsid w:val="00C910F8"/>
    <w:rsid w:val="00C91C20"/>
    <w:rsid w:val="00C922DE"/>
    <w:rsid w:val="00C92843"/>
    <w:rsid w:val="00C929FE"/>
    <w:rsid w:val="00C92EB6"/>
    <w:rsid w:val="00C93389"/>
    <w:rsid w:val="00C94607"/>
    <w:rsid w:val="00C948E6"/>
    <w:rsid w:val="00C94CDD"/>
    <w:rsid w:val="00C95123"/>
    <w:rsid w:val="00C97588"/>
    <w:rsid w:val="00CA0346"/>
    <w:rsid w:val="00CA0649"/>
    <w:rsid w:val="00CA0BD5"/>
    <w:rsid w:val="00CA0DA1"/>
    <w:rsid w:val="00CA10A4"/>
    <w:rsid w:val="00CA1BD6"/>
    <w:rsid w:val="00CA2D95"/>
    <w:rsid w:val="00CA37FF"/>
    <w:rsid w:val="00CA423A"/>
    <w:rsid w:val="00CA47BC"/>
    <w:rsid w:val="00CA48CF"/>
    <w:rsid w:val="00CA4D2D"/>
    <w:rsid w:val="00CA5580"/>
    <w:rsid w:val="00CA5CB3"/>
    <w:rsid w:val="00CA5EAD"/>
    <w:rsid w:val="00CA61CF"/>
    <w:rsid w:val="00CA620E"/>
    <w:rsid w:val="00CA66FE"/>
    <w:rsid w:val="00CA6AB4"/>
    <w:rsid w:val="00CA7255"/>
    <w:rsid w:val="00CA79E2"/>
    <w:rsid w:val="00CA7E12"/>
    <w:rsid w:val="00CB01F1"/>
    <w:rsid w:val="00CB0E44"/>
    <w:rsid w:val="00CB111E"/>
    <w:rsid w:val="00CB183C"/>
    <w:rsid w:val="00CB18B2"/>
    <w:rsid w:val="00CB1BEE"/>
    <w:rsid w:val="00CB2351"/>
    <w:rsid w:val="00CB2BF7"/>
    <w:rsid w:val="00CB3210"/>
    <w:rsid w:val="00CB3605"/>
    <w:rsid w:val="00CB4022"/>
    <w:rsid w:val="00CB404F"/>
    <w:rsid w:val="00CB4257"/>
    <w:rsid w:val="00CB4930"/>
    <w:rsid w:val="00CB4BA9"/>
    <w:rsid w:val="00CB4C48"/>
    <w:rsid w:val="00CB4C63"/>
    <w:rsid w:val="00CB4F93"/>
    <w:rsid w:val="00CB55F7"/>
    <w:rsid w:val="00CB5A48"/>
    <w:rsid w:val="00CB5E10"/>
    <w:rsid w:val="00CB613B"/>
    <w:rsid w:val="00CB6152"/>
    <w:rsid w:val="00CB64E1"/>
    <w:rsid w:val="00CB6C6F"/>
    <w:rsid w:val="00CB6E4D"/>
    <w:rsid w:val="00CB70E1"/>
    <w:rsid w:val="00CC009B"/>
    <w:rsid w:val="00CC0834"/>
    <w:rsid w:val="00CC0AEA"/>
    <w:rsid w:val="00CC0B00"/>
    <w:rsid w:val="00CC0E6A"/>
    <w:rsid w:val="00CC20FE"/>
    <w:rsid w:val="00CC210D"/>
    <w:rsid w:val="00CC225C"/>
    <w:rsid w:val="00CC2E7D"/>
    <w:rsid w:val="00CC4029"/>
    <w:rsid w:val="00CC425E"/>
    <w:rsid w:val="00CC44A3"/>
    <w:rsid w:val="00CC469E"/>
    <w:rsid w:val="00CC58E9"/>
    <w:rsid w:val="00CC5A69"/>
    <w:rsid w:val="00CC5BE8"/>
    <w:rsid w:val="00CC612B"/>
    <w:rsid w:val="00CC655F"/>
    <w:rsid w:val="00CC66F9"/>
    <w:rsid w:val="00CC6C2A"/>
    <w:rsid w:val="00CC6FE5"/>
    <w:rsid w:val="00CC7458"/>
    <w:rsid w:val="00CC76BD"/>
    <w:rsid w:val="00CC7866"/>
    <w:rsid w:val="00CC7A87"/>
    <w:rsid w:val="00CD0373"/>
    <w:rsid w:val="00CD08BF"/>
    <w:rsid w:val="00CD0B7E"/>
    <w:rsid w:val="00CD0D6B"/>
    <w:rsid w:val="00CD0F56"/>
    <w:rsid w:val="00CD1060"/>
    <w:rsid w:val="00CD10A5"/>
    <w:rsid w:val="00CD1129"/>
    <w:rsid w:val="00CD1A80"/>
    <w:rsid w:val="00CD1CB5"/>
    <w:rsid w:val="00CD1F87"/>
    <w:rsid w:val="00CD2076"/>
    <w:rsid w:val="00CD2197"/>
    <w:rsid w:val="00CD24CE"/>
    <w:rsid w:val="00CD255B"/>
    <w:rsid w:val="00CD284C"/>
    <w:rsid w:val="00CD29B5"/>
    <w:rsid w:val="00CD2B78"/>
    <w:rsid w:val="00CD3866"/>
    <w:rsid w:val="00CD3909"/>
    <w:rsid w:val="00CD3D33"/>
    <w:rsid w:val="00CD3FAB"/>
    <w:rsid w:val="00CD5456"/>
    <w:rsid w:val="00CD5C3E"/>
    <w:rsid w:val="00CD5C57"/>
    <w:rsid w:val="00CD5EE0"/>
    <w:rsid w:val="00CD6331"/>
    <w:rsid w:val="00CD6EB2"/>
    <w:rsid w:val="00CD7783"/>
    <w:rsid w:val="00CD7E9E"/>
    <w:rsid w:val="00CE01DC"/>
    <w:rsid w:val="00CE0CB0"/>
    <w:rsid w:val="00CE12FB"/>
    <w:rsid w:val="00CE14BE"/>
    <w:rsid w:val="00CE17A4"/>
    <w:rsid w:val="00CE1BA9"/>
    <w:rsid w:val="00CE2D8F"/>
    <w:rsid w:val="00CE2DC6"/>
    <w:rsid w:val="00CE30D0"/>
    <w:rsid w:val="00CE3532"/>
    <w:rsid w:val="00CE35A8"/>
    <w:rsid w:val="00CE3770"/>
    <w:rsid w:val="00CE3E48"/>
    <w:rsid w:val="00CE46C0"/>
    <w:rsid w:val="00CE47B8"/>
    <w:rsid w:val="00CE54FD"/>
    <w:rsid w:val="00CE5C3F"/>
    <w:rsid w:val="00CE5C92"/>
    <w:rsid w:val="00CE5E12"/>
    <w:rsid w:val="00CE6065"/>
    <w:rsid w:val="00CE60F1"/>
    <w:rsid w:val="00CE62FA"/>
    <w:rsid w:val="00CE670B"/>
    <w:rsid w:val="00CE6833"/>
    <w:rsid w:val="00CE6992"/>
    <w:rsid w:val="00CE6D92"/>
    <w:rsid w:val="00CE7562"/>
    <w:rsid w:val="00CE75F3"/>
    <w:rsid w:val="00CF020B"/>
    <w:rsid w:val="00CF0E03"/>
    <w:rsid w:val="00CF1184"/>
    <w:rsid w:val="00CF15BF"/>
    <w:rsid w:val="00CF192F"/>
    <w:rsid w:val="00CF2A1B"/>
    <w:rsid w:val="00CF2E4D"/>
    <w:rsid w:val="00CF2EFC"/>
    <w:rsid w:val="00CF3486"/>
    <w:rsid w:val="00CF34C9"/>
    <w:rsid w:val="00CF35A7"/>
    <w:rsid w:val="00CF4205"/>
    <w:rsid w:val="00CF4211"/>
    <w:rsid w:val="00CF4908"/>
    <w:rsid w:val="00CF51EC"/>
    <w:rsid w:val="00CF545D"/>
    <w:rsid w:val="00CF5873"/>
    <w:rsid w:val="00CF620C"/>
    <w:rsid w:val="00CF6AB7"/>
    <w:rsid w:val="00CF6F88"/>
    <w:rsid w:val="00CF73AE"/>
    <w:rsid w:val="00CF7777"/>
    <w:rsid w:val="00D00054"/>
    <w:rsid w:val="00D0085A"/>
    <w:rsid w:val="00D0197F"/>
    <w:rsid w:val="00D01B31"/>
    <w:rsid w:val="00D0242D"/>
    <w:rsid w:val="00D02716"/>
    <w:rsid w:val="00D0302F"/>
    <w:rsid w:val="00D033B7"/>
    <w:rsid w:val="00D037A1"/>
    <w:rsid w:val="00D03842"/>
    <w:rsid w:val="00D03A72"/>
    <w:rsid w:val="00D040DD"/>
    <w:rsid w:val="00D04134"/>
    <w:rsid w:val="00D047B9"/>
    <w:rsid w:val="00D05995"/>
    <w:rsid w:val="00D05C65"/>
    <w:rsid w:val="00D068A0"/>
    <w:rsid w:val="00D06B56"/>
    <w:rsid w:val="00D06D52"/>
    <w:rsid w:val="00D06D68"/>
    <w:rsid w:val="00D06DEF"/>
    <w:rsid w:val="00D07266"/>
    <w:rsid w:val="00D075BE"/>
    <w:rsid w:val="00D07AFF"/>
    <w:rsid w:val="00D07CC2"/>
    <w:rsid w:val="00D1007E"/>
    <w:rsid w:val="00D10C15"/>
    <w:rsid w:val="00D11011"/>
    <w:rsid w:val="00D11476"/>
    <w:rsid w:val="00D12C25"/>
    <w:rsid w:val="00D13284"/>
    <w:rsid w:val="00D133B4"/>
    <w:rsid w:val="00D13986"/>
    <w:rsid w:val="00D13F3E"/>
    <w:rsid w:val="00D14680"/>
    <w:rsid w:val="00D147C5"/>
    <w:rsid w:val="00D14B3C"/>
    <w:rsid w:val="00D14C5B"/>
    <w:rsid w:val="00D15334"/>
    <w:rsid w:val="00D1565A"/>
    <w:rsid w:val="00D15CF4"/>
    <w:rsid w:val="00D15D3A"/>
    <w:rsid w:val="00D15FED"/>
    <w:rsid w:val="00D16712"/>
    <w:rsid w:val="00D174E0"/>
    <w:rsid w:val="00D214EF"/>
    <w:rsid w:val="00D215B0"/>
    <w:rsid w:val="00D21B36"/>
    <w:rsid w:val="00D21D6D"/>
    <w:rsid w:val="00D21D83"/>
    <w:rsid w:val="00D22517"/>
    <w:rsid w:val="00D22A47"/>
    <w:rsid w:val="00D23456"/>
    <w:rsid w:val="00D235B7"/>
    <w:rsid w:val="00D23A99"/>
    <w:rsid w:val="00D23FAE"/>
    <w:rsid w:val="00D25AD0"/>
    <w:rsid w:val="00D25F28"/>
    <w:rsid w:val="00D26071"/>
    <w:rsid w:val="00D260C7"/>
    <w:rsid w:val="00D26133"/>
    <w:rsid w:val="00D26758"/>
    <w:rsid w:val="00D269B9"/>
    <w:rsid w:val="00D26E6B"/>
    <w:rsid w:val="00D274B3"/>
    <w:rsid w:val="00D2780D"/>
    <w:rsid w:val="00D27973"/>
    <w:rsid w:val="00D27995"/>
    <w:rsid w:val="00D27C9D"/>
    <w:rsid w:val="00D27E3E"/>
    <w:rsid w:val="00D27F07"/>
    <w:rsid w:val="00D27F3A"/>
    <w:rsid w:val="00D30003"/>
    <w:rsid w:val="00D31537"/>
    <w:rsid w:val="00D3185C"/>
    <w:rsid w:val="00D319F6"/>
    <w:rsid w:val="00D31E1E"/>
    <w:rsid w:val="00D322A0"/>
    <w:rsid w:val="00D32824"/>
    <w:rsid w:val="00D33297"/>
    <w:rsid w:val="00D334E2"/>
    <w:rsid w:val="00D335E5"/>
    <w:rsid w:val="00D34E1C"/>
    <w:rsid w:val="00D350B1"/>
    <w:rsid w:val="00D352C1"/>
    <w:rsid w:val="00D35AD6"/>
    <w:rsid w:val="00D35BBB"/>
    <w:rsid w:val="00D35E1A"/>
    <w:rsid w:val="00D3681D"/>
    <w:rsid w:val="00D36B0A"/>
    <w:rsid w:val="00D36DFB"/>
    <w:rsid w:val="00D36E1C"/>
    <w:rsid w:val="00D373AF"/>
    <w:rsid w:val="00D37646"/>
    <w:rsid w:val="00D40556"/>
    <w:rsid w:val="00D418E9"/>
    <w:rsid w:val="00D41F74"/>
    <w:rsid w:val="00D428C8"/>
    <w:rsid w:val="00D43034"/>
    <w:rsid w:val="00D43230"/>
    <w:rsid w:val="00D43ED2"/>
    <w:rsid w:val="00D4575A"/>
    <w:rsid w:val="00D46A31"/>
    <w:rsid w:val="00D46D53"/>
    <w:rsid w:val="00D47573"/>
    <w:rsid w:val="00D47B3B"/>
    <w:rsid w:val="00D50F46"/>
    <w:rsid w:val="00D51BC9"/>
    <w:rsid w:val="00D5302A"/>
    <w:rsid w:val="00D533C4"/>
    <w:rsid w:val="00D5384E"/>
    <w:rsid w:val="00D544E7"/>
    <w:rsid w:val="00D5499F"/>
    <w:rsid w:val="00D5560A"/>
    <w:rsid w:val="00D55E68"/>
    <w:rsid w:val="00D560DC"/>
    <w:rsid w:val="00D56FBF"/>
    <w:rsid w:val="00D57677"/>
    <w:rsid w:val="00D5781F"/>
    <w:rsid w:val="00D60415"/>
    <w:rsid w:val="00D60892"/>
    <w:rsid w:val="00D60DAE"/>
    <w:rsid w:val="00D60E3C"/>
    <w:rsid w:val="00D60FA7"/>
    <w:rsid w:val="00D61917"/>
    <w:rsid w:val="00D61E7D"/>
    <w:rsid w:val="00D61FAB"/>
    <w:rsid w:val="00D62C4E"/>
    <w:rsid w:val="00D62FB5"/>
    <w:rsid w:val="00D63BE5"/>
    <w:rsid w:val="00D63FCF"/>
    <w:rsid w:val="00D6475F"/>
    <w:rsid w:val="00D652EB"/>
    <w:rsid w:val="00D65580"/>
    <w:rsid w:val="00D655D4"/>
    <w:rsid w:val="00D66223"/>
    <w:rsid w:val="00D667B8"/>
    <w:rsid w:val="00D66C85"/>
    <w:rsid w:val="00D6707B"/>
    <w:rsid w:val="00D67369"/>
    <w:rsid w:val="00D67D55"/>
    <w:rsid w:val="00D70289"/>
    <w:rsid w:val="00D7041F"/>
    <w:rsid w:val="00D70822"/>
    <w:rsid w:val="00D70C5A"/>
    <w:rsid w:val="00D72076"/>
    <w:rsid w:val="00D721B4"/>
    <w:rsid w:val="00D726A9"/>
    <w:rsid w:val="00D72DBA"/>
    <w:rsid w:val="00D73012"/>
    <w:rsid w:val="00D743E0"/>
    <w:rsid w:val="00D7469D"/>
    <w:rsid w:val="00D746BE"/>
    <w:rsid w:val="00D746CF"/>
    <w:rsid w:val="00D74794"/>
    <w:rsid w:val="00D7490C"/>
    <w:rsid w:val="00D7497E"/>
    <w:rsid w:val="00D74DBC"/>
    <w:rsid w:val="00D75AC1"/>
    <w:rsid w:val="00D75E71"/>
    <w:rsid w:val="00D75FB7"/>
    <w:rsid w:val="00D763AD"/>
    <w:rsid w:val="00D767D5"/>
    <w:rsid w:val="00D77252"/>
    <w:rsid w:val="00D8084C"/>
    <w:rsid w:val="00D81809"/>
    <w:rsid w:val="00D8188C"/>
    <w:rsid w:val="00D82EF1"/>
    <w:rsid w:val="00D839E9"/>
    <w:rsid w:val="00D84060"/>
    <w:rsid w:val="00D84CC9"/>
    <w:rsid w:val="00D84F43"/>
    <w:rsid w:val="00D85114"/>
    <w:rsid w:val="00D85821"/>
    <w:rsid w:val="00D8598C"/>
    <w:rsid w:val="00D85DD8"/>
    <w:rsid w:val="00D861A7"/>
    <w:rsid w:val="00D8710D"/>
    <w:rsid w:val="00D87C06"/>
    <w:rsid w:val="00D90E41"/>
    <w:rsid w:val="00D9113A"/>
    <w:rsid w:val="00D915EA"/>
    <w:rsid w:val="00D91819"/>
    <w:rsid w:val="00D919ED"/>
    <w:rsid w:val="00D922A1"/>
    <w:rsid w:val="00D9288A"/>
    <w:rsid w:val="00D928BE"/>
    <w:rsid w:val="00D92CD7"/>
    <w:rsid w:val="00D92FC2"/>
    <w:rsid w:val="00D92FFF"/>
    <w:rsid w:val="00D932B8"/>
    <w:rsid w:val="00D932F0"/>
    <w:rsid w:val="00D951DF"/>
    <w:rsid w:val="00D95302"/>
    <w:rsid w:val="00D95889"/>
    <w:rsid w:val="00D95C5D"/>
    <w:rsid w:val="00D95CBE"/>
    <w:rsid w:val="00D95E7F"/>
    <w:rsid w:val="00D97483"/>
    <w:rsid w:val="00D97D00"/>
    <w:rsid w:val="00DA0121"/>
    <w:rsid w:val="00DA096C"/>
    <w:rsid w:val="00DA107E"/>
    <w:rsid w:val="00DA114D"/>
    <w:rsid w:val="00DA1AB6"/>
    <w:rsid w:val="00DA214B"/>
    <w:rsid w:val="00DA2E65"/>
    <w:rsid w:val="00DA308B"/>
    <w:rsid w:val="00DA37DE"/>
    <w:rsid w:val="00DA3ADF"/>
    <w:rsid w:val="00DA4174"/>
    <w:rsid w:val="00DA544C"/>
    <w:rsid w:val="00DA5ED5"/>
    <w:rsid w:val="00DA5F8E"/>
    <w:rsid w:val="00DA6364"/>
    <w:rsid w:val="00DA6F31"/>
    <w:rsid w:val="00DA7114"/>
    <w:rsid w:val="00DA7C0C"/>
    <w:rsid w:val="00DA7E2F"/>
    <w:rsid w:val="00DA7F73"/>
    <w:rsid w:val="00DB03DD"/>
    <w:rsid w:val="00DB08A9"/>
    <w:rsid w:val="00DB0B33"/>
    <w:rsid w:val="00DB0EBF"/>
    <w:rsid w:val="00DB0FD9"/>
    <w:rsid w:val="00DB13EF"/>
    <w:rsid w:val="00DB1CD3"/>
    <w:rsid w:val="00DB1D89"/>
    <w:rsid w:val="00DB1ECC"/>
    <w:rsid w:val="00DB2495"/>
    <w:rsid w:val="00DB28CB"/>
    <w:rsid w:val="00DB2DFA"/>
    <w:rsid w:val="00DB2EC8"/>
    <w:rsid w:val="00DB321D"/>
    <w:rsid w:val="00DB459B"/>
    <w:rsid w:val="00DB47FD"/>
    <w:rsid w:val="00DB4BF1"/>
    <w:rsid w:val="00DB4FF3"/>
    <w:rsid w:val="00DB5E3A"/>
    <w:rsid w:val="00DB5E9A"/>
    <w:rsid w:val="00DB613B"/>
    <w:rsid w:val="00DB657E"/>
    <w:rsid w:val="00DB6811"/>
    <w:rsid w:val="00DB7342"/>
    <w:rsid w:val="00DB7489"/>
    <w:rsid w:val="00DB7BD5"/>
    <w:rsid w:val="00DC0B4A"/>
    <w:rsid w:val="00DC0B4D"/>
    <w:rsid w:val="00DC0CBB"/>
    <w:rsid w:val="00DC0E33"/>
    <w:rsid w:val="00DC17D0"/>
    <w:rsid w:val="00DC1E5D"/>
    <w:rsid w:val="00DC2B41"/>
    <w:rsid w:val="00DC2EA7"/>
    <w:rsid w:val="00DC3128"/>
    <w:rsid w:val="00DC31B2"/>
    <w:rsid w:val="00DC435B"/>
    <w:rsid w:val="00DC4AC4"/>
    <w:rsid w:val="00DC506E"/>
    <w:rsid w:val="00DC53D8"/>
    <w:rsid w:val="00DC56FE"/>
    <w:rsid w:val="00DC5B3B"/>
    <w:rsid w:val="00DC5F11"/>
    <w:rsid w:val="00DC6C2D"/>
    <w:rsid w:val="00DC6CFA"/>
    <w:rsid w:val="00DC7B1A"/>
    <w:rsid w:val="00DD04B0"/>
    <w:rsid w:val="00DD0771"/>
    <w:rsid w:val="00DD0B84"/>
    <w:rsid w:val="00DD129F"/>
    <w:rsid w:val="00DD13FC"/>
    <w:rsid w:val="00DD1A3F"/>
    <w:rsid w:val="00DD29B5"/>
    <w:rsid w:val="00DD32DD"/>
    <w:rsid w:val="00DD33E8"/>
    <w:rsid w:val="00DD468D"/>
    <w:rsid w:val="00DD4BB7"/>
    <w:rsid w:val="00DD5287"/>
    <w:rsid w:val="00DD5B36"/>
    <w:rsid w:val="00DD68B6"/>
    <w:rsid w:val="00DD7849"/>
    <w:rsid w:val="00DD7900"/>
    <w:rsid w:val="00DE03DE"/>
    <w:rsid w:val="00DE08BF"/>
    <w:rsid w:val="00DE0D8B"/>
    <w:rsid w:val="00DE1237"/>
    <w:rsid w:val="00DE125C"/>
    <w:rsid w:val="00DE140F"/>
    <w:rsid w:val="00DE17E9"/>
    <w:rsid w:val="00DE1CE1"/>
    <w:rsid w:val="00DE2491"/>
    <w:rsid w:val="00DE273F"/>
    <w:rsid w:val="00DE27CD"/>
    <w:rsid w:val="00DE2982"/>
    <w:rsid w:val="00DE2B97"/>
    <w:rsid w:val="00DE3231"/>
    <w:rsid w:val="00DE3E22"/>
    <w:rsid w:val="00DE3E5D"/>
    <w:rsid w:val="00DE450F"/>
    <w:rsid w:val="00DE4865"/>
    <w:rsid w:val="00DE59CA"/>
    <w:rsid w:val="00DE5BED"/>
    <w:rsid w:val="00DE5CA6"/>
    <w:rsid w:val="00DE5E55"/>
    <w:rsid w:val="00DE601B"/>
    <w:rsid w:val="00DE6209"/>
    <w:rsid w:val="00DE63AE"/>
    <w:rsid w:val="00DE7156"/>
    <w:rsid w:val="00DE761A"/>
    <w:rsid w:val="00DE794E"/>
    <w:rsid w:val="00DE7AC8"/>
    <w:rsid w:val="00DF0830"/>
    <w:rsid w:val="00DF1D57"/>
    <w:rsid w:val="00DF2C5D"/>
    <w:rsid w:val="00DF2CD3"/>
    <w:rsid w:val="00DF3509"/>
    <w:rsid w:val="00DF3643"/>
    <w:rsid w:val="00DF3F5C"/>
    <w:rsid w:val="00DF42FF"/>
    <w:rsid w:val="00DF4369"/>
    <w:rsid w:val="00DF4423"/>
    <w:rsid w:val="00DF4ADF"/>
    <w:rsid w:val="00DF4D59"/>
    <w:rsid w:val="00DF57D6"/>
    <w:rsid w:val="00DF589A"/>
    <w:rsid w:val="00DF5912"/>
    <w:rsid w:val="00DF5D1E"/>
    <w:rsid w:val="00DF6DDE"/>
    <w:rsid w:val="00DF70DA"/>
    <w:rsid w:val="00DF77E4"/>
    <w:rsid w:val="00DF7F88"/>
    <w:rsid w:val="00E00B88"/>
    <w:rsid w:val="00E01C0E"/>
    <w:rsid w:val="00E034A1"/>
    <w:rsid w:val="00E0368F"/>
    <w:rsid w:val="00E03D73"/>
    <w:rsid w:val="00E03F9A"/>
    <w:rsid w:val="00E040DA"/>
    <w:rsid w:val="00E041A3"/>
    <w:rsid w:val="00E04694"/>
    <w:rsid w:val="00E05333"/>
    <w:rsid w:val="00E059E1"/>
    <w:rsid w:val="00E06436"/>
    <w:rsid w:val="00E07458"/>
    <w:rsid w:val="00E1168B"/>
    <w:rsid w:val="00E12191"/>
    <w:rsid w:val="00E129E7"/>
    <w:rsid w:val="00E12ABE"/>
    <w:rsid w:val="00E12B1E"/>
    <w:rsid w:val="00E135EB"/>
    <w:rsid w:val="00E13995"/>
    <w:rsid w:val="00E139EC"/>
    <w:rsid w:val="00E13C59"/>
    <w:rsid w:val="00E1444C"/>
    <w:rsid w:val="00E149CC"/>
    <w:rsid w:val="00E14F1C"/>
    <w:rsid w:val="00E1509D"/>
    <w:rsid w:val="00E15863"/>
    <w:rsid w:val="00E159C6"/>
    <w:rsid w:val="00E1672D"/>
    <w:rsid w:val="00E17262"/>
    <w:rsid w:val="00E17F36"/>
    <w:rsid w:val="00E20016"/>
    <w:rsid w:val="00E2009B"/>
    <w:rsid w:val="00E20733"/>
    <w:rsid w:val="00E20918"/>
    <w:rsid w:val="00E20BB9"/>
    <w:rsid w:val="00E20BCC"/>
    <w:rsid w:val="00E2251C"/>
    <w:rsid w:val="00E2363D"/>
    <w:rsid w:val="00E23C6A"/>
    <w:rsid w:val="00E2449B"/>
    <w:rsid w:val="00E2484B"/>
    <w:rsid w:val="00E24995"/>
    <w:rsid w:val="00E25038"/>
    <w:rsid w:val="00E253A2"/>
    <w:rsid w:val="00E25A96"/>
    <w:rsid w:val="00E2602F"/>
    <w:rsid w:val="00E260F6"/>
    <w:rsid w:val="00E26F37"/>
    <w:rsid w:val="00E27127"/>
    <w:rsid w:val="00E27233"/>
    <w:rsid w:val="00E274BB"/>
    <w:rsid w:val="00E27B5F"/>
    <w:rsid w:val="00E30F15"/>
    <w:rsid w:val="00E31771"/>
    <w:rsid w:val="00E3186D"/>
    <w:rsid w:val="00E31A3E"/>
    <w:rsid w:val="00E32080"/>
    <w:rsid w:val="00E32778"/>
    <w:rsid w:val="00E3309D"/>
    <w:rsid w:val="00E34E3F"/>
    <w:rsid w:val="00E350B1"/>
    <w:rsid w:val="00E3512B"/>
    <w:rsid w:val="00E35439"/>
    <w:rsid w:val="00E3575B"/>
    <w:rsid w:val="00E35A16"/>
    <w:rsid w:val="00E35A53"/>
    <w:rsid w:val="00E3634A"/>
    <w:rsid w:val="00E3656B"/>
    <w:rsid w:val="00E36767"/>
    <w:rsid w:val="00E3712B"/>
    <w:rsid w:val="00E3724A"/>
    <w:rsid w:val="00E378B1"/>
    <w:rsid w:val="00E37BDD"/>
    <w:rsid w:val="00E40295"/>
    <w:rsid w:val="00E41131"/>
    <w:rsid w:val="00E41179"/>
    <w:rsid w:val="00E41634"/>
    <w:rsid w:val="00E417BE"/>
    <w:rsid w:val="00E41CD5"/>
    <w:rsid w:val="00E41E5D"/>
    <w:rsid w:val="00E42054"/>
    <w:rsid w:val="00E42326"/>
    <w:rsid w:val="00E428A7"/>
    <w:rsid w:val="00E4372D"/>
    <w:rsid w:val="00E43A9E"/>
    <w:rsid w:val="00E43E1A"/>
    <w:rsid w:val="00E43E2E"/>
    <w:rsid w:val="00E43E77"/>
    <w:rsid w:val="00E44243"/>
    <w:rsid w:val="00E4529D"/>
    <w:rsid w:val="00E4539A"/>
    <w:rsid w:val="00E453F9"/>
    <w:rsid w:val="00E45D7D"/>
    <w:rsid w:val="00E4623F"/>
    <w:rsid w:val="00E4665D"/>
    <w:rsid w:val="00E47394"/>
    <w:rsid w:val="00E47854"/>
    <w:rsid w:val="00E478E2"/>
    <w:rsid w:val="00E47A9B"/>
    <w:rsid w:val="00E47B61"/>
    <w:rsid w:val="00E47C5D"/>
    <w:rsid w:val="00E47EBA"/>
    <w:rsid w:val="00E50156"/>
    <w:rsid w:val="00E504EB"/>
    <w:rsid w:val="00E5076C"/>
    <w:rsid w:val="00E50D2E"/>
    <w:rsid w:val="00E50D7D"/>
    <w:rsid w:val="00E51DE0"/>
    <w:rsid w:val="00E51EF0"/>
    <w:rsid w:val="00E529B1"/>
    <w:rsid w:val="00E53470"/>
    <w:rsid w:val="00E5368D"/>
    <w:rsid w:val="00E539F6"/>
    <w:rsid w:val="00E53B5B"/>
    <w:rsid w:val="00E54698"/>
    <w:rsid w:val="00E54BE9"/>
    <w:rsid w:val="00E54D22"/>
    <w:rsid w:val="00E54FB4"/>
    <w:rsid w:val="00E5539A"/>
    <w:rsid w:val="00E55791"/>
    <w:rsid w:val="00E55E1A"/>
    <w:rsid w:val="00E56BA4"/>
    <w:rsid w:val="00E578A2"/>
    <w:rsid w:val="00E579ED"/>
    <w:rsid w:val="00E60043"/>
    <w:rsid w:val="00E61740"/>
    <w:rsid w:val="00E61CD0"/>
    <w:rsid w:val="00E61EB5"/>
    <w:rsid w:val="00E6324D"/>
    <w:rsid w:val="00E63BAE"/>
    <w:rsid w:val="00E6423D"/>
    <w:rsid w:val="00E647C1"/>
    <w:rsid w:val="00E64CDB"/>
    <w:rsid w:val="00E65084"/>
    <w:rsid w:val="00E6519D"/>
    <w:rsid w:val="00E66062"/>
    <w:rsid w:val="00E660B1"/>
    <w:rsid w:val="00E6660E"/>
    <w:rsid w:val="00E66768"/>
    <w:rsid w:val="00E67305"/>
    <w:rsid w:val="00E67696"/>
    <w:rsid w:val="00E677DB"/>
    <w:rsid w:val="00E67A58"/>
    <w:rsid w:val="00E709AF"/>
    <w:rsid w:val="00E70B51"/>
    <w:rsid w:val="00E70C5F"/>
    <w:rsid w:val="00E70C94"/>
    <w:rsid w:val="00E71A58"/>
    <w:rsid w:val="00E7263B"/>
    <w:rsid w:val="00E728D7"/>
    <w:rsid w:val="00E72A26"/>
    <w:rsid w:val="00E72A7A"/>
    <w:rsid w:val="00E730ED"/>
    <w:rsid w:val="00E7335A"/>
    <w:rsid w:val="00E73986"/>
    <w:rsid w:val="00E73BA7"/>
    <w:rsid w:val="00E7467D"/>
    <w:rsid w:val="00E747DC"/>
    <w:rsid w:val="00E749D9"/>
    <w:rsid w:val="00E74A2D"/>
    <w:rsid w:val="00E75C94"/>
    <w:rsid w:val="00E76A08"/>
    <w:rsid w:val="00E76B9B"/>
    <w:rsid w:val="00E76E61"/>
    <w:rsid w:val="00E76EE4"/>
    <w:rsid w:val="00E77CC0"/>
    <w:rsid w:val="00E80393"/>
    <w:rsid w:val="00E80735"/>
    <w:rsid w:val="00E80B3D"/>
    <w:rsid w:val="00E80CA3"/>
    <w:rsid w:val="00E81AAA"/>
    <w:rsid w:val="00E821ED"/>
    <w:rsid w:val="00E82473"/>
    <w:rsid w:val="00E82618"/>
    <w:rsid w:val="00E82A42"/>
    <w:rsid w:val="00E82AB6"/>
    <w:rsid w:val="00E82D9B"/>
    <w:rsid w:val="00E83881"/>
    <w:rsid w:val="00E84295"/>
    <w:rsid w:val="00E8431C"/>
    <w:rsid w:val="00E84E09"/>
    <w:rsid w:val="00E864A9"/>
    <w:rsid w:val="00E8755C"/>
    <w:rsid w:val="00E87CE2"/>
    <w:rsid w:val="00E87D5B"/>
    <w:rsid w:val="00E90CA8"/>
    <w:rsid w:val="00E911C6"/>
    <w:rsid w:val="00E9180C"/>
    <w:rsid w:val="00E920DE"/>
    <w:rsid w:val="00E929F7"/>
    <w:rsid w:val="00E930A1"/>
    <w:rsid w:val="00E93820"/>
    <w:rsid w:val="00E93FD5"/>
    <w:rsid w:val="00E94A86"/>
    <w:rsid w:val="00E94D29"/>
    <w:rsid w:val="00E950EC"/>
    <w:rsid w:val="00E951AB"/>
    <w:rsid w:val="00E953F6"/>
    <w:rsid w:val="00E95AD1"/>
    <w:rsid w:val="00E96143"/>
    <w:rsid w:val="00E96833"/>
    <w:rsid w:val="00E973A5"/>
    <w:rsid w:val="00E97506"/>
    <w:rsid w:val="00E97BB5"/>
    <w:rsid w:val="00E97D5B"/>
    <w:rsid w:val="00E97F14"/>
    <w:rsid w:val="00EA0B1A"/>
    <w:rsid w:val="00EA0C68"/>
    <w:rsid w:val="00EA0E39"/>
    <w:rsid w:val="00EA1C07"/>
    <w:rsid w:val="00EA1D0E"/>
    <w:rsid w:val="00EA1EBB"/>
    <w:rsid w:val="00EA2072"/>
    <w:rsid w:val="00EA2275"/>
    <w:rsid w:val="00EA242A"/>
    <w:rsid w:val="00EA2841"/>
    <w:rsid w:val="00EA32BC"/>
    <w:rsid w:val="00EA35A7"/>
    <w:rsid w:val="00EA3B32"/>
    <w:rsid w:val="00EA3CEB"/>
    <w:rsid w:val="00EA3D05"/>
    <w:rsid w:val="00EA4222"/>
    <w:rsid w:val="00EA4402"/>
    <w:rsid w:val="00EA4B8D"/>
    <w:rsid w:val="00EA513E"/>
    <w:rsid w:val="00EA5892"/>
    <w:rsid w:val="00EA5895"/>
    <w:rsid w:val="00EA7419"/>
    <w:rsid w:val="00EA74B6"/>
    <w:rsid w:val="00EA7B22"/>
    <w:rsid w:val="00EA7E4F"/>
    <w:rsid w:val="00EB0E32"/>
    <w:rsid w:val="00EB13FC"/>
    <w:rsid w:val="00EB1C78"/>
    <w:rsid w:val="00EB1CDC"/>
    <w:rsid w:val="00EB1D89"/>
    <w:rsid w:val="00EB3137"/>
    <w:rsid w:val="00EB3E60"/>
    <w:rsid w:val="00EB4511"/>
    <w:rsid w:val="00EB48D7"/>
    <w:rsid w:val="00EB49F1"/>
    <w:rsid w:val="00EB4A8E"/>
    <w:rsid w:val="00EB4BC5"/>
    <w:rsid w:val="00EB5BF7"/>
    <w:rsid w:val="00EB5E79"/>
    <w:rsid w:val="00EB62E0"/>
    <w:rsid w:val="00EB6473"/>
    <w:rsid w:val="00EB6B48"/>
    <w:rsid w:val="00EB6DA6"/>
    <w:rsid w:val="00EB6FAC"/>
    <w:rsid w:val="00EB7749"/>
    <w:rsid w:val="00EB7BAC"/>
    <w:rsid w:val="00EB7CC9"/>
    <w:rsid w:val="00EB7D07"/>
    <w:rsid w:val="00EC03D7"/>
    <w:rsid w:val="00EC05F2"/>
    <w:rsid w:val="00EC13A7"/>
    <w:rsid w:val="00EC181D"/>
    <w:rsid w:val="00EC189D"/>
    <w:rsid w:val="00EC1C50"/>
    <w:rsid w:val="00EC2EB6"/>
    <w:rsid w:val="00EC37E0"/>
    <w:rsid w:val="00EC4FFF"/>
    <w:rsid w:val="00EC5517"/>
    <w:rsid w:val="00EC5A1E"/>
    <w:rsid w:val="00EC5B0A"/>
    <w:rsid w:val="00EC6E8C"/>
    <w:rsid w:val="00EC73EF"/>
    <w:rsid w:val="00EC7BAA"/>
    <w:rsid w:val="00ED0962"/>
    <w:rsid w:val="00ED0B84"/>
    <w:rsid w:val="00ED0ED8"/>
    <w:rsid w:val="00ED0EF0"/>
    <w:rsid w:val="00ED0F73"/>
    <w:rsid w:val="00ED12B9"/>
    <w:rsid w:val="00ED16B8"/>
    <w:rsid w:val="00ED1959"/>
    <w:rsid w:val="00ED1A00"/>
    <w:rsid w:val="00ED1DF0"/>
    <w:rsid w:val="00ED2386"/>
    <w:rsid w:val="00ED2525"/>
    <w:rsid w:val="00ED2C87"/>
    <w:rsid w:val="00ED2E2F"/>
    <w:rsid w:val="00ED2EA1"/>
    <w:rsid w:val="00ED3851"/>
    <w:rsid w:val="00ED3B10"/>
    <w:rsid w:val="00ED3E51"/>
    <w:rsid w:val="00ED3F10"/>
    <w:rsid w:val="00ED3F9B"/>
    <w:rsid w:val="00ED3FB3"/>
    <w:rsid w:val="00ED4D04"/>
    <w:rsid w:val="00ED566D"/>
    <w:rsid w:val="00ED5907"/>
    <w:rsid w:val="00ED5F5B"/>
    <w:rsid w:val="00ED602C"/>
    <w:rsid w:val="00ED62C6"/>
    <w:rsid w:val="00ED64C1"/>
    <w:rsid w:val="00ED6559"/>
    <w:rsid w:val="00ED6A2D"/>
    <w:rsid w:val="00ED6DC9"/>
    <w:rsid w:val="00ED781F"/>
    <w:rsid w:val="00EE0E7E"/>
    <w:rsid w:val="00EE106A"/>
    <w:rsid w:val="00EE1291"/>
    <w:rsid w:val="00EE249F"/>
    <w:rsid w:val="00EE291D"/>
    <w:rsid w:val="00EE2EB4"/>
    <w:rsid w:val="00EE32FA"/>
    <w:rsid w:val="00EE3446"/>
    <w:rsid w:val="00EE3E78"/>
    <w:rsid w:val="00EE41FD"/>
    <w:rsid w:val="00EE460E"/>
    <w:rsid w:val="00EE4B1B"/>
    <w:rsid w:val="00EE5D5C"/>
    <w:rsid w:val="00EE5FBA"/>
    <w:rsid w:val="00EE601C"/>
    <w:rsid w:val="00EE6A09"/>
    <w:rsid w:val="00EE6E06"/>
    <w:rsid w:val="00EE7179"/>
    <w:rsid w:val="00EE7570"/>
    <w:rsid w:val="00EF041F"/>
    <w:rsid w:val="00EF068B"/>
    <w:rsid w:val="00EF0B04"/>
    <w:rsid w:val="00EF0D90"/>
    <w:rsid w:val="00EF1067"/>
    <w:rsid w:val="00EF150D"/>
    <w:rsid w:val="00EF179E"/>
    <w:rsid w:val="00EF1967"/>
    <w:rsid w:val="00EF1F5A"/>
    <w:rsid w:val="00EF23B5"/>
    <w:rsid w:val="00EF326A"/>
    <w:rsid w:val="00EF3898"/>
    <w:rsid w:val="00EF40C5"/>
    <w:rsid w:val="00EF433F"/>
    <w:rsid w:val="00EF47BF"/>
    <w:rsid w:val="00EF52F7"/>
    <w:rsid w:val="00EF54CF"/>
    <w:rsid w:val="00EF59B1"/>
    <w:rsid w:val="00EF5A13"/>
    <w:rsid w:val="00EF5E81"/>
    <w:rsid w:val="00EF5FF9"/>
    <w:rsid w:val="00EF77D4"/>
    <w:rsid w:val="00EF7CC7"/>
    <w:rsid w:val="00EF7FFC"/>
    <w:rsid w:val="00F00535"/>
    <w:rsid w:val="00F00853"/>
    <w:rsid w:val="00F00866"/>
    <w:rsid w:val="00F00EC8"/>
    <w:rsid w:val="00F013DB"/>
    <w:rsid w:val="00F0160B"/>
    <w:rsid w:val="00F0193E"/>
    <w:rsid w:val="00F01EA8"/>
    <w:rsid w:val="00F036B0"/>
    <w:rsid w:val="00F03E2F"/>
    <w:rsid w:val="00F03F50"/>
    <w:rsid w:val="00F03F8D"/>
    <w:rsid w:val="00F0408A"/>
    <w:rsid w:val="00F04811"/>
    <w:rsid w:val="00F0488C"/>
    <w:rsid w:val="00F04955"/>
    <w:rsid w:val="00F04E85"/>
    <w:rsid w:val="00F052CC"/>
    <w:rsid w:val="00F052D2"/>
    <w:rsid w:val="00F0566C"/>
    <w:rsid w:val="00F06002"/>
    <w:rsid w:val="00F067B8"/>
    <w:rsid w:val="00F0730A"/>
    <w:rsid w:val="00F073ED"/>
    <w:rsid w:val="00F07C4C"/>
    <w:rsid w:val="00F07E45"/>
    <w:rsid w:val="00F10F11"/>
    <w:rsid w:val="00F11159"/>
    <w:rsid w:val="00F1152E"/>
    <w:rsid w:val="00F115E4"/>
    <w:rsid w:val="00F11AC4"/>
    <w:rsid w:val="00F11FDC"/>
    <w:rsid w:val="00F120A5"/>
    <w:rsid w:val="00F1243F"/>
    <w:rsid w:val="00F12CFB"/>
    <w:rsid w:val="00F13E60"/>
    <w:rsid w:val="00F13FDB"/>
    <w:rsid w:val="00F14AC8"/>
    <w:rsid w:val="00F157DD"/>
    <w:rsid w:val="00F15AAA"/>
    <w:rsid w:val="00F15BEF"/>
    <w:rsid w:val="00F1770C"/>
    <w:rsid w:val="00F17898"/>
    <w:rsid w:val="00F204BF"/>
    <w:rsid w:val="00F207C2"/>
    <w:rsid w:val="00F211FC"/>
    <w:rsid w:val="00F21337"/>
    <w:rsid w:val="00F219A1"/>
    <w:rsid w:val="00F2232C"/>
    <w:rsid w:val="00F2334D"/>
    <w:rsid w:val="00F2338A"/>
    <w:rsid w:val="00F23927"/>
    <w:rsid w:val="00F23E20"/>
    <w:rsid w:val="00F24407"/>
    <w:rsid w:val="00F249CE"/>
    <w:rsid w:val="00F24FAA"/>
    <w:rsid w:val="00F25040"/>
    <w:rsid w:val="00F269D7"/>
    <w:rsid w:val="00F26B48"/>
    <w:rsid w:val="00F26FB5"/>
    <w:rsid w:val="00F27071"/>
    <w:rsid w:val="00F27331"/>
    <w:rsid w:val="00F276D3"/>
    <w:rsid w:val="00F27E47"/>
    <w:rsid w:val="00F27E57"/>
    <w:rsid w:val="00F27EE5"/>
    <w:rsid w:val="00F27FB1"/>
    <w:rsid w:val="00F27FD6"/>
    <w:rsid w:val="00F307CB"/>
    <w:rsid w:val="00F307D7"/>
    <w:rsid w:val="00F30C0C"/>
    <w:rsid w:val="00F30C65"/>
    <w:rsid w:val="00F31475"/>
    <w:rsid w:val="00F321D2"/>
    <w:rsid w:val="00F32649"/>
    <w:rsid w:val="00F3288B"/>
    <w:rsid w:val="00F32921"/>
    <w:rsid w:val="00F33523"/>
    <w:rsid w:val="00F3364D"/>
    <w:rsid w:val="00F33914"/>
    <w:rsid w:val="00F349BF"/>
    <w:rsid w:val="00F34AAD"/>
    <w:rsid w:val="00F34DDC"/>
    <w:rsid w:val="00F350EC"/>
    <w:rsid w:val="00F35EE5"/>
    <w:rsid w:val="00F36191"/>
    <w:rsid w:val="00F3629F"/>
    <w:rsid w:val="00F36DBB"/>
    <w:rsid w:val="00F36DF3"/>
    <w:rsid w:val="00F36E9A"/>
    <w:rsid w:val="00F37362"/>
    <w:rsid w:val="00F37638"/>
    <w:rsid w:val="00F37EDC"/>
    <w:rsid w:val="00F41B52"/>
    <w:rsid w:val="00F422EF"/>
    <w:rsid w:val="00F42F1C"/>
    <w:rsid w:val="00F437CC"/>
    <w:rsid w:val="00F442E7"/>
    <w:rsid w:val="00F44537"/>
    <w:rsid w:val="00F44943"/>
    <w:rsid w:val="00F450B7"/>
    <w:rsid w:val="00F4544B"/>
    <w:rsid w:val="00F46185"/>
    <w:rsid w:val="00F46423"/>
    <w:rsid w:val="00F4696A"/>
    <w:rsid w:val="00F47067"/>
    <w:rsid w:val="00F47234"/>
    <w:rsid w:val="00F4729B"/>
    <w:rsid w:val="00F51ADD"/>
    <w:rsid w:val="00F525AB"/>
    <w:rsid w:val="00F525EB"/>
    <w:rsid w:val="00F52CB5"/>
    <w:rsid w:val="00F53378"/>
    <w:rsid w:val="00F53721"/>
    <w:rsid w:val="00F537D9"/>
    <w:rsid w:val="00F53917"/>
    <w:rsid w:val="00F539B0"/>
    <w:rsid w:val="00F53A68"/>
    <w:rsid w:val="00F5402A"/>
    <w:rsid w:val="00F544A4"/>
    <w:rsid w:val="00F54934"/>
    <w:rsid w:val="00F550DA"/>
    <w:rsid w:val="00F55A92"/>
    <w:rsid w:val="00F5615B"/>
    <w:rsid w:val="00F564D1"/>
    <w:rsid w:val="00F5661A"/>
    <w:rsid w:val="00F56D87"/>
    <w:rsid w:val="00F56FFB"/>
    <w:rsid w:val="00F575D3"/>
    <w:rsid w:val="00F577D1"/>
    <w:rsid w:val="00F57983"/>
    <w:rsid w:val="00F57A76"/>
    <w:rsid w:val="00F57D57"/>
    <w:rsid w:val="00F61288"/>
    <w:rsid w:val="00F6178B"/>
    <w:rsid w:val="00F627E5"/>
    <w:rsid w:val="00F62BFF"/>
    <w:rsid w:val="00F62CCE"/>
    <w:rsid w:val="00F63092"/>
    <w:rsid w:val="00F632ED"/>
    <w:rsid w:val="00F63AAE"/>
    <w:rsid w:val="00F63DDE"/>
    <w:rsid w:val="00F63FB7"/>
    <w:rsid w:val="00F6421B"/>
    <w:rsid w:val="00F647F1"/>
    <w:rsid w:val="00F649D2"/>
    <w:rsid w:val="00F64B8F"/>
    <w:rsid w:val="00F64D5A"/>
    <w:rsid w:val="00F6556B"/>
    <w:rsid w:val="00F6602B"/>
    <w:rsid w:val="00F663B7"/>
    <w:rsid w:val="00F6799D"/>
    <w:rsid w:val="00F679DA"/>
    <w:rsid w:val="00F71047"/>
    <w:rsid w:val="00F7150B"/>
    <w:rsid w:val="00F717E4"/>
    <w:rsid w:val="00F71A42"/>
    <w:rsid w:val="00F71A9A"/>
    <w:rsid w:val="00F71DE6"/>
    <w:rsid w:val="00F72D71"/>
    <w:rsid w:val="00F7381C"/>
    <w:rsid w:val="00F73A0C"/>
    <w:rsid w:val="00F752DC"/>
    <w:rsid w:val="00F7549F"/>
    <w:rsid w:val="00F756DB"/>
    <w:rsid w:val="00F766BE"/>
    <w:rsid w:val="00F767A8"/>
    <w:rsid w:val="00F76F3A"/>
    <w:rsid w:val="00F770F5"/>
    <w:rsid w:val="00F77590"/>
    <w:rsid w:val="00F77A50"/>
    <w:rsid w:val="00F81DE1"/>
    <w:rsid w:val="00F82D02"/>
    <w:rsid w:val="00F82D14"/>
    <w:rsid w:val="00F840A3"/>
    <w:rsid w:val="00F84BBE"/>
    <w:rsid w:val="00F84E7D"/>
    <w:rsid w:val="00F85066"/>
    <w:rsid w:val="00F85894"/>
    <w:rsid w:val="00F874F8"/>
    <w:rsid w:val="00F87A4D"/>
    <w:rsid w:val="00F87ACD"/>
    <w:rsid w:val="00F90C4F"/>
    <w:rsid w:val="00F90D5C"/>
    <w:rsid w:val="00F90EEB"/>
    <w:rsid w:val="00F9135C"/>
    <w:rsid w:val="00F91B66"/>
    <w:rsid w:val="00F91C9B"/>
    <w:rsid w:val="00F9236F"/>
    <w:rsid w:val="00F9354A"/>
    <w:rsid w:val="00F93688"/>
    <w:rsid w:val="00F939F3"/>
    <w:rsid w:val="00F93C6E"/>
    <w:rsid w:val="00F93F2C"/>
    <w:rsid w:val="00F93FFB"/>
    <w:rsid w:val="00F94437"/>
    <w:rsid w:val="00F947E9"/>
    <w:rsid w:val="00F94E7B"/>
    <w:rsid w:val="00F95408"/>
    <w:rsid w:val="00F962AD"/>
    <w:rsid w:val="00F9644E"/>
    <w:rsid w:val="00F9745B"/>
    <w:rsid w:val="00F978D1"/>
    <w:rsid w:val="00FA0105"/>
    <w:rsid w:val="00FA05A0"/>
    <w:rsid w:val="00FA0AEF"/>
    <w:rsid w:val="00FA101C"/>
    <w:rsid w:val="00FA17CC"/>
    <w:rsid w:val="00FA1CFE"/>
    <w:rsid w:val="00FA1EE7"/>
    <w:rsid w:val="00FA1F01"/>
    <w:rsid w:val="00FA26DF"/>
    <w:rsid w:val="00FA2C07"/>
    <w:rsid w:val="00FA2FEC"/>
    <w:rsid w:val="00FA32BC"/>
    <w:rsid w:val="00FA3AE5"/>
    <w:rsid w:val="00FA3FA8"/>
    <w:rsid w:val="00FA4059"/>
    <w:rsid w:val="00FA4574"/>
    <w:rsid w:val="00FA48A4"/>
    <w:rsid w:val="00FA4CB7"/>
    <w:rsid w:val="00FA5112"/>
    <w:rsid w:val="00FA5526"/>
    <w:rsid w:val="00FA5D4D"/>
    <w:rsid w:val="00FA6CB6"/>
    <w:rsid w:val="00FA70D3"/>
    <w:rsid w:val="00FA71B2"/>
    <w:rsid w:val="00FA7999"/>
    <w:rsid w:val="00FA7AEC"/>
    <w:rsid w:val="00FA7BCA"/>
    <w:rsid w:val="00FB0AEA"/>
    <w:rsid w:val="00FB0EE2"/>
    <w:rsid w:val="00FB1408"/>
    <w:rsid w:val="00FB1469"/>
    <w:rsid w:val="00FB1A79"/>
    <w:rsid w:val="00FB1BA4"/>
    <w:rsid w:val="00FB208B"/>
    <w:rsid w:val="00FB2A1A"/>
    <w:rsid w:val="00FB2B2D"/>
    <w:rsid w:val="00FB4A8C"/>
    <w:rsid w:val="00FB4B0D"/>
    <w:rsid w:val="00FB542E"/>
    <w:rsid w:val="00FB5580"/>
    <w:rsid w:val="00FB564F"/>
    <w:rsid w:val="00FB5D36"/>
    <w:rsid w:val="00FB668E"/>
    <w:rsid w:val="00FB68E7"/>
    <w:rsid w:val="00FB6B4D"/>
    <w:rsid w:val="00FB7DBB"/>
    <w:rsid w:val="00FC05F8"/>
    <w:rsid w:val="00FC077B"/>
    <w:rsid w:val="00FC0E5F"/>
    <w:rsid w:val="00FC1070"/>
    <w:rsid w:val="00FC1266"/>
    <w:rsid w:val="00FC1A95"/>
    <w:rsid w:val="00FC1BFA"/>
    <w:rsid w:val="00FC1ED4"/>
    <w:rsid w:val="00FC2374"/>
    <w:rsid w:val="00FC283B"/>
    <w:rsid w:val="00FC3123"/>
    <w:rsid w:val="00FC3BEC"/>
    <w:rsid w:val="00FC42C5"/>
    <w:rsid w:val="00FC440B"/>
    <w:rsid w:val="00FC4F31"/>
    <w:rsid w:val="00FC56DE"/>
    <w:rsid w:val="00FC5F81"/>
    <w:rsid w:val="00FC60A5"/>
    <w:rsid w:val="00FC63D9"/>
    <w:rsid w:val="00FC64DE"/>
    <w:rsid w:val="00FC6785"/>
    <w:rsid w:val="00FC684B"/>
    <w:rsid w:val="00FC6D6A"/>
    <w:rsid w:val="00FC6DDC"/>
    <w:rsid w:val="00FC770C"/>
    <w:rsid w:val="00FC7945"/>
    <w:rsid w:val="00FC7D98"/>
    <w:rsid w:val="00FD1135"/>
    <w:rsid w:val="00FD2A9F"/>
    <w:rsid w:val="00FD3265"/>
    <w:rsid w:val="00FD3CF7"/>
    <w:rsid w:val="00FD40CC"/>
    <w:rsid w:val="00FD4124"/>
    <w:rsid w:val="00FD4372"/>
    <w:rsid w:val="00FD4916"/>
    <w:rsid w:val="00FD4C86"/>
    <w:rsid w:val="00FD4D12"/>
    <w:rsid w:val="00FD4F73"/>
    <w:rsid w:val="00FD5056"/>
    <w:rsid w:val="00FD595E"/>
    <w:rsid w:val="00FD5E19"/>
    <w:rsid w:val="00FD6667"/>
    <w:rsid w:val="00FD6D33"/>
    <w:rsid w:val="00FD7802"/>
    <w:rsid w:val="00FD78C3"/>
    <w:rsid w:val="00FD7D3B"/>
    <w:rsid w:val="00FD7FBE"/>
    <w:rsid w:val="00FE0712"/>
    <w:rsid w:val="00FE0C26"/>
    <w:rsid w:val="00FE0FF0"/>
    <w:rsid w:val="00FE18A8"/>
    <w:rsid w:val="00FE1DA9"/>
    <w:rsid w:val="00FE2357"/>
    <w:rsid w:val="00FE27C7"/>
    <w:rsid w:val="00FE2C7E"/>
    <w:rsid w:val="00FE2F78"/>
    <w:rsid w:val="00FE3137"/>
    <w:rsid w:val="00FE346B"/>
    <w:rsid w:val="00FE346F"/>
    <w:rsid w:val="00FE3A8C"/>
    <w:rsid w:val="00FE431E"/>
    <w:rsid w:val="00FE460E"/>
    <w:rsid w:val="00FE4879"/>
    <w:rsid w:val="00FE48E4"/>
    <w:rsid w:val="00FE4E8C"/>
    <w:rsid w:val="00FE4EBA"/>
    <w:rsid w:val="00FE5466"/>
    <w:rsid w:val="00FE634C"/>
    <w:rsid w:val="00FE635F"/>
    <w:rsid w:val="00FE6E69"/>
    <w:rsid w:val="00FE6F59"/>
    <w:rsid w:val="00FE7A6A"/>
    <w:rsid w:val="00FF01B6"/>
    <w:rsid w:val="00FF0942"/>
    <w:rsid w:val="00FF0989"/>
    <w:rsid w:val="00FF0F79"/>
    <w:rsid w:val="00FF0FB0"/>
    <w:rsid w:val="00FF1136"/>
    <w:rsid w:val="00FF1814"/>
    <w:rsid w:val="00FF27E2"/>
    <w:rsid w:val="00FF2C97"/>
    <w:rsid w:val="00FF3D76"/>
    <w:rsid w:val="00FF4667"/>
    <w:rsid w:val="00FF5053"/>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link w:val="OdstavecseseznamemChar"/>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 w:type="character" w:customStyle="1" w:styleId="OdstavecseseznamemChar">
    <w:name w:val="Odstavec se seznamem Char"/>
    <w:basedOn w:val="Standardnpsmoodstavce"/>
    <w:link w:val="Odstavecseseznamem"/>
    <w:uiPriority w:val="34"/>
    <w:rsid w:val="00A51A9B"/>
    <w:rPr>
      <w:rFonts w:ascii="Arial" w:eastAsia="Times New Roman" w:hAnsi="Arial"/>
      <w:szCs w:val="24"/>
      <w:lang w:eastAsia="cs-CZ"/>
    </w:rPr>
  </w:style>
  <w:style w:type="character" w:styleId="Sledovanodkaz">
    <w:name w:val="FollowedHyperlink"/>
    <w:basedOn w:val="Standardnpsmoodstavce"/>
    <w:uiPriority w:val="99"/>
    <w:semiHidden/>
    <w:unhideWhenUsed/>
    <w:rsid w:val="006D1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6517156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651344">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methodological-note-to-consumer-price-index-imputed-renta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eng/Makroanal&#253;za%20grafy_eng.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czsocz-my.sharepoint.com/personal/karolina_zabojnikova_czso_cz/Documents/Dokumenty/Anal&#253;za/Q/2023Q4/eng/Makroanal&#253;za%20grafy_e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49577845322527E-2"/>
          <c:y val="2.1811335019919161E-2"/>
          <c:w val="0.92237743255066085"/>
          <c:h val="0.73318107621299466"/>
        </c:manualLayout>
      </c:layout>
      <c:barChart>
        <c:barDir val="col"/>
        <c:grouping val="clustered"/>
        <c:varyColors val="0"/>
        <c:ser>
          <c:idx val="0"/>
          <c:order val="0"/>
          <c:tx>
            <c:strRef>
              <c:f>'Ceny 2'!$C$5</c:f>
              <c:strCache>
                <c:ptCount val="1"/>
                <c:pt idx="0">
                  <c:v>Total</c:v>
                </c:pt>
              </c:strCache>
            </c:strRef>
          </c:tx>
          <c:spPr>
            <a:solidFill>
              <a:schemeClr val="bg1">
                <a:lumMod val="65000"/>
              </a:schemeClr>
            </a:solidFill>
            <a:ln w="19050">
              <a:noFill/>
            </a:ln>
          </c:spPr>
          <c:invertIfNegative val="0"/>
          <c:cat>
            <c:multiLvlStrRef>
              <c:f>'Ceny 2'!$A$6:$B$29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2'!$C$6:$C$29</c:f>
              <c:numCache>
                <c:formatCode>0.0</c:formatCode>
                <c:ptCount val="24"/>
                <c:pt idx="0">
                  <c:v>1.9</c:v>
                </c:pt>
                <c:pt idx="1">
                  <c:v>2.2999999999999998</c:v>
                </c:pt>
                <c:pt idx="2">
                  <c:v>2.4</c:v>
                </c:pt>
                <c:pt idx="3">
                  <c:v>2.1</c:v>
                </c:pt>
                <c:pt idx="4">
                  <c:v>2.7</c:v>
                </c:pt>
                <c:pt idx="5">
                  <c:v>2.8</c:v>
                </c:pt>
                <c:pt idx="6">
                  <c:v>2.8</c:v>
                </c:pt>
                <c:pt idx="7">
                  <c:v>3</c:v>
                </c:pt>
                <c:pt idx="8">
                  <c:v>3.6</c:v>
                </c:pt>
                <c:pt idx="9">
                  <c:v>3.1</c:v>
                </c:pt>
                <c:pt idx="10">
                  <c:v>3.3</c:v>
                </c:pt>
                <c:pt idx="11">
                  <c:v>2.6</c:v>
                </c:pt>
                <c:pt idx="12">
                  <c:v>2.2000000000000002</c:v>
                </c:pt>
                <c:pt idx="13">
                  <c:v>2.9</c:v>
                </c:pt>
                <c:pt idx="14">
                  <c:v>4.0999999999999996</c:v>
                </c:pt>
                <c:pt idx="15">
                  <c:v>6.1</c:v>
                </c:pt>
                <c:pt idx="16">
                  <c:v>11.2</c:v>
                </c:pt>
                <c:pt idx="17">
                  <c:v>15.8</c:v>
                </c:pt>
                <c:pt idx="18">
                  <c:v>17.600000000000001</c:v>
                </c:pt>
                <c:pt idx="19">
                  <c:v>15.7</c:v>
                </c:pt>
                <c:pt idx="20">
                  <c:v>16.399999999999999</c:v>
                </c:pt>
                <c:pt idx="21">
                  <c:v>11.1</c:v>
                </c:pt>
                <c:pt idx="22">
                  <c:v>8</c:v>
                </c:pt>
                <c:pt idx="23">
                  <c:v>7.6</c:v>
                </c:pt>
              </c:numCache>
            </c:numRef>
          </c:val>
          <c:extLst>
            <c:ext xmlns:c16="http://schemas.microsoft.com/office/drawing/2014/chart" uri="{C3380CC4-5D6E-409C-BE32-E72D297353CC}">
              <c16:uniqueId val="{00000000-E269-408C-AD6E-FA2000AC9DBF}"/>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'Ceny 2'!$D$5</c:f>
              <c:strCache>
                <c:ptCount val="1"/>
                <c:pt idx="0">
                  <c:v>Food</c:v>
                </c:pt>
              </c:strCache>
            </c:strRef>
          </c:tx>
          <c:spPr>
            <a:ln w="19050">
              <a:solidFill>
                <a:srgbClr val="0071BC"/>
              </a:solidFill>
            </a:ln>
          </c:spPr>
          <c:marker>
            <c:symbol val="none"/>
          </c:marker>
          <c:cat>
            <c:multiLvlStrRef>
              <c:f>'Ceny 2'!$A$6:$B$29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2'!$D$6:$D$29</c:f>
              <c:numCache>
                <c:formatCode>#\ ##0.0_ ;\-#\ ##0.0\ </c:formatCode>
                <c:ptCount val="24"/>
                <c:pt idx="0" formatCode="0.0">
                  <c:v>2.9</c:v>
                </c:pt>
                <c:pt idx="1">
                  <c:v>2.2999999999999998</c:v>
                </c:pt>
                <c:pt idx="2" formatCode="0.0">
                  <c:v>0.6</c:v>
                </c:pt>
                <c:pt idx="3" formatCode="0.0">
                  <c:v>-0.5</c:v>
                </c:pt>
                <c:pt idx="4" formatCode="0.0">
                  <c:v>1</c:v>
                </c:pt>
                <c:pt idx="5" formatCode="0.0">
                  <c:v>2.5</c:v>
                </c:pt>
                <c:pt idx="6" formatCode="0.0">
                  <c:v>3.5</c:v>
                </c:pt>
                <c:pt idx="7" formatCode="0.0">
                  <c:v>4.3</c:v>
                </c:pt>
                <c:pt idx="8" formatCode="0.0">
                  <c:v>6.1</c:v>
                </c:pt>
                <c:pt idx="9" formatCode="0.0">
                  <c:v>6.5</c:v>
                </c:pt>
                <c:pt idx="10" formatCode="0.0">
                  <c:v>4</c:v>
                </c:pt>
                <c:pt idx="11" formatCode="0.0">
                  <c:v>1.7</c:v>
                </c:pt>
                <c:pt idx="12" formatCode="0.0">
                  <c:v>0.3</c:v>
                </c:pt>
                <c:pt idx="13" formatCode="0.0">
                  <c:v>-0.8</c:v>
                </c:pt>
                <c:pt idx="14" formatCode="0.0">
                  <c:v>1.4</c:v>
                </c:pt>
                <c:pt idx="15" formatCode="0.0">
                  <c:v>2.2999999999999998</c:v>
                </c:pt>
                <c:pt idx="16" formatCode="0.0">
                  <c:v>6.7</c:v>
                </c:pt>
                <c:pt idx="17" formatCode="0.0">
                  <c:v>14.6</c:v>
                </c:pt>
                <c:pt idx="18" formatCode="0.0">
                  <c:v>20</c:v>
                </c:pt>
                <c:pt idx="19" formatCode="0.0">
                  <c:v>25.5</c:v>
                </c:pt>
                <c:pt idx="20" formatCode="0.0">
                  <c:v>24.1</c:v>
                </c:pt>
                <c:pt idx="21" formatCode="0.0">
                  <c:v>14.6</c:v>
                </c:pt>
                <c:pt idx="22" formatCode="0.0">
                  <c:v>7.8</c:v>
                </c:pt>
                <c:pt idx="23" formatCode="0.0">
                  <c:v>1.6</c:v>
                </c:pt>
              </c:numCache>
            </c:numRef>
          </c:val>
          <c:smooth val="0"/>
          <c:extLst>
            <c:ext xmlns:c16="http://schemas.microsoft.com/office/drawing/2014/chart" uri="{C3380CC4-5D6E-409C-BE32-E72D297353CC}">
              <c16:uniqueId val="{00000001-E269-408C-AD6E-FA2000AC9DBF}"/>
            </c:ext>
          </c:extLst>
        </c:ser>
        <c:ser>
          <c:idx val="3"/>
          <c:order val="2"/>
          <c:tx>
            <c:strRef>
              <c:f>'Ceny 2'!$F$5</c:f>
              <c:strCache>
                <c:ptCount val="1"/>
                <c:pt idx="0">
                  <c:v>Housing and energy</c:v>
                </c:pt>
              </c:strCache>
            </c:strRef>
          </c:tx>
          <c:spPr>
            <a:ln w="19050">
              <a:solidFill>
                <a:srgbClr val="7DBB2D"/>
              </a:solidFill>
            </a:ln>
          </c:spPr>
          <c:marker>
            <c:symbol val="none"/>
          </c:marker>
          <c:cat>
            <c:multiLvlStrRef>
              <c:f>'Ceny 2'!$A$6:$B$29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2'!$F$6:$F$29</c:f>
              <c:numCache>
                <c:formatCode>0.0</c:formatCode>
                <c:ptCount val="24"/>
                <c:pt idx="0">
                  <c:v>2.2999999999999998</c:v>
                </c:pt>
                <c:pt idx="1">
                  <c:v>2.6</c:v>
                </c:pt>
                <c:pt idx="2">
                  <c:v>3.2</c:v>
                </c:pt>
                <c:pt idx="3">
                  <c:v>3.8</c:v>
                </c:pt>
                <c:pt idx="4">
                  <c:v>5.4</c:v>
                </c:pt>
                <c:pt idx="5">
                  <c:v>5.7</c:v>
                </c:pt>
                <c:pt idx="6">
                  <c:v>5.2</c:v>
                </c:pt>
                <c:pt idx="7">
                  <c:v>5</c:v>
                </c:pt>
                <c:pt idx="8">
                  <c:v>4.2</c:v>
                </c:pt>
                <c:pt idx="9">
                  <c:v>3.2</c:v>
                </c:pt>
                <c:pt idx="10">
                  <c:v>2.7</c:v>
                </c:pt>
                <c:pt idx="11">
                  <c:v>1.4</c:v>
                </c:pt>
                <c:pt idx="12">
                  <c:v>0.6</c:v>
                </c:pt>
                <c:pt idx="13">
                  <c:v>1.3</c:v>
                </c:pt>
                <c:pt idx="14">
                  <c:v>3.6</c:v>
                </c:pt>
                <c:pt idx="15">
                  <c:v>5.6</c:v>
                </c:pt>
                <c:pt idx="16">
                  <c:v>16</c:v>
                </c:pt>
                <c:pt idx="17">
                  <c:v>21.4</c:v>
                </c:pt>
                <c:pt idx="18">
                  <c:v>23.6</c:v>
                </c:pt>
                <c:pt idx="19">
                  <c:v>14.9</c:v>
                </c:pt>
                <c:pt idx="20">
                  <c:v>22.2</c:v>
                </c:pt>
                <c:pt idx="21">
                  <c:v>16</c:v>
                </c:pt>
                <c:pt idx="22">
                  <c:v>11.6</c:v>
                </c:pt>
                <c:pt idx="23">
                  <c:v>17.8</c:v>
                </c:pt>
              </c:numCache>
            </c:numRef>
          </c:val>
          <c:smooth val="0"/>
          <c:extLst>
            <c:ext xmlns:c16="http://schemas.microsoft.com/office/drawing/2014/chart" uri="{C3380CC4-5D6E-409C-BE32-E72D297353CC}">
              <c16:uniqueId val="{00000002-E269-408C-AD6E-FA2000AC9DBF}"/>
            </c:ext>
          </c:extLst>
        </c:ser>
        <c:ser>
          <c:idx val="4"/>
          <c:order val="3"/>
          <c:tx>
            <c:strRef>
              <c:f>'Ceny 2'!$G$5</c:f>
              <c:strCache>
                <c:ptCount val="1"/>
                <c:pt idx="0">
                  <c:v>Transportation</c:v>
                </c:pt>
              </c:strCache>
            </c:strRef>
          </c:tx>
          <c:spPr>
            <a:ln w="19050">
              <a:solidFill>
                <a:srgbClr val="FFC000"/>
              </a:solidFill>
            </a:ln>
          </c:spPr>
          <c:marker>
            <c:symbol val="none"/>
          </c:marker>
          <c:cat>
            <c:multiLvlStrRef>
              <c:f>'Ceny 2'!$A$6:$B$29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2'!$G$6:$G$29</c:f>
              <c:numCache>
                <c:formatCode>0.0</c:formatCode>
                <c:ptCount val="24"/>
                <c:pt idx="0">
                  <c:v>1</c:v>
                </c:pt>
                <c:pt idx="1">
                  <c:v>3</c:v>
                </c:pt>
                <c:pt idx="2">
                  <c:v>4.5</c:v>
                </c:pt>
                <c:pt idx="3">
                  <c:v>2.6</c:v>
                </c:pt>
                <c:pt idx="4">
                  <c:v>0.6</c:v>
                </c:pt>
                <c:pt idx="5">
                  <c:v>0.8</c:v>
                </c:pt>
                <c:pt idx="6">
                  <c:v>-0.2</c:v>
                </c:pt>
                <c:pt idx="7">
                  <c:v>0.5</c:v>
                </c:pt>
                <c:pt idx="8" formatCode="General">
                  <c:v>1.7</c:v>
                </c:pt>
                <c:pt idx="9">
                  <c:v>-3.4</c:v>
                </c:pt>
                <c:pt idx="10">
                  <c:v>-0.2</c:v>
                </c:pt>
                <c:pt idx="11">
                  <c:v>0.6</c:v>
                </c:pt>
                <c:pt idx="12">
                  <c:v>2.4</c:v>
                </c:pt>
                <c:pt idx="13">
                  <c:v>9.1</c:v>
                </c:pt>
                <c:pt idx="14">
                  <c:v>8.8000000000000007</c:v>
                </c:pt>
                <c:pt idx="15">
                  <c:v>13.1</c:v>
                </c:pt>
                <c:pt idx="16">
                  <c:v>17.2</c:v>
                </c:pt>
                <c:pt idx="17">
                  <c:v>22.7</c:v>
                </c:pt>
                <c:pt idx="18">
                  <c:v>19.7</c:v>
                </c:pt>
                <c:pt idx="19">
                  <c:v>13.1</c:v>
                </c:pt>
                <c:pt idx="20">
                  <c:v>4.5</c:v>
                </c:pt>
                <c:pt idx="21">
                  <c:v>-4</c:v>
                </c:pt>
                <c:pt idx="22">
                  <c:v>-2.4</c:v>
                </c:pt>
                <c:pt idx="23">
                  <c:v>-1.6</c:v>
                </c:pt>
              </c:numCache>
            </c:numRef>
          </c:val>
          <c:smooth val="0"/>
          <c:extLst>
            <c:ext xmlns:c16="http://schemas.microsoft.com/office/drawing/2014/chart" uri="{C3380CC4-5D6E-409C-BE32-E72D297353CC}">
              <c16:uniqueId val="{00000003-E269-408C-AD6E-FA2000AC9DBF}"/>
            </c:ext>
          </c:extLst>
        </c:ser>
        <c:ser>
          <c:idx val="2"/>
          <c:order val="5"/>
          <c:tx>
            <c:strRef>
              <c:f>'Ceny 2'!$H$5</c:f>
              <c:strCache>
                <c:ptCount val="1"/>
                <c:pt idx="0">
                  <c:v>Restaurants and hotels</c:v>
                </c:pt>
              </c:strCache>
              <c:extLst xmlns:c15="http://schemas.microsoft.com/office/drawing/2012/chart"/>
            </c:strRef>
          </c:tx>
          <c:spPr>
            <a:ln w="19050">
              <a:solidFill>
                <a:srgbClr val="7030A0"/>
              </a:solidFill>
            </a:ln>
          </c:spPr>
          <c:marker>
            <c:symbol val="none"/>
          </c:marker>
          <c:cat>
            <c:multiLvlStrRef>
              <c:f>'Ceny 2'!$A$6:$B$29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2'!$H$6:$H$29</c:f>
              <c:numCache>
                <c:formatCode>0.0</c:formatCode>
                <c:ptCount val="24"/>
                <c:pt idx="0">
                  <c:v>3.5</c:v>
                </c:pt>
                <c:pt idx="1">
                  <c:v>3.6</c:v>
                </c:pt>
                <c:pt idx="2">
                  <c:v>3.5</c:v>
                </c:pt>
                <c:pt idx="3">
                  <c:v>3.7</c:v>
                </c:pt>
                <c:pt idx="4">
                  <c:v>3.8</c:v>
                </c:pt>
                <c:pt idx="5">
                  <c:v>4</c:v>
                </c:pt>
                <c:pt idx="6">
                  <c:v>4.5</c:v>
                </c:pt>
                <c:pt idx="7">
                  <c:v>4.5999999999999996</c:v>
                </c:pt>
                <c:pt idx="8">
                  <c:v>5.5</c:v>
                </c:pt>
                <c:pt idx="9">
                  <c:v>5.0999999999999996</c:v>
                </c:pt>
                <c:pt idx="10">
                  <c:v>4.9000000000000004</c:v>
                </c:pt>
                <c:pt idx="11">
                  <c:v>4.3</c:v>
                </c:pt>
                <c:pt idx="12">
                  <c:v>3</c:v>
                </c:pt>
                <c:pt idx="13">
                  <c:v>2.9</c:v>
                </c:pt>
                <c:pt idx="14">
                  <c:v>4.5999999999999996</c:v>
                </c:pt>
                <c:pt idx="15">
                  <c:v>6.8</c:v>
                </c:pt>
                <c:pt idx="16">
                  <c:v>12.3</c:v>
                </c:pt>
                <c:pt idx="17">
                  <c:v>21.4</c:v>
                </c:pt>
                <c:pt idx="18">
                  <c:v>24.3</c:v>
                </c:pt>
                <c:pt idx="19">
                  <c:v>25.6</c:v>
                </c:pt>
                <c:pt idx="20">
                  <c:v>22.4</c:v>
                </c:pt>
                <c:pt idx="21">
                  <c:v>15.4</c:v>
                </c:pt>
                <c:pt idx="22">
                  <c:v>11.6</c:v>
                </c:pt>
                <c:pt idx="23">
                  <c:v>8.8000000000000007</c:v>
                </c:pt>
              </c:numCache>
            </c:numRef>
          </c:val>
          <c:smooth val="0"/>
          <c:extLst xmlns:c15="http://schemas.microsoft.com/office/drawing/2012/chart">
            <c:ext xmlns:c16="http://schemas.microsoft.com/office/drawing/2014/chart" uri="{C3380CC4-5D6E-409C-BE32-E72D297353CC}">
              <c16:uniqueId val="{00000004-E269-408C-AD6E-FA2000AC9DBF}"/>
            </c:ext>
          </c:extLst>
        </c:ser>
        <c:ser>
          <c:idx val="6"/>
          <c:order val="6"/>
          <c:tx>
            <c:strRef>
              <c:f>'Ceny 2'!$I$5</c:f>
              <c:strCache>
                <c:ptCount val="1"/>
                <c:pt idx="0">
                  <c:v>Recreation and culture</c:v>
                </c:pt>
              </c:strCache>
            </c:strRef>
          </c:tx>
          <c:spPr>
            <a:ln w="22225">
              <a:solidFill>
                <a:srgbClr val="FF0000"/>
              </a:solidFill>
            </a:ln>
          </c:spPr>
          <c:marker>
            <c:symbol val="none"/>
          </c:marker>
          <c:cat>
            <c:multiLvlStrRef>
              <c:f>'Ceny 2'!$A$6:$B$29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2'!$I$6:$I$29</c:f>
              <c:numCache>
                <c:formatCode>General</c:formatCode>
                <c:ptCount val="24"/>
                <c:pt idx="0">
                  <c:v>0.5</c:v>
                </c:pt>
                <c:pt idx="1">
                  <c:v>0.59999999999999432</c:v>
                </c:pt>
                <c:pt idx="2">
                  <c:v>2.2000000000000028</c:v>
                </c:pt>
                <c:pt idx="3">
                  <c:v>0.5</c:v>
                </c:pt>
                <c:pt idx="4">
                  <c:v>1.7000000000000028</c:v>
                </c:pt>
                <c:pt idx="5">
                  <c:v>1</c:v>
                </c:pt>
                <c:pt idx="6">
                  <c:v>1.7000000000000028</c:v>
                </c:pt>
                <c:pt idx="7">
                  <c:v>2.0999999999999943</c:v>
                </c:pt>
                <c:pt idx="8">
                  <c:v>2.0999999999999943</c:v>
                </c:pt>
                <c:pt idx="9">
                  <c:v>2</c:v>
                </c:pt>
                <c:pt idx="10">
                  <c:v>2.2000000000000028</c:v>
                </c:pt>
                <c:pt idx="11">
                  <c:v>2.5</c:v>
                </c:pt>
                <c:pt idx="12">
                  <c:v>1.4000000000000057</c:v>
                </c:pt>
                <c:pt idx="13">
                  <c:v>2</c:v>
                </c:pt>
                <c:pt idx="14">
                  <c:v>3.0999999999999943</c:v>
                </c:pt>
                <c:pt idx="15">
                  <c:v>5.2999999999999972</c:v>
                </c:pt>
                <c:pt idx="16">
                  <c:v>8.5</c:v>
                </c:pt>
                <c:pt idx="17">
                  <c:v>11.299999999999997</c:v>
                </c:pt>
                <c:pt idx="18">
                  <c:v>12.599999999999994</c:v>
                </c:pt>
                <c:pt idx="19" formatCode="0.0">
                  <c:v>13.2</c:v>
                </c:pt>
                <c:pt idx="20" formatCode="0.0">
                  <c:v>14</c:v>
                </c:pt>
                <c:pt idx="21" formatCode="0.0">
                  <c:v>11.7</c:v>
                </c:pt>
                <c:pt idx="22" formatCode="0.0">
                  <c:v>9.6999999999999993</c:v>
                </c:pt>
                <c:pt idx="23" formatCode="0.0">
                  <c:v>6.9</c:v>
                </c:pt>
              </c:numCache>
            </c:numRef>
          </c:val>
          <c:smooth val="0"/>
          <c:extLst>
            <c:ext xmlns:c16="http://schemas.microsoft.com/office/drawing/2014/chart" uri="{C3380CC4-5D6E-409C-BE32-E72D297353CC}">
              <c16:uniqueId val="{00000005-E269-408C-AD6E-FA2000AC9DBF}"/>
            </c:ext>
          </c:extLst>
        </c:ser>
        <c:dLbls>
          <c:showLegendKey val="0"/>
          <c:showVal val="0"/>
          <c:showCatName val="0"/>
          <c:showSerName val="0"/>
          <c:showPercent val="0"/>
          <c:showBubbleSize val="0"/>
        </c:dLbls>
        <c:marker val="1"/>
        <c:smooth val="0"/>
        <c:axId val="130513536"/>
        <c:axId val="130531712"/>
        <c:extLst>
          <c:ext xmlns:c15="http://schemas.microsoft.com/office/drawing/2012/chart" uri="{02D57815-91ED-43cb-92C2-25804820EDAC}">
            <c15:filteredLineSeries>
              <c15:ser>
                <c:idx val="5"/>
                <c:order val="4"/>
                <c:tx>
                  <c:strRef>
                    <c:extLst>
                      <c:ext uri="{02D57815-91ED-43cb-92C2-25804820EDAC}">
                        <c15:formulaRef>
                          <c15:sqref>'Ceny 2'!$E$5</c15:sqref>
                        </c15:formulaRef>
                      </c:ext>
                    </c:extLst>
                    <c:strCache>
                      <c:ptCount val="1"/>
                      <c:pt idx="0">
                        <c:v>Alcoholic beverages and tobacco</c:v>
                      </c:pt>
                    </c:strCache>
                  </c:strRef>
                </c:tx>
                <c:spPr>
                  <a:ln w="22225">
                    <a:solidFill>
                      <a:schemeClr val="accent2"/>
                    </a:solidFill>
                  </a:ln>
                </c:spPr>
                <c:marker>
                  <c:symbol val="none"/>
                </c:marker>
                <c:cat>
                  <c:multiLvlStrRef>
                    <c:extLst>
                      <c:ext uri="{02D57815-91ED-43cb-92C2-25804820EDAC}">
                        <c15:formulaRef>
                          <c15:sqref>'Ceny 2'!$A$6:$B$29</c15:sqref>
                        </c15:formulaRef>
                      </c:ext>
                    </c:extLst>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extLst>
                      <c:ext uri="{02D57815-91ED-43cb-92C2-25804820EDAC}">
                        <c15:formulaRef>
                          <c15:sqref>'Ceny 2'!$E$6:$E$25</c15:sqref>
                        </c15:formulaRef>
                      </c:ext>
                    </c:extLst>
                    <c:numCache>
                      <c:formatCode>0.0</c:formatCode>
                      <c:ptCount val="20"/>
                      <c:pt idx="0">
                        <c:v>2.5</c:v>
                      </c:pt>
                      <c:pt idx="1">
                        <c:v>3.6</c:v>
                      </c:pt>
                      <c:pt idx="2">
                        <c:v>2.8</c:v>
                      </c:pt>
                      <c:pt idx="3">
                        <c:v>3.1</c:v>
                      </c:pt>
                      <c:pt idx="4">
                        <c:v>3.3</c:v>
                      </c:pt>
                      <c:pt idx="5">
                        <c:v>1.7</c:v>
                      </c:pt>
                      <c:pt idx="6">
                        <c:v>1.9</c:v>
                      </c:pt>
                      <c:pt idx="7">
                        <c:v>1.8</c:v>
                      </c:pt>
                      <c:pt idx="8" formatCode="General">
                        <c:v>3.5</c:v>
                      </c:pt>
                      <c:pt idx="9">
                        <c:v>6.6</c:v>
                      </c:pt>
                      <c:pt idx="10">
                        <c:v>10.3</c:v>
                      </c:pt>
                      <c:pt idx="11">
                        <c:v>9.9</c:v>
                      </c:pt>
                      <c:pt idx="12">
                        <c:v>9.9</c:v>
                      </c:pt>
                      <c:pt idx="13">
                        <c:v>9.8000000000000007</c:v>
                      </c:pt>
                      <c:pt idx="14">
                        <c:v>6.5</c:v>
                      </c:pt>
                      <c:pt idx="15">
                        <c:v>7.7</c:v>
                      </c:pt>
                      <c:pt idx="16">
                        <c:v>7.1</c:v>
                      </c:pt>
                      <c:pt idx="17">
                        <c:v>5.6</c:v>
                      </c:pt>
                      <c:pt idx="18">
                        <c:v>6.3</c:v>
                      </c:pt>
                      <c:pt idx="19">
                        <c:v>6</c:v>
                      </c:pt>
                    </c:numCache>
                  </c:numRef>
                </c:val>
                <c:smooth val="0"/>
                <c:extLst>
                  <c:ext xmlns:c16="http://schemas.microsoft.com/office/drawing/2014/chart" uri="{C3380CC4-5D6E-409C-BE32-E72D297353CC}">
                    <c16:uniqueId val="{00000006-E269-408C-AD6E-FA2000AC9DBF}"/>
                  </c:ext>
                </c:extLst>
              </c15:ser>
            </c15:filteredLineSeries>
          </c:ext>
        </c:extLst>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max val="28"/>
          <c:min val="-8"/>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4"/>
      </c:valAx>
      <c:spPr>
        <a:ln>
          <a:solidFill>
            <a:schemeClr val="tx1"/>
          </a:solidFill>
        </a:ln>
      </c:spPr>
    </c:plotArea>
    <c:legend>
      <c:legendPos val="b"/>
      <c:layout>
        <c:manualLayout>
          <c:xMode val="edge"/>
          <c:yMode val="edge"/>
          <c:x val="5.6562816616008108E-2"/>
          <c:y val="0.87970674321738151"/>
          <c:w val="0.9271700861195542"/>
          <c:h val="0.1057713243277177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Realised prices of older flats, the CR</c:v>
                </c:pt>
              </c:strCache>
            </c:strRef>
          </c:tx>
          <c:spPr>
            <a:solidFill>
              <a:schemeClr val="bg1">
                <a:lumMod val="65000"/>
              </a:schemeClr>
            </a:solidFill>
            <a:ln w="19050">
              <a:noFill/>
            </a:ln>
          </c:spPr>
          <c:invertIfNegative val="0"/>
          <c:cat>
            <c:multiLvlStrRef>
              <c:f>'Ceny 1'!$A$6:$B$29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1'!$C$6:$C$29</c:f>
              <c:numCache>
                <c:formatCode>General</c:formatCode>
                <c:ptCount val="24"/>
                <c:pt idx="0">
                  <c:v>9.2000000000000028</c:v>
                </c:pt>
                <c:pt idx="1">
                  <c:v>8</c:v>
                </c:pt>
                <c:pt idx="2">
                  <c:v>9.4000000000000057</c:v>
                </c:pt>
                <c:pt idx="3">
                  <c:v>11.400000000000006</c:v>
                </c:pt>
                <c:pt idx="4">
                  <c:v>11.299999999999997</c:v>
                </c:pt>
                <c:pt idx="5">
                  <c:v>10.599999999999994</c:v>
                </c:pt>
                <c:pt idx="6">
                  <c:v>9.5</c:v>
                </c:pt>
                <c:pt idx="7">
                  <c:v>9.4000000000000057</c:v>
                </c:pt>
                <c:pt idx="8">
                  <c:v>10.599999999999994</c:v>
                </c:pt>
                <c:pt idx="9">
                  <c:v>10.200000000000003</c:v>
                </c:pt>
                <c:pt idx="10">
                  <c:v>11.200000000000003</c:v>
                </c:pt>
                <c:pt idx="11">
                  <c:v>13.299999999999997</c:v>
                </c:pt>
                <c:pt idx="12">
                  <c:v>15.200000000000003</c:v>
                </c:pt>
                <c:pt idx="13">
                  <c:v>17.900000000000006</c:v>
                </c:pt>
                <c:pt idx="14">
                  <c:v>21.299999999999997</c:v>
                </c:pt>
                <c:pt idx="15">
                  <c:v>25.200000000000003</c:v>
                </c:pt>
                <c:pt idx="16">
                  <c:v>27.299999999999997</c:v>
                </c:pt>
                <c:pt idx="17">
                  <c:v>27.599999999999994</c:v>
                </c:pt>
                <c:pt idx="18">
                  <c:v>23.400000000000006</c:v>
                </c:pt>
                <c:pt idx="19">
                  <c:v>13.799999999999997</c:v>
                </c:pt>
                <c:pt idx="20">
                  <c:v>3.7000000000000028</c:v>
                </c:pt>
                <c:pt idx="21">
                  <c:v>-4.0999999999999943</c:v>
                </c:pt>
                <c:pt idx="22">
                  <c:v>-7</c:v>
                </c:pt>
                <c:pt idx="23">
                  <c:v>-5.5999999999999943</c:v>
                </c:pt>
              </c:numCache>
            </c:numRef>
          </c:val>
          <c:extLst>
            <c:ext xmlns:c16="http://schemas.microsoft.com/office/drawing/2014/chart" uri="{C3380CC4-5D6E-409C-BE32-E72D297353CC}">
              <c16:uniqueId val="{00000000-8553-4855-A387-EDE4ED74F667}"/>
            </c:ext>
          </c:extLst>
        </c:ser>
        <c:ser>
          <c:idx val="1"/>
          <c:order val="1"/>
          <c:tx>
            <c:strRef>
              <c:f>'Ceny 1'!$D$5</c:f>
              <c:strCache>
                <c:ptCount val="1"/>
                <c:pt idx="0">
                  <c:v>Realised prices of older flats, Prague</c:v>
                </c:pt>
              </c:strCache>
            </c:strRef>
          </c:tx>
          <c:spPr>
            <a:solidFill>
              <a:prstClr val="black">
                <a:lumMod val="50000"/>
                <a:lumOff val="50000"/>
              </a:prstClr>
            </a:solidFill>
            <a:ln w="19050">
              <a:noFill/>
            </a:ln>
          </c:spPr>
          <c:invertIfNegative val="0"/>
          <c:cat>
            <c:multiLvlStrRef>
              <c:f>'Ceny 1'!$A$6:$B$29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1'!$D$6:$D$29</c:f>
              <c:numCache>
                <c:formatCode>General</c:formatCode>
                <c:ptCount val="24"/>
                <c:pt idx="0">
                  <c:v>8.2999999999999972</c:v>
                </c:pt>
                <c:pt idx="1">
                  <c:v>4</c:v>
                </c:pt>
                <c:pt idx="2">
                  <c:v>6</c:v>
                </c:pt>
                <c:pt idx="3">
                  <c:v>8.7000000000000028</c:v>
                </c:pt>
                <c:pt idx="4">
                  <c:v>9.4000000000000057</c:v>
                </c:pt>
                <c:pt idx="5">
                  <c:v>8.7000000000000028</c:v>
                </c:pt>
                <c:pt idx="6">
                  <c:v>6.5</c:v>
                </c:pt>
                <c:pt idx="7">
                  <c:v>7.0999999999999943</c:v>
                </c:pt>
                <c:pt idx="8">
                  <c:v>6.2000000000000028</c:v>
                </c:pt>
                <c:pt idx="9">
                  <c:v>8</c:v>
                </c:pt>
                <c:pt idx="10">
                  <c:v>9.4000000000000057</c:v>
                </c:pt>
                <c:pt idx="11">
                  <c:v>10.599999999999994</c:v>
                </c:pt>
                <c:pt idx="12">
                  <c:v>14.299999999999997</c:v>
                </c:pt>
                <c:pt idx="13">
                  <c:v>15.799999999999997</c:v>
                </c:pt>
                <c:pt idx="14">
                  <c:v>16.599999999999994</c:v>
                </c:pt>
                <c:pt idx="15">
                  <c:v>20</c:v>
                </c:pt>
                <c:pt idx="16">
                  <c:v>19</c:v>
                </c:pt>
                <c:pt idx="17">
                  <c:v>16.700000000000003</c:v>
                </c:pt>
                <c:pt idx="18">
                  <c:v>15.599999999999994</c:v>
                </c:pt>
                <c:pt idx="19">
                  <c:v>8.4000000000000057</c:v>
                </c:pt>
                <c:pt idx="20">
                  <c:v>1.2000000000000028</c:v>
                </c:pt>
                <c:pt idx="21">
                  <c:v>-3.5999999999999943</c:v>
                </c:pt>
                <c:pt idx="22">
                  <c:v>-5.2999999999999972</c:v>
                </c:pt>
                <c:pt idx="23">
                  <c:v>-2.5999999999999943</c:v>
                </c:pt>
              </c:numCache>
            </c:numRef>
          </c:val>
          <c:extLst>
            <c:ext xmlns:c16="http://schemas.microsoft.com/office/drawing/2014/chart" uri="{C3380CC4-5D6E-409C-BE32-E72D297353CC}">
              <c16:uniqueId val="{00000001-8553-4855-A387-EDE4ED74F667}"/>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1'!$E$6:$E$29</c:f>
              <c:numCache>
                <c:formatCode>0.0</c:formatCode>
                <c:ptCount val="24"/>
                <c:pt idx="0">
                  <c:v>12.801932367149746</c:v>
                </c:pt>
                <c:pt idx="1">
                  <c:v>12.225705329153584</c:v>
                </c:pt>
                <c:pt idx="2">
                  <c:v>9.498878085265531</c:v>
                </c:pt>
                <c:pt idx="3">
                  <c:v>8.4609773887673185</c:v>
                </c:pt>
                <c:pt idx="4">
                  <c:v>7.4232690935046435</c:v>
                </c:pt>
                <c:pt idx="5">
                  <c:v>5.7262569832402335</c:v>
                </c:pt>
                <c:pt idx="6">
                  <c:v>5.1912568306010911</c:v>
                </c:pt>
                <c:pt idx="7">
                  <c:v>5.5144586415601964</c:v>
                </c:pt>
                <c:pt idx="8">
                  <c:v>6.0465116279069662</c:v>
                </c:pt>
                <c:pt idx="9">
                  <c:v>7.1334214002641829</c:v>
                </c:pt>
                <c:pt idx="10">
                  <c:v>7.9870129870129887</c:v>
                </c:pt>
                <c:pt idx="11">
                  <c:v>7.6481835564053569</c:v>
                </c:pt>
                <c:pt idx="12">
                  <c:v>7.6441102756892292</c:v>
                </c:pt>
                <c:pt idx="13">
                  <c:v>7.9531442663378584</c:v>
                </c:pt>
                <c:pt idx="14">
                  <c:v>9.3205051112447421</c:v>
                </c:pt>
                <c:pt idx="15">
                  <c:v>12.433392539964473</c:v>
                </c:pt>
                <c:pt idx="16">
                  <c:v>16.880093131548307</c:v>
                </c:pt>
                <c:pt idx="17">
                  <c:v>24.671616219303274</c:v>
                </c:pt>
                <c:pt idx="18">
                  <c:v>22.937293729372925</c:v>
                </c:pt>
                <c:pt idx="19">
                  <c:v>18.325434439178508</c:v>
                </c:pt>
                <c:pt idx="20">
                  <c:v>9.8107569721115624</c:v>
                </c:pt>
                <c:pt idx="21" formatCode="General">
                  <c:v>-0.73293632615667548</c:v>
                </c:pt>
                <c:pt idx="22" formatCode="General">
                  <c:v>-3.3109619686800897</c:v>
                </c:pt>
                <c:pt idx="23" formatCode="General">
                  <c:v>-4.1833555852247315</c:v>
                </c:pt>
              </c:numCache>
            </c:numRef>
          </c:val>
          <c:smooth val="0"/>
          <c:extLst>
            <c:ext xmlns:c16="http://schemas.microsoft.com/office/drawing/2014/chart" uri="{C3380CC4-5D6E-409C-BE32-E72D297353CC}">
              <c16:uniqueId val="{00000002-8553-4855-A387-EDE4ED74F667}"/>
            </c:ext>
          </c:extLst>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1'!$F$6:$F$29</c:f>
              <c:numCache>
                <c:formatCode>0.0</c:formatCode>
                <c:ptCount val="24"/>
                <c:pt idx="0">
                  <c:v>15.071428571428555</c:v>
                </c:pt>
                <c:pt idx="1">
                  <c:v>14.24638678596007</c:v>
                </c:pt>
                <c:pt idx="2">
                  <c:v>10.732984293193695</c:v>
                </c:pt>
                <c:pt idx="3">
                  <c:v>8.7531486146095574</c:v>
                </c:pt>
                <c:pt idx="4">
                  <c:v>8.3178150217256359</c:v>
                </c:pt>
                <c:pt idx="5">
                  <c:v>4.9397590361445651</c:v>
                </c:pt>
                <c:pt idx="6">
                  <c:v>3.3096926713947994</c:v>
                </c:pt>
                <c:pt idx="7">
                  <c:v>2.9530978575564575</c:v>
                </c:pt>
                <c:pt idx="8">
                  <c:v>3.5530085959885298</c:v>
                </c:pt>
                <c:pt idx="9">
                  <c:v>5.2812858783008068</c:v>
                </c:pt>
                <c:pt idx="10">
                  <c:v>6.2356979405034281</c:v>
                </c:pt>
                <c:pt idx="11">
                  <c:v>5.1743532058492718</c:v>
                </c:pt>
                <c:pt idx="12">
                  <c:v>4.759269507470961</c:v>
                </c:pt>
                <c:pt idx="13">
                  <c:v>4.5256270447110012</c:v>
                </c:pt>
                <c:pt idx="14">
                  <c:v>6.2466343564889826</c:v>
                </c:pt>
                <c:pt idx="15">
                  <c:v>9.1443850267379503</c:v>
                </c:pt>
                <c:pt idx="16">
                  <c:v>12.255678816693077</c:v>
                </c:pt>
                <c:pt idx="17">
                  <c:v>19.718309859154942</c:v>
                </c:pt>
                <c:pt idx="18">
                  <c:v>18.499746578813998</c:v>
                </c:pt>
                <c:pt idx="19">
                  <c:v>16.903478686918177</c:v>
                </c:pt>
                <c:pt idx="20">
                  <c:v>10.305882352941182</c:v>
                </c:pt>
                <c:pt idx="21" formatCode="General">
                  <c:v>0.30501089324617681</c:v>
                </c:pt>
                <c:pt idx="22" formatCode="General">
                  <c:v>-1.5825491873396089</c:v>
                </c:pt>
                <c:pt idx="23" formatCode="General">
                  <c:v>-3.5624476110645418</c:v>
                </c:pt>
              </c:numCache>
            </c:numRef>
          </c:val>
          <c:smooth val="0"/>
          <c:extLst>
            <c:ext xmlns:c16="http://schemas.microsoft.com/office/drawing/2014/chart" uri="{C3380CC4-5D6E-409C-BE32-E72D297353CC}">
              <c16:uniqueId val="{00000003-8553-4855-A387-EDE4ED74F667}"/>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536533717322946E-2"/>
          <c:y val="2.0784574468085106E-2"/>
          <c:w val="0.93242262856416824"/>
          <c:h val="0.66772044917257678"/>
        </c:manualLayout>
      </c:layout>
      <c:barChart>
        <c:barDir val="col"/>
        <c:grouping val="clustered"/>
        <c:varyColors val="0"/>
        <c:ser>
          <c:idx val="0"/>
          <c:order val="0"/>
          <c:tx>
            <c:strRef>
              <c:f>'Ceny 4'!$C$5</c:f>
              <c:strCache>
                <c:ptCount val="1"/>
                <c:pt idx="0">
                  <c:v>Total</c:v>
                </c:pt>
              </c:strCache>
            </c:strRef>
          </c:tx>
          <c:spPr>
            <a:solidFill>
              <a:schemeClr val="bg1">
                <a:lumMod val="65000"/>
              </a:schemeClr>
            </a:solidFill>
            <a:ln>
              <a:noFill/>
            </a:ln>
            <a:effectLst/>
          </c:spPr>
          <c:invertIfNegative val="0"/>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4'!$C$6:$C$29</c:f>
              <c:numCache>
                <c:formatCode>General</c:formatCode>
                <c:ptCount val="24"/>
                <c:pt idx="0">
                  <c:v>9.9999999999994316E-2</c:v>
                </c:pt>
                <c:pt idx="1">
                  <c:v>1.5</c:v>
                </c:pt>
                <c:pt idx="2">
                  <c:v>3.2999999999999972</c:v>
                </c:pt>
                <c:pt idx="3">
                  <c:v>3.4000000000000057</c:v>
                </c:pt>
                <c:pt idx="4">
                  <c:v>3.5</c:v>
                </c:pt>
                <c:pt idx="5">
                  <c:v>3.5</c:v>
                </c:pt>
                <c:pt idx="6">
                  <c:v>2</c:v>
                </c:pt>
                <c:pt idx="7">
                  <c:v>1.2999999999999972</c:v>
                </c:pt>
                <c:pt idx="8">
                  <c:v>1.4000000000000057</c:v>
                </c:pt>
                <c:pt idx="9">
                  <c:v>-0.59999999999999432</c:v>
                </c:pt>
                <c:pt idx="10">
                  <c:v>-0.29999999999999716</c:v>
                </c:pt>
                <c:pt idx="11">
                  <c:v>9.9999999999994316E-2</c:v>
                </c:pt>
                <c:pt idx="12">
                  <c:v>1.5</c:v>
                </c:pt>
                <c:pt idx="13">
                  <c:v>5.2999999999999972</c:v>
                </c:pt>
                <c:pt idx="14">
                  <c:v>9</c:v>
                </c:pt>
                <c:pt idx="15">
                  <c:v>12.799999999999997</c:v>
                </c:pt>
                <c:pt idx="16">
                  <c:v>21.799999999999997</c:v>
                </c:pt>
                <c:pt idx="17">
                  <c:v>27.700000000000003</c:v>
                </c:pt>
                <c:pt idx="18">
                  <c:v>25.900000000000006</c:v>
                </c:pt>
                <c:pt idx="19">
                  <c:v>21.799999999999997</c:v>
                </c:pt>
                <c:pt idx="20">
                  <c:v>15</c:v>
                </c:pt>
                <c:pt idx="21">
                  <c:v>3.9000000000000057</c:v>
                </c:pt>
                <c:pt idx="22">
                  <c:v>1.3</c:v>
                </c:pt>
                <c:pt idx="23">
                  <c:v>0.8</c:v>
                </c:pt>
              </c:numCache>
            </c:numRef>
          </c:val>
          <c:extLst>
            <c:ext xmlns:c16="http://schemas.microsoft.com/office/drawing/2014/chart" uri="{C3380CC4-5D6E-409C-BE32-E72D297353CC}">
              <c16:uniqueId val="{00000000-0083-4C61-9AD0-035390ADAD38}"/>
            </c:ext>
          </c:extLst>
        </c:ser>
        <c:dLbls>
          <c:showLegendKey val="0"/>
          <c:showVal val="0"/>
          <c:showCatName val="0"/>
          <c:showSerName val="0"/>
          <c:showPercent val="0"/>
          <c:showBubbleSize val="0"/>
        </c:dLbls>
        <c:gapWidth val="90"/>
        <c:axId val="1717494240"/>
        <c:axId val="1718275936"/>
      </c:barChart>
      <c:lineChart>
        <c:grouping val="standard"/>
        <c:varyColors val="0"/>
        <c:ser>
          <c:idx val="1"/>
          <c:order val="1"/>
          <c:tx>
            <c:strRef>
              <c:f>'Ceny 4'!$D$5</c:f>
              <c:strCache>
                <c:ptCount val="1"/>
                <c:pt idx="0">
                  <c:v>Mining and quarrying</c:v>
                </c:pt>
              </c:strCache>
            </c:strRef>
          </c:tx>
          <c:spPr>
            <a:ln w="22225" cap="rnd">
              <a:solidFill>
                <a:srgbClr val="7DBB2D"/>
              </a:solidFill>
              <a:round/>
            </a:ln>
            <a:effectLst/>
          </c:spPr>
          <c:marker>
            <c:symbol val="none"/>
          </c:marker>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4'!$D$6:$D$29</c:f>
              <c:numCache>
                <c:formatCode>General</c:formatCode>
                <c:ptCount val="24"/>
                <c:pt idx="0">
                  <c:v>5.4000000000000057</c:v>
                </c:pt>
                <c:pt idx="1">
                  <c:v>6.7000000000000028</c:v>
                </c:pt>
                <c:pt idx="2">
                  <c:v>9.4000000000000057</c:v>
                </c:pt>
                <c:pt idx="3">
                  <c:v>8.7999999999999972</c:v>
                </c:pt>
                <c:pt idx="4">
                  <c:v>7.7000000000000028</c:v>
                </c:pt>
                <c:pt idx="5">
                  <c:v>7.7000000000000028</c:v>
                </c:pt>
                <c:pt idx="6">
                  <c:v>6.7000000000000028</c:v>
                </c:pt>
                <c:pt idx="7">
                  <c:v>3.7000000000000028</c:v>
                </c:pt>
                <c:pt idx="8">
                  <c:v>-2.0999999999999943</c:v>
                </c:pt>
                <c:pt idx="9">
                  <c:v>-3.5</c:v>
                </c:pt>
                <c:pt idx="10">
                  <c:v>-3.5999999999999943</c:v>
                </c:pt>
                <c:pt idx="11">
                  <c:v>-2</c:v>
                </c:pt>
                <c:pt idx="12">
                  <c:v>-0.5</c:v>
                </c:pt>
                <c:pt idx="13">
                  <c:v>0.79999999999999716</c:v>
                </c:pt>
                <c:pt idx="14">
                  <c:v>3.2999999999999972</c:v>
                </c:pt>
                <c:pt idx="15">
                  <c:v>13.799999999999997</c:v>
                </c:pt>
                <c:pt idx="16">
                  <c:v>25.200000000000003</c:v>
                </c:pt>
                <c:pt idx="17">
                  <c:v>31.900000000000006</c:v>
                </c:pt>
                <c:pt idx="18">
                  <c:v>30.199999999999989</c:v>
                </c:pt>
                <c:pt idx="19">
                  <c:v>23.299999999999997</c:v>
                </c:pt>
                <c:pt idx="20">
                  <c:v>54</c:v>
                </c:pt>
                <c:pt idx="21">
                  <c:v>47.599999999999994</c:v>
                </c:pt>
                <c:pt idx="22">
                  <c:v>44.5</c:v>
                </c:pt>
                <c:pt idx="23">
                  <c:v>40.200000000000003</c:v>
                </c:pt>
              </c:numCache>
            </c:numRef>
          </c:val>
          <c:smooth val="0"/>
          <c:extLst>
            <c:ext xmlns:c16="http://schemas.microsoft.com/office/drawing/2014/chart" uri="{C3380CC4-5D6E-409C-BE32-E72D297353CC}">
              <c16:uniqueId val="{00000001-0083-4C61-9AD0-035390ADAD38}"/>
            </c:ext>
          </c:extLst>
        </c:ser>
        <c:ser>
          <c:idx val="2"/>
          <c:order val="2"/>
          <c:tx>
            <c:strRef>
              <c:f>'Ceny 4'!$E$5</c:f>
              <c:strCache>
                <c:ptCount val="1"/>
                <c:pt idx="0">
                  <c:v>Manufacturing</c:v>
                </c:pt>
              </c:strCache>
            </c:strRef>
          </c:tx>
          <c:spPr>
            <a:ln w="22225" cap="rnd">
              <a:solidFill>
                <a:srgbClr val="BD1B21"/>
              </a:solidFill>
              <a:round/>
            </a:ln>
            <a:effectLst/>
          </c:spPr>
          <c:marker>
            <c:symbol val="none"/>
          </c:marker>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4'!$E$6:$E$29</c:f>
              <c:numCache>
                <c:formatCode>General</c:formatCode>
                <c:ptCount val="24"/>
                <c:pt idx="0">
                  <c:v>-0.40000000000000568</c:v>
                </c:pt>
                <c:pt idx="1">
                  <c:v>1.2000000000000028</c:v>
                </c:pt>
                <c:pt idx="2">
                  <c:v>3.2000000000000028</c:v>
                </c:pt>
                <c:pt idx="3">
                  <c:v>3.2999999999999972</c:v>
                </c:pt>
                <c:pt idx="4">
                  <c:v>2.5999999999999943</c:v>
                </c:pt>
                <c:pt idx="5">
                  <c:v>2.5999999999999943</c:v>
                </c:pt>
                <c:pt idx="6">
                  <c:v>0.79999999999999716</c:v>
                </c:pt>
                <c:pt idx="7">
                  <c:v>-9.9999999999994316E-2</c:v>
                </c:pt>
                <c:pt idx="8">
                  <c:v>0</c:v>
                </c:pt>
                <c:pt idx="9">
                  <c:v>-2.2999999999999972</c:v>
                </c:pt>
                <c:pt idx="10">
                  <c:v>-1.7999999999999972</c:v>
                </c:pt>
                <c:pt idx="11">
                  <c:v>-1.2000000000000028</c:v>
                </c:pt>
                <c:pt idx="12">
                  <c:v>1.7999999999999972</c:v>
                </c:pt>
                <c:pt idx="13">
                  <c:v>6.5</c:v>
                </c:pt>
                <c:pt idx="14">
                  <c:v>11</c:v>
                </c:pt>
                <c:pt idx="15">
                  <c:v>14.5</c:v>
                </c:pt>
                <c:pt idx="16">
                  <c:v>17.5</c:v>
                </c:pt>
                <c:pt idx="17">
                  <c:v>24.200000000000003</c:v>
                </c:pt>
                <c:pt idx="18">
                  <c:v>20.5</c:v>
                </c:pt>
                <c:pt idx="19">
                  <c:v>16</c:v>
                </c:pt>
                <c:pt idx="20">
                  <c:v>10.299999999999997</c:v>
                </c:pt>
                <c:pt idx="21">
                  <c:v>-0.90000000000000568</c:v>
                </c:pt>
                <c:pt idx="22">
                  <c:v>-2.4</c:v>
                </c:pt>
                <c:pt idx="23">
                  <c:v>-2.2999999999999998</c:v>
                </c:pt>
              </c:numCache>
            </c:numRef>
          </c:val>
          <c:smooth val="0"/>
          <c:extLst>
            <c:ext xmlns:c16="http://schemas.microsoft.com/office/drawing/2014/chart" uri="{C3380CC4-5D6E-409C-BE32-E72D297353CC}">
              <c16:uniqueId val="{00000002-0083-4C61-9AD0-035390ADAD38}"/>
            </c:ext>
          </c:extLst>
        </c:ser>
        <c:ser>
          <c:idx val="3"/>
          <c:order val="3"/>
          <c:tx>
            <c:strRef>
              <c:f>'Ceny 4'!$F$5</c:f>
              <c:strCache>
                <c:ptCount val="1"/>
                <c:pt idx="0">
                  <c:v>Electricity, gas, steam and air conditioning supply</c:v>
                </c:pt>
              </c:strCache>
            </c:strRef>
          </c:tx>
          <c:spPr>
            <a:ln w="22225" cap="rnd">
              <a:solidFill>
                <a:srgbClr val="FFC000"/>
              </a:solidFill>
              <a:round/>
            </a:ln>
            <a:effectLst/>
          </c:spPr>
          <c:marker>
            <c:symbol val="none"/>
          </c:marker>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4'!$F$6:$F$29</c:f>
              <c:numCache>
                <c:formatCode>General</c:formatCode>
                <c:ptCount val="24"/>
                <c:pt idx="0">
                  <c:v>1.5</c:v>
                </c:pt>
                <c:pt idx="1">
                  <c:v>1.9000000000000057</c:v>
                </c:pt>
                <c:pt idx="2">
                  <c:v>2.5999999999999943</c:v>
                </c:pt>
                <c:pt idx="3">
                  <c:v>2.7999999999999972</c:v>
                </c:pt>
                <c:pt idx="4">
                  <c:v>7.7000000000000028</c:v>
                </c:pt>
                <c:pt idx="5">
                  <c:v>8.2999999999999972</c:v>
                </c:pt>
                <c:pt idx="6">
                  <c:v>7.7999999999999972</c:v>
                </c:pt>
                <c:pt idx="7">
                  <c:v>8.2999999999999972</c:v>
                </c:pt>
                <c:pt idx="8">
                  <c:v>8.9000000000000057</c:v>
                </c:pt>
                <c:pt idx="9">
                  <c:v>8.2000000000000028</c:v>
                </c:pt>
                <c:pt idx="10">
                  <c:v>7.7999999999999972</c:v>
                </c:pt>
                <c:pt idx="11">
                  <c:v>6.0999999999999943</c:v>
                </c:pt>
                <c:pt idx="12">
                  <c:v>0.29999999999999716</c:v>
                </c:pt>
                <c:pt idx="13">
                  <c:v>9.9999999999994316E-2</c:v>
                </c:pt>
                <c:pt idx="14">
                  <c:v>0.79999999999999716</c:v>
                </c:pt>
                <c:pt idx="15">
                  <c:v>5.5</c:v>
                </c:pt>
                <c:pt idx="16">
                  <c:v>45</c:v>
                </c:pt>
                <c:pt idx="17">
                  <c:v>47.199999999999989</c:v>
                </c:pt>
                <c:pt idx="18">
                  <c:v>56</c:v>
                </c:pt>
                <c:pt idx="19">
                  <c:v>54.300000000000011</c:v>
                </c:pt>
                <c:pt idx="20">
                  <c:v>28.400000000000006</c:v>
                </c:pt>
                <c:pt idx="21">
                  <c:v>18.400000000000006</c:v>
                </c:pt>
                <c:pt idx="22">
                  <c:v>10.5</c:v>
                </c:pt>
                <c:pt idx="23">
                  <c:v>7.1</c:v>
                </c:pt>
              </c:numCache>
            </c:numRef>
          </c:val>
          <c:smooth val="0"/>
          <c:extLst>
            <c:ext xmlns:c16="http://schemas.microsoft.com/office/drawing/2014/chart" uri="{C3380CC4-5D6E-409C-BE32-E72D297353CC}">
              <c16:uniqueId val="{00000003-0083-4C61-9AD0-035390ADAD38}"/>
            </c:ext>
          </c:extLst>
        </c:ser>
        <c:ser>
          <c:idx val="4"/>
          <c:order val="4"/>
          <c:tx>
            <c:strRef>
              <c:f>'Ceny 4'!$G$5</c:f>
              <c:strCache>
                <c:ptCount val="1"/>
                <c:pt idx="0">
                  <c:v>Water supply, sewerage</c:v>
                </c:pt>
              </c:strCache>
            </c:strRef>
          </c:tx>
          <c:spPr>
            <a:ln w="22225" cap="rnd">
              <a:solidFill>
                <a:srgbClr val="0071BC"/>
              </a:solidFill>
              <a:round/>
            </a:ln>
            <a:effectLst/>
          </c:spPr>
          <c:marker>
            <c:symbol val="none"/>
          </c:marker>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4'!$G$6:$G$29</c:f>
              <c:numCache>
                <c:formatCode>General</c:formatCode>
                <c:ptCount val="24"/>
                <c:pt idx="0">
                  <c:v>1.9000000000000057</c:v>
                </c:pt>
                <c:pt idx="1">
                  <c:v>1.9000000000000057</c:v>
                </c:pt>
                <c:pt idx="2">
                  <c:v>1.9000000000000057</c:v>
                </c:pt>
                <c:pt idx="3">
                  <c:v>1.9000000000000057</c:v>
                </c:pt>
                <c:pt idx="4">
                  <c:v>2.9000000000000057</c:v>
                </c:pt>
                <c:pt idx="5">
                  <c:v>2.9000000000000057</c:v>
                </c:pt>
                <c:pt idx="6">
                  <c:v>2.9000000000000057</c:v>
                </c:pt>
                <c:pt idx="7">
                  <c:v>2.9000000000000057</c:v>
                </c:pt>
                <c:pt idx="8">
                  <c:v>5.4000000000000057</c:v>
                </c:pt>
                <c:pt idx="9">
                  <c:v>6.0999999999999943</c:v>
                </c:pt>
                <c:pt idx="10">
                  <c:v>6.4000000000000057</c:v>
                </c:pt>
                <c:pt idx="11">
                  <c:v>6.4000000000000057</c:v>
                </c:pt>
                <c:pt idx="12">
                  <c:v>6.9000000000000057</c:v>
                </c:pt>
                <c:pt idx="13">
                  <c:v>6.2000000000000028</c:v>
                </c:pt>
                <c:pt idx="14">
                  <c:v>5.9000000000000057</c:v>
                </c:pt>
                <c:pt idx="15">
                  <c:v>5.9000000000000057</c:v>
                </c:pt>
                <c:pt idx="16">
                  <c:v>5.2999999999999972</c:v>
                </c:pt>
                <c:pt idx="17">
                  <c:v>5.2999999999999972</c:v>
                </c:pt>
                <c:pt idx="18">
                  <c:v>5.2999999999999972</c:v>
                </c:pt>
                <c:pt idx="19">
                  <c:v>5.2999999999999972</c:v>
                </c:pt>
                <c:pt idx="20">
                  <c:v>16.299999999999997</c:v>
                </c:pt>
                <c:pt idx="21">
                  <c:v>16.299999999999997</c:v>
                </c:pt>
                <c:pt idx="22">
                  <c:v>16.3</c:v>
                </c:pt>
                <c:pt idx="23">
                  <c:v>16.3</c:v>
                </c:pt>
              </c:numCache>
            </c:numRef>
          </c:val>
          <c:smooth val="0"/>
          <c:extLst>
            <c:ext xmlns:c16="http://schemas.microsoft.com/office/drawing/2014/chart" uri="{C3380CC4-5D6E-409C-BE32-E72D297353CC}">
              <c16:uniqueId val="{00000004-0083-4C61-9AD0-035390ADAD38}"/>
            </c:ext>
          </c:extLst>
        </c:ser>
        <c:dLbls>
          <c:showLegendKey val="0"/>
          <c:showVal val="0"/>
          <c:showCatName val="0"/>
          <c:showSerName val="0"/>
          <c:showPercent val="0"/>
          <c:showBubbleSize val="0"/>
        </c:dLbls>
        <c:marker val="1"/>
        <c:smooth val="0"/>
        <c:axId val="1717494240"/>
        <c:axId val="1718275936"/>
      </c:lineChart>
      <c:catAx>
        <c:axId val="171749424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718275936"/>
        <c:crosses val="autoZero"/>
        <c:auto val="1"/>
        <c:lblAlgn val="ctr"/>
        <c:lblOffset val="100"/>
        <c:noMultiLvlLbl val="0"/>
      </c:catAx>
      <c:valAx>
        <c:axId val="1718275936"/>
        <c:scaling>
          <c:orientation val="minMax"/>
          <c:max val="60"/>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717494240"/>
        <c:crosses val="autoZero"/>
        <c:crossBetween val="between"/>
        <c:majorUnit val="5"/>
      </c:valAx>
      <c:spPr>
        <a:noFill/>
        <a:ln>
          <a:solidFill>
            <a:schemeClr val="tx1"/>
          </a:solidFill>
        </a:ln>
        <a:effectLst/>
      </c:spPr>
    </c:plotArea>
    <c:legend>
      <c:legendPos val="b"/>
      <c:layout>
        <c:manualLayout>
          <c:xMode val="edge"/>
          <c:yMode val="edge"/>
          <c:x val="5.4913125880123238E-2"/>
          <c:y val="0.80408628841607566"/>
          <c:w val="0.93175198788738656"/>
          <c:h val="0.18321187943262413"/>
        </c:manualLayout>
      </c:layout>
      <c:overlay val="0"/>
      <c:spPr>
        <a:noFill/>
        <a:ln>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204C7C21F48A488F44995C5F8FB06D" ma:contentTypeVersion="11" ma:contentTypeDescription="Vytvoří nový dokument" ma:contentTypeScope="" ma:versionID="9a58d24f60b264923fe9c7150327a53c">
  <xsd:schema xmlns:xsd="http://www.w3.org/2001/XMLSchema" xmlns:xs="http://www.w3.org/2001/XMLSchema" xmlns:p="http://schemas.microsoft.com/office/2006/metadata/properties" xmlns:ns3="b8c0c86d-151e-4fca-b0d5-747e6692fa1d" targetNamespace="http://schemas.microsoft.com/office/2006/metadata/properties" ma:root="true" ma:fieldsID="91c8efd7c542b57fe84d8bfb95d003d1" ns3:_="">
    <xsd:import namespace="b8c0c86d-151e-4fca-b0d5-747e6692fa1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0c86d-151e-4fca-b0d5-747e6692f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E5E561CC-7D6C-40EF-AB10-C45997A7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0c86d-151e-4fca-b0d5-747e6692f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38702-393C-4E0B-95FC-639749005827}">
  <ds:schemaRefs>
    <ds:schemaRef ds:uri="http://purl.org/dc/elements/1.1/"/>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8c0c86d-151e-4fca-b0d5-747e6692fa1d"/>
  </ds:schemaRefs>
</ds:datastoreItem>
</file>

<file path=customXml/itemProps4.xml><?xml version="1.0" encoding="utf-8"?>
<ds:datastoreItem xmlns:ds="http://schemas.openxmlformats.org/officeDocument/2006/customXml" ds:itemID="{9C56C51B-376D-45C3-A49A-E031EF441A18}">
  <ds:schemaRefs>
    <ds:schemaRef ds:uri="http://schemas.openxmlformats.org/officeDocument/2006/bibliography"/>
  </ds:schemaRefs>
</ds:datastoreItem>
</file>

<file path=customXml/itemProps5.xml><?xml version="1.0" encoding="utf-8"?>
<ds:datastoreItem xmlns:ds="http://schemas.openxmlformats.org/officeDocument/2006/customXml" ds:itemID="{347577C1-21B3-4362-B085-51CE71FE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7</Pages>
  <Words>3385</Words>
  <Characters>19978</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3</cp:revision>
  <cp:lastPrinted>2023-06-09T17:23:00Z</cp:lastPrinted>
  <dcterms:created xsi:type="dcterms:W3CDTF">2024-04-22T10:42:00Z</dcterms:created>
  <dcterms:modified xsi:type="dcterms:W3CDTF">2024-04-22T10:49:00Z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0x01010070204C7C21F48A488F44995C5F8FB06D</vt:lpwstr>
  </property>
  <property fmtid="{D5CDD505-2E9C-101B-9397-08002B2CF9AE}" pid="3" name="MSIP_Label_29db9e61-aac5-4f6e-805d-ceb8cb9983a1_Enabled">
    <vt:lpwstr>true</vt:lpwstr>
  </property>
  <property fmtid="{D5CDD505-2E9C-101B-9397-08002B2CF9AE}" pid="4" name="MSIP_Label_29db9e61-aac5-4f6e-805d-ceb8cb9983a1_SetDate">
    <vt:lpwstr>2024-03-22T14:14:48Z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eaf1372b-ac54-42e1-a5b2-08a13702404b</vt:lpwstr>
  </property>
  <property fmtid="{D5CDD505-2E9C-101B-9397-08002B2CF9AE}" pid="9" name="MSIP_Label_29db9e61-aac5-4f6e-805d-ceb8cb9983a1_ContentBits">
    <vt:lpwstr>0</vt:lpwstr>
  </property>
</Properties>
</file>