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24AC4" w14:textId="40B9F5CE" w:rsidR="00EA1EBB" w:rsidRPr="006E725C" w:rsidRDefault="00EA1EBB" w:rsidP="00EA1EBB">
      <w:pPr>
        <w:pStyle w:val="Nadpis11"/>
        <w:rPr>
          <w:sz w:val="2"/>
          <w:szCs w:val="2"/>
          <w:lang w:val="en-GB"/>
        </w:rPr>
      </w:pPr>
      <w:bookmarkStart w:id="0" w:name="_Toc121993822"/>
      <w:bookmarkStart w:id="1" w:name="_Toc145318534"/>
      <w:bookmarkStart w:id="2" w:name="_Toc153531176"/>
      <w:bookmarkStart w:id="3" w:name="_Toc161914424"/>
      <w:r w:rsidRPr="006E725C">
        <w:rPr>
          <w:lang w:val="en-GB"/>
        </w:rPr>
        <w:t>4</w:t>
      </w:r>
      <w:bookmarkStart w:id="4" w:name="_Toc511215218"/>
      <w:bookmarkStart w:id="5" w:name="_Toc19090679"/>
      <w:bookmarkStart w:id="6" w:name="_Toc74643856"/>
      <w:bookmarkStart w:id="7" w:name="_Toc42852411"/>
      <w:bookmarkStart w:id="8" w:name="_Toc74643857"/>
      <w:bookmarkEnd w:id="4"/>
      <w:bookmarkEnd w:id="5"/>
      <w:r w:rsidRPr="006E725C">
        <w:rPr>
          <w:lang w:val="en-GB"/>
        </w:rPr>
        <w:t>. </w:t>
      </w:r>
      <w:r w:rsidR="00170CFD" w:rsidRPr="006E725C">
        <w:rPr>
          <w:lang w:val="en-GB"/>
        </w:rPr>
        <w:t>External Relations</w:t>
      </w:r>
      <w:bookmarkEnd w:id="2"/>
      <w:bookmarkEnd w:id="3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21"/>
        <w:gridCol w:w="7670"/>
      </w:tblGrid>
      <w:tr w:rsidR="00EA1EBB" w:rsidRPr="006E725C" w14:paraId="6BED2C85" w14:textId="77777777" w:rsidTr="00EA1EBB">
        <w:trPr>
          <w:trHeight w:val="145"/>
        </w:trPr>
        <w:tc>
          <w:tcPr>
            <w:tcW w:w="1748" w:type="dxa"/>
            <w:hideMark/>
          </w:tcPr>
          <w:p w14:paraId="50BB4168" w14:textId="250F9A88" w:rsidR="00EA1EBB" w:rsidRPr="006E725C" w:rsidRDefault="0009445D">
            <w:pPr>
              <w:pStyle w:val="Marginlie"/>
              <w:rPr>
                <w:lang w:val="en-GB" w:eastAsia="en-US"/>
              </w:rPr>
            </w:pPr>
            <w:r w:rsidRPr="006E725C">
              <w:rPr>
                <w:lang w:val="en-GB" w:eastAsia="en-US"/>
              </w:rPr>
              <w:t xml:space="preserve">Value of exports of goods grew only slightly last year. </w:t>
            </w:r>
          </w:p>
        </w:tc>
        <w:tc>
          <w:tcPr>
            <w:tcW w:w="221" w:type="dxa"/>
          </w:tcPr>
          <w:p w14:paraId="3AC90487" w14:textId="77777777" w:rsidR="00EA1EBB" w:rsidRPr="006E725C" w:rsidRDefault="00EA1EBB">
            <w:pPr>
              <w:pStyle w:val="Textpoznpodarou"/>
              <w:jc w:val="both"/>
              <w:rPr>
                <w:spacing w:val="-4"/>
                <w:lang w:val="en-GB" w:eastAsia="en-US"/>
              </w:rPr>
            </w:pPr>
          </w:p>
        </w:tc>
        <w:tc>
          <w:tcPr>
            <w:tcW w:w="7670" w:type="dxa"/>
            <w:hideMark/>
          </w:tcPr>
          <w:p w14:paraId="4CBF8F66" w14:textId="38CE27BB" w:rsidR="00EA1EBB" w:rsidRPr="006E725C" w:rsidRDefault="00170CFD">
            <w:pPr>
              <w:spacing w:after="180"/>
              <w:rPr>
                <w:spacing w:val="-4"/>
                <w:lang w:val="en-GB" w:eastAsia="en-US"/>
              </w:rPr>
            </w:pPr>
            <w:r w:rsidRPr="006E725C">
              <w:rPr>
                <w:spacing w:val="-4"/>
                <w:lang w:val="en-GB" w:eastAsia="en-US"/>
              </w:rPr>
              <w:t>Total value of exports of goods</w:t>
            </w:r>
            <w:r w:rsidR="00EA1EBB" w:rsidRPr="006E725C">
              <w:rPr>
                <w:rStyle w:val="Znakapoznpodarou"/>
                <w:spacing w:val="-4"/>
                <w:lang w:val="en-GB" w:eastAsia="en-US"/>
              </w:rPr>
              <w:footnoteReference w:id="1"/>
            </w:r>
            <w:r w:rsidR="00EA1EBB" w:rsidRPr="006E725C">
              <w:rPr>
                <w:spacing w:val="-4"/>
                <w:lang w:val="en-GB" w:eastAsia="en-US"/>
              </w:rPr>
              <w:t xml:space="preserve"> </w:t>
            </w:r>
            <w:r w:rsidR="009C29ED" w:rsidRPr="006E725C">
              <w:rPr>
                <w:spacing w:val="-4"/>
                <w:lang w:val="en-GB" w:eastAsia="en-US"/>
              </w:rPr>
              <w:t xml:space="preserve">attained 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9C29ED" w:rsidRPr="006E725C">
              <w:rPr>
                <w:spacing w:val="-4"/>
                <w:lang w:val="en-GB" w:eastAsia="en-US"/>
              </w:rPr>
              <w:t> </w:t>
            </w:r>
            <w:r w:rsidR="00EA1EBB" w:rsidRPr="006E725C">
              <w:rPr>
                <w:spacing w:val="-4"/>
                <w:lang w:val="en-GB" w:eastAsia="en-US"/>
              </w:rPr>
              <w:t>452</w:t>
            </w:r>
            <w:r w:rsidR="009C29ED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</w:t>
            </w:r>
            <w:r w:rsidR="009C29ED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9C29ED" w:rsidRPr="006E725C">
              <w:rPr>
                <w:spacing w:val="-4"/>
                <w:lang w:val="en-GB" w:eastAsia="en-US"/>
              </w:rPr>
              <w:t xml:space="preserve"> in year 2023, which represented</w:t>
            </w:r>
            <w:r w:rsidR="000D71A4" w:rsidRPr="006E725C">
              <w:rPr>
                <w:spacing w:val="-4"/>
                <w:lang w:val="en-GB" w:eastAsia="en-US"/>
              </w:rPr>
              <w:t xml:space="preserve"> increase against year </w:t>
            </w:r>
            <w:r w:rsidR="00EA1EBB" w:rsidRPr="006E725C">
              <w:rPr>
                <w:spacing w:val="-4"/>
                <w:lang w:val="en-GB" w:eastAsia="en-US"/>
              </w:rPr>
              <w:t>2022</w:t>
            </w:r>
            <w:r w:rsidR="000D71A4" w:rsidRPr="006E725C">
              <w:rPr>
                <w:spacing w:val="-4"/>
                <w:lang w:val="en-GB" w:eastAsia="en-US"/>
              </w:rPr>
              <w:t xml:space="preserve"> of </w:t>
            </w:r>
            <w:r w:rsidR="00EA1EBB" w:rsidRPr="006E725C">
              <w:rPr>
                <w:spacing w:val="-4"/>
                <w:lang w:val="en-GB" w:eastAsia="en-US"/>
              </w:rPr>
              <w:t>45</w:t>
            </w:r>
            <w:r w:rsidR="000D71A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0D71A4" w:rsidRPr="006E725C">
              <w:rPr>
                <w:spacing w:val="-4"/>
                <w:lang w:val="en-GB" w:eastAsia="en-US"/>
              </w:rPr>
              <w:t xml:space="preserve"> bn </w:t>
            </w:r>
            <w:r w:rsidR="00EA1EBB" w:rsidRPr="006E725C">
              <w:rPr>
                <w:spacing w:val="-4"/>
                <w:lang w:val="en-GB" w:eastAsia="en-US"/>
              </w:rPr>
              <w:t>(1</w:t>
            </w:r>
            <w:r w:rsidR="000D71A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0%). </w:t>
            </w:r>
            <w:r w:rsidR="0050461B" w:rsidRPr="006E725C">
              <w:rPr>
                <w:spacing w:val="-4"/>
                <w:lang w:val="en-GB" w:eastAsia="en-US"/>
              </w:rPr>
              <w:t xml:space="preserve">Development in individual quarters however varied considerably and was affected by the comparative basis of year </w:t>
            </w:r>
            <w:r w:rsidR="00EA1EBB" w:rsidRPr="006E725C">
              <w:rPr>
                <w:spacing w:val="-4"/>
                <w:lang w:val="en-GB" w:eastAsia="en-US"/>
              </w:rPr>
              <w:t xml:space="preserve">2022 </w:t>
            </w:r>
            <w:r w:rsidR="0050461B" w:rsidRPr="006E725C">
              <w:rPr>
                <w:spacing w:val="-4"/>
                <w:lang w:val="en-GB" w:eastAsia="en-US"/>
              </w:rPr>
              <w:t>as well as the development of prices</w:t>
            </w:r>
            <w:r w:rsidR="00EA1EBB" w:rsidRPr="006E725C">
              <w:rPr>
                <w:rStyle w:val="Znakapoznpodarou"/>
                <w:spacing w:val="-4"/>
                <w:lang w:val="en-GB" w:eastAsia="en-US"/>
              </w:rPr>
              <w:footnoteReference w:id="2"/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50461B" w:rsidRPr="006E725C">
              <w:rPr>
                <w:spacing w:val="-4"/>
                <w:lang w:val="en-GB" w:eastAsia="en-US"/>
              </w:rPr>
              <w:t xml:space="preserve">Total mild increase of the value of </w:t>
            </w:r>
            <w:r w:rsidR="006D2CE1" w:rsidRPr="006E725C">
              <w:rPr>
                <w:spacing w:val="-4"/>
                <w:lang w:val="en-GB" w:eastAsia="en-US"/>
              </w:rPr>
              <w:t xml:space="preserve">exports of goods is the result of the favourable development </w:t>
            </w:r>
            <w:r w:rsidR="004F3A15" w:rsidRPr="006E725C">
              <w:rPr>
                <w:spacing w:val="-4"/>
                <w:lang w:val="en-GB" w:eastAsia="en-US"/>
              </w:rPr>
              <w:t>in</w:t>
            </w:r>
            <w:r w:rsidR="006D2CE1" w:rsidRPr="006E725C">
              <w:rPr>
                <w:spacing w:val="-4"/>
                <w:lang w:val="en-GB" w:eastAsia="en-US"/>
              </w:rPr>
              <w:t xml:space="preserve"> the first half of the year </w:t>
            </w:r>
            <w:r w:rsidR="00EA1EBB" w:rsidRPr="006E725C">
              <w:rPr>
                <w:spacing w:val="-4"/>
                <w:lang w:val="en-GB" w:eastAsia="en-US"/>
              </w:rPr>
              <w:t>(</w:t>
            </w:r>
            <w:r w:rsidR="00E139EC" w:rsidRPr="006E725C">
              <w:rPr>
                <w:spacing w:val="-4"/>
                <w:lang w:val="en-GB" w:eastAsia="en-US"/>
              </w:rPr>
              <w:t xml:space="preserve">mainly growth of </w:t>
            </w:r>
            <w:r w:rsidR="00EA1EBB" w:rsidRPr="006E725C">
              <w:rPr>
                <w:spacing w:val="-4"/>
                <w:lang w:val="en-GB" w:eastAsia="en-US"/>
              </w:rPr>
              <w:t>10</w:t>
            </w:r>
            <w:r w:rsidR="00E139EC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8%</w:t>
            </w:r>
            <w:r w:rsidR="00E139EC" w:rsidRPr="006E725C">
              <w:rPr>
                <w:spacing w:val="-4"/>
                <w:lang w:val="en-GB" w:eastAsia="en-US"/>
              </w:rPr>
              <w:t xml:space="preserve"> in Q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E139EC" w:rsidRPr="006E725C">
              <w:rPr>
                <w:spacing w:val="-4"/>
                <w:lang w:val="en-GB" w:eastAsia="en-US"/>
              </w:rPr>
              <w:t xml:space="preserve"> and </w:t>
            </w:r>
            <w:r w:rsidR="00021E39" w:rsidRPr="006E725C">
              <w:rPr>
                <w:spacing w:val="-4"/>
                <w:lang w:val="en-GB" w:eastAsia="en-US"/>
              </w:rPr>
              <w:t xml:space="preserve">mild increase by 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021E39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0%</w:t>
            </w:r>
            <w:r w:rsidR="00021E39" w:rsidRPr="006E725C">
              <w:rPr>
                <w:spacing w:val="-4"/>
                <w:lang w:val="en-GB" w:eastAsia="en-US"/>
              </w:rPr>
              <w:t xml:space="preserve"> in Q</w:t>
            </w:r>
            <w:r w:rsidR="00EA1EBB" w:rsidRPr="006E725C">
              <w:rPr>
                <w:spacing w:val="-4"/>
                <w:lang w:val="en-GB" w:eastAsia="en-US"/>
              </w:rPr>
              <w:t xml:space="preserve">2). </w:t>
            </w:r>
            <w:r w:rsidR="00317660" w:rsidRPr="006E725C">
              <w:rPr>
                <w:spacing w:val="-4"/>
                <w:lang w:val="en-GB" w:eastAsia="en-US"/>
              </w:rPr>
              <w:t>Nevertheless,</w:t>
            </w:r>
            <w:r w:rsidR="004F1A07" w:rsidRPr="006E725C">
              <w:rPr>
                <w:spacing w:val="-4"/>
                <w:lang w:val="en-GB" w:eastAsia="en-US"/>
              </w:rPr>
              <w:t xml:space="preserve"> the exports of goods fell year-on-year by </w:t>
            </w:r>
            <w:r w:rsidR="00EA1EBB" w:rsidRPr="006E725C">
              <w:rPr>
                <w:spacing w:val="-4"/>
                <w:lang w:val="en-GB" w:eastAsia="en-US"/>
              </w:rPr>
              <w:t>6</w:t>
            </w:r>
            <w:r w:rsidR="004F1A0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6%</w:t>
            </w:r>
            <w:r w:rsidR="007601D2" w:rsidRPr="006E725C">
              <w:rPr>
                <w:spacing w:val="-4"/>
                <w:lang w:val="en-GB" w:eastAsia="en-US"/>
              </w:rPr>
              <w:t xml:space="preserve"> in Q3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8A55F4" w:rsidRPr="006E725C">
              <w:rPr>
                <w:spacing w:val="-4"/>
                <w:lang w:val="en-GB" w:eastAsia="en-US"/>
              </w:rPr>
              <w:t xml:space="preserve">The decrease </w:t>
            </w:r>
            <w:r w:rsidR="00317660" w:rsidRPr="006E725C">
              <w:rPr>
                <w:spacing w:val="-4"/>
                <w:lang w:val="en-GB" w:eastAsia="en-US"/>
              </w:rPr>
              <w:t>reduced to 0.6% in Q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317660" w:rsidRPr="006E725C">
              <w:rPr>
                <w:spacing w:val="-4"/>
                <w:lang w:val="en-GB" w:eastAsia="en-US"/>
              </w:rPr>
              <w:t xml:space="preserve"> </w:t>
            </w:r>
            <w:r w:rsidR="00EA1EBB" w:rsidRPr="006E725C">
              <w:rPr>
                <w:spacing w:val="-4"/>
                <w:lang w:val="en-GB" w:eastAsia="en-US"/>
              </w:rPr>
              <w:t xml:space="preserve">2023. </w:t>
            </w:r>
            <w:r w:rsidR="00317660" w:rsidRPr="006E725C">
              <w:rPr>
                <w:spacing w:val="-4"/>
                <w:lang w:val="en-GB" w:eastAsia="en-US"/>
              </w:rPr>
              <w:t xml:space="preserve">Value of exports </w:t>
            </w:r>
            <w:r w:rsidR="00BF7BA0" w:rsidRPr="006E725C">
              <w:rPr>
                <w:spacing w:val="-4"/>
                <w:lang w:val="en-GB" w:eastAsia="en-US"/>
              </w:rPr>
              <w:t xml:space="preserve">decreased by </w:t>
            </w:r>
            <w:r w:rsidR="00EA1EBB" w:rsidRPr="006E725C">
              <w:rPr>
                <w:spacing w:val="-4"/>
                <w:lang w:val="en-GB" w:eastAsia="en-US"/>
              </w:rPr>
              <w:t>7</w:t>
            </w:r>
            <w:r w:rsidR="00BF7BA0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BF7BA0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BF7BA0" w:rsidRPr="006E725C">
              <w:rPr>
                <w:spacing w:val="-4"/>
                <w:lang w:val="en-GB" w:eastAsia="en-US"/>
              </w:rPr>
              <w:t xml:space="preserve"> and </w:t>
            </w:r>
            <w:r w:rsidR="00037D64" w:rsidRPr="006E725C">
              <w:rPr>
                <w:spacing w:val="-4"/>
                <w:lang w:val="en-GB" w:eastAsia="en-US"/>
              </w:rPr>
              <w:t xml:space="preserve">attained 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037D64" w:rsidRPr="006E725C">
              <w:rPr>
                <w:spacing w:val="-4"/>
                <w:lang w:val="en-GB" w:eastAsia="en-US"/>
              </w:rPr>
              <w:t> </w:t>
            </w:r>
            <w:r w:rsidR="00EA1EBB" w:rsidRPr="006E725C">
              <w:rPr>
                <w:spacing w:val="-4"/>
                <w:lang w:val="en-GB" w:eastAsia="en-US"/>
              </w:rPr>
              <w:t>138</w:t>
            </w:r>
            <w:r w:rsidR="00037D6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</w:t>
            </w:r>
            <w:r w:rsidR="00037D64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687E40" w:rsidRPr="006E725C">
              <w:rPr>
                <w:spacing w:val="-4"/>
                <w:lang w:val="en-GB" w:eastAsia="en-US"/>
              </w:rPr>
              <w:t xml:space="preserve">Based on the seasonally adjusted data, </w:t>
            </w:r>
            <w:r w:rsidR="0035378B" w:rsidRPr="006E725C">
              <w:rPr>
                <w:spacing w:val="-4"/>
                <w:lang w:val="en-GB" w:eastAsia="en-US"/>
              </w:rPr>
              <w:t xml:space="preserve">the value of exports increased by 1.6% quarter-on-quarter in Q4. </w:t>
            </w:r>
            <w:r w:rsidR="00EA1EBB" w:rsidRPr="006E725C">
              <w:rPr>
                <w:spacing w:val="-4"/>
                <w:lang w:val="en-GB" w:eastAsia="en-US"/>
              </w:rPr>
              <w:t xml:space="preserve">    </w:t>
            </w:r>
          </w:p>
        </w:tc>
      </w:tr>
      <w:tr w:rsidR="00EA1EBB" w:rsidRPr="006E725C" w14:paraId="19906319" w14:textId="77777777" w:rsidTr="00EA1EBB">
        <w:trPr>
          <w:trHeight w:val="145"/>
        </w:trPr>
        <w:tc>
          <w:tcPr>
            <w:tcW w:w="1748" w:type="dxa"/>
            <w:hideMark/>
          </w:tcPr>
          <w:p w14:paraId="04D1DCD0" w14:textId="497E8B6F" w:rsidR="00EA1EBB" w:rsidRPr="006E725C" w:rsidRDefault="005650DC">
            <w:pPr>
              <w:pStyle w:val="Marginlie"/>
              <w:rPr>
                <w:lang w:val="en-GB" w:eastAsia="en-US"/>
              </w:rPr>
            </w:pPr>
            <w:r w:rsidRPr="006E725C">
              <w:rPr>
                <w:lang w:val="en-GB" w:eastAsia="en-US"/>
              </w:rPr>
              <w:t xml:space="preserve">Export to the EU stagnated last year. Export outside the EU slightly increased. </w:t>
            </w:r>
          </w:p>
        </w:tc>
        <w:tc>
          <w:tcPr>
            <w:tcW w:w="221" w:type="dxa"/>
          </w:tcPr>
          <w:p w14:paraId="0210B9A9" w14:textId="77777777" w:rsidR="00EA1EBB" w:rsidRPr="006E725C" w:rsidRDefault="00EA1EBB">
            <w:pPr>
              <w:pStyle w:val="Textpoznpodarou"/>
              <w:jc w:val="both"/>
              <w:rPr>
                <w:spacing w:val="-4"/>
                <w:lang w:val="en-GB" w:eastAsia="en-US"/>
              </w:rPr>
            </w:pPr>
          </w:p>
        </w:tc>
        <w:tc>
          <w:tcPr>
            <w:tcW w:w="7670" w:type="dxa"/>
            <w:hideMark/>
          </w:tcPr>
          <w:p w14:paraId="56AF2E4F" w14:textId="47E7F2F5" w:rsidR="00EA1EBB" w:rsidRPr="006E725C" w:rsidRDefault="0035378B">
            <w:pPr>
              <w:spacing w:after="180"/>
              <w:rPr>
                <w:spacing w:val="-4"/>
                <w:lang w:val="en-GB" w:eastAsia="en-US"/>
              </w:rPr>
            </w:pPr>
            <w:r w:rsidRPr="006E725C">
              <w:rPr>
                <w:spacing w:val="-4"/>
                <w:lang w:val="en-GB" w:eastAsia="en-US"/>
              </w:rPr>
              <w:t xml:space="preserve">Value of exports into the EU countries basically </w:t>
            </w:r>
            <w:r w:rsidR="00073B01" w:rsidRPr="006E725C">
              <w:rPr>
                <w:spacing w:val="-4"/>
                <w:lang w:val="en-GB" w:eastAsia="en-US"/>
              </w:rPr>
              <w:t xml:space="preserve">stagnated for the whole year </w:t>
            </w:r>
            <w:r w:rsidR="00EA1EBB" w:rsidRPr="006E725C">
              <w:rPr>
                <w:spacing w:val="-4"/>
                <w:lang w:val="en-GB" w:eastAsia="en-US"/>
              </w:rPr>
              <w:t>2023</w:t>
            </w:r>
            <w:r w:rsidR="00073B01" w:rsidRPr="006E725C">
              <w:rPr>
                <w:spacing w:val="-4"/>
                <w:lang w:val="en-GB" w:eastAsia="en-US"/>
              </w:rPr>
              <w:t xml:space="preserve"> </w:t>
            </w:r>
            <w:r w:rsidR="00EA1EBB" w:rsidRPr="006E725C">
              <w:rPr>
                <w:spacing w:val="-4"/>
                <w:lang w:val="en-GB" w:eastAsia="en-US"/>
              </w:rPr>
              <w:t>(</w:t>
            </w:r>
            <w:r w:rsidR="00073B01" w:rsidRPr="006E725C">
              <w:rPr>
                <w:spacing w:val="-4"/>
                <w:lang w:val="en-GB" w:eastAsia="en-US"/>
              </w:rPr>
              <w:t xml:space="preserve">growth </w:t>
            </w:r>
            <w:r w:rsidR="00486A1C" w:rsidRPr="006E725C">
              <w:rPr>
                <w:spacing w:val="-4"/>
                <w:lang w:val="en-GB" w:eastAsia="en-US"/>
              </w:rPr>
              <w:t xml:space="preserve">of 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="00486A1C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486A1C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0</w:t>
            </w:r>
            <w:r w:rsidR="00486A1C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1%), </w:t>
            </w:r>
            <w:r w:rsidR="0078440C" w:rsidRPr="006E725C">
              <w:rPr>
                <w:spacing w:val="-4"/>
                <w:lang w:val="en-GB" w:eastAsia="en-US"/>
              </w:rPr>
              <w:t>because the export</w:t>
            </w:r>
            <w:r w:rsidR="003F7447" w:rsidRPr="006E725C">
              <w:rPr>
                <w:spacing w:val="-4"/>
                <w:lang w:val="en-GB" w:eastAsia="en-US"/>
              </w:rPr>
              <w:t xml:space="preserve">s started after the strong increase in the first quarter of the year falling year-on-year and the </w:t>
            </w:r>
            <w:r w:rsidR="00511E2E" w:rsidRPr="006E725C">
              <w:rPr>
                <w:spacing w:val="-4"/>
                <w:lang w:val="en-GB" w:eastAsia="en-US"/>
              </w:rPr>
              <w:t xml:space="preserve">slump further </w:t>
            </w:r>
            <w:r w:rsidR="00B11117" w:rsidRPr="006E725C">
              <w:rPr>
                <w:spacing w:val="-4"/>
                <w:lang w:val="en-GB" w:eastAsia="en-US"/>
              </w:rPr>
              <w:t>deepened</w:t>
            </w:r>
            <w:r w:rsidR="00511E2E" w:rsidRPr="006E725C">
              <w:rPr>
                <w:spacing w:val="-4"/>
                <w:lang w:val="en-GB" w:eastAsia="en-US"/>
              </w:rPr>
              <w:t xml:space="preserve"> in H</w:t>
            </w:r>
            <w:r w:rsidR="00EA1EBB" w:rsidRPr="006E725C">
              <w:rPr>
                <w:spacing w:val="-4"/>
                <w:lang w:val="en-GB" w:eastAsia="en-US"/>
              </w:rPr>
              <w:t>2.</w:t>
            </w:r>
            <w:r w:rsidR="00511E2E" w:rsidRPr="006E725C">
              <w:rPr>
                <w:spacing w:val="-4"/>
                <w:lang w:val="en-GB" w:eastAsia="en-US"/>
              </w:rPr>
              <w:t xml:space="preserve"> </w:t>
            </w:r>
            <w:r w:rsidR="00225B43" w:rsidRPr="006E725C">
              <w:rPr>
                <w:spacing w:val="-4"/>
                <w:lang w:val="en-GB" w:eastAsia="en-US"/>
              </w:rPr>
              <w:t xml:space="preserve">The dynamics of exports into the EU thus did not follow up in the two significant </w:t>
            </w:r>
            <w:r w:rsidR="0024385F" w:rsidRPr="006E725C">
              <w:rPr>
                <w:spacing w:val="-4"/>
                <w:lang w:val="en-GB" w:eastAsia="en-US"/>
              </w:rPr>
              <w:t>increases</w:t>
            </w:r>
            <w:r w:rsidR="00225B43" w:rsidRPr="006E725C">
              <w:rPr>
                <w:spacing w:val="-4"/>
                <w:lang w:val="en-GB" w:eastAsia="en-US"/>
              </w:rPr>
              <w:t xml:space="preserve"> from years </w:t>
            </w:r>
            <w:r w:rsidR="0024385F" w:rsidRPr="006E725C">
              <w:rPr>
                <w:spacing w:val="-4"/>
                <w:lang w:val="en-GB" w:eastAsia="en-US"/>
              </w:rPr>
              <w:t>20</w:t>
            </w:r>
            <w:r w:rsidR="00EA1EBB" w:rsidRPr="006E725C">
              <w:rPr>
                <w:spacing w:val="-4"/>
                <w:lang w:val="en-GB" w:eastAsia="en-US"/>
              </w:rPr>
              <w:t xml:space="preserve">21 </w:t>
            </w:r>
            <w:r w:rsidR="00C67C7F" w:rsidRPr="006E725C">
              <w:rPr>
                <w:spacing w:val="-4"/>
                <w:lang w:val="en-GB" w:eastAsia="en-US"/>
              </w:rPr>
              <w:t>and</w:t>
            </w:r>
            <w:r w:rsidR="00EA1EBB" w:rsidRPr="006E725C">
              <w:rPr>
                <w:spacing w:val="-4"/>
                <w:lang w:val="en-GB" w:eastAsia="en-US"/>
              </w:rPr>
              <w:t xml:space="preserve"> 2022. Export</w:t>
            </w:r>
            <w:r w:rsidR="0024385F" w:rsidRPr="006E725C">
              <w:rPr>
                <w:spacing w:val="-4"/>
                <w:lang w:val="en-GB" w:eastAsia="en-US"/>
              </w:rPr>
              <w:t xml:space="preserve">s to countries outside the EU rose in total by </w:t>
            </w:r>
            <w:r w:rsidR="00EA1EBB" w:rsidRPr="006E725C">
              <w:rPr>
                <w:spacing w:val="-4"/>
                <w:lang w:val="en-GB" w:eastAsia="en-US"/>
              </w:rPr>
              <w:t>41</w:t>
            </w:r>
            <w:r w:rsidR="0024385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</w:t>
            </w:r>
            <w:r w:rsidR="0024385F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24385F" w:rsidRPr="006E725C">
              <w:rPr>
                <w:spacing w:val="-4"/>
                <w:lang w:val="en-GB" w:eastAsia="en-US"/>
              </w:rPr>
              <w:t xml:space="preserve"> </w:t>
            </w:r>
            <w:r w:rsidR="00EA1EBB" w:rsidRPr="006E725C">
              <w:rPr>
                <w:spacing w:val="-4"/>
                <w:lang w:val="en-GB" w:eastAsia="en-US"/>
              </w:rPr>
              <w:t>(4</w:t>
            </w:r>
            <w:r w:rsidR="0024385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9%). </w:t>
            </w:r>
            <w:r w:rsidR="00C02B1B" w:rsidRPr="006E725C">
              <w:rPr>
                <w:spacing w:val="-4"/>
                <w:lang w:val="en-GB" w:eastAsia="en-US"/>
              </w:rPr>
              <w:t xml:space="preserve">The </w:t>
            </w:r>
            <w:r w:rsidR="00304439" w:rsidRPr="006E725C">
              <w:rPr>
                <w:spacing w:val="-4"/>
                <w:lang w:val="en-GB" w:eastAsia="en-US"/>
              </w:rPr>
              <w:t xml:space="preserve">total </w:t>
            </w:r>
            <w:r w:rsidR="00C02B1B" w:rsidRPr="006E725C">
              <w:rPr>
                <w:spacing w:val="-4"/>
                <w:lang w:val="en-GB" w:eastAsia="en-US"/>
              </w:rPr>
              <w:t xml:space="preserve">exports </w:t>
            </w:r>
            <w:r w:rsidR="00370384" w:rsidRPr="006E725C">
              <w:rPr>
                <w:spacing w:val="-4"/>
                <w:lang w:val="en-GB" w:eastAsia="en-US"/>
              </w:rPr>
              <w:t xml:space="preserve">increased only slightly or stagnated </w:t>
            </w:r>
            <w:r w:rsidR="00F422EF" w:rsidRPr="006E725C">
              <w:rPr>
                <w:spacing w:val="-4"/>
                <w:lang w:val="en-GB" w:eastAsia="en-US"/>
              </w:rPr>
              <w:t xml:space="preserve">in </w:t>
            </w:r>
            <w:r w:rsidR="00B21DE7" w:rsidRPr="006E725C">
              <w:rPr>
                <w:spacing w:val="-4"/>
                <w:lang w:val="en-GB" w:eastAsia="en-US"/>
              </w:rPr>
              <w:t>several</w:t>
            </w:r>
            <w:r w:rsidR="00370384" w:rsidRPr="006E725C">
              <w:rPr>
                <w:spacing w:val="-4"/>
                <w:lang w:val="en-GB" w:eastAsia="en-US"/>
              </w:rPr>
              <w:t xml:space="preserve"> countries last year. </w:t>
            </w:r>
            <w:r w:rsidR="008F4D9C" w:rsidRPr="006E725C">
              <w:rPr>
                <w:spacing w:val="-4"/>
                <w:lang w:val="en-GB" w:eastAsia="en-US"/>
              </w:rPr>
              <w:t>Changes of electricity influenced the export development especially at our geographic neighbours</w:t>
            </w:r>
            <w:r w:rsidR="00EA1EBB" w:rsidRPr="006E725C">
              <w:rPr>
                <w:rStyle w:val="Znakapoznpodarou"/>
                <w:spacing w:val="-4"/>
                <w:lang w:val="en-GB" w:eastAsia="en-US"/>
              </w:rPr>
              <w:footnoteReference w:id="3"/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B21DE7" w:rsidRPr="006E725C">
              <w:rPr>
                <w:spacing w:val="-4"/>
                <w:lang w:val="en-GB" w:eastAsia="en-US"/>
              </w:rPr>
              <w:t xml:space="preserve">The value of exports of goods increased the most </w:t>
            </w:r>
            <w:r w:rsidR="00961CB4" w:rsidRPr="006E725C">
              <w:rPr>
                <w:spacing w:val="-4"/>
                <w:lang w:val="en-GB" w:eastAsia="en-US"/>
              </w:rPr>
              <w:t xml:space="preserve">to Turkey </w:t>
            </w:r>
            <w:r w:rsidR="00EA1EBB" w:rsidRPr="006E725C">
              <w:rPr>
                <w:spacing w:val="-4"/>
                <w:lang w:val="en-GB" w:eastAsia="en-US"/>
              </w:rPr>
              <w:t>(+17</w:t>
            </w:r>
            <w:r w:rsidR="00961CB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961CB4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34</w:t>
            </w:r>
            <w:r w:rsidR="00961CB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1%),</w:t>
            </w:r>
            <w:r w:rsidR="00961CB4" w:rsidRPr="006E725C">
              <w:rPr>
                <w:spacing w:val="-4"/>
                <w:lang w:val="en-GB" w:eastAsia="en-US"/>
              </w:rPr>
              <w:t xml:space="preserve"> Great Britain </w:t>
            </w:r>
            <w:r w:rsidR="00EA1EBB" w:rsidRPr="006E725C">
              <w:rPr>
                <w:spacing w:val="-4"/>
                <w:lang w:val="en-GB" w:eastAsia="en-US"/>
              </w:rPr>
              <w:t>(+15</w:t>
            </w:r>
            <w:r w:rsidR="00961CB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961CB4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9</w:t>
            </w:r>
            <w:r w:rsidR="00961CB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1%), Fran</w:t>
            </w:r>
            <w:r w:rsidR="00961CB4" w:rsidRPr="006E725C">
              <w:rPr>
                <w:spacing w:val="-4"/>
                <w:lang w:val="en-GB" w:eastAsia="en-US"/>
              </w:rPr>
              <w:t>c</w:t>
            </w:r>
            <w:r w:rsidR="00EA1EBB" w:rsidRPr="006E725C">
              <w:rPr>
                <w:spacing w:val="-4"/>
                <w:lang w:val="en-GB" w:eastAsia="en-US"/>
              </w:rPr>
              <w:t>e (+11</w:t>
            </w:r>
            <w:r w:rsidR="00961CB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961CB4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5</w:t>
            </w:r>
            <w:r w:rsidR="00961CB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3%), </w:t>
            </w:r>
            <w:r w:rsidR="00961CB4" w:rsidRPr="006E725C">
              <w:rPr>
                <w:spacing w:val="-4"/>
                <w:lang w:val="en-GB" w:eastAsia="en-US"/>
              </w:rPr>
              <w:t xml:space="preserve">Germany </w:t>
            </w:r>
            <w:r w:rsidR="00EA1EBB" w:rsidRPr="006E725C">
              <w:rPr>
                <w:spacing w:val="-4"/>
                <w:lang w:val="en-GB" w:eastAsia="en-US"/>
              </w:rPr>
              <w:t>(+13</w:t>
            </w:r>
            <w:r w:rsidR="00961CB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8</w:t>
            </w:r>
            <w:r w:rsidR="00961CB4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1</w:t>
            </w:r>
            <w:r w:rsidR="00961CB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0%), Pol</w:t>
            </w:r>
            <w:r w:rsidR="00961CB4" w:rsidRPr="006E725C">
              <w:rPr>
                <w:spacing w:val="-4"/>
                <w:lang w:val="en-GB" w:eastAsia="en-US"/>
              </w:rPr>
              <w:t xml:space="preserve">and </w:t>
            </w:r>
            <w:r w:rsidR="00EA1EBB" w:rsidRPr="006E725C">
              <w:rPr>
                <w:spacing w:val="-4"/>
                <w:lang w:val="en-GB" w:eastAsia="en-US"/>
              </w:rPr>
              <w:t>(+10</w:t>
            </w:r>
            <w:r w:rsidR="00961CB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0 </w:t>
            </w:r>
            <w:r w:rsidR="00961CB4" w:rsidRPr="006E725C">
              <w:rPr>
                <w:spacing w:val="-4"/>
                <w:lang w:val="en-GB" w:eastAsia="en-US"/>
              </w:rPr>
              <w:t>bn</w:t>
            </w:r>
            <w:r w:rsidR="00EA1EBB" w:rsidRPr="006E725C">
              <w:rPr>
                <w:spacing w:val="-4"/>
                <w:lang w:val="en-GB" w:eastAsia="en-US"/>
              </w:rPr>
              <w:t>, 3</w:t>
            </w:r>
            <w:r w:rsidR="00961CB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2%), </w:t>
            </w:r>
            <w:r w:rsidR="003B4538" w:rsidRPr="006E725C">
              <w:rPr>
                <w:spacing w:val="-4"/>
                <w:lang w:val="en-GB" w:eastAsia="en-US"/>
              </w:rPr>
              <w:t xml:space="preserve">Ukraine </w:t>
            </w:r>
            <w:r w:rsidR="00EA1EBB" w:rsidRPr="006E725C">
              <w:rPr>
                <w:spacing w:val="-4"/>
                <w:lang w:val="en-GB" w:eastAsia="en-US"/>
              </w:rPr>
              <w:t>(+9</w:t>
            </w:r>
            <w:r w:rsidR="003B453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</w:t>
            </w:r>
            <w:r w:rsidR="003B4538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38</w:t>
            </w:r>
            <w:r w:rsidR="003B453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1%), </w:t>
            </w:r>
            <w:r w:rsidR="003B4538" w:rsidRPr="006E725C">
              <w:rPr>
                <w:spacing w:val="-4"/>
                <w:lang w:val="en-GB" w:eastAsia="en-US"/>
              </w:rPr>
              <w:t xml:space="preserve">to Switzerland </w:t>
            </w:r>
            <w:r w:rsidR="00EA1EBB" w:rsidRPr="006E725C">
              <w:rPr>
                <w:spacing w:val="-4"/>
                <w:lang w:val="en-GB" w:eastAsia="en-US"/>
              </w:rPr>
              <w:t>(+7</w:t>
            </w:r>
            <w:r w:rsidR="003B453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0</w:t>
            </w:r>
            <w:r w:rsidR="003B4538" w:rsidRPr="006E725C">
              <w:rPr>
                <w:spacing w:val="-4"/>
                <w:lang w:val="en-GB" w:eastAsia="en-US"/>
              </w:rPr>
              <w:t xml:space="preserve"> bn,</w:t>
            </w:r>
            <w:r w:rsidR="00EA1EBB" w:rsidRPr="006E725C">
              <w:rPr>
                <w:spacing w:val="-4"/>
                <w:lang w:val="en-GB" w:eastAsia="en-US"/>
              </w:rPr>
              <w:t xml:space="preserve"> 9</w:t>
            </w:r>
            <w:r w:rsidR="003B453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4%) a</w:t>
            </w:r>
            <w:r w:rsidR="003B4538" w:rsidRPr="006E725C">
              <w:rPr>
                <w:spacing w:val="-4"/>
                <w:lang w:val="en-GB" w:eastAsia="en-US"/>
              </w:rPr>
              <w:t xml:space="preserve">nd to Hungary </w:t>
            </w:r>
            <w:r w:rsidR="00EA1EBB" w:rsidRPr="006E725C">
              <w:rPr>
                <w:spacing w:val="-4"/>
                <w:lang w:val="en-GB" w:eastAsia="en-US"/>
              </w:rPr>
              <w:t>(+5</w:t>
            </w:r>
            <w:r w:rsidR="003B453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3B4538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3</w:t>
            </w:r>
            <w:r w:rsidR="003B453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9%)</w:t>
            </w:r>
            <w:r w:rsidR="00AB0596" w:rsidRPr="006E725C">
              <w:rPr>
                <w:spacing w:val="-4"/>
                <w:lang w:val="en-GB" w:eastAsia="en-US"/>
              </w:rPr>
              <w:t xml:space="preserve"> last year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5E7BB3" w:rsidRPr="006E725C">
              <w:rPr>
                <w:spacing w:val="-4"/>
                <w:lang w:val="en-GB" w:eastAsia="en-US"/>
              </w:rPr>
              <w:t>On the other hand</w:t>
            </w:r>
            <w:r w:rsidR="0066063F" w:rsidRPr="006E725C">
              <w:rPr>
                <w:spacing w:val="-4"/>
                <w:lang w:val="en-GB" w:eastAsia="en-US"/>
              </w:rPr>
              <w:t xml:space="preserve">, exports of goods </w:t>
            </w:r>
            <w:r w:rsidR="00D47573" w:rsidRPr="006E725C">
              <w:rPr>
                <w:spacing w:val="-4"/>
                <w:lang w:val="en-GB" w:eastAsia="en-US"/>
              </w:rPr>
              <w:t xml:space="preserve">sank </w:t>
            </w:r>
            <w:r w:rsidR="00721BE1" w:rsidRPr="006E725C">
              <w:rPr>
                <w:spacing w:val="-4"/>
                <w:lang w:val="en-GB" w:eastAsia="en-US"/>
              </w:rPr>
              <w:t>to Slovakia</w:t>
            </w:r>
            <w:r w:rsidR="00D47573" w:rsidRPr="006E725C">
              <w:rPr>
                <w:spacing w:val="-4"/>
                <w:lang w:val="en-GB" w:eastAsia="en-US"/>
              </w:rPr>
              <w:t xml:space="preserve"> </w:t>
            </w:r>
            <w:r w:rsidR="00EA1EBB" w:rsidRPr="006E725C">
              <w:rPr>
                <w:spacing w:val="-4"/>
                <w:lang w:val="en-GB" w:eastAsia="en-US"/>
              </w:rPr>
              <w:t>(−32</w:t>
            </w:r>
            <w:r w:rsidR="00D4757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="00D47573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−7</w:t>
            </w:r>
            <w:r w:rsidR="00D4757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2%),</w:t>
            </w:r>
            <w:r w:rsidR="00D47573" w:rsidRPr="006E725C">
              <w:rPr>
                <w:spacing w:val="-4"/>
                <w:lang w:val="en-GB" w:eastAsia="en-US"/>
              </w:rPr>
              <w:t xml:space="preserve"> to Austria </w:t>
            </w:r>
            <w:r w:rsidR="00EA1EBB" w:rsidRPr="006E725C">
              <w:rPr>
                <w:spacing w:val="-4"/>
                <w:lang w:val="en-GB" w:eastAsia="en-US"/>
              </w:rPr>
              <w:t>(−22</w:t>
            </w:r>
            <w:r w:rsidR="00D4757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="00D47573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−11</w:t>
            </w:r>
            <w:r w:rsidR="00D4757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1%) </w:t>
            </w:r>
            <w:r w:rsidR="00D47573" w:rsidRPr="006E725C">
              <w:rPr>
                <w:spacing w:val="-4"/>
                <w:lang w:val="en-GB" w:eastAsia="en-US"/>
              </w:rPr>
              <w:t xml:space="preserve">or to Russia </w:t>
            </w:r>
            <w:r w:rsidR="00EA1EBB" w:rsidRPr="006E725C">
              <w:rPr>
                <w:spacing w:val="-4"/>
                <w:lang w:val="en-GB" w:eastAsia="en-US"/>
              </w:rPr>
              <w:t>(−16</w:t>
            </w:r>
            <w:r w:rsidR="00D4757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9 </w:t>
            </w:r>
            <w:r w:rsidR="00D47573" w:rsidRPr="006E725C">
              <w:rPr>
                <w:spacing w:val="-4"/>
                <w:lang w:val="en-GB" w:eastAsia="en-US"/>
              </w:rPr>
              <w:t>bn</w:t>
            </w:r>
            <w:r w:rsidR="00EA1EBB" w:rsidRPr="006E725C">
              <w:rPr>
                <w:spacing w:val="-4"/>
                <w:lang w:val="en-GB" w:eastAsia="en-US"/>
              </w:rPr>
              <w:t>, −52</w:t>
            </w:r>
            <w:r w:rsidR="00D4757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3%). </w:t>
            </w:r>
            <w:r w:rsidR="00A05C51" w:rsidRPr="006E725C">
              <w:rPr>
                <w:spacing w:val="-4"/>
                <w:lang w:val="en-GB" w:eastAsia="en-US"/>
              </w:rPr>
              <w:t xml:space="preserve">More </w:t>
            </w:r>
            <w:r w:rsidR="00881DFE" w:rsidRPr="006E725C">
              <w:rPr>
                <w:spacing w:val="-4"/>
                <w:lang w:val="en-GB" w:eastAsia="en-US"/>
              </w:rPr>
              <w:t>detailed</w:t>
            </w:r>
            <w:r w:rsidR="00A05C51" w:rsidRPr="006E725C">
              <w:rPr>
                <w:spacing w:val="-4"/>
                <w:lang w:val="en-GB" w:eastAsia="en-US"/>
              </w:rPr>
              <w:t xml:space="preserve"> view of </w:t>
            </w:r>
            <w:r w:rsidR="00881DFE" w:rsidRPr="006E725C">
              <w:rPr>
                <w:spacing w:val="-4"/>
                <w:lang w:val="en-GB" w:eastAsia="en-US"/>
              </w:rPr>
              <w:t xml:space="preserve">smaller business partners shows the ongoing sharp growth of exports to </w:t>
            </w:r>
            <w:r w:rsidR="007907D5" w:rsidRPr="006E725C">
              <w:rPr>
                <w:spacing w:val="-4"/>
                <w:lang w:val="en-GB" w:eastAsia="en-US"/>
              </w:rPr>
              <w:t>Azerbaijan</w:t>
            </w:r>
            <w:r w:rsidR="00881DFE" w:rsidRPr="006E725C">
              <w:rPr>
                <w:spacing w:val="-4"/>
                <w:lang w:val="en-GB" w:eastAsia="en-US"/>
              </w:rPr>
              <w:t xml:space="preserve"> </w:t>
            </w:r>
            <w:r w:rsidR="00EA1EBB" w:rsidRPr="006E725C">
              <w:rPr>
                <w:spacing w:val="-4"/>
                <w:lang w:val="en-GB" w:eastAsia="en-US"/>
              </w:rPr>
              <w:t>(+1</w:t>
            </w:r>
            <w:r w:rsidR="007907D5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7907D5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49</w:t>
            </w:r>
            <w:r w:rsidR="007907D5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7%) a</w:t>
            </w:r>
            <w:r w:rsidR="007907D5" w:rsidRPr="006E725C">
              <w:rPr>
                <w:spacing w:val="-4"/>
                <w:lang w:val="en-GB" w:eastAsia="en-US"/>
              </w:rPr>
              <w:t xml:space="preserve">nd marked increase of exports to Indonesia </w:t>
            </w:r>
            <w:r w:rsidR="00EA1EBB" w:rsidRPr="006E725C">
              <w:rPr>
                <w:spacing w:val="-4"/>
                <w:lang w:val="en-GB" w:eastAsia="en-US"/>
              </w:rPr>
              <w:t>(+1</w:t>
            </w:r>
            <w:r w:rsidR="007907D5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6</w:t>
            </w:r>
            <w:r w:rsidR="007907D5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74</w:t>
            </w:r>
            <w:r w:rsidR="007907D5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0%).</w:t>
            </w:r>
            <w:r w:rsidR="00E4529D" w:rsidRPr="006E725C">
              <w:rPr>
                <w:spacing w:val="-4"/>
                <w:lang w:val="en-GB" w:eastAsia="en-US"/>
              </w:rPr>
              <w:t xml:space="preserve"> The</w:t>
            </w:r>
            <w:r w:rsidR="004878F0" w:rsidRPr="006E725C">
              <w:rPr>
                <w:spacing w:val="-4"/>
                <w:lang w:val="en-GB" w:eastAsia="en-US"/>
              </w:rPr>
              <w:t xml:space="preserve"> exports into the European Union </w:t>
            </w:r>
            <w:r w:rsidR="000A288C" w:rsidRPr="006E725C">
              <w:rPr>
                <w:spacing w:val="-4"/>
                <w:lang w:val="en-GB" w:eastAsia="en-US"/>
              </w:rPr>
              <w:t xml:space="preserve">slumped </w:t>
            </w:r>
            <w:r w:rsidR="00C653D5" w:rsidRPr="006E725C">
              <w:rPr>
                <w:spacing w:val="-4"/>
                <w:lang w:val="en-GB" w:eastAsia="en-US"/>
              </w:rPr>
              <w:t xml:space="preserve">by </w:t>
            </w:r>
            <w:r w:rsidR="00EA1EBB" w:rsidRPr="006E725C">
              <w:rPr>
                <w:spacing w:val="-4"/>
                <w:lang w:val="en-GB" w:eastAsia="en-US"/>
              </w:rPr>
              <w:t>20</w:t>
            </w:r>
            <w:r w:rsidR="00C653D5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0</w:t>
            </w:r>
            <w:r w:rsidR="00C653D5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C653D5" w:rsidRPr="006E725C">
              <w:rPr>
                <w:spacing w:val="-4"/>
                <w:lang w:val="en-GB" w:eastAsia="en-US"/>
              </w:rPr>
              <w:t xml:space="preserve"> year-on-year </w:t>
            </w:r>
            <w:r w:rsidR="00EA1EBB" w:rsidRPr="006E725C">
              <w:rPr>
                <w:spacing w:val="-4"/>
                <w:lang w:val="en-GB" w:eastAsia="en-US"/>
              </w:rPr>
              <w:t>(−2</w:t>
            </w:r>
            <w:r w:rsidR="00C653D5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2%)</w:t>
            </w:r>
            <w:r w:rsidR="00E4529D" w:rsidRPr="006E725C">
              <w:rPr>
                <w:spacing w:val="-4"/>
                <w:lang w:val="en-GB" w:eastAsia="en-US"/>
              </w:rPr>
              <w:t xml:space="preserve"> in Q4 2023 itself</w:t>
            </w:r>
            <w:r w:rsidR="00EA1EBB" w:rsidRPr="006E725C">
              <w:rPr>
                <w:spacing w:val="-4"/>
                <w:lang w:val="en-GB" w:eastAsia="en-US"/>
              </w:rPr>
              <w:t>.</w:t>
            </w:r>
            <w:r w:rsidR="00E4529D" w:rsidRPr="006E725C">
              <w:rPr>
                <w:spacing w:val="-4"/>
                <w:lang w:val="en-GB" w:eastAsia="en-US"/>
              </w:rPr>
              <w:t xml:space="preserve"> On the contrary, the value of goods exported outside the EU expanded </w:t>
            </w:r>
            <w:r w:rsidR="00EA1EBB" w:rsidRPr="006E725C">
              <w:rPr>
                <w:spacing w:val="-4"/>
                <w:lang w:val="en-GB" w:eastAsia="en-US"/>
              </w:rPr>
              <w:t>(+12</w:t>
            </w:r>
            <w:r w:rsidR="00E4529D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E4529D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5</w:t>
            </w:r>
            <w:r w:rsidR="00E4529D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4%). </w:t>
            </w:r>
            <w:r w:rsidR="006D766A" w:rsidRPr="006E725C">
              <w:rPr>
                <w:spacing w:val="-4"/>
                <w:lang w:val="en-GB" w:eastAsia="en-US"/>
              </w:rPr>
              <w:t xml:space="preserve">The value of exports decreased the most year-on-year to Germany </w:t>
            </w:r>
            <w:r w:rsidR="00EA1EBB" w:rsidRPr="006E725C">
              <w:rPr>
                <w:spacing w:val="-4"/>
                <w:lang w:val="en-GB" w:eastAsia="en-US"/>
              </w:rPr>
              <w:t>(−15</w:t>
            </w:r>
            <w:r w:rsidR="006D766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6D766A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−4</w:t>
            </w:r>
            <w:r w:rsidR="006D766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5%) a</w:t>
            </w:r>
            <w:r w:rsidR="006D766A" w:rsidRPr="006E725C">
              <w:rPr>
                <w:spacing w:val="-4"/>
                <w:lang w:val="en-GB" w:eastAsia="en-US"/>
              </w:rPr>
              <w:t xml:space="preserve">nd to Austria </w:t>
            </w:r>
            <w:r w:rsidR="00EA1EBB" w:rsidRPr="006E725C">
              <w:rPr>
                <w:spacing w:val="-4"/>
                <w:lang w:val="en-GB" w:eastAsia="en-US"/>
              </w:rPr>
              <w:t>(−7</w:t>
            </w:r>
            <w:r w:rsidR="006D766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</w:t>
            </w:r>
            <w:r w:rsidR="006D766A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−15</w:t>
            </w:r>
            <w:r w:rsidR="006D766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2%).</w:t>
            </w:r>
            <w:r w:rsidR="006D766A" w:rsidRPr="006E725C">
              <w:rPr>
                <w:spacing w:val="-4"/>
                <w:lang w:val="en-GB" w:eastAsia="en-US"/>
              </w:rPr>
              <w:t xml:space="preserve"> The decrease was recorded also for the exports to Spain </w:t>
            </w:r>
            <w:r w:rsidR="00EA1EBB" w:rsidRPr="006E725C">
              <w:rPr>
                <w:spacing w:val="-4"/>
                <w:lang w:val="en-GB" w:eastAsia="en-US"/>
              </w:rPr>
              <w:t>(−3</w:t>
            </w:r>
            <w:r w:rsidR="00934B2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934B2A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−10</w:t>
            </w:r>
            <w:r w:rsidR="00934B2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0%), </w:t>
            </w:r>
            <w:r w:rsidR="00934B2A" w:rsidRPr="006E725C">
              <w:rPr>
                <w:spacing w:val="-4"/>
                <w:lang w:val="en-GB" w:eastAsia="en-US"/>
              </w:rPr>
              <w:t xml:space="preserve">to Slovakia </w:t>
            </w:r>
            <w:r w:rsidR="00EA1EBB" w:rsidRPr="006E725C">
              <w:rPr>
                <w:spacing w:val="-4"/>
                <w:lang w:val="en-GB" w:eastAsia="en-US"/>
              </w:rPr>
              <w:t>(−2</w:t>
            </w:r>
            <w:r w:rsidR="00934B2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</w:t>
            </w:r>
            <w:r w:rsidR="00934B2A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−2</w:t>
            </w:r>
            <w:r w:rsidR="00934B2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5%),</w:t>
            </w:r>
            <w:r w:rsidR="00934B2A" w:rsidRPr="006E725C">
              <w:rPr>
                <w:spacing w:val="-4"/>
                <w:lang w:val="en-GB" w:eastAsia="en-US"/>
              </w:rPr>
              <w:t xml:space="preserve"> to Italy </w:t>
            </w:r>
            <w:r w:rsidR="00EA1EBB" w:rsidRPr="006E725C">
              <w:rPr>
                <w:spacing w:val="-4"/>
                <w:lang w:val="en-GB" w:eastAsia="en-US"/>
              </w:rPr>
              <w:t>(−2</w:t>
            </w:r>
            <w:r w:rsidR="00934B2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934B2A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−5</w:t>
            </w:r>
            <w:r w:rsidR="00934B2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0%), </w:t>
            </w:r>
            <w:r w:rsidR="00934B2A" w:rsidRPr="006E725C">
              <w:rPr>
                <w:spacing w:val="-4"/>
                <w:lang w:val="en-GB" w:eastAsia="en-US"/>
              </w:rPr>
              <w:t xml:space="preserve">to Russia </w:t>
            </w:r>
            <w:r w:rsidR="00EA1EBB" w:rsidRPr="006E725C">
              <w:rPr>
                <w:spacing w:val="-4"/>
                <w:lang w:val="en-GB" w:eastAsia="en-US"/>
              </w:rPr>
              <w:t>(−2</w:t>
            </w:r>
            <w:r w:rsidR="00934B2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934B2A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−36</w:t>
            </w:r>
            <w:r w:rsidR="00934B2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0%) </w:t>
            </w:r>
            <w:r w:rsidR="00934B2A" w:rsidRPr="006E725C">
              <w:rPr>
                <w:spacing w:val="-4"/>
                <w:lang w:val="en-GB" w:eastAsia="en-US"/>
              </w:rPr>
              <w:t xml:space="preserve">or the Netherlands </w:t>
            </w:r>
            <w:r w:rsidR="00EA1EBB" w:rsidRPr="006E725C">
              <w:rPr>
                <w:spacing w:val="-4"/>
                <w:lang w:val="en-GB" w:eastAsia="en-US"/>
              </w:rPr>
              <w:t>(−2</w:t>
            </w:r>
            <w:r w:rsidR="00934B2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0</w:t>
            </w:r>
            <w:r w:rsidR="00934B2A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−5</w:t>
            </w:r>
            <w:r w:rsidR="00934B2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2%). </w:t>
            </w:r>
            <w:r w:rsidR="00934B2A" w:rsidRPr="006E725C">
              <w:rPr>
                <w:spacing w:val="-4"/>
                <w:lang w:val="en-GB" w:eastAsia="en-US"/>
              </w:rPr>
              <w:t xml:space="preserve">On the contrary, exports to Turkey </w:t>
            </w:r>
            <w:r w:rsidR="00EA1EBB" w:rsidRPr="006E725C">
              <w:rPr>
                <w:spacing w:val="-4"/>
                <w:lang w:val="en-GB" w:eastAsia="en-US"/>
              </w:rPr>
              <w:t>(+4</w:t>
            </w:r>
            <w:r w:rsidR="00934B2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</w:t>
            </w:r>
            <w:r w:rsidR="00934B2A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32</w:t>
            </w:r>
            <w:r w:rsidR="00934B2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3%), Pol</w:t>
            </w:r>
            <w:r w:rsidR="00934B2A" w:rsidRPr="006E725C">
              <w:rPr>
                <w:spacing w:val="-4"/>
                <w:lang w:val="en-GB" w:eastAsia="en-US"/>
              </w:rPr>
              <w:t xml:space="preserve">and </w:t>
            </w:r>
            <w:r w:rsidR="00EA1EBB" w:rsidRPr="006E725C">
              <w:rPr>
                <w:spacing w:val="-4"/>
                <w:lang w:val="en-GB" w:eastAsia="en-US"/>
              </w:rPr>
              <w:t>(+4</w:t>
            </w:r>
            <w:r w:rsidR="00934B2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6</w:t>
            </w:r>
            <w:r w:rsidR="00934B2A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5</w:t>
            </w:r>
            <w:r w:rsidR="00934B2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8%), </w:t>
            </w:r>
            <w:r w:rsidR="00934B2A" w:rsidRPr="006E725C">
              <w:rPr>
                <w:spacing w:val="-4"/>
                <w:lang w:val="en-GB" w:eastAsia="en-US"/>
              </w:rPr>
              <w:t>Great Britain</w:t>
            </w:r>
            <w:r w:rsidR="00FE0C26" w:rsidRPr="006E725C">
              <w:rPr>
                <w:spacing w:val="-4"/>
                <w:lang w:val="en-GB" w:eastAsia="en-US"/>
              </w:rPr>
              <w:t xml:space="preserve"> </w:t>
            </w:r>
            <w:r w:rsidR="00EA1EBB" w:rsidRPr="006E725C">
              <w:rPr>
                <w:spacing w:val="-4"/>
                <w:lang w:val="en-GB" w:eastAsia="en-US"/>
              </w:rPr>
              <w:t>(+4</w:t>
            </w:r>
            <w:r w:rsidR="00934B2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934B2A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9</w:t>
            </w:r>
            <w:r w:rsidR="00934B2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6%) </w:t>
            </w:r>
            <w:r w:rsidR="00934B2A" w:rsidRPr="006E725C">
              <w:rPr>
                <w:spacing w:val="-4"/>
                <w:lang w:val="en-GB" w:eastAsia="en-US"/>
              </w:rPr>
              <w:t xml:space="preserve">or France </w:t>
            </w:r>
            <w:r w:rsidR="00EA1EBB" w:rsidRPr="006E725C">
              <w:rPr>
                <w:spacing w:val="-4"/>
                <w:lang w:val="en-GB" w:eastAsia="en-US"/>
              </w:rPr>
              <w:t>(+2</w:t>
            </w:r>
            <w:r w:rsidR="00934B2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</w:t>
            </w:r>
            <w:r w:rsidR="00934B2A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4</w:t>
            </w:r>
            <w:r w:rsidR="00934B2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4%)</w:t>
            </w:r>
            <w:r w:rsidR="00934B2A" w:rsidRPr="006E725C">
              <w:rPr>
                <w:spacing w:val="-4"/>
                <w:lang w:val="en-GB" w:eastAsia="en-US"/>
              </w:rPr>
              <w:t xml:space="preserve"> increased year-on-year</w:t>
            </w:r>
            <w:r w:rsidR="00EA1EBB" w:rsidRPr="006E725C">
              <w:rPr>
                <w:spacing w:val="-4"/>
                <w:lang w:val="en-GB" w:eastAsia="en-US"/>
              </w:rPr>
              <w:t>.</w:t>
            </w:r>
          </w:p>
        </w:tc>
      </w:tr>
      <w:tr w:rsidR="00EA1EBB" w:rsidRPr="006E725C" w14:paraId="625706A3" w14:textId="77777777" w:rsidTr="00EA1EBB">
        <w:trPr>
          <w:trHeight w:val="170"/>
        </w:trPr>
        <w:tc>
          <w:tcPr>
            <w:tcW w:w="1748" w:type="dxa"/>
            <w:hideMark/>
          </w:tcPr>
          <w:p w14:paraId="53366AC1" w14:textId="33DBC2D8" w:rsidR="00EA1EBB" w:rsidRPr="006E725C" w:rsidRDefault="00FE0C26">
            <w:pPr>
              <w:pStyle w:val="Marginlie"/>
              <w:rPr>
                <w:lang w:val="en-GB" w:eastAsia="en-US"/>
              </w:rPr>
            </w:pPr>
            <w:r w:rsidRPr="006E725C">
              <w:rPr>
                <w:lang w:val="en-GB" w:eastAsia="en-US"/>
              </w:rPr>
              <w:t xml:space="preserve">Exports of </w:t>
            </w:r>
            <w:r w:rsidR="006B13F2" w:rsidRPr="006E725C">
              <w:rPr>
                <w:lang w:val="en-GB" w:eastAsia="en-US"/>
              </w:rPr>
              <w:t>majority</w:t>
            </w:r>
            <w:r w:rsidRPr="006E725C">
              <w:rPr>
                <w:lang w:val="en-GB" w:eastAsia="en-US"/>
              </w:rPr>
              <w:t xml:space="preserve"> types of goods </w:t>
            </w:r>
            <w:r w:rsidR="00E6423D" w:rsidRPr="006E725C">
              <w:rPr>
                <w:lang w:val="en-GB" w:eastAsia="en-US"/>
              </w:rPr>
              <w:t>decreased last year. Total increase was the result of favourable development of some</w:t>
            </w:r>
            <w:r w:rsidR="001C24A7" w:rsidRPr="006E725C">
              <w:rPr>
                <w:lang w:val="en-GB" w:eastAsia="en-US"/>
              </w:rPr>
              <w:t xml:space="preserve"> </w:t>
            </w:r>
            <w:r w:rsidR="006B13F2" w:rsidRPr="006E725C">
              <w:rPr>
                <w:lang w:val="en-GB" w:eastAsia="en-US"/>
              </w:rPr>
              <w:t>industrial</w:t>
            </w:r>
            <w:r w:rsidR="001C24A7" w:rsidRPr="006E725C">
              <w:rPr>
                <w:lang w:val="en-GB" w:eastAsia="en-US"/>
              </w:rPr>
              <w:t xml:space="preserve"> commodities significant for export. </w:t>
            </w:r>
          </w:p>
        </w:tc>
        <w:tc>
          <w:tcPr>
            <w:tcW w:w="221" w:type="dxa"/>
          </w:tcPr>
          <w:p w14:paraId="69AA628D" w14:textId="77777777" w:rsidR="00EA1EBB" w:rsidRPr="006E725C" w:rsidRDefault="00EA1EBB">
            <w:pPr>
              <w:pStyle w:val="Textpoznpodarou"/>
              <w:jc w:val="both"/>
              <w:rPr>
                <w:spacing w:val="-4"/>
                <w:lang w:val="en-GB" w:eastAsia="en-US"/>
              </w:rPr>
            </w:pPr>
          </w:p>
        </w:tc>
        <w:tc>
          <w:tcPr>
            <w:tcW w:w="7670" w:type="dxa"/>
            <w:hideMark/>
          </w:tcPr>
          <w:p w14:paraId="48939F67" w14:textId="48957278" w:rsidR="00EA1EBB" w:rsidRPr="006E725C" w:rsidRDefault="00D74DBC">
            <w:pPr>
              <w:spacing w:after="180"/>
              <w:rPr>
                <w:spacing w:val="-4"/>
                <w:lang w:val="en-GB" w:eastAsia="en-US"/>
              </w:rPr>
            </w:pPr>
            <w:r w:rsidRPr="006E725C">
              <w:rPr>
                <w:spacing w:val="-4"/>
                <w:lang w:val="en-GB" w:eastAsia="en-US"/>
              </w:rPr>
              <w:t xml:space="preserve">Relatively </w:t>
            </w:r>
            <w:r w:rsidR="000C77CF" w:rsidRPr="006E725C">
              <w:rPr>
                <w:spacing w:val="-4"/>
                <w:lang w:val="en-GB" w:eastAsia="en-US"/>
              </w:rPr>
              <w:t xml:space="preserve">mild increase of the value of exports </w:t>
            </w:r>
            <w:r w:rsidR="000A76E0" w:rsidRPr="006E725C">
              <w:rPr>
                <w:spacing w:val="-4"/>
                <w:lang w:val="en-GB" w:eastAsia="en-US"/>
              </w:rPr>
              <w:t xml:space="preserve">was influenced by </w:t>
            </w:r>
            <w:r w:rsidR="00E43E77" w:rsidRPr="006E725C">
              <w:rPr>
                <w:spacing w:val="-4"/>
                <w:lang w:val="en-GB" w:eastAsia="en-US"/>
              </w:rPr>
              <w:t xml:space="preserve">opposing </w:t>
            </w:r>
            <w:r w:rsidR="00FC770C" w:rsidRPr="006E725C">
              <w:rPr>
                <w:spacing w:val="-4"/>
                <w:lang w:val="en-GB" w:eastAsia="en-US"/>
              </w:rPr>
              <w:t xml:space="preserve">forces </w:t>
            </w:r>
            <w:r w:rsidR="00E43E77" w:rsidRPr="006E725C">
              <w:rPr>
                <w:spacing w:val="-4"/>
                <w:lang w:val="en-GB" w:eastAsia="en-US"/>
              </w:rPr>
              <w:t xml:space="preserve">of development of many articles, whose prices plummeted and whose export </w:t>
            </w:r>
            <w:r w:rsidR="00FC2374" w:rsidRPr="006E725C">
              <w:rPr>
                <w:spacing w:val="-4"/>
                <w:lang w:val="en-GB" w:eastAsia="en-US"/>
              </w:rPr>
              <w:t xml:space="preserve">thus decreased, and on the contrary revival </w:t>
            </w:r>
            <w:r w:rsidR="00854806" w:rsidRPr="006E725C">
              <w:rPr>
                <w:spacing w:val="-4"/>
                <w:lang w:val="en-GB" w:eastAsia="en-US"/>
              </w:rPr>
              <w:t xml:space="preserve">of number of industrial </w:t>
            </w:r>
            <w:r w:rsidR="00EC05F2" w:rsidRPr="006E725C">
              <w:rPr>
                <w:spacing w:val="-4"/>
                <w:lang w:val="en-GB" w:eastAsia="en-US"/>
              </w:rPr>
              <w:t>commodities</w:t>
            </w:r>
            <w:r w:rsidR="00854806" w:rsidRPr="006E725C">
              <w:rPr>
                <w:spacing w:val="-4"/>
                <w:lang w:val="en-GB" w:eastAsia="en-US"/>
              </w:rPr>
              <w:t xml:space="preserve"> significant for export. </w:t>
            </w:r>
            <w:r w:rsidR="00EA1EBB" w:rsidRPr="006E725C">
              <w:rPr>
                <w:spacing w:val="-4"/>
                <w:lang w:val="en-GB" w:eastAsia="en-US"/>
              </w:rPr>
              <w:t xml:space="preserve"> </w:t>
            </w:r>
            <w:r w:rsidR="00B57ED2" w:rsidRPr="006E725C">
              <w:rPr>
                <w:spacing w:val="-4"/>
                <w:lang w:val="en-GB" w:eastAsia="en-US"/>
              </w:rPr>
              <w:t xml:space="preserve">Value of export of motor vehicles </w:t>
            </w:r>
            <w:r w:rsidR="00EA1EBB" w:rsidRPr="006E725C">
              <w:rPr>
                <w:spacing w:val="-4"/>
                <w:lang w:val="en-GB" w:eastAsia="en-US"/>
              </w:rPr>
              <w:t>(+183</w:t>
            </w:r>
            <w:r w:rsidR="00B57ED2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8</w:t>
            </w:r>
            <w:r w:rsidR="00B57ED2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17</w:t>
            </w:r>
            <w:r w:rsidR="00B57ED2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6%), </w:t>
            </w:r>
            <w:r w:rsidR="005B70EB" w:rsidRPr="006E725C">
              <w:rPr>
                <w:spacing w:val="-4"/>
                <w:lang w:val="en-GB" w:eastAsia="en-US"/>
              </w:rPr>
              <w:t xml:space="preserve">electrical equipment </w:t>
            </w:r>
            <w:r w:rsidR="00EA1EBB" w:rsidRPr="006E725C">
              <w:rPr>
                <w:spacing w:val="-4"/>
                <w:lang w:val="en-GB" w:eastAsia="en-US"/>
              </w:rPr>
              <w:t>(+42</w:t>
            </w:r>
            <w:r w:rsidR="005B70EB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5B70EB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10</w:t>
            </w:r>
            <w:r w:rsidR="005B70EB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2%),</w:t>
            </w:r>
            <w:r w:rsidR="00594538" w:rsidRPr="006E725C">
              <w:rPr>
                <w:spacing w:val="-4"/>
                <w:lang w:val="en-GB" w:eastAsia="en-US"/>
              </w:rPr>
              <w:t xml:space="preserve"> machinery and equipment </w:t>
            </w:r>
            <w:r w:rsidR="00EA1EBB" w:rsidRPr="006E725C">
              <w:rPr>
                <w:spacing w:val="-4"/>
                <w:lang w:val="en-GB" w:eastAsia="en-US"/>
              </w:rPr>
              <w:t>(+25</w:t>
            </w:r>
            <w:r w:rsidR="00F450B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9 </w:t>
            </w:r>
            <w:r w:rsidR="00F450B7" w:rsidRPr="006E725C">
              <w:rPr>
                <w:spacing w:val="-4"/>
                <w:lang w:val="en-GB" w:eastAsia="en-US"/>
              </w:rPr>
              <w:t>bn</w:t>
            </w:r>
            <w:r w:rsidR="00EA1EBB" w:rsidRPr="006E725C">
              <w:rPr>
                <w:spacing w:val="-4"/>
                <w:lang w:val="en-GB" w:eastAsia="en-US"/>
              </w:rPr>
              <w:t>, 5</w:t>
            </w:r>
            <w:r w:rsidR="00F450B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2%) a</w:t>
            </w:r>
            <w:r w:rsidR="00F450B7" w:rsidRPr="006E725C">
              <w:rPr>
                <w:spacing w:val="-4"/>
                <w:lang w:val="en-GB" w:eastAsia="en-US"/>
              </w:rPr>
              <w:t xml:space="preserve">nd </w:t>
            </w:r>
            <w:r w:rsidR="002C0D7D" w:rsidRPr="006E725C">
              <w:rPr>
                <w:spacing w:val="-4"/>
                <w:lang w:val="en-GB" w:eastAsia="en-US"/>
              </w:rPr>
              <w:t xml:space="preserve">food products </w:t>
            </w:r>
            <w:r w:rsidR="00EA1EBB" w:rsidRPr="006E725C">
              <w:rPr>
                <w:spacing w:val="-4"/>
                <w:lang w:val="en-GB" w:eastAsia="en-US"/>
              </w:rPr>
              <w:t>(+18</w:t>
            </w:r>
            <w:r w:rsidR="002C0D7D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2C0D7D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12</w:t>
            </w:r>
            <w:r w:rsidR="002C0D7D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4%)</w:t>
            </w:r>
            <w:r w:rsidR="00233FE7" w:rsidRPr="006E725C">
              <w:rPr>
                <w:spacing w:val="-4"/>
                <w:lang w:val="en-GB" w:eastAsia="en-US"/>
              </w:rPr>
              <w:t xml:space="preserve"> increased the most last year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DC0E33" w:rsidRPr="006E725C">
              <w:rPr>
                <w:spacing w:val="-4"/>
                <w:lang w:val="en-GB" w:eastAsia="en-US"/>
              </w:rPr>
              <w:t xml:space="preserve">Exporters of other transport equipment also prospered </w:t>
            </w:r>
            <w:r w:rsidR="00EA1EBB" w:rsidRPr="006E725C">
              <w:rPr>
                <w:spacing w:val="-4"/>
                <w:lang w:val="en-GB" w:eastAsia="en-US"/>
              </w:rPr>
              <w:t>(+8</w:t>
            </w:r>
            <w:r w:rsidR="00DC0E3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DC0E33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12</w:t>
            </w:r>
            <w:r w:rsidR="00DC0E3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5%). Export</w:t>
            </w:r>
            <w:r w:rsidR="00DC0E33" w:rsidRPr="006E725C">
              <w:rPr>
                <w:spacing w:val="-4"/>
                <w:lang w:val="en-GB" w:eastAsia="en-US"/>
              </w:rPr>
              <w:t xml:space="preserve"> of majority of </w:t>
            </w:r>
            <w:r w:rsidR="003144BC" w:rsidRPr="006E725C">
              <w:rPr>
                <w:spacing w:val="-4"/>
                <w:lang w:val="en-GB" w:eastAsia="en-US"/>
              </w:rPr>
              <w:t xml:space="preserve">types of goods however decreased last year, the exports </w:t>
            </w:r>
            <w:r w:rsidR="00025C85" w:rsidRPr="006E725C">
              <w:rPr>
                <w:spacing w:val="-4"/>
                <w:lang w:val="en-GB" w:eastAsia="en-US"/>
              </w:rPr>
              <w:t xml:space="preserve">electricity, gas, steam and air conditioning </w:t>
            </w:r>
            <w:r w:rsidR="00EA1EBB" w:rsidRPr="006E725C">
              <w:rPr>
                <w:spacing w:val="-4"/>
                <w:lang w:val="en-GB" w:eastAsia="en-US"/>
              </w:rPr>
              <w:t>(−67</w:t>
            </w:r>
            <w:r w:rsidR="00025C85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025C85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−56</w:t>
            </w:r>
            <w:r w:rsidR="00025C85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5%), </w:t>
            </w:r>
            <w:r w:rsidR="003D28BE" w:rsidRPr="006E725C">
              <w:rPr>
                <w:spacing w:val="-4"/>
                <w:lang w:val="en-GB" w:eastAsia="en-US"/>
              </w:rPr>
              <w:t xml:space="preserve">basic metals </w:t>
            </w:r>
            <w:r w:rsidR="00EA1EBB" w:rsidRPr="006E725C">
              <w:rPr>
                <w:spacing w:val="-4"/>
                <w:lang w:val="en-GB" w:eastAsia="en-US"/>
              </w:rPr>
              <w:t>(−35</w:t>
            </w:r>
            <w:r w:rsidR="003D28BE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3D28BE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−18</w:t>
            </w:r>
            <w:r w:rsidR="003D28BE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2%), chemic</w:t>
            </w:r>
            <w:r w:rsidR="003D28BE" w:rsidRPr="006E725C">
              <w:rPr>
                <w:spacing w:val="-4"/>
                <w:lang w:val="en-GB" w:eastAsia="en-US"/>
              </w:rPr>
              <w:t xml:space="preserve">al substances and products </w:t>
            </w:r>
            <w:r w:rsidR="00EA1EBB" w:rsidRPr="006E725C">
              <w:rPr>
                <w:spacing w:val="-4"/>
                <w:lang w:val="en-GB" w:eastAsia="en-US"/>
              </w:rPr>
              <w:t>(−29</w:t>
            </w:r>
            <w:r w:rsidR="003D28BE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3D28BE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−12</w:t>
            </w:r>
            <w:r w:rsidR="003D28BE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4%), </w:t>
            </w:r>
            <w:r w:rsidR="00CE60F1" w:rsidRPr="006E725C">
              <w:rPr>
                <w:spacing w:val="-4"/>
                <w:lang w:val="en-GB" w:eastAsia="en-US"/>
              </w:rPr>
              <w:t xml:space="preserve">wood and wood products </w:t>
            </w:r>
            <w:r w:rsidR="00EA1EBB" w:rsidRPr="006E725C">
              <w:rPr>
                <w:spacing w:val="-4"/>
                <w:lang w:val="en-GB" w:eastAsia="en-US"/>
              </w:rPr>
              <w:t>(−15</w:t>
            </w:r>
            <w:r w:rsidR="00CE60F1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CE60F1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−25</w:t>
            </w:r>
            <w:r w:rsidR="00CE60F1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6%), </w:t>
            </w:r>
            <w:r w:rsidR="00455AE3" w:rsidRPr="006E725C">
              <w:rPr>
                <w:spacing w:val="-4"/>
                <w:lang w:val="en-GB" w:eastAsia="en-US"/>
              </w:rPr>
              <w:t>petroleum</w:t>
            </w:r>
            <w:r w:rsidR="00CE60F1" w:rsidRPr="006E725C">
              <w:rPr>
                <w:spacing w:val="-4"/>
                <w:lang w:val="en-GB" w:eastAsia="en-US"/>
              </w:rPr>
              <w:t xml:space="preserve"> and natural gas </w:t>
            </w:r>
            <w:r w:rsidR="00EA1EBB" w:rsidRPr="006E725C">
              <w:rPr>
                <w:spacing w:val="-4"/>
                <w:lang w:val="en-GB" w:eastAsia="en-US"/>
              </w:rPr>
              <w:t>(−13</w:t>
            </w:r>
            <w:r w:rsidR="00CE60F1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CE60F1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−98</w:t>
            </w:r>
            <w:r w:rsidR="00CE60F1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5%) a</w:t>
            </w:r>
            <w:r w:rsidR="00CE60F1" w:rsidRPr="006E725C">
              <w:rPr>
                <w:spacing w:val="-4"/>
                <w:lang w:val="en-GB" w:eastAsia="en-US"/>
              </w:rPr>
              <w:t xml:space="preserve">nd products of </w:t>
            </w:r>
            <w:r w:rsidR="00CE6065" w:rsidRPr="006E725C">
              <w:rPr>
                <w:spacing w:val="-4"/>
                <w:lang w:val="en-GB" w:eastAsia="en-US"/>
              </w:rPr>
              <w:t xml:space="preserve">forestry and wood logging </w:t>
            </w:r>
            <w:r w:rsidR="00EA1EBB" w:rsidRPr="006E725C">
              <w:rPr>
                <w:spacing w:val="-4"/>
                <w:lang w:val="en-GB" w:eastAsia="en-US"/>
              </w:rPr>
              <w:t>(−10</w:t>
            </w:r>
            <w:r w:rsidR="00CE6065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</w:t>
            </w:r>
            <w:r w:rsidR="00CE6065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−43</w:t>
            </w:r>
            <w:r w:rsidR="00CE6065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8%)</w:t>
            </w:r>
            <w:r w:rsidR="003144BC" w:rsidRPr="006E725C">
              <w:rPr>
                <w:spacing w:val="-4"/>
                <w:lang w:val="en-GB" w:eastAsia="en-US"/>
              </w:rPr>
              <w:t xml:space="preserve"> went down the most last year</w:t>
            </w:r>
            <w:r w:rsidR="00025C85" w:rsidRPr="006E725C">
              <w:rPr>
                <w:spacing w:val="-4"/>
                <w:lang w:val="en-GB" w:eastAsia="en-US"/>
              </w:rPr>
              <w:t xml:space="preserve"> together with prices</w:t>
            </w:r>
            <w:r w:rsidR="00EA1EBB" w:rsidRPr="006E725C">
              <w:rPr>
                <w:spacing w:val="-4"/>
                <w:lang w:val="en-GB" w:eastAsia="en-US"/>
              </w:rPr>
              <w:t>.</w:t>
            </w:r>
            <w:r w:rsidR="003144BC" w:rsidRPr="006E725C">
              <w:rPr>
                <w:spacing w:val="-4"/>
                <w:lang w:val="en-GB" w:eastAsia="en-US"/>
              </w:rPr>
              <w:t xml:space="preserve"> The export of computers, </w:t>
            </w:r>
            <w:r w:rsidR="006E3553" w:rsidRPr="006E725C">
              <w:rPr>
                <w:spacing w:val="-4"/>
                <w:lang w:val="en-GB" w:eastAsia="en-US"/>
              </w:rPr>
              <w:t xml:space="preserve">electrical and optical appliances </w:t>
            </w:r>
            <w:r w:rsidR="00EA1EBB" w:rsidRPr="006E725C">
              <w:rPr>
                <w:spacing w:val="-4"/>
                <w:lang w:val="en-GB" w:eastAsia="en-US"/>
              </w:rPr>
              <w:t>(−24</w:t>
            </w:r>
            <w:r w:rsidR="006E355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6E3553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−5</w:t>
            </w:r>
            <w:r w:rsidR="006E355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9%)</w:t>
            </w:r>
            <w:r w:rsidR="00B60FA7" w:rsidRPr="006E725C">
              <w:rPr>
                <w:spacing w:val="-4"/>
                <w:lang w:val="en-GB" w:eastAsia="en-US"/>
              </w:rPr>
              <w:t xml:space="preserve"> and strongly </w:t>
            </w:r>
            <w:r w:rsidR="00B60FA7" w:rsidRPr="006E725C">
              <w:rPr>
                <w:spacing w:val="-4"/>
                <w:lang w:val="en-GB" w:eastAsia="en-US"/>
              </w:rPr>
              <w:lastRenderedPageBreak/>
              <w:t xml:space="preserve">decreased and </w:t>
            </w:r>
            <w:r w:rsidR="000934D5" w:rsidRPr="006E725C">
              <w:rPr>
                <w:spacing w:val="-4"/>
                <w:lang w:val="en-GB" w:eastAsia="en-US"/>
              </w:rPr>
              <w:t xml:space="preserve">more distinct decrease was also recorded at the export of </w:t>
            </w:r>
            <w:r w:rsidR="00303AC8" w:rsidRPr="006E725C">
              <w:rPr>
                <w:spacing w:val="-4"/>
                <w:lang w:val="en-GB" w:eastAsia="en-US"/>
              </w:rPr>
              <w:t xml:space="preserve">activities of waste collection </w:t>
            </w:r>
            <w:r w:rsidR="00EA1EBB" w:rsidRPr="006E725C">
              <w:rPr>
                <w:spacing w:val="-4"/>
                <w:lang w:val="en-GB" w:eastAsia="en-US"/>
              </w:rPr>
              <w:t>(−8</w:t>
            </w:r>
            <w:r w:rsidR="00303AC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0</w:t>
            </w:r>
            <w:r w:rsidR="00303AC8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−17</w:t>
            </w:r>
            <w:r w:rsidR="00167809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0%), </w:t>
            </w:r>
            <w:r w:rsidR="00167809" w:rsidRPr="006E725C">
              <w:rPr>
                <w:spacing w:val="-4"/>
                <w:lang w:val="en-GB" w:eastAsia="en-US"/>
              </w:rPr>
              <w:t xml:space="preserve">coke and refined </w:t>
            </w:r>
            <w:r w:rsidR="00455AE3" w:rsidRPr="006E725C">
              <w:rPr>
                <w:spacing w:val="-4"/>
                <w:lang w:val="en-GB" w:eastAsia="en-US"/>
              </w:rPr>
              <w:t xml:space="preserve">petroleum </w:t>
            </w:r>
            <w:r w:rsidR="00167809" w:rsidRPr="006E725C">
              <w:rPr>
                <w:spacing w:val="-4"/>
                <w:lang w:val="en-GB" w:eastAsia="en-US"/>
              </w:rPr>
              <w:t xml:space="preserve">products </w:t>
            </w:r>
            <w:r w:rsidR="00EA1EBB" w:rsidRPr="006E725C">
              <w:rPr>
                <w:spacing w:val="-4"/>
                <w:lang w:val="en-GB" w:eastAsia="en-US"/>
              </w:rPr>
              <w:t>(−7</w:t>
            </w:r>
            <w:r w:rsidR="00167809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="00167809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−12</w:t>
            </w:r>
            <w:r w:rsidR="00167809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5%), </w:t>
            </w:r>
            <w:r w:rsidR="0023714F" w:rsidRPr="006E725C">
              <w:rPr>
                <w:spacing w:val="-4"/>
                <w:lang w:val="en-GB" w:eastAsia="en-US"/>
              </w:rPr>
              <w:t xml:space="preserve">products of agriculture and hunting </w:t>
            </w:r>
            <w:r w:rsidR="00EA1EBB" w:rsidRPr="006E725C">
              <w:rPr>
                <w:spacing w:val="-4"/>
                <w:lang w:val="en-GB" w:eastAsia="en-US"/>
              </w:rPr>
              <w:t>(−6</w:t>
            </w:r>
            <w:r w:rsidR="0023714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="0023714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−10</w:t>
            </w:r>
            <w:r w:rsidR="0023714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2%), </w:t>
            </w:r>
            <w:r w:rsidR="00641242" w:rsidRPr="006E725C">
              <w:rPr>
                <w:spacing w:val="-4"/>
                <w:lang w:val="en-GB" w:eastAsia="en-US"/>
              </w:rPr>
              <w:t xml:space="preserve">metalworking products </w:t>
            </w:r>
            <w:r w:rsidR="00EA1EBB" w:rsidRPr="006E725C">
              <w:rPr>
                <w:spacing w:val="-4"/>
                <w:lang w:val="en-GB" w:eastAsia="en-US"/>
              </w:rPr>
              <w:t>(−6</w:t>
            </w:r>
            <w:r w:rsidR="00641242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641242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−2</w:t>
            </w:r>
            <w:r w:rsidR="00641242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3%), </w:t>
            </w:r>
            <w:r w:rsidR="00F0566C" w:rsidRPr="006E725C">
              <w:rPr>
                <w:spacing w:val="-4"/>
                <w:lang w:val="en-GB" w:eastAsia="en-US"/>
              </w:rPr>
              <w:t xml:space="preserve">or other non-metal mineral products </w:t>
            </w:r>
            <w:r w:rsidR="00EA1EBB" w:rsidRPr="006E725C">
              <w:rPr>
                <w:spacing w:val="-4"/>
                <w:lang w:val="en-GB" w:eastAsia="en-US"/>
              </w:rPr>
              <w:t>(−6</w:t>
            </w:r>
            <w:r w:rsidR="00F0566C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F0566C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−6</w:t>
            </w:r>
            <w:r w:rsidR="00F0566C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8%).</w:t>
            </w:r>
          </w:p>
        </w:tc>
      </w:tr>
      <w:tr w:rsidR="00EA1EBB" w:rsidRPr="006E725C" w14:paraId="5774C5FB" w14:textId="77777777" w:rsidTr="00EA1EBB">
        <w:trPr>
          <w:trHeight w:val="170"/>
        </w:trPr>
        <w:tc>
          <w:tcPr>
            <w:tcW w:w="1748" w:type="dxa"/>
            <w:hideMark/>
          </w:tcPr>
          <w:p w14:paraId="3FA67B59" w14:textId="100A16A8" w:rsidR="00EA1EBB" w:rsidRPr="006E725C" w:rsidRDefault="006961FC">
            <w:pPr>
              <w:pStyle w:val="Marginlie"/>
              <w:rPr>
                <w:lang w:val="en-GB" w:eastAsia="en-US"/>
              </w:rPr>
            </w:pPr>
            <w:r w:rsidRPr="006E725C">
              <w:rPr>
                <w:lang w:val="en-GB" w:eastAsia="en-US"/>
              </w:rPr>
              <w:lastRenderedPageBreak/>
              <w:t xml:space="preserve">The export of majority </w:t>
            </w:r>
            <w:r w:rsidR="00ED6559" w:rsidRPr="006E725C">
              <w:rPr>
                <w:lang w:val="en-GB" w:eastAsia="en-US"/>
              </w:rPr>
              <w:t>types of goods decreased in Q</w:t>
            </w:r>
            <w:r w:rsidR="00EA1EBB" w:rsidRPr="006E725C">
              <w:rPr>
                <w:lang w:val="en-GB" w:eastAsia="en-US"/>
              </w:rPr>
              <w:t>4.</w:t>
            </w:r>
          </w:p>
        </w:tc>
        <w:tc>
          <w:tcPr>
            <w:tcW w:w="221" w:type="dxa"/>
          </w:tcPr>
          <w:p w14:paraId="70D6E0E4" w14:textId="77777777" w:rsidR="00EA1EBB" w:rsidRPr="006E725C" w:rsidRDefault="00EA1EBB">
            <w:pPr>
              <w:pStyle w:val="Textpoznpodarou"/>
              <w:jc w:val="both"/>
              <w:rPr>
                <w:spacing w:val="-4"/>
                <w:lang w:val="en-GB" w:eastAsia="en-US"/>
              </w:rPr>
            </w:pPr>
          </w:p>
        </w:tc>
        <w:tc>
          <w:tcPr>
            <w:tcW w:w="7670" w:type="dxa"/>
            <w:hideMark/>
          </w:tcPr>
          <w:p w14:paraId="7E7E89AE" w14:textId="6C65E6B3" w:rsidR="00EA1EBB" w:rsidRPr="006E725C" w:rsidRDefault="00ED6559">
            <w:pPr>
              <w:spacing w:after="180"/>
              <w:rPr>
                <w:spacing w:val="-4"/>
                <w:lang w:val="en-GB" w:eastAsia="en-US"/>
              </w:rPr>
            </w:pPr>
            <w:r w:rsidRPr="006E725C">
              <w:rPr>
                <w:spacing w:val="-4"/>
                <w:lang w:val="en-GB" w:eastAsia="en-US"/>
              </w:rPr>
              <w:t>The export of majority of commodities decreased year-on-year in Q4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EE1291" w:rsidRPr="006E725C">
              <w:rPr>
                <w:spacing w:val="-4"/>
                <w:lang w:val="en-GB" w:eastAsia="en-US"/>
              </w:rPr>
              <w:t xml:space="preserve">The slump of value of exports of electricity, gas, steam and air conditioning </w:t>
            </w:r>
            <w:r w:rsidR="00EA1EBB" w:rsidRPr="006E725C">
              <w:rPr>
                <w:spacing w:val="-4"/>
                <w:lang w:val="en-GB" w:eastAsia="en-US"/>
              </w:rPr>
              <w:t>(−16</w:t>
            </w:r>
            <w:r w:rsidR="0055300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</w:t>
            </w:r>
            <w:r w:rsidR="00553007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−56</w:t>
            </w:r>
            <w:r w:rsidR="0055300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7%), </w:t>
            </w:r>
            <w:r w:rsidR="00553007" w:rsidRPr="006E725C">
              <w:rPr>
                <w:spacing w:val="-4"/>
                <w:lang w:val="en-GB" w:eastAsia="en-US"/>
              </w:rPr>
              <w:t xml:space="preserve">computers, electrical and optical appliances </w:t>
            </w:r>
            <w:r w:rsidR="00EA1EBB" w:rsidRPr="006E725C">
              <w:rPr>
                <w:spacing w:val="-4"/>
                <w:lang w:val="en-GB" w:eastAsia="en-US"/>
              </w:rPr>
              <w:t>(−10</w:t>
            </w:r>
            <w:r w:rsidR="0055300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553007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−8</w:t>
            </w:r>
            <w:r w:rsidR="0055300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8%) a</w:t>
            </w:r>
            <w:r w:rsidR="00553007" w:rsidRPr="006E725C">
              <w:rPr>
                <w:spacing w:val="-4"/>
                <w:lang w:val="en-GB" w:eastAsia="en-US"/>
              </w:rPr>
              <w:t xml:space="preserve">nd basic metals </w:t>
            </w:r>
            <w:r w:rsidR="00EA1EBB" w:rsidRPr="006E725C">
              <w:rPr>
                <w:spacing w:val="-4"/>
                <w:lang w:val="en-GB" w:eastAsia="en-US"/>
              </w:rPr>
              <w:t>(−5</w:t>
            </w:r>
            <w:r w:rsidR="0055300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</w:t>
            </w:r>
            <w:r w:rsidR="00553007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−14</w:t>
            </w:r>
            <w:r w:rsidR="0055300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2%)</w:t>
            </w:r>
            <w:r w:rsidR="00B0313F" w:rsidRPr="006E725C">
              <w:rPr>
                <w:spacing w:val="-4"/>
                <w:lang w:val="en-GB" w:eastAsia="en-US"/>
              </w:rPr>
              <w:t xml:space="preserve"> contributed the most to the total year-on-year decrease of exports. The value of </w:t>
            </w:r>
            <w:r w:rsidR="00CD284C" w:rsidRPr="006E725C">
              <w:rPr>
                <w:spacing w:val="-4"/>
                <w:lang w:val="en-GB" w:eastAsia="en-US"/>
              </w:rPr>
              <w:t xml:space="preserve">exports of electrical appliances </w:t>
            </w:r>
            <w:r w:rsidR="00EA1EBB" w:rsidRPr="006E725C">
              <w:rPr>
                <w:spacing w:val="-4"/>
                <w:lang w:val="en-GB" w:eastAsia="en-US"/>
              </w:rPr>
              <w:t>(−4</w:t>
            </w:r>
            <w:r w:rsidR="00CD284C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</w:t>
            </w:r>
            <w:r w:rsidR="00CD284C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−4</w:t>
            </w:r>
            <w:r w:rsidR="00CD284C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0%),</w:t>
            </w:r>
            <w:r w:rsidR="00455AE3" w:rsidRPr="006E725C">
              <w:rPr>
                <w:spacing w:val="-4"/>
                <w:lang w:val="en-GB" w:eastAsia="en-US"/>
              </w:rPr>
              <w:t xml:space="preserve"> petroleum </w:t>
            </w:r>
            <w:r w:rsidR="00CD284C" w:rsidRPr="006E725C">
              <w:rPr>
                <w:spacing w:val="-4"/>
                <w:lang w:val="en-GB" w:eastAsia="en-US"/>
              </w:rPr>
              <w:t xml:space="preserve">and natural gas </w:t>
            </w:r>
            <w:r w:rsidR="00EA1EBB" w:rsidRPr="006E725C">
              <w:rPr>
                <w:spacing w:val="-4"/>
                <w:lang w:val="en-GB" w:eastAsia="en-US"/>
              </w:rPr>
              <w:t>(−4</w:t>
            </w:r>
            <w:r w:rsidR="00CD284C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="00CD284C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−98</w:t>
            </w:r>
            <w:r w:rsidR="00CD284C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8%), chemic</w:t>
            </w:r>
            <w:r w:rsidR="00CD284C" w:rsidRPr="006E725C">
              <w:rPr>
                <w:spacing w:val="-4"/>
                <w:lang w:val="en-GB" w:eastAsia="en-US"/>
              </w:rPr>
              <w:t xml:space="preserve">al substances and products </w:t>
            </w:r>
            <w:r w:rsidR="00EA1EBB" w:rsidRPr="006E725C">
              <w:rPr>
                <w:spacing w:val="-4"/>
                <w:lang w:val="en-GB" w:eastAsia="en-US"/>
              </w:rPr>
              <w:t>(−3</w:t>
            </w:r>
            <w:r w:rsidR="00CD284C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</w:t>
            </w:r>
            <w:r w:rsidR="00CD284C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−6</w:t>
            </w:r>
            <w:r w:rsidR="00CD284C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2%), </w:t>
            </w:r>
            <w:r w:rsidR="00553007" w:rsidRPr="006E725C">
              <w:rPr>
                <w:spacing w:val="-4"/>
                <w:lang w:val="en-GB" w:eastAsia="en-US"/>
              </w:rPr>
              <w:t xml:space="preserve">machinery and equipment </w:t>
            </w:r>
            <w:r w:rsidR="00EA1EBB" w:rsidRPr="006E725C">
              <w:rPr>
                <w:spacing w:val="-4"/>
                <w:lang w:val="en-GB" w:eastAsia="en-US"/>
              </w:rPr>
              <w:t>(−3</w:t>
            </w:r>
            <w:r w:rsidR="0055300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553007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−2</w:t>
            </w:r>
            <w:r w:rsidR="0055300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6%),</w:t>
            </w:r>
            <w:r w:rsidR="00553007" w:rsidRPr="006E725C">
              <w:rPr>
                <w:spacing w:val="-4"/>
                <w:lang w:val="en-GB" w:eastAsia="en-US"/>
              </w:rPr>
              <w:t xml:space="preserve"> coke and refined </w:t>
            </w:r>
            <w:r w:rsidR="00455AE3" w:rsidRPr="006E725C">
              <w:rPr>
                <w:spacing w:val="-4"/>
                <w:lang w:val="en-GB" w:eastAsia="en-US"/>
              </w:rPr>
              <w:t>petroleum</w:t>
            </w:r>
            <w:r w:rsidR="00553007" w:rsidRPr="006E725C">
              <w:rPr>
                <w:spacing w:val="-4"/>
                <w:lang w:val="en-GB" w:eastAsia="en-US"/>
              </w:rPr>
              <w:t xml:space="preserve"> products </w:t>
            </w:r>
            <w:r w:rsidR="00EA1EBB" w:rsidRPr="006E725C">
              <w:rPr>
                <w:spacing w:val="-4"/>
                <w:lang w:val="en-GB" w:eastAsia="en-US"/>
              </w:rPr>
              <w:t>(−2</w:t>
            </w:r>
            <w:r w:rsidR="0055300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553007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−15</w:t>
            </w:r>
            <w:r w:rsidR="0055300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8%), </w:t>
            </w:r>
            <w:r w:rsidR="00553007" w:rsidRPr="006E725C">
              <w:rPr>
                <w:spacing w:val="-4"/>
                <w:lang w:val="en-GB" w:eastAsia="en-US"/>
              </w:rPr>
              <w:t xml:space="preserve">products of forestry and wood logging </w:t>
            </w:r>
            <w:r w:rsidR="00EA1EBB" w:rsidRPr="006E725C">
              <w:rPr>
                <w:spacing w:val="-4"/>
                <w:lang w:val="en-GB" w:eastAsia="en-US"/>
              </w:rPr>
              <w:t>(−2</w:t>
            </w:r>
            <w:r w:rsidR="0055300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553007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−44</w:t>
            </w:r>
            <w:r w:rsidR="0055300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0%), </w:t>
            </w:r>
            <w:r w:rsidR="00553007" w:rsidRPr="006E725C">
              <w:rPr>
                <w:spacing w:val="-4"/>
                <w:lang w:val="en-GB" w:eastAsia="en-US"/>
              </w:rPr>
              <w:t xml:space="preserve">wood and wood products </w:t>
            </w:r>
            <w:r w:rsidR="00EA1EBB" w:rsidRPr="006E725C">
              <w:rPr>
                <w:spacing w:val="-4"/>
                <w:lang w:val="en-GB" w:eastAsia="en-US"/>
              </w:rPr>
              <w:t>(−2</w:t>
            </w:r>
            <w:r w:rsidR="0055300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="00553007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−18</w:t>
            </w:r>
            <w:r w:rsidR="0055300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0%) </w:t>
            </w:r>
            <w:r w:rsidR="00553007" w:rsidRPr="006E725C">
              <w:rPr>
                <w:spacing w:val="-4"/>
                <w:lang w:val="en-GB" w:eastAsia="en-US"/>
              </w:rPr>
              <w:t xml:space="preserve">or other non-metal mineral products </w:t>
            </w:r>
            <w:r w:rsidR="00EA1EBB" w:rsidRPr="006E725C">
              <w:rPr>
                <w:spacing w:val="-4"/>
                <w:lang w:val="en-GB" w:eastAsia="en-US"/>
              </w:rPr>
              <w:t>(−2</w:t>
            </w:r>
            <w:r w:rsidR="0055300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553007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−10</w:t>
            </w:r>
            <w:r w:rsidR="0055300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0%)</w:t>
            </w:r>
            <w:r w:rsidR="00CD284C" w:rsidRPr="006E725C">
              <w:rPr>
                <w:spacing w:val="-4"/>
                <w:lang w:val="en-GB" w:eastAsia="en-US"/>
              </w:rPr>
              <w:t xml:space="preserve"> was also lower.</w:t>
            </w:r>
            <w:r w:rsidR="00EA1EBB" w:rsidRPr="006E725C">
              <w:rPr>
                <w:spacing w:val="-4"/>
                <w:lang w:val="en-GB" w:eastAsia="en-US"/>
              </w:rPr>
              <w:t xml:space="preserve"> </w:t>
            </w:r>
            <w:r w:rsidR="00DA308B" w:rsidRPr="006E725C">
              <w:rPr>
                <w:spacing w:val="-4"/>
                <w:lang w:val="en-GB" w:eastAsia="en-US"/>
              </w:rPr>
              <w:t xml:space="preserve">Among the few types of goods, where the exports increased, it grew the most </w:t>
            </w:r>
            <w:r w:rsidR="00D27C9D" w:rsidRPr="006E725C">
              <w:rPr>
                <w:spacing w:val="-4"/>
                <w:lang w:val="en-GB" w:eastAsia="en-US"/>
              </w:rPr>
              <w:t xml:space="preserve">for motor vehicles </w:t>
            </w:r>
            <w:r w:rsidR="00EA1EBB" w:rsidRPr="006E725C">
              <w:rPr>
                <w:spacing w:val="-4"/>
                <w:lang w:val="en-GB" w:eastAsia="en-US"/>
              </w:rPr>
              <w:t>(+48</w:t>
            </w:r>
            <w:r w:rsidR="00D27C9D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</w:t>
            </w:r>
            <w:r w:rsidR="00D27C9D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17</w:t>
            </w:r>
            <w:r w:rsidR="00D27C9D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6%)</w:t>
            </w:r>
            <w:r w:rsidR="00D27C9D" w:rsidRPr="006E725C">
              <w:rPr>
                <w:spacing w:val="-4"/>
                <w:lang w:val="en-GB" w:eastAsia="en-US"/>
              </w:rPr>
              <w:t xml:space="preserve"> year-on-year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0366CD" w:rsidRPr="006E725C">
              <w:rPr>
                <w:spacing w:val="-4"/>
                <w:lang w:val="en-GB" w:eastAsia="en-US"/>
              </w:rPr>
              <w:t xml:space="preserve">Exports of food products also recorded a more notable increase </w:t>
            </w:r>
            <w:r w:rsidR="00EA1EBB" w:rsidRPr="006E725C">
              <w:rPr>
                <w:spacing w:val="-4"/>
                <w:lang w:val="en-GB" w:eastAsia="en-US"/>
              </w:rPr>
              <w:t>(+3</w:t>
            </w:r>
            <w:r w:rsidR="000366CD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="000366CD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8</w:t>
            </w:r>
            <w:r w:rsidR="000366CD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1%).    </w:t>
            </w:r>
          </w:p>
        </w:tc>
      </w:tr>
      <w:tr w:rsidR="00EA1EBB" w:rsidRPr="006E725C" w14:paraId="60C8FEAA" w14:textId="77777777" w:rsidTr="00EA1EBB">
        <w:trPr>
          <w:trHeight w:val="126"/>
        </w:trPr>
        <w:tc>
          <w:tcPr>
            <w:tcW w:w="1748" w:type="dxa"/>
            <w:vMerge w:val="restart"/>
          </w:tcPr>
          <w:p w14:paraId="35DC0C12" w14:textId="77777777" w:rsidR="00EA1EBB" w:rsidRPr="006E725C" w:rsidRDefault="00EA1EBB">
            <w:pPr>
              <w:pStyle w:val="Marginlie"/>
              <w:rPr>
                <w:lang w:val="en-GB" w:eastAsia="en-US"/>
              </w:rPr>
            </w:pPr>
          </w:p>
        </w:tc>
        <w:tc>
          <w:tcPr>
            <w:tcW w:w="221" w:type="dxa"/>
            <w:vMerge w:val="restart"/>
          </w:tcPr>
          <w:p w14:paraId="55C7D8DE" w14:textId="77777777" w:rsidR="00EA1EBB" w:rsidRPr="006E725C" w:rsidRDefault="00EA1EBB">
            <w:pPr>
              <w:pStyle w:val="Textpoznpodarou"/>
              <w:jc w:val="both"/>
              <w:rPr>
                <w:spacing w:val="-4"/>
                <w:lang w:val="en-GB" w:eastAsia="en-US"/>
              </w:rPr>
            </w:pPr>
          </w:p>
        </w:tc>
        <w:tc>
          <w:tcPr>
            <w:tcW w:w="7670" w:type="dxa"/>
            <w:hideMark/>
          </w:tcPr>
          <w:p w14:paraId="6ED79DAE" w14:textId="5884304A" w:rsidR="00EA1EBB" w:rsidRPr="006E725C" w:rsidRDefault="005650DC" w:rsidP="00174ED1">
            <w:pPr>
              <w:spacing w:after="0"/>
              <w:rPr>
                <w:spacing w:val="-4"/>
                <w:lang w:val="en-GB" w:eastAsia="en-US"/>
              </w:rPr>
            </w:pPr>
            <w:r w:rsidRPr="006E725C">
              <w:rPr>
                <w:b/>
                <w:bCs/>
                <w:spacing w:val="-4"/>
                <w:lang w:val="en-GB" w:eastAsia="en-US"/>
              </w:rPr>
              <w:t xml:space="preserve">Chart </w:t>
            </w:r>
            <w:r w:rsidR="00174ED1" w:rsidRPr="006E725C">
              <w:rPr>
                <w:b/>
                <w:bCs/>
                <w:spacing w:val="-4"/>
                <w:lang w:val="en-GB" w:eastAsia="en-US"/>
              </w:rPr>
              <w:t>9</w:t>
            </w:r>
            <w:r w:rsidR="00EA1EBB" w:rsidRPr="006E725C">
              <w:rPr>
                <w:b/>
                <w:bCs/>
                <w:spacing w:val="-4"/>
                <w:lang w:val="en-GB" w:eastAsia="en-US"/>
              </w:rPr>
              <w:t xml:space="preserve"> </w:t>
            </w:r>
            <w:r w:rsidR="00D951DF" w:rsidRPr="006E725C">
              <w:rPr>
                <w:b/>
                <w:bCs/>
                <w:spacing w:val="-4"/>
                <w:lang w:val="en-GB" w:eastAsia="en-US"/>
              </w:rPr>
              <w:t>E</w:t>
            </w:r>
            <w:r w:rsidR="00B71A8D" w:rsidRPr="006E725C">
              <w:rPr>
                <w:b/>
                <w:bCs/>
                <w:spacing w:val="-4"/>
                <w:lang w:val="en-GB" w:eastAsia="en-US"/>
              </w:rPr>
              <w:t xml:space="preserve">xport and import of goods </w:t>
            </w:r>
            <w:r w:rsidR="00EA1EBB" w:rsidRPr="006E725C">
              <w:rPr>
                <w:spacing w:val="-4"/>
                <w:lang w:val="en-GB" w:eastAsia="en-US"/>
              </w:rPr>
              <w:t>(</w:t>
            </w:r>
            <w:r w:rsidR="001E0CAA" w:rsidRPr="006E725C">
              <w:rPr>
                <w:spacing w:val="-4"/>
                <w:lang w:val="en-GB" w:eastAsia="en-US"/>
              </w:rPr>
              <w:t xml:space="preserve">y-o-y change, in </w:t>
            </w:r>
            <w:r w:rsidR="00EA1EBB" w:rsidRPr="006E725C">
              <w:rPr>
                <w:spacing w:val="-4"/>
                <w:lang w:val="en-GB" w:eastAsia="en-US"/>
              </w:rPr>
              <w:t>%)</w:t>
            </w:r>
            <w:r w:rsidR="00EA1EBB" w:rsidRPr="006E725C">
              <w:rPr>
                <w:b/>
                <w:bCs/>
                <w:spacing w:val="-4"/>
                <w:lang w:val="en-GB" w:eastAsia="en-US"/>
              </w:rPr>
              <w:t xml:space="preserve"> a</w:t>
            </w:r>
            <w:r w:rsidR="005455D1" w:rsidRPr="006E725C">
              <w:rPr>
                <w:b/>
                <w:bCs/>
                <w:spacing w:val="-4"/>
                <w:lang w:val="en-GB" w:eastAsia="en-US"/>
              </w:rPr>
              <w:t xml:space="preserve">nd balance of international trade with goods </w:t>
            </w:r>
            <w:r w:rsidR="00EA1EBB" w:rsidRPr="006E725C">
              <w:rPr>
                <w:spacing w:val="-4"/>
                <w:lang w:val="en-GB" w:eastAsia="en-US"/>
              </w:rPr>
              <w:t>(</w:t>
            </w:r>
            <w:r w:rsidR="005455D1" w:rsidRPr="006E725C">
              <w:rPr>
                <w:spacing w:val="-4"/>
                <w:lang w:val="en-GB" w:eastAsia="en-US"/>
              </w:rPr>
              <w:t xml:space="preserve">in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</w:t>
            </w:r>
            <w:r w:rsidR="005455D1" w:rsidRPr="006E725C">
              <w:rPr>
                <w:spacing w:val="-4"/>
                <w:lang w:val="en-GB" w:eastAsia="en-US"/>
              </w:rPr>
              <w:t xml:space="preserve"> right axis</w:t>
            </w:r>
            <w:r w:rsidR="00EA1EBB" w:rsidRPr="006E725C">
              <w:rPr>
                <w:spacing w:val="-4"/>
                <w:lang w:val="en-GB" w:eastAsia="en-US"/>
              </w:rPr>
              <w:t>)</w:t>
            </w:r>
          </w:p>
        </w:tc>
      </w:tr>
      <w:tr w:rsidR="00EA1EBB" w:rsidRPr="006E725C" w14:paraId="005DCA28" w14:textId="77777777" w:rsidTr="0079457A">
        <w:tblPrEx>
          <w:tblCellMar>
            <w:left w:w="70" w:type="dxa"/>
            <w:right w:w="70" w:type="dxa"/>
          </w:tblCellMar>
        </w:tblPrEx>
        <w:trPr>
          <w:trHeight w:val="125"/>
        </w:trPr>
        <w:tc>
          <w:tcPr>
            <w:tcW w:w="1748" w:type="dxa"/>
            <w:vMerge/>
            <w:vAlign w:val="center"/>
            <w:hideMark/>
          </w:tcPr>
          <w:p w14:paraId="19DEB3AD" w14:textId="77777777" w:rsidR="00EA1EBB" w:rsidRPr="006E725C" w:rsidRDefault="00EA1EBB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val="en-GB" w:eastAsia="en-US"/>
              </w:rPr>
            </w:pPr>
          </w:p>
        </w:tc>
        <w:tc>
          <w:tcPr>
            <w:tcW w:w="221" w:type="dxa"/>
            <w:vMerge/>
            <w:vAlign w:val="center"/>
            <w:hideMark/>
          </w:tcPr>
          <w:p w14:paraId="0F9FA740" w14:textId="77777777" w:rsidR="00EA1EBB" w:rsidRPr="006E725C" w:rsidRDefault="00EA1EBB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val="en-GB" w:eastAsia="en-US"/>
              </w:rPr>
            </w:pPr>
          </w:p>
        </w:tc>
        <w:tc>
          <w:tcPr>
            <w:tcW w:w="7670" w:type="dxa"/>
            <w:hideMark/>
          </w:tcPr>
          <w:p w14:paraId="7AE00CF3" w14:textId="414EBD6B" w:rsidR="00EA1EBB" w:rsidRPr="006E725C" w:rsidRDefault="0079457A">
            <w:pPr>
              <w:spacing w:after="0"/>
              <w:rPr>
                <w:spacing w:val="-4"/>
                <w:lang w:val="en-GB" w:eastAsia="en-US"/>
              </w:rPr>
            </w:pPr>
            <w:r>
              <w:rPr>
                <w:noProof/>
              </w:rPr>
              <w:drawing>
                <wp:inline distT="0" distB="0" distL="0" distR="0" wp14:anchorId="04C588F1" wp14:editId="01AA4080">
                  <wp:extent cx="4773175" cy="3534275"/>
                  <wp:effectExtent l="0" t="0" r="8890" b="0"/>
                  <wp:docPr id="12" name="Graf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34A376-5955-451A-B8E8-536A257FF3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EA1EBB" w:rsidRPr="006E725C" w14:paraId="038FF672" w14:textId="77777777" w:rsidTr="00EA1EBB">
        <w:trPr>
          <w:trHeight w:val="125"/>
        </w:trPr>
        <w:tc>
          <w:tcPr>
            <w:tcW w:w="0" w:type="auto"/>
            <w:vMerge/>
            <w:vAlign w:val="center"/>
            <w:hideMark/>
          </w:tcPr>
          <w:p w14:paraId="29210805" w14:textId="77777777" w:rsidR="00EA1EBB" w:rsidRPr="006E725C" w:rsidRDefault="00EA1EBB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3D7717" w14:textId="77777777" w:rsidR="00EA1EBB" w:rsidRPr="006E725C" w:rsidRDefault="00EA1EBB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val="en-GB" w:eastAsia="en-US"/>
              </w:rPr>
            </w:pPr>
          </w:p>
        </w:tc>
        <w:tc>
          <w:tcPr>
            <w:tcW w:w="7670" w:type="dxa"/>
            <w:hideMark/>
          </w:tcPr>
          <w:p w14:paraId="180E9C54" w14:textId="11EAAB4B" w:rsidR="00815B3A" w:rsidRPr="006E725C" w:rsidRDefault="005650DC" w:rsidP="0079457A">
            <w:pPr>
              <w:spacing w:after="180"/>
              <w:rPr>
                <w:b/>
                <w:bCs/>
                <w:spacing w:val="-4"/>
                <w:sz w:val="16"/>
                <w:szCs w:val="16"/>
                <w:lang w:val="en-GB" w:eastAsia="en-US"/>
              </w:rPr>
            </w:pPr>
            <w:r w:rsidRPr="006E725C">
              <w:rPr>
                <w:spacing w:val="-4"/>
                <w:sz w:val="16"/>
                <w:szCs w:val="16"/>
                <w:lang w:val="en-GB" w:eastAsia="en-US"/>
              </w:rPr>
              <w:t>Source</w:t>
            </w:r>
            <w:r w:rsidR="00EA1EBB" w:rsidRPr="006E725C">
              <w:rPr>
                <w:spacing w:val="-4"/>
                <w:sz w:val="16"/>
                <w:szCs w:val="16"/>
                <w:lang w:val="en-GB" w:eastAsia="en-US"/>
              </w:rPr>
              <w:t xml:space="preserve">: </w:t>
            </w:r>
            <w:r w:rsidRPr="006E725C">
              <w:rPr>
                <w:spacing w:val="-4"/>
                <w:sz w:val="16"/>
                <w:szCs w:val="16"/>
                <w:lang w:val="en-GB" w:eastAsia="en-US"/>
              </w:rPr>
              <w:t>CZSO</w:t>
            </w:r>
          </w:p>
        </w:tc>
      </w:tr>
      <w:tr w:rsidR="00EA1EBB" w:rsidRPr="006E725C" w14:paraId="2B5A616E" w14:textId="77777777" w:rsidTr="00EA1EBB">
        <w:trPr>
          <w:trHeight w:val="145"/>
        </w:trPr>
        <w:tc>
          <w:tcPr>
            <w:tcW w:w="1748" w:type="dxa"/>
            <w:hideMark/>
          </w:tcPr>
          <w:p w14:paraId="44EE222B" w14:textId="0E065B07" w:rsidR="00EA1EBB" w:rsidRPr="006E725C" w:rsidRDefault="005536CA">
            <w:pPr>
              <w:pStyle w:val="Marginlie"/>
              <w:rPr>
                <w:lang w:val="en-GB" w:eastAsia="en-US"/>
              </w:rPr>
            </w:pPr>
            <w:r w:rsidRPr="006E725C">
              <w:rPr>
                <w:lang w:val="en-GB" w:eastAsia="en-US"/>
              </w:rPr>
              <w:t>Import sharply plunged last year</w:t>
            </w:r>
            <w:r w:rsidR="008C6CD6" w:rsidRPr="006E725C">
              <w:rPr>
                <w:lang w:val="en-GB" w:eastAsia="en-US"/>
              </w:rPr>
              <w:t xml:space="preserve">, to a large extent due to the </w:t>
            </w:r>
            <w:r w:rsidR="00E929F7" w:rsidRPr="006E725C">
              <w:rPr>
                <w:lang w:val="en-GB" w:eastAsia="en-US"/>
              </w:rPr>
              <w:t xml:space="preserve">slump of prices. </w:t>
            </w:r>
          </w:p>
        </w:tc>
        <w:tc>
          <w:tcPr>
            <w:tcW w:w="221" w:type="dxa"/>
          </w:tcPr>
          <w:p w14:paraId="7EA1B2A5" w14:textId="77777777" w:rsidR="00EA1EBB" w:rsidRPr="006E725C" w:rsidRDefault="00EA1EBB">
            <w:pPr>
              <w:pStyle w:val="Textpoznpodarou"/>
              <w:jc w:val="both"/>
              <w:rPr>
                <w:spacing w:val="-4"/>
                <w:lang w:val="en-GB" w:eastAsia="en-US"/>
              </w:rPr>
            </w:pPr>
          </w:p>
        </w:tc>
        <w:tc>
          <w:tcPr>
            <w:tcW w:w="7670" w:type="dxa"/>
            <w:hideMark/>
          </w:tcPr>
          <w:p w14:paraId="1C4F5AC8" w14:textId="200EDE58" w:rsidR="00EA1EBB" w:rsidRPr="006E725C" w:rsidRDefault="00E929F7" w:rsidP="008357DA">
            <w:pPr>
              <w:spacing w:after="180"/>
              <w:rPr>
                <w:spacing w:val="-4"/>
                <w:lang w:val="en-GB" w:eastAsia="en-US"/>
              </w:rPr>
            </w:pPr>
            <w:r w:rsidRPr="006E725C">
              <w:rPr>
                <w:spacing w:val="-4"/>
                <w:lang w:val="en-GB" w:eastAsia="en-US"/>
              </w:rPr>
              <w:t xml:space="preserve">Import of goods slumped by </w:t>
            </w:r>
            <w:r w:rsidR="00EA1EBB" w:rsidRPr="006E725C">
              <w:rPr>
                <w:spacing w:val="-4"/>
                <w:lang w:val="en-GB" w:eastAsia="en-US"/>
              </w:rPr>
              <w:t>284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Pr="006E725C">
              <w:rPr>
                <w:spacing w:val="-4"/>
                <w:lang w:val="en-GB" w:eastAsia="en-US"/>
              </w:rPr>
              <w:t xml:space="preserve"> </w:t>
            </w:r>
            <w:r w:rsidR="00EA1EBB" w:rsidRPr="006E725C">
              <w:rPr>
                <w:spacing w:val="-4"/>
                <w:lang w:val="en-GB" w:eastAsia="en-US"/>
              </w:rPr>
              <w:t>(−6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2%)</w:t>
            </w:r>
            <w:r w:rsidRPr="006E725C">
              <w:rPr>
                <w:spacing w:val="-4"/>
                <w:lang w:val="en-GB" w:eastAsia="en-US"/>
              </w:rPr>
              <w:t xml:space="preserve"> to 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Pr="006E725C">
              <w:rPr>
                <w:spacing w:val="-4"/>
                <w:lang w:val="en-GB" w:eastAsia="en-US"/>
              </w:rPr>
              <w:t> </w:t>
            </w:r>
            <w:r w:rsidR="00EA1EBB" w:rsidRPr="006E725C">
              <w:rPr>
                <w:spacing w:val="-4"/>
                <w:lang w:val="en-GB" w:eastAsia="en-US"/>
              </w:rPr>
              <w:t>327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8</w:t>
            </w:r>
            <w:r w:rsidRPr="006E725C">
              <w:rPr>
                <w:spacing w:val="-4"/>
                <w:lang w:val="en-GB" w:eastAsia="en-US"/>
              </w:rPr>
              <w:t xml:space="preserve"> bn in year 2023</w:t>
            </w:r>
            <w:r w:rsidR="00EA1EBB" w:rsidRPr="006E725C">
              <w:rPr>
                <w:spacing w:val="-4"/>
                <w:lang w:val="en-GB" w:eastAsia="en-US"/>
              </w:rPr>
              <w:t>.</w:t>
            </w:r>
            <w:r w:rsidRPr="006E725C">
              <w:rPr>
                <w:spacing w:val="-4"/>
                <w:lang w:val="en-GB" w:eastAsia="en-US"/>
              </w:rPr>
              <w:t xml:space="preserve"> </w:t>
            </w:r>
            <w:r w:rsidR="005C38FB" w:rsidRPr="006E725C">
              <w:rPr>
                <w:spacing w:val="-4"/>
                <w:lang w:val="en-GB" w:eastAsia="en-US"/>
              </w:rPr>
              <w:t xml:space="preserve">Development of prices of materials and </w:t>
            </w:r>
            <w:r w:rsidR="007D65C3" w:rsidRPr="006E725C">
              <w:rPr>
                <w:spacing w:val="-4"/>
                <w:lang w:val="en-GB" w:eastAsia="en-US"/>
              </w:rPr>
              <w:t>fuels</w:t>
            </w:r>
            <w:r w:rsidR="005C38FB" w:rsidRPr="006E725C">
              <w:rPr>
                <w:spacing w:val="-4"/>
                <w:lang w:val="en-GB" w:eastAsia="en-US"/>
              </w:rPr>
              <w:t xml:space="preserve"> participated on the decrease to a large </w:t>
            </w:r>
            <w:r w:rsidR="007D65C3" w:rsidRPr="006E725C">
              <w:rPr>
                <w:spacing w:val="-4"/>
                <w:lang w:val="en-GB" w:eastAsia="en-US"/>
              </w:rPr>
              <w:t>extent</w:t>
            </w:r>
            <w:r w:rsidR="00EA1EBB" w:rsidRPr="006E725C">
              <w:rPr>
                <w:rStyle w:val="Znakapoznpodarou"/>
                <w:spacing w:val="-4"/>
                <w:lang w:val="en-GB" w:eastAsia="en-US"/>
              </w:rPr>
              <w:footnoteReference w:id="4"/>
            </w:r>
            <w:r w:rsidR="00EA1EBB" w:rsidRPr="006E725C">
              <w:rPr>
                <w:spacing w:val="-4"/>
                <w:lang w:val="en-GB" w:eastAsia="en-US"/>
              </w:rPr>
              <w:t xml:space="preserve">, </w:t>
            </w:r>
            <w:r w:rsidR="005C38FB" w:rsidRPr="006E725C">
              <w:rPr>
                <w:spacing w:val="-4"/>
                <w:lang w:val="en-GB" w:eastAsia="en-US"/>
              </w:rPr>
              <w:t xml:space="preserve">but also the </w:t>
            </w:r>
            <w:r w:rsidR="007D65C3" w:rsidRPr="006E725C">
              <w:rPr>
                <w:spacing w:val="-4"/>
                <w:lang w:val="en-GB" w:eastAsia="en-US"/>
              </w:rPr>
              <w:t xml:space="preserve">local subdued both consumer and industrial demand. </w:t>
            </w:r>
            <w:r w:rsidR="00934897" w:rsidRPr="006E725C">
              <w:rPr>
                <w:spacing w:val="-4"/>
                <w:lang w:val="en-GB" w:eastAsia="en-US"/>
              </w:rPr>
              <w:t>Similarly to export, the import increased year-on-year in Q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934897" w:rsidRPr="006E725C">
              <w:rPr>
                <w:spacing w:val="-4"/>
                <w:lang w:val="en-GB" w:eastAsia="en-US"/>
              </w:rPr>
              <w:t xml:space="preserve"> </w:t>
            </w:r>
            <w:r w:rsidR="00EA1EBB" w:rsidRPr="006E725C">
              <w:rPr>
                <w:spacing w:val="-4"/>
                <w:lang w:val="en-GB" w:eastAsia="en-US"/>
              </w:rPr>
              <w:t>2023</w:t>
            </w:r>
            <w:r w:rsidR="00934897" w:rsidRPr="006E725C">
              <w:rPr>
                <w:spacing w:val="-4"/>
                <w:lang w:val="en-GB" w:eastAsia="en-US"/>
              </w:rPr>
              <w:t xml:space="preserve"> </w:t>
            </w:r>
            <w:r w:rsidR="00EA1EBB" w:rsidRPr="006E725C">
              <w:rPr>
                <w:spacing w:val="-4"/>
                <w:lang w:val="en-GB" w:eastAsia="en-US"/>
              </w:rPr>
              <w:t>(5</w:t>
            </w:r>
            <w:r w:rsidR="0093489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7%). </w:t>
            </w:r>
            <w:r w:rsidR="005F1CCA" w:rsidRPr="006E725C">
              <w:rPr>
                <w:spacing w:val="-4"/>
                <w:lang w:val="en-GB" w:eastAsia="en-US"/>
              </w:rPr>
              <w:t>However,</w:t>
            </w:r>
            <w:r w:rsidR="00ED3B10" w:rsidRPr="006E725C">
              <w:rPr>
                <w:spacing w:val="-4"/>
                <w:lang w:val="en-GB" w:eastAsia="en-US"/>
              </w:rPr>
              <w:t xml:space="preserve"> the imports of goods significantly plunged </w:t>
            </w:r>
            <w:r w:rsidR="00EA1EBB" w:rsidRPr="006E725C">
              <w:rPr>
                <w:spacing w:val="-4"/>
                <w:lang w:val="en-GB" w:eastAsia="en-US"/>
              </w:rPr>
              <w:t>(−8</w:t>
            </w:r>
            <w:r w:rsidR="00ED3B10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2% a</w:t>
            </w:r>
            <w:r w:rsidR="00ED3B10" w:rsidRPr="006E725C">
              <w:rPr>
                <w:spacing w:val="-4"/>
                <w:lang w:val="en-GB" w:eastAsia="en-US"/>
              </w:rPr>
              <w:t>nd</w:t>
            </w:r>
            <w:r w:rsidR="00EA1EBB" w:rsidRPr="006E725C">
              <w:rPr>
                <w:spacing w:val="-4"/>
                <w:lang w:val="en-GB" w:eastAsia="en-US"/>
              </w:rPr>
              <w:t xml:space="preserve"> −11</w:t>
            </w:r>
            <w:r w:rsidR="00ED3B10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8% </w:t>
            </w:r>
            <w:r w:rsidR="00ED3B10" w:rsidRPr="006E725C">
              <w:rPr>
                <w:spacing w:val="-4"/>
                <w:lang w:val="en-GB" w:eastAsia="en-US"/>
              </w:rPr>
              <w:t>in Q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ED3B10" w:rsidRPr="006E725C">
              <w:rPr>
                <w:spacing w:val="-4"/>
                <w:lang w:val="en-GB" w:eastAsia="en-US"/>
              </w:rPr>
              <w:t xml:space="preserve"> and Q</w:t>
            </w:r>
            <w:r w:rsidR="00EA1EBB" w:rsidRPr="006E725C">
              <w:rPr>
                <w:spacing w:val="-4"/>
                <w:lang w:val="en-GB" w:eastAsia="en-US"/>
              </w:rPr>
              <w:t>3)</w:t>
            </w:r>
            <w:r w:rsidR="00314879" w:rsidRPr="006E725C">
              <w:rPr>
                <w:spacing w:val="-4"/>
                <w:lang w:val="en-GB" w:eastAsia="en-US"/>
              </w:rPr>
              <w:t xml:space="preserve"> in the rest of the year</w:t>
            </w:r>
            <w:r w:rsidR="00EA1EBB" w:rsidRPr="006E725C">
              <w:rPr>
                <w:spacing w:val="-4"/>
                <w:lang w:val="en-GB" w:eastAsia="en-US"/>
              </w:rPr>
              <w:t>.</w:t>
            </w:r>
            <w:r w:rsidR="00314879" w:rsidRPr="006E725C">
              <w:rPr>
                <w:spacing w:val="-4"/>
                <w:lang w:val="en-GB" w:eastAsia="en-US"/>
              </w:rPr>
              <w:t xml:space="preserve"> The value of imports attained 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314879" w:rsidRPr="006E725C">
              <w:rPr>
                <w:spacing w:val="-4"/>
                <w:lang w:val="en-GB" w:eastAsia="en-US"/>
              </w:rPr>
              <w:t> </w:t>
            </w:r>
            <w:r w:rsidR="00EA1EBB" w:rsidRPr="006E725C">
              <w:rPr>
                <w:spacing w:val="-4"/>
                <w:lang w:val="en-GB" w:eastAsia="en-US"/>
              </w:rPr>
              <w:t>089</w:t>
            </w:r>
            <w:r w:rsidR="00314879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8</w:t>
            </w:r>
            <w:r w:rsidR="00314879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314879" w:rsidRPr="006E725C">
              <w:rPr>
                <w:spacing w:val="-4"/>
                <w:lang w:val="en-GB" w:eastAsia="en-US"/>
              </w:rPr>
              <w:t xml:space="preserve"> in Q4 and it was by </w:t>
            </w:r>
            <w:r w:rsidR="00EA1EBB" w:rsidRPr="006E725C">
              <w:rPr>
                <w:spacing w:val="-4"/>
                <w:lang w:val="en-GB" w:eastAsia="en-US"/>
              </w:rPr>
              <w:t>110</w:t>
            </w:r>
            <w:r w:rsidR="00314879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</w:t>
            </w:r>
            <w:r w:rsidR="00314879" w:rsidRPr="006E725C">
              <w:rPr>
                <w:spacing w:val="-4"/>
                <w:lang w:val="en-GB" w:eastAsia="en-US"/>
              </w:rPr>
              <w:t xml:space="preserve"> bn </w:t>
            </w:r>
            <w:r w:rsidR="00EA1EBB" w:rsidRPr="006E725C">
              <w:rPr>
                <w:spacing w:val="-4"/>
                <w:lang w:val="en-GB" w:eastAsia="en-US"/>
              </w:rPr>
              <w:t>(−9</w:t>
            </w:r>
            <w:r w:rsidR="00314879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2%)</w:t>
            </w:r>
            <w:r w:rsidR="00314879" w:rsidRPr="006E725C">
              <w:rPr>
                <w:spacing w:val="-4"/>
                <w:lang w:val="en-GB" w:eastAsia="en-US"/>
              </w:rPr>
              <w:t xml:space="preserve"> lower year-on-year</w:t>
            </w:r>
            <w:r w:rsidR="00EA1EBB" w:rsidRPr="006E725C">
              <w:rPr>
                <w:spacing w:val="-4"/>
                <w:lang w:val="en-GB" w:eastAsia="en-US"/>
              </w:rPr>
              <w:t>. Se</w:t>
            </w:r>
            <w:r w:rsidR="00314879" w:rsidRPr="006E725C">
              <w:rPr>
                <w:spacing w:val="-4"/>
                <w:lang w:val="en-GB" w:eastAsia="en-US"/>
              </w:rPr>
              <w:t xml:space="preserve">asonally adjusted data show, that the value of imports </w:t>
            </w:r>
            <w:r w:rsidR="002A70B9" w:rsidRPr="006E725C">
              <w:rPr>
                <w:spacing w:val="-4"/>
                <w:lang w:val="en-GB" w:eastAsia="en-US"/>
              </w:rPr>
              <w:t>dropped by 0.9% quarter-on-quarter in Q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2A70B9" w:rsidRPr="006E725C">
              <w:rPr>
                <w:spacing w:val="-4"/>
                <w:lang w:val="en-GB" w:eastAsia="en-US"/>
              </w:rPr>
              <w:t xml:space="preserve">, for the fifth time in a row. </w:t>
            </w:r>
            <w:r w:rsidR="00ED3B10" w:rsidRPr="006E725C">
              <w:rPr>
                <w:spacing w:val="-4"/>
                <w:lang w:val="en-GB" w:eastAsia="en-US"/>
              </w:rPr>
              <w:t xml:space="preserve">Imports from the EU decreased by </w:t>
            </w:r>
            <w:r w:rsidR="00EA1EBB" w:rsidRPr="006E725C">
              <w:rPr>
                <w:spacing w:val="-4"/>
                <w:lang w:val="en-GB" w:eastAsia="en-US"/>
              </w:rPr>
              <w:t>68</w:t>
            </w:r>
            <w:r w:rsidR="00ED3B10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8</w:t>
            </w:r>
            <w:r w:rsidR="00ED3B10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D3B10" w:rsidRPr="006E725C">
              <w:rPr>
                <w:spacing w:val="-4"/>
                <w:lang w:val="en-GB" w:eastAsia="en-US"/>
              </w:rPr>
              <w:t xml:space="preserve"> last year </w:t>
            </w:r>
            <w:r w:rsidR="00EA1EBB" w:rsidRPr="006E725C">
              <w:rPr>
                <w:spacing w:val="-4"/>
                <w:lang w:val="en-GB" w:eastAsia="en-US"/>
              </w:rPr>
              <w:t>(−2</w:t>
            </w:r>
            <w:r w:rsidR="00ED3B10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5%). Import</w:t>
            </w:r>
            <w:r w:rsidR="00ED3B10" w:rsidRPr="006E725C">
              <w:rPr>
                <w:spacing w:val="-4"/>
                <w:lang w:val="en-GB" w:eastAsia="en-US"/>
              </w:rPr>
              <w:t xml:space="preserve">s of goods from countries outside the EU slumped by </w:t>
            </w:r>
            <w:r w:rsidR="00EA1EBB" w:rsidRPr="006E725C">
              <w:rPr>
                <w:spacing w:val="-4"/>
                <w:lang w:val="en-GB" w:eastAsia="en-US"/>
              </w:rPr>
              <w:t>218</w:t>
            </w:r>
            <w:r w:rsidR="00ED3B10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</w:t>
            </w:r>
            <w:r w:rsidR="00ED3B10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D3B10" w:rsidRPr="006E725C">
              <w:rPr>
                <w:spacing w:val="-4"/>
                <w:lang w:val="en-GB" w:eastAsia="en-US"/>
              </w:rPr>
              <w:t xml:space="preserve"> </w:t>
            </w:r>
            <w:r w:rsidR="00EA1EBB" w:rsidRPr="006E725C">
              <w:rPr>
                <w:spacing w:val="-4"/>
                <w:lang w:val="en-GB" w:eastAsia="en-US"/>
              </w:rPr>
              <w:lastRenderedPageBreak/>
              <w:t>(−12</w:t>
            </w:r>
            <w:r w:rsidR="00ED3B10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0%), </w:t>
            </w:r>
            <w:r w:rsidR="003F3051" w:rsidRPr="006E725C">
              <w:rPr>
                <w:spacing w:val="-4"/>
                <w:lang w:val="en-GB" w:eastAsia="en-US"/>
              </w:rPr>
              <w:t xml:space="preserve">which was largely influenced by the decrease of prices of a number of materials, mainly </w:t>
            </w:r>
            <w:r w:rsidR="00455AE3" w:rsidRPr="006E725C">
              <w:rPr>
                <w:spacing w:val="-4"/>
                <w:lang w:val="en-GB" w:eastAsia="en-US"/>
              </w:rPr>
              <w:t xml:space="preserve">petroleum </w:t>
            </w:r>
            <w:r w:rsidR="003F3051" w:rsidRPr="006E725C">
              <w:rPr>
                <w:spacing w:val="-4"/>
                <w:lang w:val="en-GB" w:eastAsia="en-US"/>
              </w:rPr>
              <w:t xml:space="preserve">and natural gas. </w:t>
            </w:r>
            <w:r w:rsidR="001C6AB8" w:rsidRPr="006E725C">
              <w:rPr>
                <w:spacing w:val="-4"/>
                <w:lang w:val="en-GB" w:eastAsia="en-US"/>
              </w:rPr>
              <w:t xml:space="preserve">The strongest decrease of imports </w:t>
            </w:r>
            <w:r w:rsidR="00194024" w:rsidRPr="006E725C">
              <w:rPr>
                <w:spacing w:val="-4"/>
                <w:lang w:val="en-GB" w:eastAsia="en-US"/>
              </w:rPr>
              <w:t>was</w:t>
            </w:r>
            <w:r w:rsidR="001C6AB8" w:rsidRPr="006E725C">
              <w:rPr>
                <w:spacing w:val="-4"/>
                <w:lang w:val="en-GB" w:eastAsia="en-US"/>
              </w:rPr>
              <w:t xml:space="preserve"> recorded for Russia </w:t>
            </w:r>
            <w:r w:rsidR="00EA1EBB" w:rsidRPr="006E725C">
              <w:rPr>
                <w:spacing w:val="-4"/>
                <w:lang w:val="en-GB" w:eastAsia="en-US"/>
              </w:rPr>
              <w:t>(−189</w:t>
            </w:r>
            <w:r w:rsidR="001C6AB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</w:t>
            </w:r>
            <w:r w:rsidR="001C6AB8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−71</w:t>
            </w:r>
            <w:r w:rsidR="001C6AB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3%), </w:t>
            </w:r>
            <w:r w:rsidR="001C6AB8" w:rsidRPr="006E725C">
              <w:rPr>
                <w:spacing w:val="-4"/>
                <w:lang w:val="en-GB" w:eastAsia="en-US"/>
              </w:rPr>
              <w:t xml:space="preserve">China </w:t>
            </w:r>
            <w:r w:rsidR="00EA1EBB" w:rsidRPr="006E725C">
              <w:rPr>
                <w:spacing w:val="-4"/>
                <w:lang w:val="en-GB" w:eastAsia="en-US"/>
              </w:rPr>
              <w:t>(−49</w:t>
            </w:r>
            <w:r w:rsidR="001C6AB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</w:t>
            </w:r>
            <w:r w:rsidR="001C6AB8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−8</w:t>
            </w:r>
            <w:r w:rsidR="001C6AB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5%), Pol</w:t>
            </w:r>
            <w:r w:rsidR="001C6AB8" w:rsidRPr="006E725C">
              <w:rPr>
                <w:spacing w:val="-4"/>
                <w:lang w:val="en-GB" w:eastAsia="en-US"/>
              </w:rPr>
              <w:t xml:space="preserve">and </w:t>
            </w:r>
            <w:r w:rsidR="00EA1EBB" w:rsidRPr="006E725C">
              <w:rPr>
                <w:spacing w:val="-4"/>
                <w:lang w:val="en-GB" w:eastAsia="en-US"/>
              </w:rPr>
              <w:t>(−23</w:t>
            </w:r>
            <w:r w:rsidR="001C6AB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1C6AB8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−5</w:t>
            </w:r>
            <w:r w:rsidR="001C6AB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7%), </w:t>
            </w:r>
            <w:r w:rsidR="001C6AB8" w:rsidRPr="006E725C">
              <w:rPr>
                <w:spacing w:val="-4"/>
                <w:lang w:val="en-GB" w:eastAsia="en-US"/>
              </w:rPr>
              <w:t xml:space="preserve">Germany </w:t>
            </w:r>
            <w:r w:rsidR="00EA1EBB" w:rsidRPr="006E725C">
              <w:rPr>
                <w:spacing w:val="-4"/>
                <w:lang w:val="en-GB" w:eastAsia="en-US"/>
              </w:rPr>
              <w:t>(−19</w:t>
            </w:r>
            <w:r w:rsidR="001C6AB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</w:t>
            </w:r>
            <w:r w:rsidR="001C6AB8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−2</w:t>
            </w:r>
            <w:r w:rsidR="001C6AB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0%) a</w:t>
            </w:r>
            <w:r w:rsidR="001C6AB8" w:rsidRPr="006E725C">
              <w:rPr>
                <w:spacing w:val="-4"/>
                <w:lang w:val="en-GB" w:eastAsia="en-US"/>
              </w:rPr>
              <w:t xml:space="preserve">nd Austria </w:t>
            </w:r>
            <w:r w:rsidR="00EA1EBB" w:rsidRPr="006E725C">
              <w:rPr>
                <w:spacing w:val="-4"/>
                <w:lang w:val="en-GB" w:eastAsia="en-US"/>
              </w:rPr>
              <w:t>(−18</w:t>
            </w:r>
            <w:r w:rsidR="001C6AB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0</w:t>
            </w:r>
            <w:r w:rsidR="001C6AB8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−13</w:t>
            </w:r>
            <w:r w:rsidR="001C6AB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1%)</w:t>
            </w:r>
            <w:r w:rsidR="001C6AB8" w:rsidRPr="006E725C">
              <w:rPr>
                <w:spacing w:val="-4"/>
                <w:lang w:val="en-GB" w:eastAsia="en-US"/>
              </w:rPr>
              <w:t xml:space="preserve"> last year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194024" w:rsidRPr="006E725C">
              <w:rPr>
                <w:spacing w:val="-4"/>
                <w:lang w:val="en-GB" w:eastAsia="en-US"/>
              </w:rPr>
              <w:t xml:space="preserve">The only considerable increase of imports was recorded in case of Norway </w:t>
            </w:r>
            <w:r w:rsidR="00EA1EBB" w:rsidRPr="006E725C">
              <w:rPr>
                <w:spacing w:val="-4"/>
                <w:lang w:val="en-GB" w:eastAsia="en-US"/>
              </w:rPr>
              <w:t>(+37</w:t>
            </w:r>
            <w:r w:rsidR="0019402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0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75</w:t>
            </w:r>
            <w:r w:rsidR="0019402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5%), </w:t>
            </w:r>
            <w:r w:rsidR="00194024" w:rsidRPr="006E725C">
              <w:rPr>
                <w:spacing w:val="-4"/>
                <w:lang w:val="en-GB" w:eastAsia="en-US"/>
              </w:rPr>
              <w:t xml:space="preserve">which </w:t>
            </w:r>
            <w:r w:rsidR="00046CFC" w:rsidRPr="006E725C">
              <w:rPr>
                <w:spacing w:val="-4"/>
                <w:lang w:val="en-GB" w:eastAsia="en-US"/>
              </w:rPr>
              <w:t xml:space="preserve">assumed the role of the main natural gas supplier instead of Russia since the last year. </w:t>
            </w:r>
            <w:r w:rsidR="005F1CCA" w:rsidRPr="006E725C">
              <w:rPr>
                <w:spacing w:val="-4"/>
                <w:lang w:val="en-GB" w:eastAsia="en-US"/>
              </w:rPr>
              <w:t xml:space="preserve">The import from the EU fell by </w:t>
            </w:r>
            <w:r w:rsidR="00EA1EBB" w:rsidRPr="006E725C">
              <w:rPr>
                <w:spacing w:val="-4"/>
                <w:lang w:val="en-GB" w:eastAsia="en-US"/>
              </w:rPr>
              <w:t>16</w:t>
            </w:r>
            <w:r w:rsidR="005F1CC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</w:t>
            </w:r>
            <w:r w:rsidR="005F1CCA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5F1CCA" w:rsidRPr="006E725C">
              <w:rPr>
                <w:spacing w:val="-4"/>
                <w:lang w:val="en-GB" w:eastAsia="en-US"/>
              </w:rPr>
              <w:t xml:space="preserve"> year-on-year </w:t>
            </w:r>
            <w:r w:rsidR="00EA1EBB" w:rsidRPr="006E725C">
              <w:rPr>
                <w:spacing w:val="-4"/>
                <w:lang w:val="en-GB" w:eastAsia="en-US"/>
              </w:rPr>
              <w:t>(−2</w:t>
            </w:r>
            <w:r w:rsidR="005F1CC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4%)</w:t>
            </w:r>
            <w:r w:rsidR="005F1CCA" w:rsidRPr="006E725C">
              <w:rPr>
                <w:spacing w:val="-4"/>
                <w:lang w:val="en-GB" w:eastAsia="en-US"/>
              </w:rPr>
              <w:t xml:space="preserve"> in Q4 2023 itself</w:t>
            </w:r>
            <w:r w:rsidR="00EA1EBB" w:rsidRPr="006E725C">
              <w:rPr>
                <w:spacing w:val="-4"/>
                <w:lang w:val="en-GB" w:eastAsia="en-US"/>
              </w:rPr>
              <w:t xml:space="preserve">. Import </w:t>
            </w:r>
            <w:r w:rsidR="005F1CCA" w:rsidRPr="006E725C">
              <w:rPr>
                <w:spacing w:val="-4"/>
                <w:lang w:val="en-GB" w:eastAsia="en-US"/>
              </w:rPr>
              <w:t xml:space="preserve">from the countries outside the EU kept falling more </w:t>
            </w:r>
            <w:r w:rsidR="006C2A0B" w:rsidRPr="006E725C">
              <w:rPr>
                <w:spacing w:val="-4"/>
                <w:lang w:val="en-GB" w:eastAsia="en-US"/>
              </w:rPr>
              <w:t xml:space="preserve">markedly </w:t>
            </w:r>
            <w:r w:rsidR="00EA1EBB" w:rsidRPr="006E725C">
              <w:rPr>
                <w:spacing w:val="-4"/>
                <w:lang w:val="en-GB" w:eastAsia="en-US"/>
              </w:rPr>
              <w:t>(−94</w:t>
            </w:r>
            <w:r w:rsidR="006C2A0B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="006C2A0B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−18</w:t>
            </w:r>
            <w:r w:rsidR="006C2A0B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8%). </w:t>
            </w:r>
            <w:r w:rsidR="008357DA" w:rsidRPr="006E725C">
              <w:rPr>
                <w:spacing w:val="-4"/>
                <w:lang w:val="en-GB" w:eastAsia="en-US"/>
              </w:rPr>
              <w:t>Import from China</w:t>
            </w:r>
            <w:r w:rsidR="00D73012" w:rsidRPr="006E725C">
              <w:rPr>
                <w:spacing w:val="-4"/>
                <w:lang w:val="en-GB" w:eastAsia="en-US"/>
              </w:rPr>
              <w:t xml:space="preserve"> </w:t>
            </w:r>
            <w:r w:rsidR="00EA1EBB" w:rsidRPr="006E725C">
              <w:rPr>
                <w:spacing w:val="-4"/>
                <w:lang w:val="en-GB" w:eastAsia="en-US"/>
              </w:rPr>
              <w:t>(−49</w:t>
            </w:r>
            <w:r w:rsidR="00D73012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6</w:t>
            </w:r>
            <w:r w:rsidR="00D73012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−27</w:t>
            </w:r>
            <w:r w:rsidR="00D73012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4%) a</w:t>
            </w:r>
            <w:r w:rsidR="00D73012" w:rsidRPr="006E725C">
              <w:rPr>
                <w:spacing w:val="-4"/>
                <w:lang w:val="en-GB" w:eastAsia="en-US"/>
              </w:rPr>
              <w:t xml:space="preserve">nd Norway </w:t>
            </w:r>
            <w:r w:rsidR="00EA1EBB" w:rsidRPr="006E725C">
              <w:rPr>
                <w:spacing w:val="-4"/>
                <w:lang w:val="en-GB" w:eastAsia="en-US"/>
              </w:rPr>
              <w:t>(−21</w:t>
            </w:r>
            <w:r w:rsidR="00D73012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</w:t>
            </w:r>
            <w:r w:rsidR="00D73012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−53</w:t>
            </w:r>
            <w:r w:rsidR="00D73012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2%)</w:t>
            </w:r>
            <w:r w:rsidR="008357DA" w:rsidRPr="006E725C">
              <w:rPr>
                <w:spacing w:val="-4"/>
                <w:lang w:val="en-GB" w:eastAsia="en-US"/>
              </w:rPr>
              <w:t xml:space="preserve"> sank the most </w:t>
            </w:r>
            <w:r w:rsidR="00D73012" w:rsidRPr="006E725C">
              <w:rPr>
                <w:spacing w:val="-4"/>
                <w:lang w:val="en-GB" w:eastAsia="en-US"/>
              </w:rPr>
              <w:t>year-on-year</w:t>
            </w:r>
            <w:r w:rsidR="00EA1EBB" w:rsidRPr="006E725C">
              <w:rPr>
                <w:spacing w:val="-4"/>
                <w:lang w:val="en-GB" w:eastAsia="en-US"/>
              </w:rPr>
              <w:t>.</w:t>
            </w:r>
            <w:r w:rsidR="00D73012" w:rsidRPr="006E725C">
              <w:rPr>
                <w:spacing w:val="-4"/>
                <w:lang w:val="en-GB" w:eastAsia="en-US"/>
              </w:rPr>
              <w:t xml:space="preserve"> The value of imports from the </w:t>
            </w:r>
            <w:r w:rsidR="002D4AE8" w:rsidRPr="006E725C">
              <w:rPr>
                <w:spacing w:val="-4"/>
                <w:lang w:val="en-GB" w:eastAsia="en-US"/>
              </w:rPr>
              <w:t>United States</w:t>
            </w:r>
            <w:r w:rsidR="002E3080" w:rsidRPr="006E725C">
              <w:rPr>
                <w:spacing w:val="-4"/>
                <w:lang w:val="en-GB" w:eastAsia="en-US"/>
              </w:rPr>
              <w:t xml:space="preserve"> </w:t>
            </w:r>
            <w:r w:rsidR="00EA1EBB" w:rsidRPr="006E725C">
              <w:rPr>
                <w:spacing w:val="-4"/>
                <w:lang w:val="en-GB" w:eastAsia="en-US"/>
              </w:rPr>
              <w:t>(−5</w:t>
            </w:r>
            <w:r w:rsidR="00D73012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="00D73012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−14</w:t>
            </w:r>
            <w:r w:rsidR="00D73012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3%), </w:t>
            </w:r>
            <w:r w:rsidR="002E3080" w:rsidRPr="006E725C">
              <w:rPr>
                <w:spacing w:val="-4"/>
                <w:lang w:val="en-GB" w:eastAsia="en-US"/>
              </w:rPr>
              <w:t xml:space="preserve">from Poland </w:t>
            </w:r>
            <w:r w:rsidR="00EA1EBB" w:rsidRPr="006E725C">
              <w:rPr>
                <w:spacing w:val="-4"/>
                <w:lang w:val="en-GB" w:eastAsia="en-US"/>
              </w:rPr>
              <w:t>(−5</w:t>
            </w:r>
            <w:r w:rsidR="002E3080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0</w:t>
            </w:r>
            <w:r w:rsidR="002E3080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−5</w:t>
            </w:r>
            <w:r w:rsidR="002E3080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0%), Rus</w:t>
            </w:r>
            <w:r w:rsidR="002E3080" w:rsidRPr="006E725C">
              <w:rPr>
                <w:spacing w:val="-4"/>
                <w:lang w:val="en-GB" w:eastAsia="en-US"/>
              </w:rPr>
              <w:t xml:space="preserve">sia </w:t>
            </w:r>
            <w:r w:rsidR="00EA1EBB" w:rsidRPr="006E725C">
              <w:rPr>
                <w:spacing w:val="-4"/>
                <w:lang w:val="en-GB" w:eastAsia="en-US"/>
              </w:rPr>
              <w:t>(−4</w:t>
            </w:r>
            <w:r w:rsidR="002E3080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2E3080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−15</w:t>
            </w:r>
            <w:r w:rsidR="002E3080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9%), </w:t>
            </w:r>
            <w:r w:rsidR="002E3080" w:rsidRPr="006E725C">
              <w:rPr>
                <w:spacing w:val="-4"/>
                <w:lang w:val="en-GB" w:eastAsia="en-US"/>
              </w:rPr>
              <w:t xml:space="preserve">Austria </w:t>
            </w:r>
            <w:r w:rsidR="00EA1EBB" w:rsidRPr="006E725C">
              <w:rPr>
                <w:spacing w:val="-4"/>
                <w:lang w:val="en-GB" w:eastAsia="en-US"/>
              </w:rPr>
              <w:t>(−4</w:t>
            </w:r>
            <w:r w:rsidR="002E3080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2E3080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−13</w:t>
            </w:r>
            <w:r w:rsidR="002E3080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0%) </w:t>
            </w:r>
            <w:r w:rsidR="002E3080" w:rsidRPr="006E725C">
              <w:rPr>
                <w:spacing w:val="-4"/>
                <w:lang w:val="en-GB" w:eastAsia="en-US"/>
              </w:rPr>
              <w:t xml:space="preserve">or Germany </w:t>
            </w:r>
            <w:r w:rsidR="00EA1EBB" w:rsidRPr="006E725C">
              <w:rPr>
                <w:spacing w:val="-4"/>
                <w:lang w:val="en-GB" w:eastAsia="en-US"/>
              </w:rPr>
              <w:t>(−3</w:t>
            </w:r>
            <w:r w:rsidR="002E3080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</w:t>
            </w:r>
            <w:r w:rsidR="002E3080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</w:t>
            </w:r>
            <w:r w:rsidR="002E3080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5%)</w:t>
            </w:r>
            <w:r w:rsidR="002E3080" w:rsidRPr="006E725C">
              <w:rPr>
                <w:spacing w:val="-4"/>
                <w:lang w:val="en-GB" w:eastAsia="en-US"/>
              </w:rPr>
              <w:t xml:space="preserve"> was also lower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2062DE" w:rsidRPr="006E725C">
              <w:rPr>
                <w:spacing w:val="-4"/>
                <w:lang w:val="en-GB" w:eastAsia="en-US"/>
              </w:rPr>
              <w:t xml:space="preserve">Imports from the majority of observed countries was falling and more notable year-on-year increase was recorded only for Kazakhstan </w:t>
            </w:r>
            <w:r w:rsidR="00EA1EBB" w:rsidRPr="006E725C">
              <w:rPr>
                <w:spacing w:val="-4"/>
                <w:lang w:val="en-GB" w:eastAsia="en-US"/>
              </w:rPr>
              <w:t>(+2</w:t>
            </w:r>
            <w:r w:rsidR="002062DE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</w:t>
            </w:r>
            <w:r w:rsidR="002062DE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76</w:t>
            </w:r>
            <w:r w:rsidR="002062DE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3%, </w:t>
            </w:r>
            <w:r w:rsidR="002062DE" w:rsidRPr="006E725C">
              <w:rPr>
                <w:spacing w:val="-4"/>
                <w:lang w:val="en-GB" w:eastAsia="en-US"/>
              </w:rPr>
              <w:t xml:space="preserve">especially the imports of </w:t>
            </w:r>
            <w:r w:rsidR="00455AE3" w:rsidRPr="006E725C">
              <w:rPr>
                <w:spacing w:val="-4"/>
                <w:lang w:val="en-GB" w:eastAsia="en-US"/>
              </w:rPr>
              <w:t>petroleum</w:t>
            </w:r>
            <w:r w:rsidR="002062DE" w:rsidRPr="006E725C">
              <w:rPr>
                <w:spacing w:val="-4"/>
                <w:lang w:val="en-GB" w:eastAsia="en-US"/>
              </w:rPr>
              <w:t xml:space="preserve"> and natural gas increased</w:t>
            </w:r>
            <w:r w:rsidR="00EA1EBB" w:rsidRPr="006E725C">
              <w:rPr>
                <w:spacing w:val="-4"/>
                <w:lang w:val="en-GB" w:eastAsia="en-US"/>
              </w:rPr>
              <w:t xml:space="preserve">). </w:t>
            </w:r>
          </w:p>
        </w:tc>
      </w:tr>
      <w:tr w:rsidR="00EA1EBB" w:rsidRPr="006E725C" w14:paraId="09DFDAB2" w14:textId="77777777" w:rsidTr="00EA1EBB">
        <w:trPr>
          <w:trHeight w:val="145"/>
        </w:trPr>
        <w:tc>
          <w:tcPr>
            <w:tcW w:w="1748" w:type="dxa"/>
            <w:hideMark/>
          </w:tcPr>
          <w:p w14:paraId="45588A55" w14:textId="475CF385" w:rsidR="00EA1EBB" w:rsidRPr="006E725C" w:rsidRDefault="005B4277">
            <w:pPr>
              <w:pStyle w:val="Marginlie"/>
              <w:rPr>
                <w:lang w:val="en-GB" w:eastAsia="en-US"/>
              </w:rPr>
            </w:pPr>
            <w:r w:rsidRPr="006E725C">
              <w:rPr>
                <w:lang w:val="en-GB" w:eastAsia="en-US"/>
              </w:rPr>
              <w:lastRenderedPageBreak/>
              <w:t xml:space="preserve">Import of </w:t>
            </w:r>
            <w:r w:rsidR="00455AE3" w:rsidRPr="006E725C">
              <w:rPr>
                <w:lang w:val="en-GB" w:eastAsia="en-US"/>
              </w:rPr>
              <w:t xml:space="preserve">petroleum </w:t>
            </w:r>
            <w:r w:rsidRPr="006E725C">
              <w:rPr>
                <w:lang w:val="en-GB" w:eastAsia="en-US"/>
              </w:rPr>
              <w:t xml:space="preserve">and natural gas slumped the most last year. </w:t>
            </w:r>
          </w:p>
        </w:tc>
        <w:tc>
          <w:tcPr>
            <w:tcW w:w="221" w:type="dxa"/>
          </w:tcPr>
          <w:p w14:paraId="70BFC2C1" w14:textId="77777777" w:rsidR="00EA1EBB" w:rsidRPr="006E725C" w:rsidRDefault="00EA1EBB">
            <w:pPr>
              <w:pStyle w:val="Textpoznpodarou"/>
              <w:jc w:val="both"/>
              <w:rPr>
                <w:spacing w:val="-4"/>
                <w:lang w:val="en-GB" w:eastAsia="en-US"/>
              </w:rPr>
            </w:pPr>
          </w:p>
        </w:tc>
        <w:tc>
          <w:tcPr>
            <w:tcW w:w="7670" w:type="dxa"/>
            <w:hideMark/>
          </w:tcPr>
          <w:p w14:paraId="079F6B31" w14:textId="21F84793" w:rsidR="00EA1EBB" w:rsidRPr="006E725C" w:rsidRDefault="000F3B71">
            <w:pPr>
              <w:spacing w:after="180"/>
              <w:rPr>
                <w:spacing w:val="-4"/>
                <w:lang w:val="en-GB" w:eastAsia="en-US"/>
              </w:rPr>
            </w:pPr>
            <w:r w:rsidRPr="006E725C">
              <w:rPr>
                <w:spacing w:val="-4"/>
                <w:lang w:val="en-GB" w:eastAsia="en-US"/>
              </w:rPr>
              <w:t xml:space="preserve">Import of </w:t>
            </w:r>
            <w:r w:rsidR="00455AE3" w:rsidRPr="006E725C">
              <w:rPr>
                <w:spacing w:val="-4"/>
                <w:lang w:val="en-GB" w:eastAsia="en-US"/>
              </w:rPr>
              <w:t>petroleum</w:t>
            </w:r>
            <w:r w:rsidRPr="006E725C">
              <w:rPr>
                <w:spacing w:val="-4"/>
                <w:lang w:val="en-GB" w:eastAsia="en-US"/>
              </w:rPr>
              <w:t xml:space="preserve"> and natural gas </w:t>
            </w:r>
            <w:r w:rsidR="00EA1EBB" w:rsidRPr="006E725C">
              <w:rPr>
                <w:spacing w:val="-4"/>
                <w:lang w:val="en-GB" w:eastAsia="en-US"/>
              </w:rPr>
              <w:t>(−161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−46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9%) a</w:t>
            </w:r>
            <w:r w:rsidRPr="006E725C">
              <w:rPr>
                <w:spacing w:val="-4"/>
                <w:lang w:val="en-GB" w:eastAsia="en-US"/>
              </w:rPr>
              <w:t xml:space="preserve">nd further basic metals </w:t>
            </w:r>
            <w:r w:rsidR="00EA1EBB" w:rsidRPr="006E725C">
              <w:rPr>
                <w:spacing w:val="-4"/>
                <w:lang w:val="en-GB" w:eastAsia="en-US"/>
              </w:rPr>
              <w:t>(−61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8</w:t>
            </w:r>
            <w:r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−16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3%), chemic</w:t>
            </w:r>
            <w:r w:rsidRPr="006E725C">
              <w:rPr>
                <w:spacing w:val="-4"/>
                <w:lang w:val="en-GB" w:eastAsia="en-US"/>
              </w:rPr>
              <w:t xml:space="preserve">al substances and products </w:t>
            </w:r>
            <w:r w:rsidR="00EA1EBB" w:rsidRPr="006E725C">
              <w:rPr>
                <w:spacing w:val="-4"/>
                <w:lang w:val="en-GB" w:eastAsia="en-US"/>
              </w:rPr>
              <w:t>(−48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0</w:t>
            </w:r>
            <w:r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−12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2%) a</w:t>
            </w:r>
            <w:r w:rsidRPr="006E725C">
              <w:rPr>
                <w:spacing w:val="-4"/>
                <w:lang w:val="en-GB" w:eastAsia="en-US"/>
              </w:rPr>
              <w:t xml:space="preserve">nd computers, electronic and optical appliances </w:t>
            </w:r>
            <w:r w:rsidR="00EA1EBB" w:rsidRPr="006E725C">
              <w:rPr>
                <w:spacing w:val="-4"/>
                <w:lang w:val="en-GB" w:eastAsia="en-US"/>
              </w:rPr>
              <w:t>(−21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−4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3%)</w:t>
            </w:r>
            <w:r w:rsidRPr="006E725C">
              <w:rPr>
                <w:spacing w:val="-4"/>
                <w:lang w:val="en-GB" w:eastAsia="en-US"/>
              </w:rPr>
              <w:t xml:space="preserve"> participated to a major extent on the last year’s slump of import</w:t>
            </w:r>
            <w:r w:rsidR="00EA1EBB" w:rsidRPr="006E725C">
              <w:rPr>
                <w:spacing w:val="-4"/>
                <w:lang w:val="en-GB" w:eastAsia="en-US"/>
              </w:rPr>
              <w:t>.</w:t>
            </w:r>
            <w:r w:rsidRPr="006E725C">
              <w:rPr>
                <w:spacing w:val="-4"/>
                <w:lang w:val="en-GB" w:eastAsia="en-US"/>
              </w:rPr>
              <w:t xml:space="preserve"> </w:t>
            </w:r>
            <w:r w:rsidR="0009098B" w:rsidRPr="006E725C">
              <w:rPr>
                <w:spacing w:val="-4"/>
                <w:lang w:val="en-GB" w:eastAsia="en-US"/>
              </w:rPr>
              <w:t xml:space="preserve">Significant decrease of the value of imports of coke and refined </w:t>
            </w:r>
            <w:r w:rsidR="00455AE3" w:rsidRPr="006E725C">
              <w:rPr>
                <w:spacing w:val="-4"/>
                <w:lang w:val="en-GB" w:eastAsia="en-US"/>
              </w:rPr>
              <w:t>petroleum</w:t>
            </w:r>
            <w:r w:rsidR="0009098B" w:rsidRPr="006E725C">
              <w:rPr>
                <w:spacing w:val="-4"/>
                <w:lang w:val="en-GB" w:eastAsia="en-US"/>
              </w:rPr>
              <w:t xml:space="preserve"> products </w:t>
            </w:r>
            <w:r w:rsidR="00EA1EBB" w:rsidRPr="006E725C">
              <w:rPr>
                <w:spacing w:val="-4"/>
                <w:lang w:val="en-GB" w:eastAsia="en-US"/>
              </w:rPr>
              <w:t>(−17</w:t>
            </w:r>
            <w:r w:rsidR="0009098B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09098B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−15</w:t>
            </w:r>
            <w:r w:rsidR="0009098B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9%) ele</w:t>
            </w:r>
            <w:r w:rsidR="0009098B" w:rsidRPr="006E725C">
              <w:rPr>
                <w:spacing w:val="-4"/>
                <w:lang w:val="en-GB" w:eastAsia="en-US"/>
              </w:rPr>
              <w:t xml:space="preserve">ctricity, gas, steam and air conditioning </w:t>
            </w:r>
            <w:r w:rsidR="00EA1EBB" w:rsidRPr="006E725C">
              <w:rPr>
                <w:spacing w:val="-4"/>
                <w:lang w:val="en-GB" w:eastAsia="en-US"/>
              </w:rPr>
              <w:t>(−15</w:t>
            </w:r>
            <w:r w:rsidR="0009098B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09098B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−42</w:t>
            </w:r>
            <w:r w:rsidR="0009098B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1%) </w:t>
            </w:r>
            <w:r w:rsidR="0009098B" w:rsidRPr="006E725C">
              <w:rPr>
                <w:spacing w:val="-4"/>
                <w:lang w:val="en-GB" w:eastAsia="en-US"/>
              </w:rPr>
              <w:t xml:space="preserve">or black and brown coal and </w:t>
            </w:r>
            <w:r w:rsidR="003106A6" w:rsidRPr="006E725C">
              <w:rPr>
                <w:spacing w:val="-4"/>
                <w:lang w:val="en-GB" w:eastAsia="en-US"/>
              </w:rPr>
              <w:t xml:space="preserve">lignite </w:t>
            </w:r>
            <w:r w:rsidR="00EA1EBB" w:rsidRPr="006E725C">
              <w:rPr>
                <w:spacing w:val="-4"/>
                <w:lang w:val="en-GB" w:eastAsia="en-US"/>
              </w:rPr>
              <w:t>(−10</w:t>
            </w:r>
            <w:r w:rsidR="003106A6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3106A6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−31</w:t>
            </w:r>
            <w:r w:rsidR="003106A6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5%</w:t>
            </w:r>
            <w:r w:rsidR="003106A6" w:rsidRPr="006E725C">
              <w:rPr>
                <w:spacing w:val="-4"/>
                <w:lang w:val="en-GB" w:eastAsia="en-US"/>
              </w:rPr>
              <w:t>)</w:t>
            </w:r>
            <w:r w:rsidR="0009098B" w:rsidRPr="006E725C">
              <w:rPr>
                <w:spacing w:val="-4"/>
                <w:lang w:val="en-GB" w:eastAsia="en-US"/>
              </w:rPr>
              <w:t xml:space="preserve"> also confirms the effect of falling material prices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9C38F7" w:rsidRPr="006E725C">
              <w:rPr>
                <w:spacing w:val="-4"/>
                <w:lang w:val="en-GB" w:eastAsia="en-US"/>
              </w:rPr>
              <w:t xml:space="preserve">Decrease of imports of other manufacturing products </w:t>
            </w:r>
            <w:r w:rsidR="00EA1EBB" w:rsidRPr="006E725C">
              <w:rPr>
                <w:spacing w:val="-4"/>
                <w:lang w:val="en-GB" w:eastAsia="en-US"/>
              </w:rPr>
              <w:t>(−12</w:t>
            </w:r>
            <w:r w:rsidR="009C38F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</w:t>
            </w:r>
            <w:r w:rsidR="009C38F7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−12</w:t>
            </w:r>
            <w:r w:rsidR="009C38F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2%)</w:t>
            </w:r>
            <w:r w:rsidR="009C38F7" w:rsidRPr="006E725C">
              <w:rPr>
                <w:spacing w:val="-4"/>
                <w:lang w:val="en-GB" w:eastAsia="en-US"/>
              </w:rPr>
              <w:t xml:space="preserve"> was also substantial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2D191B" w:rsidRPr="006E725C">
              <w:rPr>
                <w:spacing w:val="-4"/>
                <w:lang w:val="en-GB" w:eastAsia="en-US"/>
              </w:rPr>
              <w:t xml:space="preserve">Motor vehicles </w:t>
            </w:r>
            <w:r w:rsidR="00EA1EBB" w:rsidRPr="006E725C">
              <w:rPr>
                <w:spacing w:val="-4"/>
                <w:lang w:val="en-GB" w:eastAsia="en-US"/>
              </w:rPr>
              <w:t>(+71</w:t>
            </w:r>
            <w:r w:rsidR="002D191B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2D191B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12</w:t>
            </w:r>
            <w:r w:rsidR="002D191B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2%), </w:t>
            </w:r>
            <w:r w:rsidR="002D191B" w:rsidRPr="006E725C">
              <w:rPr>
                <w:spacing w:val="-4"/>
                <w:lang w:val="en-GB" w:eastAsia="en-US"/>
              </w:rPr>
              <w:t xml:space="preserve">electrical appliances </w:t>
            </w:r>
            <w:r w:rsidR="00EA1EBB" w:rsidRPr="006E725C">
              <w:rPr>
                <w:spacing w:val="-4"/>
                <w:lang w:val="en-GB" w:eastAsia="en-US"/>
              </w:rPr>
              <w:t>(+22</w:t>
            </w:r>
            <w:r w:rsidR="002D191B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</w:t>
            </w:r>
            <w:r w:rsidR="002D191B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5</w:t>
            </w:r>
            <w:r w:rsidR="002D191B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2%), </w:t>
            </w:r>
            <w:r w:rsidR="002D191B" w:rsidRPr="006E725C">
              <w:rPr>
                <w:spacing w:val="-4"/>
                <w:lang w:val="en-GB" w:eastAsia="en-US"/>
              </w:rPr>
              <w:t xml:space="preserve">other transport equipment </w:t>
            </w:r>
            <w:r w:rsidR="00EA1EBB" w:rsidRPr="006E725C">
              <w:rPr>
                <w:spacing w:val="-4"/>
                <w:lang w:val="en-GB" w:eastAsia="en-US"/>
              </w:rPr>
              <w:t>(+12</w:t>
            </w:r>
            <w:r w:rsidR="002D191B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2D191B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24</w:t>
            </w:r>
            <w:r w:rsidR="002D191B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6%) </w:t>
            </w:r>
            <w:r w:rsidR="002D191B" w:rsidRPr="006E725C">
              <w:rPr>
                <w:spacing w:val="-4"/>
                <w:lang w:val="en-GB" w:eastAsia="en-US"/>
              </w:rPr>
              <w:t xml:space="preserve">or food products </w:t>
            </w:r>
            <w:r w:rsidR="00EA1EBB" w:rsidRPr="006E725C">
              <w:rPr>
                <w:spacing w:val="-4"/>
                <w:lang w:val="en-GB" w:eastAsia="en-US"/>
              </w:rPr>
              <w:t>(+11</w:t>
            </w:r>
            <w:r w:rsidR="002D191B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="002D191B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5</w:t>
            </w:r>
            <w:r w:rsidR="002D191B" w:rsidRPr="006E725C">
              <w:rPr>
                <w:spacing w:val="-4"/>
                <w:lang w:val="en-GB" w:eastAsia="en-US"/>
              </w:rPr>
              <w:t>.</w:t>
            </w:r>
            <w:r w:rsidR="00402689">
              <w:rPr>
                <w:spacing w:val="-4"/>
                <w:lang w:val="en-GB" w:eastAsia="en-US"/>
              </w:rPr>
              <w:t>4</w:t>
            </w:r>
            <w:r w:rsidR="00EA1EBB" w:rsidRPr="006E725C">
              <w:rPr>
                <w:spacing w:val="-4"/>
                <w:lang w:val="en-GB" w:eastAsia="en-US"/>
              </w:rPr>
              <w:t xml:space="preserve"> %)</w:t>
            </w:r>
            <w:r w:rsidR="002D191B" w:rsidRPr="006E725C">
              <w:rPr>
                <w:spacing w:val="-4"/>
                <w:lang w:val="en-GB" w:eastAsia="en-US"/>
              </w:rPr>
              <w:t xml:space="preserve"> belong among the minority of products, whose import increased last year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94537F" w:rsidRPr="006E725C">
              <w:rPr>
                <w:spacing w:val="-4"/>
                <w:lang w:val="en-GB" w:eastAsia="en-US"/>
              </w:rPr>
              <w:t xml:space="preserve">Decrease of </w:t>
            </w:r>
            <w:r w:rsidR="00455AE3" w:rsidRPr="006E725C">
              <w:rPr>
                <w:spacing w:val="-4"/>
                <w:lang w:val="en-GB" w:eastAsia="en-US"/>
              </w:rPr>
              <w:t>petroleum</w:t>
            </w:r>
            <w:r w:rsidR="0094537F" w:rsidRPr="006E725C">
              <w:rPr>
                <w:spacing w:val="-4"/>
                <w:lang w:val="en-GB" w:eastAsia="en-US"/>
              </w:rPr>
              <w:t xml:space="preserve"> and natural gas </w:t>
            </w:r>
            <w:r w:rsidR="00EA1EBB" w:rsidRPr="006E725C">
              <w:rPr>
                <w:spacing w:val="-4"/>
                <w:lang w:val="en-GB" w:eastAsia="en-US"/>
              </w:rPr>
              <w:t>(−32</w:t>
            </w:r>
            <w:r w:rsidR="0094537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94537F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−38</w:t>
            </w:r>
            <w:r w:rsidR="0094537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7%) a</w:t>
            </w:r>
            <w:r w:rsidR="0094537F" w:rsidRPr="006E725C">
              <w:rPr>
                <w:spacing w:val="-4"/>
                <w:lang w:val="en-GB" w:eastAsia="en-US"/>
              </w:rPr>
              <w:t xml:space="preserve">nd electrical equipment </w:t>
            </w:r>
            <w:r w:rsidR="00EA1EBB" w:rsidRPr="006E725C">
              <w:rPr>
                <w:spacing w:val="-4"/>
                <w:lang w:val="en-GB" w:eastAsia="en-US"/>
              </w:rPr>
              <w:t>(−23</w:t>
            </w:r>
            <w:r w:rsidR="0094537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</w:t>
            </w:r>
            <w:r w:rsidR="0094537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−17</w:t>
            </w:r>
            <w:r w:rsidR="0094537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9%)</w:t>
            </w:r>
            <w:r w:rsidR="0094537F" w:rsidRPr="006E725C">
              <w:rPr>
                <w:spacing w:val="-4"/>
                <w:lang w:val="en-GB" w:eastAsia="en-US"/>
              </w:rPr>
              <w:t xml:space="preserve"> contributed the most to the year-on-year slump of value of import in Q4 itself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C313BF" w:rsidRPr="006E725C">
              <w:rPr>
                <w:spacing w:val="-4"/>
                <w:lang w:val="en-GB" w:eastAsia="en-US"/>
              </w:rPr>
              <w:t xml:space="preserve">More notable decrease was also recorded for imports of machinery and equipment </w:t>
            </w:r>
            <w:r w:rsidR="00EA1EBB" w:rsidRPr="006E725C">
              <w:rPr>
                <w:spacing w:val="-4"/>
                <w:lang w:val="en-GB" w:eastAsia="en-US"/>
              </w:rPr>
              <w:t>(−10</w:t>
            </w:r>
            <w:r w:rsidR="00C313B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C313BF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−9</w:t>
            </w:r>
            <w:r w:rsidR="00C313B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7%),</w:t>
            </w:r>
            <w:r w:rsidR="00C313BF" w:rsidRPr="006E725C">
              <w:rPr>
                <w:spacing w:val="-4"/>
                <w:lang w:val="en-GB" w:eastAsia="en-US"/>
              </w:rPr>
              <w:t xml:space="preserve"> basic metals </w:t>
            </w:r>
            <w:r w:rsidR="00EA1EBB" w:rsidRPr="006E725C">
              <w:rPr>
                <w:spacing w:val="-4"/>
                <w:lang w:val="en-GB" w:eastAsia="en-US"/>
              </w:rPr>
              <w:t>(−10</w:t>
            </w:r>
            <w:r w:rsidR="00C313B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C313B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−12</w:t>
            </w:r>
            <w:r w:rsidR="00C313B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4%), </w:t>
            </w:r>
            <w:r w:rsidR="00C313BF" w:rsidRPr="006E725C">
              <w:rPr>
                <w:spacing w:val="-4"/>
                <w:lang w:val="en-GB" w:eastAsia="en-US"/>
              </w:rPr>
              <w:t xml:space="preserve">computers, electronic and optical appliances </w:t>
            </w:r>
            <w:r w:rsidR="00EA1EBB" w:rsidRPr="006E725C">
              <w:rPr>
                <w:spacing w:val="-4"/>
                <w:lang w:val="en-GB" w:eastAsia="en-US"/>
              </w:rPr>
              <w:t>(−9</w:t>
            </w:r>
            <w:r w:rsidR="00C313B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C313BF" w:rsidRPr="006E725C">
              <w:rPr>
                <w:spacing w:val="-4"/>
                <w:lang w:val="en-GB" w:eastAsia="en-US"/>
              </w:rPr>
              <w:t xml:space="preserve"> bn,</w:t>
            </w:r>
            <w:r w:rsidR="00EA1EBB" w:rsidRPr="006E725C">
              <w:rPr>
                <w:spacing w:val="-4"/>
                <w:lang w:val="en-GB" w:eastAsia="en-US"/>
              </w:rPr>
              <w:t xml:space="preserve"> −6</w:t>
            </w:r>
            <w:r w:rsidR="00C313B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8%), chemic</w:t>
            </w:r>
            <w:r w:rsidR="00C313BF" w:rsidRPr="006E725C">
              <w:rPr>
                <w:spacing w:val="-4"/>
                <w:lang w:val="en-GB" w:eastAsia="en-US"/>
              </w:rPr>
              <w:t xml:space="preserve">al substances and products </w:t>
            </w:r>
            <w:r w:rsidR="00EA1EBB" w:rsidRPr="006E725C">
              <w:rPr>
                <w:spacing w:val="-4"/>
                <w:lang w:val="en-GB" w:eastAsia="en-US"/>
              </w:rPr>
              <w:t>(−8</w:t>
            </w:r>
            <w:r w:rsidR="00C313B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C313B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−8</w:t>
            </w:r>
            <w:r w:rsidR="00C313B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5%), </w:t>
            </w:r>
            <w:r w:rsidR="00C313BF" w:rsidRPr="006E725C">
              <w:rPr>
                <w:spacing w:val="-4"/>
                <w:lang w:val="en-GB" w:eastAsia="en-US"/>
              </w:rPr>
              <w:t xml:space="preserve">coke and refined </w:t>
            </w:r>
            <w:r w:rsidR="00455AE3" w:rsidRPr="006E725C">
              <w:rPr>
                <w:spacing w:val="-4"/>
                <w:lang w:val="en-GB" w:eastAsia="en-US"/>
              </w:rPr>
              <w:t xml:space="preserve">petroleum </w:t>
            </w:r>
            <w:r w:rsidR="00C313BF" w:rsidRPr="006E725C">
              <w:rPr>
                <w:spacing w:val="-4"/>
                <w:lang w:val="en-GB" w:eastAsia="en-US"/>
              </w:rPr>
              <w:t xml:space="preserve">products </w:t>
            </w:r>
            <w:r w:rsidR="00EA1EBB" w:rsidRPr="006E725C">
              <w:rPr>
                <w:spacing w:val="-4"/>
                <w:lang w:val="en-GB" w:eastAsia="en-US"/>
              </w:rPr>
              <w:t>(−4</w:t>
            </w:r>
            <w:r w:rsidR="00C313B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C313B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−15</w:t>
            </w:r>
            <w:r w:rsidR="00C313B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3%), </w:t>
            </w:r>
            <w:r w:rsidR="00C90F18">
              <w:rPr>
                <w:spacing w:val="-4"/>
                <w:lang w:val="en-GB" w:eastAsia="en-US"/>
              </w:rPr>
              <w:t>clothing</w:t>
            </w:r>
            <w:r w:rsidR="00C313BF" w:rsidRPr="006E725C">
              <w:rPr>
                <w:spacing w:val="-4"/>
                <w:lang w:val="en-GB" w:eastAsia="en-US"/>
              </w:rPr>
              <w:t xml:space="preserve"> </w:t>
            </w:r>
            <w:r w:rsidR="00EA1EBB" w:rsidRPr="006E725C">
              <w:rPr>
                <w:spacing w:val="-4"/>
                <w:lang w:val="en-GB" w:eastAsia="en-US"/>
              </w:rPr>
              <w:t>(−3</w:t>
            </w:r>
            <w:r w:rsidR="00C313B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8</w:t>
            </w:r>
            <w:r w:rsidR="00C313B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−19</w:t>
            </w:r>
            <w:r w:rsidR="00C313B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6%), </w:t>
            </w:r>
            <w:r w:rsidR="00C313BF" w:rsidRPr="006E725C">
              <w:rPr>
                <w:spacing w:val="-4"/>
                <w:lang w:val="en-GB" w:eastAsia="en-US"/>
              </w:rPr>
              <w:t xml:space="preserve">black and brown coal and lignite </w:t>
            </w:r>
            <w:r w:rsidR="00EA1EBB" w:rsidRPr="006E725C">
              <w:rPr>
                <w:spacing w:val="-4"/>
                <w:lang w:val="en-GB" w:eastAsia="en-US"/>
              </w:rPr>
              <w:t>(−3</w:t>
            </w:r>
            <w:r w:rsidR="00C313B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C313B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−48</w:t>
            </w:r>
            <w:r w:rsidR="00C313B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1%)</w:t>
            </w:r>
            <w:r w:rsidR="00C313BF" w:rsidRPr="006E725C">
              <w:rPr>
                <w:spacing w:val="-4"/>
                <w:lang w:val="en-GB" w:eastAsia="en-US"/>
              </w:rPr>
              <w:t xml:space="preserve"> or other manufacturing products </w:t>
            </w:r>
            <w:r w:rsidR="00EA1EBB" w:rsidRPr="006E725C">
              <w:rPr>
                <w:spacing w:val="-4"/>
                <w:lang w:val="en-GB" w:eastAsia="en-US"/>
              </w:rPr>
              <w:t>(−3</w:t>
            </w:r>
            <w:r w:rsidR="00C313B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C313B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, −12</w:t>
            </w:r>
            <w:r w:rsidR="00C313B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0%). </w:t>
            </w:r>
            <w:r w:rsidR="005B4277" w:rsidRPr="006E725C">
              <w:rPr>
                <w:spacing w:val="-4"/>
                <w:lang w:val="en-GB" w:eastAsia="en-US"/>
              </w:rPr>
              <w:t>Only the import of motor vehicles increased considerably year-on-year in Q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5B4277" w:rsidRPr="006E725C">
              <w:rPr>
                <w:spacing w:val="-4"/>
                <w:lang w:val="en-GB" w:eastAsia="en-US"/>
              </w:rPr>
              <w:t xml:space="preserve"> </w:t>
            </w:r>
            <w:r w:rsidR="00EA1EBB" w:rsidRPr="006E725C">
              <w:rPr>
                <w:spacing w:val="-4"/>
                <w:lang w:val="en-GB" w:eastAsia="en-US"/>
              </w:rPr>
              <w:t>(+14</w:t>
            </w:r>
            <w:r w:rsidR="005B427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8</w:t>
            </w:r>
            <w:r w:rsidR="005B4277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9</w:t>
            </w:r>
            <w:r w:rsidR="005B4277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4%)</w:t>
            </w:r>
            <w:r w:rsidR="005B4277" w:rsidRPr="006E725C">
              <w:rPr>
                <w:spacing w:val="-4"/>
                <w:lang w:val="en-GB" w:eastAsia="en-US"/>
              </w:rPr>
              <w:t xml:space="preserve"> in Q4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</w:p>
        </w:tc>
      </w:tr>
      <w:tr w:rsidR="00EA1EBB" w:rsidRPr="006E725C" w14:paraId="791906DB" w14:textId="77777777" w:rsidTr="00EA1EBB">
        <w:trPr>
          <w:trHeight w:val="145"/>
        </w:trPr>
        <w:tc>
          <w:tcPr>
            <w:tcW w:w="1748" w:type="dxa"/>
            <w:hideMark/>
          </w:tcPr>
          <w:p w14:paraId="6BD5925D" w14:textId="75A5995B" w:rsidR="00EA1EBB" w:rsidRPr="006E725C" w:rsidRDefault="000F3B71">
            <w:pPr>
              <w:pStyle w:val="Marginlie"/>
              <w:rPr>
                <w:lang w:val="en-GB" w:eastAsia="en-US"/>
              </w:rPr>
            </w:pPr>
            <w:r w:rsidRPr="006E725C">
              <w:rPr>
                <w:lang w:val="en-GB" w:eastAsia="en-US"/>
              </w:rPr>
              <w:t xml:space="preserve">Trade with countries outside the EU contributed the most to the improvement of international trade balance. </w:t>
            </w:r>
          </w:p>
        </w:tc>
        <w:tc>
          <w:tcPr>
            <w:tcW w:w="221" w:type="dxa"/>
          </w:tcPr>
          <w:p w14:paraId="7B5CE05C" w14:textId="77777777" w:rsidR="00EA1EBB" w:rsidRPr="006E725C" w:rsidRDefault="00EA1EBB">
            <w:pPr>
              <w:pStyle w:val="Textpoznpodarou"/>
              <w:jc w:val="both"/>
              <w:rPr>
                <w:spacing w:val="-4"/>
                <w:lang w:val="en-GB" w:eastAsia="en-US"/>
              </w:rPr>
            </w:pPr>
          </w:p>
        </w:tc>
        <w:tc>
          <w:tcPr>
            <w:tcW w:w="7670" w:type="dxa"/>
            <w:hideMark/>
          </w:tcPr>
          <w:p w14:paraId="35181CE3" w14:textId="13764BE3" w:rsidR="00EA1EBB" w:rsidRPr="006E725C" w:rsidRDefault="000F3B71" w:rsidP="00417256">
            <w:pPr>
              <w:spacing w:after="180"/>
              <w:rPr>
                <w:spacing w:val="-4"/>
                <w:lang w:val="en-GB" w:eastAsia="en-US"/>
              </w:rPr>
            </w:pPr>
            <w:r w:rsidRPr="006E725C">
              <w:rPr>
                <w:spacing w:val="-4"/>
                <w:lang w:val="en-GB" w:eastAsia="en-US"/>
              </w:rPr>
              <w:t xml:space="preserve">International balance of goods ended in surplus of </w:t>
            </w:r>
            <w:r w:rsidR="00EA1EBB" w:rsidRPr="006E725C">
              <w:rPr>
                <w:spacing w:val="-4"/>
                <w:lang w:val="en-GB" w:eastAsia="en-US"/>
              </w:rPr>
              <w:t>124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</w:t>
            </w:r>
            <w:r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rStyle w:val="Znakapoznpodarou"/>
                <w:spacing w:val="-4"/>
                <w:lang w:val="en-GB" w:eastAsia="en-US"/>
              </w:rPr>
              <w:footnoteReference w:id="5"/>
            </w:r>
            <w:r w:rsidRPr="006E725C">
              <w:rPr>
                <w:spacing w:val="-4"/>
                <w:lang w:val="en-GB" w:eastAsia="en-US"/>
              </w:rPr>
              <w:t xml:space="preserve"> last year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Pr="006E725C">
              <w:rPr>
                <w:spacing w:val="-4"/>
                <w:lang w:val="en-GB" w:eastAsia="en-US"/>
              </w:rPr>
              <w:t xml:space="preserve">That is year-on-year by </w:t>
            </w:r>
            <w:r w:rsidR="00EA1EBB" w:rsidRPr="006E725C">
              <w:rPr>
                <w:spacing w:val="-4"/>
                <w:lang w:val="en-GB" w:eastAsia="en-US"/>
              </w:rPr>
              <w:t>329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</w:t>
            </w:r>
            <w:r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Pr="006E725C">
              <w:rPr>
                <w:spacing w:val="-4"/>
                <w:lang w:val="en-GB" w:eastAsia="en-US"/>
              </w:rPr>
              <w:t xml:space="preserve"> better result, </w:t>
            </w:r>
            <w:r w:rsidR="0094537F" w:rsidRPr="006E725C">
              <w:rPr>
                <w:spacing w:val="-4"/>
                <w:lang w:val="en-GB" w:eastAsia="en-US"/>
              </w:rPr>
              <w:t xml:space="preserve">which was impacted mainly by the plunge of prices of fuels and basic materials. </w:t>
            </w:r>
            <w:r w:rsidR="00933E43" w:rsidRPr="006E725C">
              <w:rPr>
                <w:spacing w:val="-4"/>
                <w:lang w:val="en-GB" w:eastAsia="en-US"/>
              </w:rPr>
              <w:t xml:space="preserve">Balance reached surplus in the first half of the year </w:t>
            </w:r>
            <w:r w:rsidR="00EA1EBB" w:rsidRPr="006E725C">
              <w:rPr>
                <w:spacing w:val="-4"/>
                <w:lang w:val="en-GB" w:eastAsia="en-US"/>
              </w:rPr>
              <w:t>(39</w:t>
            </w:r>
            <w:r w:rsidR="00933E4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8</w:t>
            </w:r>
            <w:r w:rsidR="00933E43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933E43" w:rsidRPr="006E725C">
              <w:rPr>
                <w:spacing w:val="-4"/>
                <w:lang w:val="en-GB" w:eastAsia="en-US"/>
              </w:rPr>
              <w:t xml:space="preserve"> and </w:t>
            </w:r>
            <w:r w:rsidR="00EA1EBB" w:rsidRPr="006E725C">
              <w:rPr>
                <w:spacing w:val="-4"/>
                <w:lang w:val="en-GB" w:eastAsia="en-US"/>
              </w:rPr>
              <w:t>36</w:t>
            </w:r>
            <w:r w:rsidR="00933E4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933E43" w:rsidRPr="006E725C">
              <w:rPr>
                <w:spacing w:val="-4"/>
                <w:lang w:val="en-GB" w:eastAsia="en-US"/>
              </w:rPr>
              <w:t xml:space="preserve"> bn in Q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933E43" w:rsidRPr="006E725C">
              <w:rPr>
                <w:spacing w:val="-4"/>
                <w:lang w:val="en-GB" w:eastAsia="en-US"/>
              </w:rPr>
              <w:t xml:space="preserve"> and Q</w:t>
            </w:r>
            <w:r w:rsidR="00EA1EBB" w:rsidRPr="006E725C">
              <w:rPr>
                <w:spacing w:val="-4"/>
                <w:lang w:val="en-GB" w:eastAsia="en-US"/>
              </w:rPr>
              <w:t>2) a</w:t>
            </w:r>
            <w:r w:rsidR="00933E43" w:rsidRPr="006E725C">
              <w:rPr>
                <w:spacing w:val="-4"/>
                <w:lang w:val="en-GB" w:eastAsia="en-US"/>
              </w:rPr>
              <w:t xml:space="preserve">nd ended in small deficit in the third quarter of the year </w:t>
            </w:r>
            <w:r w:rsidR="00EA1EBB" w:rsidRPr="006E725C">
              <w:rPr>
                <w:spacing w:val="-4"/>
                <w:lang w:val="en-GB" w:eastAsia="en-US"/>
              </w:rPr>
              <w:t>(−0</w:t>
            </w:r>
            <w:r w:rsidR="00933E4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933E43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 xml:space="preserve">). </w:t>
            </w:r>
            <w:r w:rsidR="005F3B48" w:rsidRPr="006E725C">
              <w:rPr>
                <w:spacing w:val="-4"/>
                <w:lang w:val="en-GB" w:eastAsia="en-US"/>
              </w:rPr>
              <w:t xml:space="preserve">International balance of trade of goods attained surplus of </w:t>
            </w:r>
            <w:r w:rsidR="00EA1EBB" w:rsidRPr="006E725C">
              <w:rPr>
                <w:spacing w:val="-4"/>
                <w:lang w:val="en-GB" w:eastAsia="en-US"/>
              </w:rPr>
              <w:t>48</w:t>
            </w:r>
            <w:r w:rsidR="005F3B4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</w:t>
            </w:r>
            <w:r w:rsidR="005F3B48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5F3B48" w:rsidRPr="006E725C">
              <w:rPr>
                <w:spacing w:val="-4"/>
                <w:lang w:val="en-GB" w:eastAsia="en-US"/>
              </w:rPr>
              <w:t xml:space="preserve"> in Q4 2023 </w:t>
            </w:r>
            <w:r w:rsidR="00EA1EBB" w:rsidRPr="006E725C">
              <w:rPr>
                <w:spacing w:val="-4"/>
                <w:lang w:val="en-GB" w:eastAsia="en-US"/>
              </w:rPr>
              <w:t>a</w:t>
            </w:r>
            <w:r w:rsidR="005F3B48" w:rsidRPr="006E725C">
              <w:rPr>
                <w:spacing w:val="-4"/>
                <w:lang w:val="en-GB" w:eastAsia="en-US"/>
              </w:rPr>
              <w:t xml:space="preserve">nd thus improved by </w:t>
            </w:r>
            <w:r w:rsidR="00EA1EBB" w:rsidRPr="006E725C">
              <w:rPr>
                <w:spacing w:val="-4"/>
                <w:lang w:val="en-GB" w:eastAsia="en-US"/>
              </w:rPr>
              <w:t>103</w:t>
            </w:r>
            <w:r w:rsidR="005F3B48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</w:t>
            </w:r>
            <w:r w:rsidR="005F3B48" w:rsidRPr="006E725C">
              <w:rPr>
                <w:spacing w:val="-4"/>
                <w:lang w:val="en-GB" w:eastAsia="en-US"/>
              </w:rPr>
              <w:t xml:space="preserve"> bn year-on-year</w:t>
            </w:r>
            <w:r w:rsidR="00EA1EBB" w:rsidRPr="006E725C">
              <w:rPr>
                <w:spacing w:val="-4"/>
                <w:lang w:val="en-GB" w:eastAsia="en-US"/>
              </w:rPr>
              <w:t>. Se</w:t>
            </w:r>
            <w:r w:rsidR="0094537F" w:rsidRPr="006E725C">
              <w:rPr>
                <w:spacing w:val="-4"/>
                <w:lang w:val="en-GB" w:eastAsia="en-US"/>
              </w:rPr>
              <w:t xml:space="preserve">asonally adjusted data </w:t>
            </w:r>
            <w:r w:rsidR="00417DAE" w:rsidRPr="006E725C">
              <w:rPr>
                <w:spacing w:val="-4"/>
                <w:lang w:val="en-GB" w:eastAsia="en-US"/>
              </w:rPr>
              <w:t>confirm</w:t>
            </w:r>
            <w:r w:rsidR="0094537F" w:rsidRPr="006E725C">
              <w:rPr>
                <w:spacing w:val="-4"/>
                <w:lang w:val="en-GB" w:eastAsia="en-US"/>
              </w:rPr>
              <w:t xml:space="preserve"> that </w:t>
            </w:r>
            <w:r w:rsidR="00F35EE5" w:rsidRPr="006E725C">
              <w:rPr>
                <w:spacing w:val="-4"/>
                <w:lang w:val="en-GB" w:eastAsia="en-US"/>
              </w:rPr>
              <w:t>the balance markedly improved after mild quarter-on-quarter deterioration in Q3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417DAE" w:rsidRPr="006E725C">
              <w:rPr>
                <w:spacing w:val="-4"/>
                <w:lang w:val="en-GB" w:eastAsia="en-US"/>
              </w:rPr>
              <w:t xml:space="preserve">Balance of international trade balance of goods improved last year both with the EU </w:t>
            </w:r>
            <w:r w:rsidR="00EA1EBB" w:rsidRPr="006E725C">
              <w:rPr>
                <w:spacing w:val="-4"/>
                <w:lang w:val="en-GB" w:eastAsia="en-US"/>
              </w:rPr>
              <w:t>(+72</w:t>
            </w:r>
            <w:r w:rsidR="00417DAE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417DAE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)</w:t>
            </w:r>
            <w:r w:rsidR="00417DAE" w:rsidRPr="006E725C">
              <w:rPr>
                <w:spacing w:val="-4"/>
                <w:lang w:val="en-GB" w:eastAsia="en-US"/>
              </w:rPr>
              <w:t xml:space="preserve"> and countries outside the Union </w:t>
            </w:r>
            <w:r w:rsidR="00EA1EBB" w:rsidRPr="006E725C">
              <w:rPr>
                <w:spacing w:val="-4"/>
                <w:lang w:val="en-GB" w:eastAsia="en-US"/>
              </w:rPr>
              <w:t>(+260</w:t>
            </w:r>
            <w:r w:rsidR="00417DAE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417DAE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 xml:space="preserve">). </w:t>
            </w:r>
            <w:r w:rsidR="00417256" w:rsidRPr="006E725C">
              <w:rPr>
                <w:spacing w:val="-4"/>
                <w:lang w:val="en-GB" w:eastAsia="en-US"/>
              </w:rPr>
              <w:t xml:space="preserve">The trade with </w:t>
            </w:r>
            <w:r w:rsidR="00EA1EBB" w:rsidRPr="006E725C">
              <w:rPr>
                <w:spacing w:val="-4"/>
                <w:lang w:val="en-GB" w:eastAsia="en-US"/>
              </w:rPr>
              <w:t>(+172</w:t>
            </w:r>
            <w:r w:rsidR="00417256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</w:t>
            </w:r>
            <w:r w:rsidR="00417256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 xml:space="preserve">), </w:t>
            </w:r>
            <w:r w:rsidR="00417256" w:rsidRPr="006E725C">
              <w:rPr>
                <w:spacing w:val="-4"/>
                <w:lang w:val="en-GB" w:eastAsia="en-US"/>
              </w:rPr>
              <w:t xml:space="preserve">China </w:t>
            </w:r>
            <w:r w:rsidR="00EA1EBB" w:rsidRPr="006E725C">
              <w:rPr>
                <w:spacing w:val="-4"/>
                <w:lang w:val="en-GB" w:eastAsia="en-US"/>
              </w:rPr>
              <w:t>(+47</w:t>
            </w:r>
            <w:r w:rsidR="00417256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417256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), Pol</w:t>
            </w:r>
            <w:r w:rsidR="00417256" w:rsidRPr="006E725C">
              <w:rPr>
                <w:spacing w:val="-4"/>
                <w:lang w:val="en-GB" w:eastAsia="en-US"/>
              </w:rPr>
              <w:t xml:space="preserve">and </w:t>
            </w:r>
            <w:r w:rsidR="00EA1EBB" w:rsidRPr="006E725C">
              <w:rPr>
                <w:spacing w:val="-4"/>
                <w:lang w:val="en-GB" w:eastAsia="en-US"/>
              </w:rPr>
              <w:t>(+33</w:t>
            </w:r>
            <w:r w:rsidR="00417256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417256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 xml:space="preserve">), </w:t>
            </w:r>
            <w:r w:rsidR="00417256" w:rsidRPr="006E725C">
              <w:rPr>
                <w:spacing w:val="-4"/>
                <w:lang w:val="en-GB" w:eastAsia="en-US"/>
              </w:rPr>
              <w:t xml:space="preserve">Germany </w:t>
            </w:r>
            <w:r w:rsidR="00EA1EBB" w:rsidRPr="006E725C">
              <w:rPr>
                <w:spacing w:val="-4"/>
                <w:lang w:val="en-GB" w:eastAsia="en-US"/>
              </w:rPr>
              <w:t>(+33</w:t>
            </w:r>
            <w:r w:rsidR="00417256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417256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), Tur</w:t>
            </w:r>
            <w:r w:rsidR="00417256" w:rsidRPr="006E725C">
              <w:rPr>
                <w:spacing w:val="-4"/>
                <w:lang w:val="en-GB" w:eastAsia="en-US"/>
              </w:rPr>
              <w:t xml:space="preserve">key </w:t>
            </w:r>
            <w:r w:rsidR="00EA1EBB" w:rsidRPr="006E725C">
              <w:rPr>
                <w:spacing w:val="-4"/>
                <w:lang w:val="en-GB" w:eastAsia="en-US"/>
              </w:rPr>
              <w:t>(+18</w:t>
            </w:r>
            <w:r w:rsidR="00417256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</w:t>
            </w:r>
            <w:r w:rsidR="00417256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), Franc</w:t>
            </w:r>
            <w:r w:rsidR="00417256" w:rsidRPr="006E725C">
              <w:rPr>
                <w:spacing w:val="-4"/>
                <w:lang w:val="en-GB" w:eastAsia="en-US"/>
              </w:rPr>
              <w:t xml:space="preserve">e </w:t>
            </w:r>
            <w:r w:rsidR="00EA1EBB" w:rsidRPr="006E725C">
              <w:rPr>
                <w:spacing w:val="-4"/>
                <w:lang w:val="en-GB" w:eastAsia="en-US"/>
              </w:rPr>
              <w:t>(+17</w:t>
            </w:r>
            <w:r w:rsidR="00417256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6</w:t>
            </w:r>
            <w:r w:rsidR="00417256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), Ukra</w:t>
            </w:r>
            <w:r w:rsidR="00417256" w:rsidRPr="006E725C">
              <w:rPr>
                <w:spacing w:val="-4"/>
                <w:lang w:val="en-GB" w:eastAsia="en-US"/>
              </w:rPr>
              <w:t xml:space="preserve">ine </w:t>
            </w:r>
            <w:r w:rsidR="00EA1EBB" w:rsidRPr="006E725C">
              <w:rPr>
                <w:spacing w:val="-4"/>
                <w:lang w:val="en-GB" w:eastAsia="en-US"/>
              </w:rPr>
              <w:t>(+14</w:t>
            </w:r>
            <w:r w:rsidR="00417256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417256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),</w:t>
            </w:r>
            <w:r w:rsidR="00417256" w:rsidRPr="006E725C">
              <w:rPr>
                <w:spacing w:val="-4"/>
                <w:lang w:val="en-GB" w:eastAsia="en-US"/>
              </w:rPr>
              <w:t xml:space="preserve"> Great Britain </w:t>
            </w:r>
            <w:r w:rsidR="00EA1EBB" w:rsidRPr="006E725C">
              <w:rPr>
                <w:spacing w:val="-4"/>
                <w:lang w:val="en-GB" w:eastAsia="en-US"/>
              </w:rPr>
              <w:t>(+11</w:t>
            </w:r>
            <w:r w:rsidR="00417256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</w:t>
            </w:r>
            <w:r w:rsidR="00417256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), Belg</w:t>
            </w:r>
            <w:r w:rsidR="00417256" w:rsidRPr="006E725C">
              <w:rPr>
                <w:spacing w:val="-4"/>
                <w:lang w:val="en-GB" w:eastAsia="en-US"/>
              </w:rPr>
              <w:t xml:space="preserve">ium </w:t>
            </w:r>
            <w:r w:rsidR="00EA1EBB" w:rsidRPr="006E725C">
              <w:rPr>
                <w:spacing w:val="-4"/>
                <w:lang w:val="en-GB" w:eastAsia="en-US"/>
              </w:rPr>
              <w:t>(+10</w:t>
            </w:r>
            <w:r w:rsidR="00417256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="00417256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 a</w:t>
            </w:r>
            <w:r w:rsidR="00417256" w:rsidRPr="006E725C">
              <w:rPr>
                <w:spacing w:val="-4"/>
                <w:lang w:val="en-GB" w:eastAsia="en-US"/>
              </w:rPr>
              <w:t xml:space="preserve">nd Italy </w:t>
            </w:r>
            <w:r w:rsidR="00EA1EBB" w:rsidRPr="006E725C">
              <w:rPr>
                <w:spacing w:val="-4"/>
                <w:lang w:val="en-GB" w:eastAsia="en-US"/>
              </w:rPr>
              <w:t>(+10</w:t>
            </w:r>
            <w:r w:rsidR="00417256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417256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</w:t>
            </w:r>
            <w:r w:rsidR="00417256" w:rsidRPr="006E725C">
              <w:rPr>
                <w:spacing w:val="-4"/>
                <w:lang w:val="en-GB" w:eastAsia="en-US"/>
              </w:rPr>
              <w:t xml:space="preserve"> worked the most in the direction of balance improvement last year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532C44" w:rsidRPr="006E725C">
              <w:rPr>
                <w:spacing w:val="-4"/>
                <w:lang w:val="en-GB" w:eastAsia="en-US"/>
              </w:rPr>
              <w:t xml:space="preserve">The balance of trade with Norway </w:t>
            </w:r>
            <w:r w:rsidR="00EA1EBB" w:rsidRPr="006E725C">
              <w:rPr>
                <w:spacing w:val="-4"/>
                <w:lang w:val="en-GB" w:eastAsia="en-US"/>
              </w:rPr>
              <w:t>(−39</w:t>
            </w:r>
            <w:r w:rsidR="00532C4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6</w:t>
            </w:r>
            <w:r w:rsidR="00532C44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) a</w:t>
            </w:r>
            <w:r w:rsidR="00532C44" w:rsidRPr="006E725C">
              <w:rPr>
                <w:spacing w:val="-4"/>
                <w:lang w:val="en-GB" w:eastAsia="en-US"/>
              </w:rPr>
              <w:t xml:space="preserve">nd with Slovakia </w:t>
            </w:r>
            <w:r w:rsidR="00EA1EBB" w:rsidRPr="006E725C">
              <w:rPr>
                <w:spacing w:val="-4"/>
                <w:lang w:val="en-GB" w:eastAsia="en-US"/>
              </w:rPr>
              <w:t>(−36</w:t>
            </w:r>
            <w:r w:rsidR="00532C4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6</w:t>
            </w:r>
            <w:r w:rsidR="00532C44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</w:t>
            </w:r>
            <w:r w:rsidR="00532C44" w:rsidRPr="006E725C">
              <w:rPr>
                <w:spacing w:val="-4"/>
                <w:lang w:val="en-GB" w:eastAsia="en-US"/>
              </w:rPr>
              <w:t xml:space="preserve"> on the contrary sharply worsened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</w:p>
        </w:tc>
      </w:tr>
      <w:tr w:rsidR="00EA1EBB" w:rsidRPr="006E725C" w14:paraId="20C46768" w14:textId="77777777" w:rsidTr="00EA1EBB">
        <w:trPr>
          <w:trHeight w:val="145"/>
        </w:trPr>
        <w:tc>
          <w:tcPr>
            <w:tcW w:w="1748" w:type="dxa"/>
            <w:hideMark/>
          </w:tcPr>
          <w:p w14:paraId="5028E9F5" w14:textId="39C90C73" w:rsidR="00EA1EBB" w:rsidRPr="006E725C" w:rsidRDefault="00E25A96">
            <w:pPr>
              <w:pStyle w:val="Marginlie"/>
              <w:rPr>
                <w:lang w:val="en-GB" w:eastAsia="en-US"/>
              </w:rPr>
            </w:pPr>
            <w:r w:rsidRPr="006E725C">
              <w:rPr>
                <w:lang w:val="en-GB" w:eastAsia="en-US"/>
              </w:rPr>
              <w:t>Surplus of balance of trade with the EU countries improved only slightly in Q</w:t>
            </w:r>
            <w:r w:rsidR="00EA1EBB" w:rsidRPr="006E725C">
              <w:rPr>
                <w:lang w:val="en-GB" w:eastAsia="en-US"/>
              </w:rPr>
              <w:t xml:space="preserve">4. </w:t>
            </w:r>
          </w:p>
        </w:tc>
        <w:tc>
          <w:tcPr>
            <w:tcW w:w="221" w:type="dxa"/>
          </w:tcPr>
          <w:p w14:paraId="4CA43325" w14:textId="77777777" w:rsidR="00EA1EBB" w:rsidRPr="006E725C" w:rsidRDefault="00EA1EBB">
            <w:pPr>
              <w:pStyle w:val="Textpoznpodarou"/>
              <w:jc w:val="both"/>
              <w:rPr>
                <w:spacing w:val="-4"/>
                <w:lang w:val="en-GB" w:eastAsia="en-US"/>
              </w:rPr>
            </w:pPr>
          </w:p>
        </w:tc>
        <w:tc>
          <w:tcPr>
            <w:tcW w:w="7670" w:type="dxa"/>
            <w:hideMark/>
          </w:tcPr>
          <w:p w14:paraId="524AF5CC" w14:textId="0DF4F943" w:rsidR="00EA1EBB" w:rsidRPr="006E725C" w:rsidRDefault="00795B47" w:rsidP="00795B47">
            <w:pPr>
              <w:spacing w:after="180"/>
              <w:rPr>
                <w:spacing w:val="-4"/>
                <w:lang w:val="en-GB" w:eastAsia="en-US"/>
              </w:rPr>
            </w:pPr>
            <w:r w:rsidRPr="006E725C">
              <w:rPr>
                <w:spacing w:val="-4"/>
                <w:lang w:val="en-GB" w:eastAsia="en-US"/>
              </w:rPr>
              <w:t xml:space="preserve">Trade with the countries outside the EU </w:t>
            </w:r>
            <w:r w:rsidR="00EA1EBB" w:rsidRPr="006E725C">
              <w:rPr>
                <w:spacing w:val="-4"/>
                <w:lang w:val="en-GB" w:eastAsia="en-US"/>
              </w:rPr>
              <w:t>(+106</w:t>
            </w:r>
            <w:r w:rsidR="000A79B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6</w:t>
            </w:r>
            <w:r w:rsidR="000A79B3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)</w:t>
            </w:r>
            <w:r w:rsidRPr="006E725C">
              <w:rPr>
                <w:spacing w:val="-4"/>
                <w:lang w:val="en-GB" w:eastAsia="en-US"/>
              </w:rPr>
              <w:t xml:space="preserve"> participated </w:t>
            </w:r>
            <w:r w:rsidR="000A79B3" w:rsidRPr="006E725C">
              <w:rPr>
                <w:spacing w:val="-4"/>
                <w:lang w:val="en-GB" w:eastAsia="en-US"/>
              </w:rPr>
              <w:t>to a major extent on the year-on-year improvement of the international trade balance</w:t>
            </w:r>
            <w:r w:rsidRPr="006E725C">
              <w:rPr>
                <w:spacing w:val="-4"/>
                <w:lang w:val="en-GB" w:eastAsia="en-US"/>
              </w:rPr>
              <w:t xml:space="preserve"> in Q4</w:t>
            </w:r>
            <w:r w:rsidR="00EA1EBB" w:rsidRPr="006E725C">
              <w:rPr>
                <w:spacing w:val="-4"/>
                <w:lang w:val="en-GB" w:eastAsia="en-US"/>
              </w:rPr>
              <w:t xml:space="preserve">, </w:t>
            </w:r>
            <w:r w:rsidRPr="006E725C">
              <w:rPr>
                <w:spacing w:val="-4"/>
                <w:lang w:val="en-GB" w:eastAsia="en-US"/>
              </w:rPr>
              <w:t xml:space="preserve">while in case of trade with the European Union the positive balance slightly shrank </w:t>
            </w:r>
            <w:r w:rsidR="00EA1EBB" w:rsidRPr="006E725C">
              <w:rPr>
                <w:spacing w:val="-4"/>
                <w:lang w:val="en-GB" w:eastAsia="en-US"/>
              </w:rPr>
              <w:t>(−3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 xml:space="preserve">). </w:t>
            </w:r>
            <w:r w:rsidRPr="006E725C">
              <w:rPr>
                <w:spacing w:val="-4"/>
                <w:lang w:val="en-GB" w:eastAsia="en-US"/>
              </w:rPr>
              <w:t xml:space="preserve">Balance of trade with </w:t>
            </w:r>
            <w:r w:rsidRPr="006E725C">
              <w:rPr>
                <w:spacing w:val="-4"/>
                <w:lang w:val="en-GB" w:eastAsia="en-US"/>
              </w:rPr>
              <w:lastRenderedPageBreak/>
              <w:t xml:space="preserve">China </w:t>
            </w:r>
            <w:r w:rsidR="00EA1EBB" w:rsidRPr="006E725C">
              <w:rPr>
                <w:spacing w:val="-4"/>
                <w:lang w:val="en-GB" w:eastAsia="en-US"/>
              </w:rPr>
              <w:t>(+49</w:t>
            </w:r>
            <w:r w:rsidR="000A79B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</w:t>
            </w:r>
            <w:r w:rsidR="000A79B3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, Nor</w:t>
            </w:r>
            <w:r w:rsidR="000A79B3" w:rsidRPr="006E725C">
              <w:rPr>
                <w:spacing w:val="-4"/>
                <w:lang w:val="en-GB" w:eastAsia="en-US"/>
              </w:rPr>
              <w:t xml:space="preserve">way </w:t>
            </w:r>
            <w:r w:rsidR="00EA1EBB" w:rsidRPr="006E725C">
              <w:rPr>
                <w:spacing w:val="-4"/>
                <w:lang w:val="en-GB" w:eastAsia="en-US"/>
              </w:rPr>
              <w:t>(+20</w:t>
            </w:r>
            <w:r w:rsidR="000A79B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</w:t>
            </w:r>
            <w:r w:rsidR="000A79B3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 a</w:t>
            </w:r>
            <w:r w:rsidR="000A79B3" w:rsidRPr="006E725C">
              <w:rPr>
                <w:spacing w:val="-4"/>
                <w:lang w:val="en-GB" w:eastAsia="en-US"/>
              </w:rPr>
              <w:t xml:space="preserve">nd Poland </w:t>
            </w:r>
            <w:r w:rsidR="00EA1EBB" w:rsidRPr="006E725C">
              <w:rPr>
                <w:spacing w:val="-4"/>
                <w:lang w:val="en-GB" w:eastAsia="en-US"/>
              </w:rPr>
              <w:t>(+9</w:t>
            </w:r>
            <w:r w:rsidR="000A79B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</w:t>
            </w:r>
            <w:r w:rsidR="000A79B3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</w:t>
            </w:r>
            <w:r w:rsidRPr="006E725C">
              <w:rPr>
                <w:spacing w:val="-4"/>
                <w:lang w:val="en-GB" w:eastAsia="en-US"/>
              </w:rPr>
              <w:t xml:space="preserve"> improved year-on-year the most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Pr="006E725C">
              <w:rPr>
                <w:spacing w:val="-4"/>
                <w:lang w:val="en-GB" w:eastAsia="en-US"/>
              </w:rPr>
              <w:t xml:space="preserve">International trade result was </w:t>
            </w:r>
            <w:r w:rsidR="000A79B3" w:rsidRPr="006E725C">
              <w:rPr>
                <w:spacing w:val="-4"/>
                <w:lang w:val="en-GB" w:eastAsia="en-US"/>
              </w:rPr>
              <w:t>also</w:t>
            </w:r>
            <w:r w:rsidRPr="006E725C">
              <w:rPr>
                <w:spacing w:val="-4"/>
                <w:lang w:val="en-GB" w:eastAsia="en-US"/>
              </w:rPr>
              <w:t xml:space="preserve"> better in case of Great Britain </w:t>
            </w:r>
            <w:r w:rsidR="00EA1EBB" w:rsidRPr="006E725C">
              <w:rPr>
                <w:spacing w:val="-4"/>
                <w:lang w:val="en-GB" w:eastAsia="en-US"/>
              </w:rPr>
              <w:t>(+6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</w:t>
            </w:r>
            <w:r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), Tur</w:t>
            </w:r>
            <w:r w:rsidRPr="006E725C">
              <w:rPr>
                <w:spacing w:val="-4"/>
                <w:lang w:val="en-GB" w:eastAsia="en-US"/>
              </w:rPr>
              <w:t xml:space="preserve">key </w:t>
            </w:r>
            <w:r w:rsidR="00EA1EBB" w:rsidRPr="006E725C">
              <w:rPr>
                <w:spacing w:val="-4"/>
                <w:lang w:val="en-GB" w:eastAsia="en-US"/>
              </w:rPr>
              <w:t>(+5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</w:t>
            </w:r>
            <w:r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), Franc</w:t>
            </w:r>
            <w:r w:rsidRPr="006E725C">
              <w:rPr>
                <w:spacing w:val="-4"/>
                <w:lang w:val="en-GB" w:eastAsia="en-US"/>
              </w:rPr>
              <w:t xml:space="preserve">e </w:t>
            </w:r>
            <w:r w:rsidR="00EA1EBB" w:rsidRPr="006E725C">
              <w:rPr>
                <w:spacing w:val="-4"/>
                <w:lang w:val="en-GB" w:eastAsia="en-US"/>
              </w:rPr>
              <w:t>(+4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6</w:t>
            </w:r>
            <w:r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), Ukra</w:t>
            </w:r>
            <w:r w:rsidRPr="006E725C">
              <w:rPr>
                <w:spacing w:val="-4"/>
                <w:lang w:val="en-GB" w:eastAsia="en-US"/>
              </w:rPr>
              <w:t xml:space="preserve">ine </w:t>
            </w:r>
            <w:r w:rsidR="00EA1EBB" w:rsidRPr="006E725C">
              <w:rPr>
                <w:spacing w:val="-4"/>
                <w:lang w:val="en-GB" w:eastAsia="en-US"/>
              </w:rPr>
              <w:t>(+4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),</w:t>
            </w:r>
            <w:r w:rsidRPr="006E725C">
              <w:rPr>
                <w:spacing w:val="-4"/>
                <w:lang w:val="en-GB" w:eastAsia="en-US"/>
              </w:rPr>
              <w:t xml:space="preserve"> the United States </w:t>
            </w:r>
            <w:r w:rsidR="00EA1EBB" w:rsidRPr="006E725C">
              <w:rPr>
                <w:spacing w:val="-4"/>
                <w:lang w:val="en-GB" w:eastAsia="en-US"/>
              </w:rPr>
              <w:t>(+4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</w:t>
            </w:r>
            <w:r w:rsidRPr="006E725C">
              <w:rPr>
                <w:spacing w:val="-4"/>
                <w:lang w:val="en-GB" w:eastAsia="en-US"/>
              </w:rPr>
              <w:t xml:space="preserve"> or Japan </w:t>
            </w:r>
            <w:r w:rsidR="00EA1EBB" w:rsidRPr="006E725C">
              <w:rPr>
                <w:spacing w:val="-4"/>
                <w:lang w:val="en-GB" w:eastAsia="en-US"/>
              </w:rPr>
              <w:t>(+3</w:t>
            </w:r>
            <w:r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 xml:space="preserve">). </w:t>
            </w:r>
            <w:r w:rsidR="004E5C94" w:rsidRPr="006E725C">
              <w:rPr>
                <w:spacing w:val="-4"/>
                <w:lang w:val="en-GB" w:eastAsia="en-US"/>
              </w:rPr>
              <w:t xml:space="preserve">Above stated development of balance with the EU was affected by the international worsening of positive balance of trade with Germany </w:t>
            </w:r>
            <w:r w:rsidR="00EA1EBB" w:rsidRPr="006E725C">
              <w:rPr>
                <w:spacing w:val="-4"/>
                <w:lang w:val="en-GB" w:eastAsia="en-US"/>
              </w:rPr>
              <w:t>(−11</w:t>
            </w:r>
            <w:r w:rsidR="004E5C9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4E5C94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), Slov</w:t>
            </w:r>
            <w:r w:rsidR="004E5C94" w:rsidRPr="006E725C">
              <w:rPr>
                <w:spacing w:val="-4"/>
                <w:lang w:val="en-GB" w:eastAsia="en-US"/>
              </w:rPr>
              <w:t xml:space="preserve">akia </w:t>
            </w:r>
            <w:r w:rsidR="00EA1EBB" w:rsidRPr="006E725C">
              <w:rPr>
                <w:spacing w:val="-4"/>
                <w:lang w:val="en-GB" w:eastAsia="en-US"/>
              </w:rPr>
              <w:t>(−4</w:t>
            </w:r>
            <w:r w:rsidR="004E5C9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6</w:t>
            </w:r>
            <w:r w:rsidR="004E5C94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),</w:t>
            </w:r>
            <w:r w:rsidR="004E5C94" w:rsidRPr="006E725C">
              <w:rPr>
                <w:spacing w:val="-4"/>
                <w:lang w:val="en-GB" w:eastAsia="en-US"/>
              </w:rPr>
              <w:t xml:space="preserve"> Spain </w:t>
            </w:r>
            <w:r w:rsidR="00EA1EBB" w:rsidRPr="006E725C">
              <w:rPr>
                <w:spacing w:val="-4"/>
                <w:lang w:val="en-GB" w:eastAsia="en-US"/>
              </w:rPr>
              <w:t>(−4</w:t>
            </w:r>
            <w:r w:rsidR="004E5C9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="004E5C94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</w:t>
            </w:r>
            <w:r w:rsidR="004E5C94" w:rsidRPr="006E725C">
              <w:rPr>
                <w:spacing w:val="-4"/>
                <w:lang w:val="en-GB" w:eastAsia="en-US"/>
              </w:rPr>
              <w:t xml:space="preserve"> or Austria </w:t>
            </w:r>
            <w:r w:rsidR="00EA1EBB" w:rsidRPr="006E725C">
              <w:rPr>
                <w:spacing w:val="-4"/>
                <w:lang w:val="en-GB" w:eastAsia="en-US"/>
              </w:rPr>
              <w:t>(−3</w:t>
            </w:r>
            <w:r w:rsidR="004E5C94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="004E5C94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 xml:space="preserve">). </w:t>
            </w:r>
            <w:r w:rsidR="00D068A0" w:rsidRPr="006E725C">
              <w:rPr>
                <w:spacing w:val="-4"/>
                <w:lang w:val="en-GB" w:eastAsia="en-US"/>
              </w:rPr>
              <w:t xml:space="preserve">Among the countries outside the </w:t>
            </w:r>
            <w:r w:rsidR="00A800D7" w:rsidRPr="006E725C">
              <w:rPr>
                <w:spacing w:val="-4"/>
                <w:lang w:val="en-GB" w:eastAsia="en-US"/>
              </w:rPr>
              <w:t>Union,</w:t>
            </w:r>
            <w:r w:rsidR="00D068A0" w:rsidRPr="006E725C">
              <w:rPr>
                <w:spacing w:val="-4"/>
                <w:lang w:val="en-GB" w:eastAsia="en-US"/>
              </w:rPr>
              <w:t xml:space="preserve"> mainly trade with Kazakhstan </w:t>
            </w:r>
            <w:r w:rsidR="00EA1EBB" w:rsidRPr="006E725C">
              <w:rPr>
                <w:spacing w:val="-4"/>
                <w:lang w:val="en-GB" w:eastAsia="en-US"/>
              </w:rPr>
              <w:t>(−2</w:t>
            </w:r>
            <w:r w:rsidR="00D068A0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8</w:t>
            </w:r>
            <w:r w:rsidR="00D068A0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)</w:t>
            </w:r>
            <w:r w:rsidR="00D068A0" w:rsidRPr="006E725C">
              <w:rPr>
                <w:spacing w:val="-4"/>
                <w:lang w:val="en-GB" w:eastAsia="en-US"/>
              </w:rPr>
              <w:t xml:space="preserve"> had more notable contribution in the direction of total balance worsening</w:t>
            </w:r>
            <w:r w:rsidR="00EA1EBB" w:rsidRPr="006E725C">
              <w:rPr>
                <w:spacing w:val="-4"/>
                <w:lang w:val="en-GB" w:eastAsia="en-US"/>
              </w:rPr>
              <w:t xml:space="preserve">.  </w:t>
            </w:r>
          </w:p>
        </w:tc>
      </w:tr>
      <w:tr w:rsidR="00EA1EBB" w:rsidRPr="006E725C" w14:paraId="5DE8C4C7" w14:textId="77777777" w:rsidTr="00EA1EBB">
        <w:trPr>
          <w:trHeight w:val="150"/>
        </w:trPr>
        <w:tc>
          <w:tcPr>
            <w:tcW w:w="1748" w:type="dxa"/>
            <w:vMerge w:val="restart"/>
          </w:tcPr>
          <w:p w14:paraId="29BFC185" w14:textId="77777777" w:rsidR="00EA1EBB" w:rsidRPr="006E725C" w:rsidRDefault="00EA1EBB">
            <w:pPr>
              <w:pStyle w:val="Marginlie"/>
              <w:rPr>
                <w:lang w:val="en-GB" w:eastAsia="en-US"/>
              </w:rPr>
            </w:pPr>
          </w:p>
        </w:tc>
        <w:tc>
          <w:tcPr>
            <w:tcW w:w="221" w:type="dxa"/>
            <w:vMerge w:val="restart"/>
          </w:tcPr>
          <w:p w14:paraId="3C6FE2C2" w14:textId="77777777" w:rsidR="00EA1EBB" w:rsidRPr="006E725C" w:rsidRDefault="00EA1EBB">
            <w:pPr>
              <w:pStyle w:val="Textpoznpodarou"/>
              <w:jc w:val="both"/>
              <w:rPr>
                <w:spacing w:val="-4"/>
                <w:lang w:val="en-GB" w:eastAsia="en-US"/>
              </w:rPr>
            </w:pPr>
          </w:p>
        </w:tc>
        <w:tc>
          <w:tcPr>
            <w:tcW w:w="7670" w:type="dxa"/>
            <w:hideMark/>
          </w:tcPr>
          <w:p w14:paraId="2B5B0558" w14:textId="779E0477" w:rsidR="00EA1EBB" w:rsidRPr="006E725C" w:rsidRDefault="005650DC" w:rsidP="00174ED1">
            <w:pPr>
              <w:spacing w:after="0"/>
              <w:rPr>
                <w:spacing w:val="-4"/>
                <w:lang w:val="en-GB" w:eastAsia="en-US"/>
              </w:rPr>
            </w:pPr>
            <w:r w:rsidRPr="006E725C">
              <w:rPr>
                <w:rFonts w:cs="Arial"/>
                <w:b/>
                <w:bCs/>
                <w:color w:val="000000"/>
                <w:szCs w:val="20"/>
                <w:lang w:val="en-GB" w:eastAsia="en-US"/>
              </w:rPr>
              <w:t xml:space="preserve">Chart </w:t>
            </w:r>
            <w:r w:rsidR="00174ED1" w:rsidRPr="006E725C">
              <w:rPr>
                <w:rFonts w:cs="Arial"/>
                <w:b/>
                <w:bCs/>
                <w:color w:val="000000"/>
                <w:szCs w:val="20"/>
                <w:lang w:val="en-GB" w:eastAsia="en-US"/>
              </w:rPr>
              <w:t>10</w:t>
            </w:r>
            <w:r w:rsidR="00EA1EBB" w:rsidRPr="006E725C">
              <w:rPr>
                <w:rFonts w:cs="Arial"/>
                <w:b/>
                <w:bCs/>
                <w:color w:val="000000"/>
                <w:szCs w:val="20"/>
                <w:lang w:val="en-GB" w:eastAsia="en-US"/>
              </w:rPr>
              <w:t xml:space="preserve"> </w:t>
            </w:r>
            <w:r w:rsidR="00220362" w:rsidRPr="006E725C">
              <w:rPr>
                <w:rFonts w:cs="Arial"/>
                <w:b/>
                <w:bCs/>
                <w:color w:val="000000"/>
                <w:szCs w:val="20"/>
                <w:lang w:val="en-GB"/>
              </w:rPr>
              <w:t xml:space="preserve">Balance of </w:t>
            </w:r>
            <w:r w:rsidR="00A800D7" w:rsidRPr="006E725C">
              <w:rPr>
                <w:rFonts w:cs="Arial"/>
                <w:b/>
                <w:bCs/>
                <w:color w:val="000000"/>
                <w:szCs w:val="20"/>
                <w:lang w:val="en-GB"/>
              </w:rPr>
              <w:t>international</w:t>
            </w:r>
            <w:r w:rsidR="00220362" w:rsidRPr="006E725C">
              <w:rPr>
                <w:rFonts w:cs="Arial"/>
                <w:b/>
                <w:bCs/>
                <w:color w:val="000000"/>
                <w:szCs w:val="20"/>
                <w:lang w:val="en-GB"/>
              </w:rPr>
              <w:t xml:space="preserve"> trade with goods in international trade statistics </w:t>
            </w:r>
            <w:r w:rsidR="00220362" w:rsidRPr="006E725C">
              <w:rPr>
                <w:rFonts w:cs="Arial"/>
                <w:color w:val="000000"/>
                <w:szCs w:val="20"/>
                <w:lang w:val="en-GB"/>
              </w:rPr>
              <w:t xml:space="preserve">(cumulation of year 2023, in </w:t>
            </w:r>
            <w:r w:rsidR="009C0832">
              <w:rPr>
                <w:rFonts w:cs="Arial"/>
                <w:color w:val="000000"/>
                <w:szCs w:val="20"/>
                <w:lang w:val="en-GB"/>
              </w:rPr>
              <w:t>CZK bn</w:t>
            </w:r>
            <w:r w:rsidR="00220362" w:rsidRPr="006E725C">
              <w:rPr>
                <w:rFonts w:cs="Arial"/>
                <w:color w:val="000000"/>
                <w:szCs w:val="20"/>
                <w:lang w:val="en-GB"/>
              </w:rPr>
              <w:t xml:space="preserve">, selected divisions of the CPA classification) </w:t>
            </w:r>
          </w:p>
        </w:tc>
      </w:tr>
      <w:tr w:rsidR="00EA1EBB" w:rsidRPr="006E725C" w14:paraId="0820E437" w14:textId="77777777" w:rsidTr="0079457A">
        <w:tblPrEx>
          <w:tblCellMar>
            <w:left w:w="70" w:type="dxa"/>
            <w:right w:w="70" w:type="dxa"/>
          </w:tblCellMar>
        </w:tblPrEx>
        <w:trPr>
          <w:trHeight w:val="150"/>
        </w:trPr>
        <w:tc>
          <w:tcPr>
            <w:tcW w:w="1748" w:type="dxa"/>
            <w:vMerge/>
            <w:vAlign w:val="center"/>
            <w:hideMark/>
          </w:tcPr>
          <w:p w14:paraId="45D1EEE5" w14:textId="77777777" w:rsidR="00EA1EBB" w:rsidRPr="006E725C" w:rsidRDefault="00EA1EBB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val="en-GB" w:eastAsia="en-US"/>
              </w:rPr>
            </w:pPr>
          </w:p>
        </w:tc>
        <w:tc>
          <w:tcPr>
            <w:tcW w:w="221" w:type="dxa"/>
            <w:vMerge/>
            <w:vAlign w:val="center"/>
            <w:hideMark/>
          </w:tcPr>
          <w:p w14:paraId="21C6908C" w14:textId="77777777" w:rsidR="00EA1EBB" w:rsidRPr="006E725C" w:rsidRDefault="00EA1EBB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val="en-GB" w:eastAsia="en-US"/>
              </w:rPr>
            </w:pPr>
          </w:p>
        </w:tc>
        <w:tc>
          <w:tcPr>
            <w:tcW w:w="7670" w:type="dxa"/>
            <w:hideMark/>
          </w:tcPr>
          <w:p w14:paraId="59A41E07" w14:textId="602D6DD9" w:rsidR="00EA1EBB" w:rsidRPr="006E725C" w:rsidRDefault="0079457A">
            <w:pPr>
              <w:spacing w:after="0"/>
              <w:rPr>
                <w:spacing w:val="-4"/>
                <w:lang w:val="en-GB" w:eastAsia="en-US"/>
              </w:rPr>
            </w:pPr>
            <w:r>
              <w:rPr>
                <w:noProof/>
              </w:rPr>
              <w:drawing>
                <wp:inline distT="0" distB="0" distL="0" distR="0" wp14:anchorId="49DBF8B8" wp14:editId="015AA4DA">
                  <wp:extent cx="4737600" cy="3553200"/>
                  <wp:effectExtent l="0" t="0" r="6350" b="0"/>
                  <wp:docPr id="20" name="Graf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EA1EBB" w:rsidRPr="006E725C" w14:paraId="1E64FFEB" w14:textId="77777777" w:rsidTr="00EA1EBB">
        <w:trPr>
          <w:trHeight w:val="150"/>
        </w:trPr>
        <w:tc>
          <w:tcPr>
            <w:tcW w:w="0" w:type="auto"/>
            <w:vMerge/>
            <w:vAlign w:val="center"/>
            <w:hideMark/>
          </w:tcPr>
          <w:p w14:paraId="70DFB425" w14:textId="77777777" w:rsidR="00EA1EBB" w:rsidRPr="006E725C" w:rsidRDefault="00EA1EBB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0EE90D" w14:textId="77777777" w:rsidR="00EA1EBB" w:rsidRPr="006E725C" w:rsidRDefault="00EA1EBB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val="en-GB" w:eastAsia="en-US"/>
              </w:rPr>
            </w:pPr>
          </w:p>
        </w:tc>
        <w:tc>
          <w:tcPr>
            <w:tcW w:w="7670" w:type="dxa"/>
            <w:hideMark/>
          </w:tcPr>
          <w:p w14:paraId="440F6A12" w14:textId="714AD407" w:rsidR="004E5C94" w:rsidRPr="006E725C" w:rsidRDefault="005650DC" w:rsidP="0079457A">
            <w:pPr>
              <w:rPr>
                <w:b/>
                <w:bCs/>
                <w:spacing w:val="-4"/>
                <w:sz w:val="16"/>
                <w:szCs w:val="16"/>
                <w:lang w:val="en-GB" w:eastAsia="en-US"/>
              </w:rPr>
            </w:pPr>
            <w:r w:rsidRPr="006E725C">
              <w:rPr>
                <w:sz w:val="14"/>
                <w:szCs w:val="14"/>
                <w:lang w:val="en-GB" w:eastAsia="en-US"/>
              </w:rPr>
              <w:t>Source</w:t>
            </w:r>
            <w:r w:rsidR="00EA1EBB" w:rsidRPr="006E725C">
              <w:rPr>
                <w:sz w:val="14"/>
                <w:szCs w:val="14"/>
                <w:lang w:val="en-GB" w:eastAsia="en-US"/>
              </w:rPr>
              <w:t xml:space="preserve">: </w:t>
            </w:r>
            <w:r w:rsidRPr="006E725C">
              <w:rPr>
                <w:sz w:val="14"/>
                <w:szCs w:val="14"/>
                <w:lang w:val="en-GB" w:eastAsia="en-US"/>
              </w:rPr>
              <w:t>CZSO</w:t>
            </w:r>
          </w:p>
        </w:tc>
      </w:tr>
      <w:tr w:rsidR="00EA1EBB" w:rsidRPr="006E725C" w14:paraId="2EFBB4AD" w14:textId="77777777" w:rsidTr="00EA1EBB">
        <w:trPr>
          <w:trHeight w:val="477"/>
        </w:trPr>
        <w:tc>
          <w:tcPr>
            <w:tcW w:w="1748" w:type="dxa"/>
            <w:hideMark/>
          </w:tcPr>
          <w:p w14:paraId="23BAA9DF" w14:textId="4CA8F99E" w:rsidR="00EA1EBB" w:rsidRPr="006E725C" w:rsidRDefault="00320336">
            <w:pPr>
              <w:pStyle w:val="Marginlie"/>
              <w:rPr>
                <w:lang w:val="en-GB" w:eastAsia="en-US"/>
              </w:rPr>
            </w:pPr>
            <w:r w:rsidRPr="006E725C">
              <w:rPr>
                <w:lang w:val="en-GB" w:eastAsia="en-US"/>
              </w:rPr>
              <w:t xml:space="preserve">Balance of trade with </w:t>
            </w:r>
            <w:r w:rsidR="00455AE3" w:rsidRPr="006E725C">
              <w:rPr>
                <w:lang w:val="en-GB" w:eastAsia="en-US"/>
              </w:rPr>
              <w:t xml:space="preserve">petroleum </w:t>
            </w:r>
            <w:r w:rsidRPr="006E725C">
              <w:rPr>
                <w:lang w:val="en-GB" w:eastAsia="en-US"/>
              </w:rPr>
              <w:t xml:space="preserve">and natural gas and motor vehicles improved the most last year. </w:t>
            </w:r>
          </w:p>
        </w:tc>
        <w:tc>
          <w:tcPr>
            <w:tcW w:w="221" w:type="dxa"/>
          </w:tcPr>
          <w:p w14:paraId="4B139F23" w14:textId="77777777" w:rsidR="00EA1EBB" w:rsidRPr="006E725C" w:rsidRDefault="00EA1EBB">
            <w:pPr>
              <w:pStyle w:val="Textpoznpodarou"/>
              <w:jc w:val="both"/>
              <w:rPr>
                <w:spacing w:val="-4"/>
                <w:lang w:val="en-GB" w:eastAsia="en-US"/>
              </w:rPr>
            </w:pPr>
          </w:p>
        </w:tc>
        <w:tc>
          <w:tcPr>
            <w:tcW w:w="7670" w:type="dxa"/>
            <w:hideMark/>
          </w:tcPr>
          <w:p w14:paraId="4ACCD45C" w14:textId="04EE5546" w:rsidR="00EA1EBB" w:rsidRPr="006E725C" w:rsidRDefault="0032525E" w:rsidP="00BF5759">
            <w:pPr>
              <w:spacing w:after="0"/>
              <w:rPr>
                <w:spacing w:val="-4"/>
                <w:lang w:val="en-GB" w:eastAsia="en-US"/>
              </w:rPr>
            </w:pPr>
            <w:r w:rsidRPr="006E725C">
              <w:rPr>
                <w:spacing w:val="-4"/>
                <w:lang w:val="en-GB" w:eastAsia="en-US"/>
              </w:rPr>
              <w:t xml:space="preserve">Moderation of the deficit in the trade with </w:t>
            </w:r>
            <w:r w:rsidR="00455AE3" w:rsidRPr="006E725C">
              <w:rPr>
                <w:spacing w:val="-4"/>
                <w:lang w:val="en-GB" w:eastAsia="en-US"/>
              </w:rPr>
              <w:t xml:space="preserve">petroleum </w:t>
            </w:r>
            <w:r w:rsidRPr="006E725C">
              <w:rPr>
                <w:spacing w:val="-4"/>
                <w:lang w:val="en-GB" w:eastAsia="en-US"/>
              </w:rPr>
              <w:t>and natural gas</w:t>
            </w:r>
            <w:r w:rsidR="0041018E" w:rsidRPr="006E725C">
              <w:rPr>
                <w:spacing w:val="-4"/>
                <w:lang w:val="en-GB" w:eastAsia="en-US"/>
              </w:rPr>
              <w:t xml:space="preserve"> (+148.2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4D7804" w:rsidRPr="006E725C">
              <w:rPr>
                <w:spacing w:val="-4"/>
                <w:lang w:val="en-GB" w:eastAsia="en-US"/>
              </w:rPr>
              <w:t>) influenced</w:t>
            </w:r>
            <w:r w:rsidRPr="006E725C">
              <w:rPr>
                <w:spacing w:val="-4"/>
                <w:lang w:val="en-GB" w:eastAsia="en-US"/>
              </w:rPr>
              <w:t xml:space="preserve"> by the decrease of prices </w:t>
            </w:r>
            <w:r w:rsidR="00EA1EBB" w:rsidRPr="006E725C">
              <w:rPr>
                <w:spacing w:val="-4"/>
                <w:lang w:val="en-GB" w:eastAsia="en-US"/>
              </w:rPr>
              <w:t>a</w:t>
            </w:r>
            <w:r w:rsidR="0041018E" w:rsidRPr="006E725C">
              <w:rPr>
                <w:spacing w:val="-4"/>
                <w:lang w:val="en-GB" w:eastAsia="en-US"/>
              </w:rPr>
              <w:t xml:space="preserve">nd improvement of the surplus of trade with motor vehicles </w:t>
            </w:r>
            <w:r w:rsidR="00EA1EBB" w:rsidRPr="006E725C">
              <w:rPr>
                <w:spacing w:val="-4"/>
                <w:lang w:val="en-GB" w:eastAsia="en-US"/>
              </w:rPr>
              <w:t>(+112</w:t>
            </w:r>
            <w:r w:rsidR="0041018E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6</w:t>
            </w:r>
            <w:r w:rsidR="0041018E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 xml:space="preserve">) </w:t>
            </w:r>
            <w:r w:rsidR="00F1243F" w:rsidRPr="006E725C">
              <w:rPr>
                <w:spacing w:val="-4"/>
                <w:lang w:val="en-GB" w:eastAsia="en-US"/>
              </w:rPr>
              <w:t xml:space="preserve">associated with the continuing revival in the branch, had the largest share on the </w:t>
            </w:r>
            <w:r w:rsidR="0041018E" w:rsidRPr="006E725C">
              <w:rPr>
                <w:spacing w:val="-4"/>
                <w:lang w:val="en-GB" w:eastAsia="en-US"/>
              </w:rPr>
              <w:t>last year’s massive balance improvement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F1243F" w:rsidRPr="006E725C">
              <w:rPr>
                <w:spacing w:val="-4"/>
                <w:lang w:val="en-GB" w:eastAsia="en-US"/>
              </w:rPr>
              <w:t xml:space="preserve">Balance of trade with basic metals </w:t>
            </w:r>
            <w:r w:rsidR="00EA1EBB" w:rsidRPr="006E725C">
              <w:rPr>
                <w:spacing w:val="-4"/>
                <w:lang w:val="en-GB" w:eastAsia="en-US"/>
              </w:rPr>
              <w:t>(+26</w:t>
            </w:r>
            <w:r w:rsidR="00F1243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4</w:t>
            </w:r>
            <w:r w:rsidR="00F1243F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 xml:space="preserve">), </w:t>
            </w:r>
            <w:r w:rsidR="00F1243F" w:rsidRPr="006E725C">
              <w:rPr>
                <w:spacing w:val="-4"/>
                <w:lang w:val="en-GB" w:eastAsia="en-US"/>
              </w:rPr>
              <w:t xml:space="preserve">machinery and equipment </w:t>
            </w:r>
            <w:r w:rsidR="00EA1EBB" w:rsidRPr="006E725C">
              <w:rPr>
                <w:spacing w:val="-4"/>
                <w:lang w:val="en-GB" w:eastAsia="en-US"/>
              </w:rPr>
              <w:t>(+24</w:t>
            </w:r>
            <w:r w:rsidR="00F1243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 xml:space="preserve">7 </w:t>
            </w:r>
            <w:r w:rsidR="00F1243F" w:rsidRPr="006E725C">
              <w:rPr>
                <w:spacing w:val="-4"/>
                <w:lang w:val="en-GB" w:eastAsia="en-US"/>
              </w:rPr>
              <w:t>bn</w:t>
            </w:r>
            <w:r w:rsidR="00EA1EBB" w:rsidRPr="006E725C">
              <w:rPr>
                <w:spacing w:val="-4"/>
                <w:lang w:val="en-GB" w:eastAsia="en-US"/>
              </w:rPr>
              <w:t>), chemic</w:t>
            </w:r>
            <w:r w:rsidR="00F1243F" w:rsidRPr="006E725C">
              <w:rPr>
                <w:spacing w:val="-4"/>
                <w:lang w:val="en-GB" w:eastAsia="en-US"/>
              </w:rPr>
              <w:t xml:space="preserve">al substances and products </w:t>
            </w:r>
            <w:r w:rsidR="00EA1EBB" w:rsidRPr="006E725C">
              <w:rPr>
                <w:spacing w:val="-4"/>
                <w:lang w:val="en-GB" w:eastAsia="en-US"/>
              </w:rPr>
              <w:t>(+18</w:t>
            </w:r>
            <w:r w:rsidR="00F1243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8</w:t>
            </w:r>
            <w:r w:rsidR="00F1243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 xml:space="preserve">), </w:t>
            </w:r>
            <w:r w:rsidR="00F1243F" w:rsidRPr="006E725C">
              <w:rPr>
                <w:spacing w:val="-4"/>
                <w:lang w:val="en-GB" w:eastAsia="en-US"/>
              </w:rPr>
              <w:t xml:space="preserve">electrical equipment </w:t>
            </w:r>
            <w:r w:rsidR="00EA1EBB" w:rsidRPr="006E725C">
              <w:rPr>
                <w:spacing w:val="-4"/>
                <w:lang w:val="en-GB" w:eastAsia="en-US"/>
              </w:rPr>
              <w:t>(+20</w:t>
            </w:r>
            <w:r w:rsidR="00F1243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0</w:t>
            </w:r>
            <w:r w:rsidR="00F1243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),</w:t>
            </w:r>
            <w:r w:rsidR="00F1243F" w:rsidRPr="006E725C">
              <w:rPr>
                <w:spacing w:val="-4"/>
                <w:lang w:val="en-GB" w:eastAsia="en-US"/>
              </w:rPr>
              <w:t xml:space="preserve"> other manufacturing products </w:t>
            </w:r>
            <w:r w:rsidR="00EA1EBB" w:rsidRPr="006E725C">
              <w:rPr>
                <w:spacing w:val="-4"/>
                <w:lang w:val="en-GB" w:eastAsia="en-US"/>
              </w:rPr>
              <w:t>(+12</w:t>
            </w:r>
            <w:r w:rsidR="00F1243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F1243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 xml:space="preserve">), </w:t>
            </w:r>
            <w:r w:rsidR="00F1243F" w:rsidRPr="006E725C">
              <w:rPr>
                <w:spacing w:val="-4"/>
                <w:lang w:val="en-GB" w:eastAsia="en-US"/>
              </w:rPr>
              <w:t xml:space="preserve">coke and refined </w:t>
            </w:r>
            <w:r w:rsidR="00455AE3" w:rsidRPr="006E725C">
              <w:rPr>
                <w:spacing w:val="-4"/>
                <w:lang w:val="en-GB" w:eastAsia="en-US"/>
              </w:rPr>
              <w:t>petroleum p</w:t>
            </w:r>
            <w:r w:rsidR="00F1243F" w:rsidRPr="006E725C">
              <w:rPr>
                <w:spacing w:val="-4"/>
                <w:lang w:val="en-GB" w:eastAsia="en-US"/>
              </w:rPr>
              <w:t xml:space="preserve">roducts </w:t>
            </w:r>
            <w:r w:rsidR="00EA1EBB" w:rsidRPr="006E725C">
              <w:rPr>
                <w:spacing w:val="-4"/>
                <w:lang w:val="en-GB" w:eastAsia="en-US"/>
              </w:rPr>
              <w:t>(+9</w:t>
            </w:r>
            <w:r w:rsidR="00F1243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8</w:t>
            </w:r>
            <w:r w:rsidR="00F1243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),</w:t>
            </w:r>
            <w:r w:rsidR="00F1243F" w:rsidRPr="006E725C">
              <w:rPr>
                <w:spacing w:val="-4"/>
                <w:lang w:val="en-GB" w:eastAsia="en-US"/>
              </w:rPr>
              <w:t xml:space="preserve">basic pharmaceutical products </w:t>
            </w:r>
            <w:r w:rsidR="00EA1EBB" w:rsidRPr="006E725C">
              <w:rPr>
                <w:spacing w:val="-4"/>
                <w:lang w:val="en-GB" w:eastAsia="en-US"/>
              </w:rPr>
              <w:t>(+8</w:t>
            </w:r>
            <w:r w:rsidR="00F1243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6</w:t>
            </w:r>
            <w:r w:rsidR="00F1243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 xml:space="preserve">), </w:t>
            </w:r>
            <w:r w:rsidR="00F1243F" w:rsidRPr="006E725C">
              <w:rPr>
                <w:spacing w:val="-4"/>
                <w:lang w:val="en-GB" w:eastAsia="en-US"/>
              </w:rPr>
              <w:t xml:space="preserve">rubber and plastic products </w:t>
            </w:r>
            <w:r w:rsidR="00EA1EBB" w:rsidRPr="006E725C">
              <w:rPr>
                <w:spacing w:val="-4"/>
                <w:lang w:val="en-GB" w:eastAsia="en-US"/>
              </w:rPr>
              <w:t>(+7</w:t>
            </w:r>
            <w:r w:rsidR="00F1243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</w:t>
            </w:r>
            <w:r w:rsidR="00F1243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 xml:space="preserve">), </w:t>
            </w:r>
            <w:r w:rsidR="00C90F18">
              <w:rPr>
                <w:spacing w:val="-4"/>
                <w:lang w:val="en-GB" w:eastAsia="en-US"/>
              </w:rPr>
              <w:t>clothing</w:t>
            </w:r>
            <w:r w:rsidR="00F1243F" w:rsidRPr="006E725C">
              <w:rPr>
                <w:spacing w:val="-4"/>
                <w:lang w:val="en-GB" w:eastAsia="en-US"/>
              </w:rPr>
              <w:t xml:space="preserve"> </w:t>
            </w:r>
            <w:r w:rsidR="00EA1EBB" w:rsidRPr="006E725C">
              <w:rPr>
                <w:spacing w:val="-4"/>
                <w:lang w:val="en-GB" w:eastAsia="en-US"/>
              </w:rPr>
              <w:t>(+7</w:t>
            </w:r>
            <w:r w:rsidR="00F1243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</w:t>
            </w:r>
            <w:r w:rsidR="00F1243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 xml:space="preserve">), </w:t>
            </w:r>
            <w:r w:rsidR="00F1243F" w:rsidRPr="006E725C">
              <w:rPr>
                <w:spacing w:val="-4"/>
                <w:lang w:val="en-GB" w:eastAsia="en-US"/>
              </w:rPr>
              <w:t xml:space="preserve">black and brown coal and lignite </w:t>
            </w:r>
            <w:r w:rsidR="00EA1EBB" w:rsidRPr="006E725C">
              <w:rPr>
                <w:spacing w:val="-4"/>
                <w:lang w:val="en-GB" w:eastAsia="en-US"/>
              </w:rPr>
              <w:t>(+7</w:t>
            </w:r>
            <w:r w:rsidR="00F1243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="00F1243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 xml:space="preserve">), </w:t>
            </w:r>
            <w:r w:rsidR="00F1243F" w:rsidRPr="006E725C">
              <w:rPr>
                <w:spacing w:val="-4"/>
                <w:lang w:val="en-GB" w:eastAsia="en-US"/>
              </w:rPr>
              <w:t xml:space="preserve">food products </w:t>
            </w:r>
            <w:r w:rsidR="00EA1EBB" w:rsidRPr="006E725C">
              <w:rPr>
                <w:spacing w:val="-4"/>
                <w:lang w:val="en-GB" w:eastAsia="en-US"/>
              </w:rPr>
              <w:t>(+7</w:t>
            </w:r>
            <w:r w:rsidR="00F1243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F1243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), pap</w:t>
            </w:r>
            <w:r w:rsidR="00F1243F" w:rsidRPr="006E725C">
              <w:rPr>
                <w:spacing w:val="-4"/>
                <w:lang w:val="en-GB" w:eastAsia="en-US"/>
              </w:rPr>
              <w:t xml:space="preserve">er and paper products </w:t>
            </w:r>
            <w:r w:rsidR="00EA1EBB" w:rsidRPr="006E725C">
              <w:rPr>
                <w:spacing w:val="-4"/>
                <w:lang w:val="en-GB" w:eastAsia="en-US"/>
              </w:rPr>
              <w:t>(+7</w:t>
            </w:r>
            <w:r w:rsidR="00F1243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F1243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 xml:space="preserve">) </w:t>
            </w:r>
            <w:r w:rsidR="00F1243F" w:rsidRPr="006E725C">
              <w:rPr>
                <w:spacing w:val="-4"/>
                <w:lang w:val="en-GB" w:eastAsia="en-US"/>
              </w:rPr>
              <w:t xml:space="preserve">or ores </w:t>
            </w:r>
            <w:r w:rsidR="00EA1EBB" w:rsidRPr="006E725C">
              <w:rPr>
                <w:spacing w:val="-4"/>
                <w:lang w:val="en-GB" w:eastAsia="en-US"/>
              </w:rPr>
              <w:t>(+6</w:t>
            </w:r>
            <w:r w:rsidR="00F1243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="00F1243F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</w:t>
            </w:r>
            <w:r w:rsidR="00F1243F" w:rsidRPr="006E725C">
              <w:rPr>
                <w:spacing w:val="-4"/>
                <w:lang w:val="en-GB" w:eastAsia="en-US"/>
              </w:rPr>
              <w:t xml:space="preserve"> also worked strongly in the direction of improvement last year. </w:t>
            </w:r>
            <w:r w:rsidR="00006BF3" w:rsidRPr="006E725C">
              <w:rPr>
                <w:spacing w:val="-4"/>
                <w:lang w:val="en-GB" w:eastAsia="en-US"/>
              </w:rPr>
              <w:t xml:space="preserve">The balance was improving year-on-year for </w:t>
            </w:r>
            <w:r w:rsidR="000E5DB7" w:rsidRPr="006E725C">
              <w:rPr>
                <w:spacing w:val="-4"/>
                <w:lang w:val="en-GB" w:eastAsia="en-US"/>
              </w:rPr>
              <w:t>a</w:t>
            </w:r>
            <w:r w:rsidR="00006BF3" w:rsidRPr="006E725C">
              <w:rPr>
                <w:spacing w:val="-4"/>
                <w:lang w:val="en-GB" w:eastAsia="en-US"/>
              </w:rPr>
              <w:t xml:space="preserve"> major part of commodities. Trade with electricity, gas, steam and air conditioning </w:t>
            </w:r>
            <w:r w:rsidR="00EA1EBB" w:rsidRPr="006E725C">
              <w:rPr>
                <w:spacing w:val="-4"/>
                <w:lang w:val="en-GB" w:eastAsia="en-US"/>
              </w:rPr>
              <w:t>(−51</w:t>
            </w:r>
            <w:r w:rsidR="00006BF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</w:t>
            </w:r>
            <w:r w:rsidR="00006BF3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), produ</w:t>
            </w:r>
            <w:r w:rsidR="00006BF3" w:rsidRPr="006E725C">
              <w:rPr>
                <w:spacing w:val="-4"/>
                <w:lang w:val="en-GB" w:eastAsia="en-US"/>
              </w:rPr>
              <w:t xml:space="preserve">cts of forestry and wood logging </w:t>
            </w:r>
            <w:r w:rsidR="00EA1EBB" w:rsidRPr="006E725C">
              <w:rPr>
                <w:spacing w:val="-4"/>
                <w:lang w:val="en-GB" w:eastAsia="en-US"/>
              </w:rPr>
              <w:t>(−11</w:t>
            </w:r>
            <w:r w:rsidR="00006BF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006BF3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), produ</w:t>
            </w:r>
            <w:r w:rsidR="00006BF3" w:rsidRPr="006E725C">
              <w:rPr>
                <w:spacing w:val="-4"/>
                <w:lang w:val="en-GB" w:eastAsia="en-US"/>
              </w:rPr>
              <w:t xml:space="preserve">cts of agriculture and hunting </w:t>
            </w:r>
            <w:r w:rsidR="00EA1EBB" w:rsidRPr="006E725C">
              <w:rPr>
                <w:spacing w:val="-4"/>
                <w:lang w:val="en-GB" w:eastAsia="en-US"/>
              </w:rPr>
              <w:t>(−10</w:t>
            </w:r>
            <w:r w:rsidR="00006BF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006BF3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 a</w:t>
            </w:r>
            <w:r w:rsidR="00006BF3" w:rsidRPr="006E725C">
              <w:rPr>
                <w:spacing w:val="-4"/>
                <w:lang w:val="en-GB" w:eastAsia="en-US"/>
              </w:rPr>
              <w:t xml:space="preserve">nd wood and wood products </w:t>
            </w:r>
            <w:r w:rsidR="00EA1EBB" w:rsidRPr="006E725C">
              <w:rPr>
                <w:spacing w:val="-4"/>
                <w:lang w:val="en-GB" w:eastAsia="en-US"/>
              </w:rPr>
              <w:t>(−7</w:t>
            </w:r>
            <w:r w:rsidR="00006BF3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9</w:t>
            </w:r>
            <w:r w:rsidR="00006BF3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</w:t>
            </w:r>
            <w:r w:rsidR="00006BF3" w:rsidRPr="006E725C">
              <w:rPr>
                <w:spacing w:val="-4"/>
                <w:lang w:val="en-GB" w:eastAsia="en-US"/>
              </w:rPr>
              <w:t xml:space="preserve"> were strong exceptions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4F36FA" w:rsidRPr="006E725C">
              <w:rPr>
                <w:spacing w:val="-4"/>
                <w:lang w:val="en-GB" w:eastAsia="en-US"/>
              </w:rPr>
              <w:t xml:space="preserve">Balance of trade with motor vehicles </w:t>
            </w:r>
            <w:r w:rsidR="00EA1EBB" w:rsidRPr="006E725C">
              <w:rPr>
                <w:spacing w:val="-4"/>
                <w:lang w:val="en-GB" w:eastAsia="en-US"/>
              </w:rPr>
              <w:t>(+33</w:t>
            </w:r>
            <w:r w:rsidR="004F36F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</w:t>
            </w:r>
            <w:r w:rsidR="004F36FA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), </w:t>
            </w:r>
            <w:r w:rsidR="00455AE3" w:rsidRPr="006E725C">
              <w:rPr>
                <w:spacing w:val="-4"/>
                <w:lang w:val="en-GB" w:eastAsia="en-US"/>
              </w:rPr>
              <w:t xml:space="preserve">petroleum </w:t>
            </w:r>
            <w:r w:rsidR="004F36FA" w:rsidRPr="006E725C">
              <w:rPr>
                <w:spacing w:val="-4"/>
                <w:lang w:val="en-GB" w:eastAsia="en-US"/>
              </w:rPr>
              <w:t xml:space="preserve">and natural gas </w:t>
            </w:r>
            <w:r w:rsidR="00EA1EBB" w:rsidRPr="006E725C">
              <w:rPr>
                <w:spacing w:val="-4"/>
                <w:lang w:val="en-GB" w:eastAsia="en-US"/>
              </w:rPr>
              <w:t>(+28</w:t>
            </w:r>
            <w:r w:rsidR="004F36F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4F36FA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</w:t>
            </w:r>
            <w:r w:rsidR="004F36FA" w:rsidRPr="006E725C">
              <w:rPr>
                <w:spacing w:val="-4"/>
                <w:lang w:val="en-GB" w:eastAsia="en-US"/>
              </w:rPr>
              <w:t xml:space="preserve"> and electrical appliances </w:t>
            </w:r>
            <w:r w:rsidR="00EA1EBB" w:rsidRPr="006E725C">
              <w:rPr>
                <w:spacing w:val="-4"/>
                <w:lang w:val="en-GB" w:eastAsia="en-US"/>
              </w:rPr>
              <w:t>(+19</w:t>
            </w:r>
            <w:r w:rsidR="004F36F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4F36FA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</w:t>
            </w:r>
            <w:r w:rsidR="004F36FA" w:rsidRPr="006E725C">
              <w:rPr>
                <w:spacing w:val="-4"/>
                <w:lang w:val="en-GB" w:eastAsia="en-US"/>
              </w:rPr>
              <w:t xml:space="preserve"> improved the most year-on-year in Q4 itself</w:t>
            </w:r>
            <w:r w:rsidR="00EA1EBB" w:rsidRPr="006E725C">
              <w:rPr>
                <w:spacing w:val="-4"/>
                <w:lang w:val="en-GB" w:eastAsia="en-US"/>
              </w:rPr>
              <w:t xml:space="preserve">. </w:t>
            </w:r>
            <w:r w:rsidR="004F36FA" w:rsidRPr="006E725C">
              <w:rPr>
                <w:spacing w:val="-4"/>
                <w:lang w:val="en-GB" w:eastAsia="en-US"/>
              </w:rPr>
              <w:t xml:space="preserve">Trade with machinery and equipment </w:t>
            </w:r>
            <w:r w:rsidR="00EA1EBB" w:rsidRPr="006E725C">
              <w:rPr>
                <w:spacing w:val="-4"/>
                <w:lang w:val="en-GB" w:eastAsia="en-US"/>
              </w:rPr>
              <w:t>(+7</w:t>
            </w:r>
            <w:r w:rsidR="004F36F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0</w:t>
            </w:r>
            <w:r w:rsidR="004F36FA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),</w:t>
            </w:r>
            <w:r w:rsidR="004F36FA" w:rsidRPr="006E725C">
              <w:rPr>
                <w:spacing w:val="-4"/>
                <w:lang w:val="en-GB" w:eastAsia="en-US"/>
              </w:rPr>
              <w:t xml:space="preserve"> </w:t>
            </w:r>
            <w:r w:rsidR="00C90F18">
              <w:rPr>
                <w:spacing w:val="-4"/>
                <w:lang w:val="en-GB" w:eastAsia="en-US"/>
              </w:rPr>
              <w:t>clothing</w:t>
            </w:r>
            <w:r w:rsidR="004F36FA" w:rsidRPr="006E725C">
              <w:rPr>
                <w:spacing w:val="-4"/>
                <w:lang w:val="en-GB" w:eastAsia="en-US"/>
              </w:rPr>
              <w:t xml:space="preserve"> </w:t>
            </w:r>
            <w:r w:rsidR="00EA1EBB" w:rsidRPr="006E725C">
              <w:rPr>
                <w:spacing w:val="-4"/>
                <w:lang w:val="en-GB" w:eastAsia="en-US"/>
              </w:rPr>
              <w:t>(+4</w:t>
            </w:r>
            <w:r w:rsidR="004F36F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6</w:t>
            </w:r>
            <w:r w:rsidR="004F36FA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), chemic</w:t>
            </w:r>
            <w:r w:rsidR="004F36FA" w:rsidRPr="006E725C">
              <w:rPr>
                <w:spacing w:val="-4"/>
                <w:lang w:val="en-GB" w:eastAsia="en-US"/>
              </w:rPr>
              <w:t xml:space="preserve">al substances and products </w:t>
            </w:r>
            <w:r w:rsidR="00EA1EBB" w:rsidRPr="006E725C">
              <w:rPr>
                <w:spacing w:val="-4"/>
                <w:lang w:val="en-GB" w:eastAsia="en-US"/>
              </w:rPr>
              <w:t>(+4</w:t>
            </w:r>
            <w:r w:rsidR="004F36F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5</w:t>
            </w:r>
            <w:r w:rsidR="004F36FA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 xml:space="preserve">), </w:t>
            </w:r>
            <w:r w:rsidR="004F36FA" w:rsidRPr="006E725C">
              <w:rPr>
                <w:spacing w:val="-4"/>
                <w:lang w:val="en-GB" w:eastAsia="en-US"/>
              </w:rPr>
              <w:t xml:space="preserve">basic metals </w:t>
            </w:r>
            <w:r w:rsidR="00EA1EBB" w:rsidRPr="006E725C">
              <w:rPr>
                <w:spacing w:val="-4"/>
                <w:lang w:val="en-GB" w:eastAsia="en-US"/>
              </w:rPr>
              <w:t>(+4</w:t>
            </w:r>
            <w:r w:rsidR="004F36F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3</w:t>
            </w:r>
            <w:r w:rsidR="004F36FA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 xml:space="preserve">), </w:t>
            </w:r>
            <w:r w:rsidR="004F36FA" w:rsidRPr="006E725C">
              <w:rPr>
                <w:spacing w:val="-4"/>
                <w:lang w:val="en-GB" w:eastAsia="en-US"/>
              </w:rPr>
              <w:t xml:space="preserve">basic pharmaceutical products </w:t>
            </w:r>
            <w:r w:rsidR="00EA1EBB" w:rsidRPr="006E725C">
              <w:rPr>
                <w:spacing w:val="-4"/>
                <w:lang w:val="en-GB" w:eastAsia="en-US"/>
              </w:rPr>
              <w:t>(+4</w:t>
            </w:r>
            <w:r w:rsidR="004F36F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1</w:t>
            </w:r>
            <w:r w:rsidR="004F36FA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</w:t>
            </w:r>
            <w:r w:rsidR="004F36FA" w:rsidRPr="006E725C">
              <w:rPr>
                <w:spacing w:val="-4"/>
                <w:lang w:val="en-GB" w:eastAsia="en-US"/>
              </w:rPr>
              <w:t xml:space="preserve"> or other manufacturing products </w:t>
            </w:r>
            <w:r w:rsidR="00EA1EBB" w:rsidRPr="006E725C">
              <w:rPr>
                <w:spacing w:val="-4"/>
                <w:lang w:val="en-GB" w:eastAsia="en-US"/>
              </w:rPr>
              <w:t>(+3</w:t>
            </w:r>
            <w:r w:rsidR="004F36FA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2</w:t>
            </w:r>
            <w:r w:rsidR="004F36FA" w:rsidRPr="006E725C">
              <w:rPr>
                <w:spacing w:val="-4"/>
                <w:lang w:val="en-GB" w:eastAsia="en-US"/>
              </w:rPr>
              <w:t xml:space="preserve"> bn</w:t>
            </w:r>
            <w:r w:rsidR="00EA1EBB" w:rsidRPr="006E725C">
              <w:rPr>
                <w:spacing w:val="-4"/>
                <w:lang w:val="en-GB" w:eastAsia="en-US"/>
              </w:rPr>
              <w:t>)</w:t>
            </w:r>
            <w:r w:rsidR="00F1243F" w:rsidRPr="006E725C">
              <w:rPr>
                <w:spacing w:val="-4"/>
                <w:lang w:val="en-GB" w:eastAsia="en-US"/>
              </w:rPr>
              <w:t xml:space="preserve"> also had a favourable effect on the balance. Worsening of balance for electricity, gas, steam and air conditioning </w:t>
            </w:r>
            <w:r w:rsidR="00EA1EBB" w:rsidRPr="006E725C">
              <w:rPr>
                <w:spacing w:val="-4"/>
                <w:lang w:val="en-GB" w:eastAsia="en-US"/>
              </w:rPr>
              <w:t>(−13</w:t>
            </w:r>
            <w:r w:rsidR="00F1243F" w:rsidRPr="006E725C">
              <w:rPr>
                <w:spacing w:val="-4"/>
                <w:lang w:val="en-GB" w:eastAsia="en-US"/>
              </w:rPr>
              <w:t>.</w:t>
            </w:r>
            <w:r w:rsidR="00EA1EBB" w:rsidRPr="006E725C">
              <w:rPr>
                <w:spacing w:val="-4"/>
                <w:lang w:val="en-GB" w:eastAsia="en-US"/>
              </w:rPr>
              <w:t>7</w:t>
            </w:r>
            <w:r w:rsidR="00F1243F" w:rsidRPr="006E725C">
              <w:rPr>
                <w:spacing w:val="-4"/>
                <w:lang w:val="en-GB" w:eastAsia="en-US"/>
              </w:rPr>
              <w:t xml:space="preserve"> </w:t>
            </w:r>
            <w:r w:rsidR="009C0832">
              <w:rPr>
                <w:spacing w:val="-4"/>
                <w:lang w:val="en-GB" w:eastAsia="en-US"/>
              </w:rPr>
              <w:t>CZK bn</w:t>
            </w:r>
            <w:r w:rsidR="00EA1EBB" w:rsidRPr="006E725C">
              <w:rPr>
                <w:spacing w:val="-4"/>
                <w:lang w:val="en-GB" w:eastAsia="en-US"/>
              </w:rPr>
              <w:t>)</w:t>
            </w:r>
            <w:r w:rsidR="00F1243F" w:rsidRPr="006E725C">
              <w:rPr>
                <w:spacing w:val="-4"/>
                <w:lang w:val="en-GB" w:eastAsia="en-US"/>
              </w:rPr>
              <w:t xml:space="preserve"> was the largest factor in the year-on-year worsening of balance in Q4</w:t>
            </w:r>
            <w:r w:rsidR="00EA1EBB" w:rsidRPr="006E725C">
              <w:rPr>
                <w:spacing w:val="-4"/>
                <w:lang w:val="en-GB" w:eastAsia="en-US"/>
              </w:rPr>
              <w:t>.</w:t>
            </w:r>
          </w:p>
        </w:tc>
      </w:tr>
      <w:bookmarkEnd w:id="6"/>
      <w:bookmarkEnd w:id="7"/>
      <w:bookmarkEnd w:id="8"/>
    </w:tbl>
    <w:p w14:paraId="2A58EC35" w14:textId="77777777" w:rsidR="00EA1EBB" w:rsidRPr="006E725C" w:rsidRDefault="00EA1EBB" w:rsidP="00EA1EBB">
      <w:pPr>
        <w:spacing w:after="0" w:line="240" w:lineRule="auto"/>
        <w:jc w:val="left"/>
        <w:rPr>
          <w:rFonts w:eastAsia="MS Gothic"/>
          <w:bCs/>
          <w:color w:val="71818C"/>
          <w:sz w:val="2"/>
          <w:szCs w:val="2"/>
          <w:lang w:val="en-GB"/>
        </w:rPr>
      </w:pPr>
    </w:p>
    <w:p w14:paraId="0FA9EA49" w14:textId="77777777" w:rsidR="0011055D" w:rsidRPr="006E725C" w:rsidRDefault="0011055D" w:rsidP="0011055D">
      <w:pPr>
        <w:pStyle w:val="Nadpis11"/>
        <w:rPr>
          <w:sz w:val="2"/>
          <w:szCs w:val="2"/>
          <w:lang w:val="en-GB"/>
        </w:rPr>
      </w:pPr>
      <w:bookmarkStart w:id="9" w:name="_GoBack"/>
      <w:bookmarkEnd w:id="1"/>
      <w:bookmarkEnd w:id="0"/>
      <w:bookmarkEnd w:id="9"/>
    </w:p>
    <w:p w14:paraId="6FD91E5A" w14:textId="1416C17B" w:rsidR="00106BCC" w:rsidRPr="006E725C" w:rsidRDefault="00106BCC" w:rsidP="001E1AF1">
      <w:pPr>
        <w:pStyle w:val="Nadpis11"/>
        <w:rPr>
          <w:sz w:val="2"/>
          <w:szCs w:val="2"/>
          <w:lang w:val="en-GB"/>
        </w:rPr>
      </w:pPr>
    </w:p>
    <w:sectPr w:rsidR="00106BCC" w:rsidRPr="006E725C" w:rsidSect="002E4DB8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134" w:right="1134" w:bottom="1418" w:left="1134" w:header="680" w:footer="737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A5E54" w14:textId="77777777" w:rsidR="003B4260" w:rsidRDefault="003B4260" w:rsidP="00E71A58">
      <w:r>
        <w:separator/>
      </w:r>
    </w:p>
  </w:endnote>
  <w:endnote w:type="continuationSeparator" w:id="0">
    <w:p w14:paraId="4A502AE6" w14:textId="77777777" w:rsidR="003B4260" w:rsidRDefault="003B426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419A53D7" w:rsidR="003B4260" w:rsidRPr="00932443" w:rsidRDefault="003B426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E4DB8">
      <w:rPr>
        <w:szCs w:val="16"/>
      </w:rPr>
      <w:t>26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year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3FC2D5A0" w:rsidR="003B4260" w:rsidRPr="00932443" w:rsidRDefault="003B4260" w:rsidP="00FA6CB6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70016" behindDoc="0" locked="0" layoutInCell="1" allowOverlap="1" wp14:anchorId="61E29A61" wp14:editId="1E02F1E3">
          <wp:simplePos x="0" y="0"/>
          <wp:positionH relativeFrom="margin">
            <wp:posOffset>17145</wp:posOffset>
          </wp:positionH>
          <wp:positionV relativeFrom="paragraph">
            <wp:posOffset>-55657</wp:posOffset>
          </wp:positionV>
          <wp:extent cx="676910" cy="201930"/>
          <wp:effectExtent l="0" t="0" r="8890" b="7620"/>
          <wp:wrapNone/>
          <wp:docPr id="3" name="Picture 12" descr="CSU RGB EN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EN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B6">
      <w:rPr>
        <w:szCs w:val="16"/>
      </w:rPr>
      <w:tab/>
    </w:r>
    <w:r>
      <w:rPr>
        <w:szCs w:val="16"/>
      </w:rPr>
      <w:t>year 2023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E4DB8">
      <w:rPr>
        <w:rStyle w:val="ZpatChar"/>
        <w:szCs w:val="16"/>
      </w:rPr>
      <w:t>25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53BD3" w14:textId="77777777" w:rsidR="003B4260" w:rsidRDefault="003B4260" w:rsidP="00A21B4D">
      <w:pPr>
        <w:spacing w:after="0"/>
      </w:pPr>
      <w:r>
        <w:separator/>
      </w:r>
    </w:p>
  </w:footnote>
  <w:footnote w:type="continuationSeparator" w:id="0">
    <w:p w14:paraId="225CD336" w14:textId="77777777" w:rsidR="003B4260" w:rsidRDefault="003B4260" w:rsidP="00E71A58">
      <w:r>
        <w:continuationSeparator/>
      </w:r>
    </w:p>
  </w:footnote>
  <w:footnote w:id="1">
    <w:p w14:paraId="306A6873" w14:textId="284B2179" w:rsidR="003B4260" w:rsidRPr="00CA4D2D" w:rsidRDefault="003B4260" w:rsidP="00402689">
      <w:pPr>
        <w:pStyle w:val="Textpoznpodarou"/>
        <w:rPr>
          <w:rFonts w:cs="Arial"/>
          <w:i/>
          <w:iCs/>
          <w:sz w:val="16"/>
          <w:szCs w:val="16"/>
          <w:lang w:val="en-GB"/>
        </w:rPr>
      </w:pPr>
      <w:r>
        <w:rPr>
          <w:rStyle w:val="Znakapoznpodarou"/>
          <w:rFonts w:cs="Arial"/>
          <w:sz w:val="16"/>
          <w:szCs w:val="16"/>
        </w:rPr>
        <w:footnoteRef/>
      </w:r>
      <w:r>
        <w:rPr>
          <w:rFonts w:cs="Arial"/>
          <w:i/>
          <w:iCs/>
          <w:sz w:val="16"/>
          <w:szCs w:val="16"/>
        </w:rPr>
        <w:t xml:space="preserve"> </w:t>
      </w:r>
      <w:r w:rsidRPr="00AF2C3E">
        <w:rPr>
          <w:rStyle w:val="Zdraznn"/>
          <w:rFonts w:cs="Arial"/>
          <w:i w:val="0"/>
          <w:iCs w:val="0"/>
          <w:sz w:val="16"/>
          <w:szCs w:val="16"/>
          <w:bdr w:val="none" w:sz="0" w:space="0" w:color="auto" w:frame="1"/>
          <w:shd w:val="clear" w:color="auto" w:fill="FFFFFF"/>
          <w:lang w:val="en-GB"/>
        </w:rPr>
        <w:t xml:space="preserve">Data for foreign trade with goods are recalculated using the updated method based on higher rate of detail since year 2020, see </w:t>
      </w:r>
      <w:hyperlink r:id="rId1" w:history="1">
        <w:r>
          <w:rPr>
            <w:rStyle w:val="Hypertextovodkaz"/>
            <w:rFonts w:cs="Arial"/>
            <w:sz w:val="16"/>
            <w:szCs w:val="16"/>
            <w:bdr w:val="none" w:sz="0" w:space="0" w:color="auto" w:frame="1"/>
            <w:shd w:val="clear" w:color="auto" w:fill="FFFFFF"/>
            <w:lang w:val="en-GB"/>
          </w:rPr>
          <w:t>https://www.czso.cz/csu/czso/update-of-the-compilation-method-international-trade-in-goods-change-of-ownership</w:t>
        </w:r>
      </w:hyperlink>
      <w:r>
        <w:rPr>
          <w:rStyle w:val="Hypertextovodkaz"/>
          <w:rFonts w:cs="Arial"/>
          <w:sz w:val="16"/>
          <w:szCs w:val="16"/>
          <w:bdr w:val="none" w:sz="0" w:space="0" w:color="auto" w:frame="1"/>
          <w:shd w:val="clear" w:color="auto" w:fill="FFFFFF"/>
          <w:lang w:val="en-GB"/>
        </w:rPr>
        <w:t>.</w:t>
      </w:r>
      <w:r>
        <w:rPr>
          <w:sz w:val="16"/>
          <w:szCs w:val="16"/>
          <w:lang w:val="en-GB"/>
        </w:rPr>
        <w:t xml:space="preserve"> Unless stated otherwise, all figures are without seasonal adjustment and in current prices.</w:t>
      </w:r>
    </w:p>
  </w:footnote>
  <w:footnote w:id="2">
    <w:p w14:paraId="7D35CA48" w14:textId="3CDD6D17" w:rsidR="003B4260" w:rsidRPr="00CA4D2D" w:rsidRDefault="003B4260" w:rsidP="00402689">
      <w:pPr>
        <w:pStyle w:val="Textpoznpodarou"/>
        <w:jc w:val="both"/>
        <w:rPr>
          <w:sz w:val="16"/>
          <w:szCs w:val="16"/>
          <w:lang w:val="en-GB"/>
        </w:rPr>
      </w:pPr>
      <w:r w:rsidRPr="00CA4D2D">
        <w:rPr>
          <w:rStyle w:val="Znakapoznpodarou"/>
          <w:sz w:val="16"/>
          <w:szCs w:val="16"/>
          <w:lang w:val="en-GB"/>
        </w:rPr>
        <w:footnoteRef/>
      </w:r>
      <w:r w:rsidRPr="00CA4D2D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Prices of exports of goods fell by 0.</w:t>
      </w:r>
      <w:r w:rsidRPr="000A6546">
        <w:rPr>
          <w:sz w:val="16"/>
          <w:szCs w:val="16"/>
          <w:lang w:val="en-GB"/>
        </w:rPr>
        <w:t>7%</w:t>
      </w:r>
      <w:r>
        <w:rPr>
          <w:sz w:val="16"/>
          <w:szCs w:val="16"/>
          <w:lang w:val="en-GB"/>
        </w:rPr>
        <w:t xml:space="preserve"> last year and were by 2.2% lower year-on-year in Q4 itself. Quarter-on-quarter, the export prices increased by 0.6%. Prices of other materials plunged by 18.6% last year and mineral fuels by 0.9%. But prices of mineral fuels decreased by 13.7% year-on-year in Q4</w:t>
      </w:r>
      <w:r w:rsidRPr="00CA4D2D">
        <w:rPr>
          <w:sz w:val="16"/>
          <w:szCs w:val="16"/>
          <w:lang w:val="en-GB"/>
        </w:rPr>
        <w:t>.</w:t>
      </w:r>
    </w:p>
  </w:footnote>
  <w:footnote w:id="3">
    <w:p w14:paraId="139E2970" w14:textId="1CBE0B6E" w:rsidR="003B4260" w:rsidRPr="00C76025" w:rsidRDefault="003B4260" w:rsidP="00402689">
      <w:pPr>
        <w:pStyle w:val="Textpoznpodarou"/>
        <w:jc w:val="both"/>
        <w:rPr>
          <w:sz w:val="16"/>
          <w:szCs w:val="16"/>
          <w:lang w:val="en-GB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C76025">
        <w:rPr>
          <w:sz w:val="16"/>
          <w:szCs w:val="16"/>
          <w:lang w:val="en-GB"/>
        </w:rPr>
        <w:t xml:space="preserve">In connection with the sharp hike of prices in year 2022, the value of exports of electricity, gas, steam and air conditioning to Germany increased by 38.7 </w:t>
      </w:r>
      <w:r>
        <w:rPr>
          <w:sz w:val="16"/>
          <w:szCs w:val="16"/>
          <w:lang w:val="en-GB"/>
        </w:rPr>
        <w:t>bn CZK</w:t>
      </w:r>
      <w:r w:rsidRPr="00C76025">
        <w:rPr>
          <w:sz w:val="16"/>
          <w:szCs w:val="16"/>
          <w:lang w:val="en-GB"/>
        </w:rPr>
        <w:t xml:space="preserve"> and it plunged by 30.8 bn last year. In case of Slovakia, following an increase of 15.6 </w:t>
      </w:r>
      <w:r>
        <w:rPr>
          <w:sz w:val="16"/>
          <w:szCs w:val="16"/>
          <w:lang w:val="en-GB"/>
        </w:rPr>
        <w:t>bn CZK</w:t>
      </w:r>
      <w:r w:rsidRPr="00C76025">
        <w:rPr>
          <w:sz w:val="16"/>
          <w:szCs w:val="16"/>
          <w:lang w:val="en-GB"/>
        </w:rPr>
        <w:t xml:space="preserve"> a plunge of 30.9 bn followed last year. Similarly, the export of electricity into Austria increased by 8.9 </w:t>
      </w:r>
      <w:r>
        <w:rPr>
          <w:sz w:val="16"/>
          <w:szCs w:val="16"/>
          <w:lang w:val="en-GB"/>
        </w:rPr>
        <w:t>bn CZK</w:t>
      </w:r>
      <w:r w:rsidRPr="00C76025">
        <w:rPr>
          <w:sz w:val="16"/>
          <w:szCs w:val="16"/>
          <w:lang w:val="en-GB"/>
        </w:rPr>
        <w:t xml:space="preserve"> in year 2022 and it fell by 9.1 bn last year.</w:t>
      </w:r>
    </w:p>
  </w:footnote>
  <w:footnote w:id="4">
    <w:p w14:paraId="35A87C23" w14:textId="3DBF1CAA" w:rsidR="003B4260" w:rsidRPr="005C179F" w:rsidRDefault="003B4260" w:rsidP="001B37CA">
      <w:pPr>
        <w:pStyle w:val="Textpoznpodarou"/>
        <w:jc w:val="both"/>
        <w:rPr>
          <w:sz w:val="16"/>
          <w:szCs w:val="16"/>
          <w:lang w:val="en-US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Prices of imports of goods were lower by </w:t>
      </w:r>
      <w:r w:rsidRPr="001B37CA">
        <w:rPr>
          <w:sz w:val="16"/>
          <w:szCs w:val="16"/>
          <w:lang w:val="en-GB"/>
        </w:rPr>
        <w:t>5</w:t>
      </w:r>
      <w:r>
        <w:rPr>
          <w:sz w:val="16"/>
          <w:szCs w:val="16"/>
          <w:lang w:val="en-GB"/>
        </w:rPr>
        <w:t>.</w:t>
      </w:r>
      <w:r w:rsidRPr="001B37CA">
        <w:rPr>
          <w:sz w:val="16"/>
          <w:szCs w:val="16"/>
          <w:lang w:val="en-GB"/>
        </w:rPr>
        <w:t>7%</w:t>
      </w:r>
      <w:r>
        <w:rPr>
          <w:sz w:val="16"/>
          <w:szCs w:val="16"/>
          <w:lang w:val="en-GB"/>
        </w:rPr>
        <w:t xml:space="preserve"> last year</w:t>
      </w:r>
      <w:r w:rsidRPr="001B37CA">
        <w:rPr>
          <w:sz w:val="16"/>
          <w:szCs w:val="16"/>
          <w:lang w:val="en-GB"/>
        </w:rPr>
        <w:t xml:space="preserve">. </w:t>
      </w:r>
      <w:r>
        <w:rPr>
          <w:sz w:val="16"/>
          <w:szCs w:val="16"/>
          <w:lang w:val="en-GB"/>
        </w:rPr>
        <w:t>In Q</w:t>
      </w:r>
      <w:r w:rsidRPr="001B37CA">
        <w:rPr>
          <w:sz w:val="16"/>
          <w:szCs w:val="16"/>
          <w:lang w:val="en-GB"/>
        </w:rPr>
        <w:t>4</w:t>
      </w:r>
      <w:r>
        <w:rPr>
          <w:sz w:val="16"/>
          <w:szCs w:val="16"/>
          <w:lang w:val="en-GB"/>
        </w:rPr>
        <w:t xml:space="preserve">, they fell by </w:t>
      </w:r>
      <w:r w:rsidRPr="001B37CA">
        <w:rPr>
          <w:sz w:val="16"/>
          <w:szCs w:val="16"/>
          <w:lang w:val="en-GB"/>
        </w:rPr>
        <w:t>6</w:t>
      </w:r>
      <w:r>
        <w:rPr>
          <w:sz w:val="16"/>
          <w:szCs w:val="16"/>
          <w:lang w:val="en-GB"/>
        </w:rPr>
        <w:t>.</w:t>
      </w:r>
      <w:r w:rsidRPr="001B37CA">
        <w:rPr>
          <w:sz w:val="16"/>
          <w:szCs w:val="16"/>
          <w:lang w:val="en-GB"/>
        </w:rPr>
        <w:t>1%</w:t>
      </w:r>
      <w:r>
        <w:rPr>
          <w:sz w:val="16"/>
          <w:szCs w:val="16"/>
          <w:lang w:val="en-GB"/>
        </w:rPr>
        <w:t xml:space="preserve"> year-on-year and increased by </w:t>
      </w:r>
      <w:r w:rsidRPr="001B37CA">
        <w:rPr>
          <w:sz w:val="16"/>
          <w:szCs w:val="16"/>
          <w:lang w:val="en-GB"/>
        </w:rPr>
        <w:t>1</w:t>
      </w:r>
      <w:r>
        <w:rPr>
          <w:sz w:val="16"/>
          <w:szCs w:val="16"/>
          <w:lang w:val="en-GB"/>
        </w:rPr>
        <w:t>.</w:t>
      </w:r>
      <w:r w:rsidRPr="001B37CA">
        <w:rPr>
          <w:sz w:val="16"/>
          <w:szCs w:val="16"/>
          <w:lang w:val="en-GB"/>
        </w:rPr>
        <w:t>5%</w:t>
      </w:r>
      <w:r>
        <w:rPr>
          <w:sz w:val="16"/>
          <w:szCs w:val="16"/>
          <w:lang w:val="en-GB"/>
        </w:rPr>
        <w:t xml:space="preserve"> quarter-on-quarter</w:t>
      </w:r>
      <w:r w:rsidRPr="001B37CA">
        <w:rPr>
          <w:sz w:val="16"/>
          <w:szCs w:val="16"/>
          <w:lang w:val="en-GB"/>
        </w:rPr>
        <w:t xml:space="preserve">. </w:t>
      </w:r>
      <w:r w:rsidRPr="005C179F">
        <w:rPr>
          <w:sz w:val="16"/>
          <w:szCs w:val="16"/>
          <w:lang w:val="en-US"/>
        </w:rPr>
        <w:t xml:space="preserve">Prices of imports of </w:t>
      </w:r>
      <w:r>
        <w:rPr>
          <w:sz w:val="16"/>
          <w:szCs w:val="16"/>
          <w:lang w:val="en-US"/>
        </w:rPr>
        <w:t xml:space="preserve">mineral fuels dropped by </w:t>
      </w:r>
      <w:r w:rsidRPr="005C179F">
        <w:rPr>
          <w:sz w:val="16"/>
          <w:szCs w:val="16"/>
          <w:lang w:val="en-US"/>
        </w:rPr>
        <w:t>27</w:t>
      </w:r>
      <w:r>
        <w:rPr>
          <w:sz w:val="16"/>
          <w:szCs w:val="16"/>
          <w:lang w:val="en-US"/>
        </w:rPr>
        <w:t>.</w:t>
      </w:r>
      <w:r w:rsidRPr="005C179F">
        <w:rPr>
          <w:sz w:val="16"/>
          <w:szCs w:val="16"/>
          <w:lang w:val="en-US"/>
        </w:rPr>
        <w:t>7%</w:t>
      </w:r>
      <w:r>
        <w:rPr>
          <w:sz w:val="16"/>
          <w:szCs w:val="16"/>
          <w:lang w:val="en-US"/>
        </w:rPr>
        <w:t xml:space="preserve"> last year</w:t>
      </w:r>
      <w:r w:rsidRPr="005C179F">
        <w:rPr>
          <w:sz w:val="16"/>
          <w:szCs w:val="16"/>
          <w:lang w:val="en-US"/>
        </w:rPr>
        <w:t>, o</w:t>
      </w:r>
      <w:r>
        <w:rPr>
          <w:sz w:val="16"/>
          <w:szCs w:val="16"/>
          <w:lang w:val="en-US"/>
        </w:rPr>
        <w:t xml:space="preserve">ther materials by </w:t>
      </w:r>
      <w:r w:rsidRPr="005C179F">
        <w:rPr>
          <w:sz w:val="16"/>
          <w:szCs w:val="16"/>
          <w:lang w:val="en-US"/>
        </w:rPr>
        <w:t>10</w:t>
      </w:r>
      <w:r>
        <w:rPr>
          <w:sz w:val="16"/>
          <w:szCs w:val="16"/>
          <w:lang w:val="en-US"/>
        </w:rPr>
        <w:t>.</w:t>
      </w:r>
      <w:r w:rsidRPr="005C179F">
        <w:rPr>
          <w:sz w:val="16"/>
          <w:szCs w:val="16"/>
          <w:lang w:val="en-US"/>
        </w:rPr>
        <w:t>7% a</w:t>
      </w:r>
      <w:r>
        <w:rPr>
          <w:sz w:val="16"/>
          <w:szCs w:val="16"/>
          <w:lang w:val="en-US"/>
        </w:rPr>
        <w:t xml:space="preserve">nd chemicals by </w:t>
      </w:r>
      <w:r w:rsidRPr="005C179F">
        <w:rPr>
          <w:sz w:val="16"/>
          <w:szCs w:val="16"/>
          <w:lang w:val="en-US"/>
        </w:rPr>
        <w:t>7</w:t>
      </w:r>
      <w:r>
        <w:rPr>
          <w:sz w:val="16"/>
          <w:szCs w:val="16"/>
          <w:lang w:val="en-US"/>
        </w:rPr>
        <w:t>.</w:t>
      </w:r>
      <w:r w:rsidRPr="005C179F">
        <w:rPr>
          <w:sz w:val="16"/>
          <w:szCs w:val="16"/>
          <w:lang w:val="en-US"/>
        </w:rPr>
        <w:t>9%.</w:t>
      </w:r>
    </w:p>
  </w:footnote>
  <w:footnote w:id="5">
    <w:p w14:paraId="1BAF2B60" w14:textId="44BE26C7" w:rsidR="003B4260" w:rsidRPr="000F3B71" w:rsidRDefault="003B4260" w:rsidP="000F3B71">
      <w:pPr>
        <w:pStyle w:val="Textpoznpodarou"/>
        <w:jc w:val="both"/>
        <w:rPr>
          <w:sz w:val="16"/>
          <w:szCs w:val="16"/>
          <w:lang w:val="en-GB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View on the development in the last ten years shows, that the positive balance of the international trade of goods was higher in years </w:t>
      </w:r>
      <w:r w:rsidRPr="000F3B71">
        <w:rPr>
          <w:sz w:val="16"/>
          <w:szCs w:val="16"/>
          <w:lang w:val="en-GB"/>
        </w:rPr>
        <w:t>2014–2017 a</w:t>
      </w:r>
      <w:r>
        <w:rPr>
          <w:sz w:val="16"/>
          <w:szCs w:val="16"/>
          <w:lang w:val="en-GB"/>
        </w:rPr>
        <w:t>nd</w:t>
      </w:r>
      <w:r w:rsidRPr="000F3B71">
        <w:rPr>
          <w:sz w:val="16"/>
          <w:szCs w:val="16"/>
          <w:lang w:val="en-GB"/>
        </w:rPr>
        <w:t xml:space="preserve"> 2019–2020.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3CA608AA" w:rsidR="003B4260" w:rsidRDefault="003B4260" w:rsidP="00937AE2">
    <w:pPr>
      <w:pStyle w:val="Zhlav"/>
    </w:pPr>
    <w:r>
      <w:t>The Czech Economy Development</w:t>
    </w:r>
  </w:p>
  <w:p w14:paraId="3E881AB3" w14:textId="77777777" w:rsidR="003B4260" w:rsidRPr="006F5416" w:rsidRDefault="003B4260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22785F80" w:rsidR="003B4260" w:rsidRDefault="003B4260" w:rsidP="00937AE2">
    <w:pPr>
      <w:pStyle w:val="Zhlav"/>
    </w:pPr>
    <w:r>
      <w:t>The Czech Economy Development</w:t>
    </w:r>
  </w:p>
  <w:p w14:paraId="57266714" w14:textId="77777777" w:rsidR="003B4260" w:rsidRPr="006F5416" w:rsidRDefault="003B4260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B2A5724"/>
    <w:multiLevelType w:val="hybridMultilevel"/>
    <w:tmpl w:val="0EA8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C59E0"/>
    <w:multiLevelType w:val="multilevel"/>
    <w:tmpl w:val="74A4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CAB4B86"/>
    <w:multiLevelType w:val="multilevel"/>
    <w:tmpl w:val="52D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5280B15"/>
    <w:multiLevelType w:val="hybridMultilevel"/>
    <w:tmpl w:val="5156A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C06F7"/>
    <w:multiLevelType w:val="multilevel"/>
    <w:tmpl w:val="AF4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6841503"/>
    <w:multiLevelType w:val="hybridMultilevel"/>
    <w:tmpl w:val="322E8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D23EC3"/>
    <w:multiLevelType w:val="hybridMultilevel"/>
    <w:tmpl w:val="B65A4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236EE"/>
    <w:multiLevelType w:val="hybridMultilevel"/>
    <w:tmpl w:val="CC2A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3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4077D1"/>
    <w:multiLevelType w:val="multilevel"/>
    <w:tmpl w:val="B70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A0FF0"/>
    <w:multiLevelType w:val="hybridMultilevel"/>
    <w:tmpl w:val="3D88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7F0B9"/>
    <w:multiLevelType w:val="hybridMultilevel"/>
    <w:tmpl w:val="9B0C99B6"/>
    <w:lvl w:ilvl="0" w:tplc="5FC8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29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8E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8D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62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20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63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42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CC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C6022"/>
    <w:multiLevelType w:val="multilevel"/>
    <w:tmpl w:val="70C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819D0"/>
    <w:multiLevelType w:val="multilevel"/>
    <w:tmpl w:val="DBAA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37"/>
  </w:num>
  <w:num w:numId="14">
    <w:abstractNumId w:val="14"/>
  </w:num>
  <w:num w:numId="15">
    <w:abstractNumId w:val="23"/>
  </w:num>
  <w:num w:numId="16">
    <w:abstractNumId w:val="18"/>
  </w:num>
  <w:num w:numId="17">
    <w:abstractNumId w:val="38"/>
  </w:num>
  <w:num w:numId="18">
    <w:abstractNumId w:val="29"/>
  </w:num>
  <w:num w:numId="19">
    <w:abstractNumId w:val="41"/>
  </w:num>
  <w:num w:numId="20">
    <w:abstractNumId w:val="44"/>
  </w:num>
  <w:num w:numId="21">
    <w:abstractNumId w:val="36"/>
  </w:num>
  <w:num w:numId="22">
    <w:abstractNumId w:val="22"/>
  </w:num>
  <w:num w:numId="23">
    <w:abstractNumId w:val="19"/>
  </w:num>
  <w:num w:numId="24">
    <w:abstractNumId w:val="20"/>
  </w:num>
  <w:num w:numId="25">
    <w:abstractNumId w:val="13"/>
  </w:num>
  <w:num w:numId="26">
    <w:abstractNumId w:val="31"/>
  </w:num>
  <w:num w:numId="27">
    <w:abstractNumId w:val="30"/>
  </w:num>
  <w:num w:numId="28">
    <w:abstractNumId w:val="10"/>
  </w:num>
  <w:num w:numId="29">
    <w:abstractNumId w:val="44"/>
  </w:num>
  <w:num w:numId="30">
    <w:abstractNumId w:val="32"/>
  </w:num>
  <w:num w:numId="31">
    <w:abstractNumId w:val="12"/>
  </w:num>
  <w:num w:numId="32">
    <w:abstractNumId w:val="46"/>
  </w:num>
  <w:num w:numId="33">
    <w:abstractNumId w:val="44"/>
  </w:num>
  <w:num w:numId="34">
    <w:abstractNumId w:val="11"/>
  </w:num>
  <w:num w:numId="35">
    <w:abstractNumId w:val="39"/>
  </w:num>
  <w:num w:numId="36">
    <w:abstractNumId w:val="33"/>
  </w:num>
  <w:num w:numId="37">
    <w:abstractNumId w:val="24"/>
  </w:num>
  <w:num w:numId="38">
    <w:abstractNumId w:val="28"/>
  </w:num>
  <w:num w:numId="39">
    <w:abstractNumId w:val="15"/>
  </w:num>
  <w:num w:numId="40">
    <w:abstractNumId w:val="26"/>
  </w:num>
  <w:num w:numId="41">
    <w:abstractNumId w:val="27"/>
  </w:num>
  <w:num w:numId="42">
    <w:abstractNumId w:val="45"/>
  </w:num>
  <w:num w:numId="43">
    <w:abstractNumId w:val="25"/>
  </w:num>
  <w:num w:numId="44">
    <w:abstractNumId w:val="16"/>
  </w:num>
  <w:num w:numId="45">
    <w:abstractNumId w:val="21"/>
  </w:num>
  <w:num w:numId="46">
    <w:abstractNumId w:val="35"/>
  </w:num>
  <w:num w:numId="47">
    <w:abstractNumId w:val="43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1295"/>
    <w:rsid w:val="0000209D"/>
    <w:rsid w:val="00002566"/>
    <w:rsid w:val="00002AE5"/>
    <w:rsid w:val="00002D0D"/>
    <w:rsid w:val="0000370A"/>
    <w:rsid w:val="00003849"/>
    <w:rsid w:val="00003AAE"/>
    <w:rsid w:val="00003F5C"/>
    <w:rsid w:val="00004D5A"/>
    <w:rsid w:val="00004EA4"/>
    <w:rsid w:val="00005219"/>
    <w:rsid w:val="000056D5"/>
    <w:rsid w:val="00005D9E"/>
    <w:rsid w:val="000063D5"/>
    <w:rsid w:val="00006625"/>
    <w:rsid w:val="00006ABD"/>
    <w:rsid w:val="00006B67"/>
    <w:rsid w:val="00006BF3"/>
    <w:rsid w:val="00006C0B"/>
    <w:rsid w:val="000073A0"/>
    <w:rsid w:val="00007656"/>
    <w:rsid w:val="0000767A"/>
    <w:rsid w:val="00007ABE"/>
    <w:rsid w:val="00007D73"/>
    <w:rsid w:val="00010107"/>
    <w:rsid w:val="00010256"/>
    <w:rsid w:val="00010702"/>
    <w:rsid w:val="00010A2C"/>
    <w:rsid w:val="0001128E"/>
    <w:rsid w:val="00011912"/>
    <w:rsid w:val="000122C2"/>
    <w:rsid w:val="000129B7"/>
    <w:rsid w:val="000137BD"/>
    <w:rsid w:val="0001387D"/>
    <w:rsid w:val="00014715"/>
    <w:rsid w:val="00014ED0"/>
    <w:rsid w:val="00016420"/>
    <w:rsid w:val="00016BDB"/>
    <w:rsid w:val="00017B01"/>
    <w:rsid w:val="000200BE"/>
    <w:rsid w:val="000205D1"/>
    <w:rsid w:val="000209A4"/>
    <w:rsid w:val="00020F22"/>
    <w:rsid w:val="000210C0"/>
    <w:rsid w:val="0002195D"/>
    <w:rsid w:val="00021B76"/>
    <w:rsid w:val="00021D2F"/>
    <w:rsid w:val="00021DD9"/>
    <w:rsid w:val="00021E39"/>
    <w:rsid w:val="00021F9B"/>
    <w:rsid w:val="0002248B"/>
    <w:rsid w:val="000228AE"/>
    <w:rsid w:val="000233D1"/>
    <w:rsid w:val="000234D6"/>
    <w:rsid w:val="00023D29"/>
    <w:rsid w:val="00024348"/>
    <w:rsid w:val="00024377"/>
    <w:rsid w:val="00025C85"/>
    <w:rsid w:val="00026109"/>
    <w:rsid w:val="0002622B"/>
    <w:rsid w:val="000262B5"/>
    <w:rsid w:val="00026389"/>
    <w:rsid w:val="0002669F"/>
    <w:rsid w:val="000279E5"/>
    <w:rsid w:val="000305E0"/>
    <w:rsid w:val="00031AE0"/>
    <w:rsid w:val="00031BB2"/>
    <w:rsid w:val="000322EF"/>
    <w:rsid w:val="00032C3C"/>
    <w:rsid w:val="00033FCD"/>
    <w:rsid w:val="000348AF"/>
    <w:rsid w:val="00034B70"/>
    <w:rsid w:val="00034DF7"/>
    <w:rsid w:val="00034E58"/>
    <w:rsid w:val="00034E68"/>
    <w:rsid w:val="000350C8"/>
    <w:rsid w:val="000351E0"/>
    <w:rsid w:val="00036195"/>
    <w:rsid w:val="000366CD"/>
    <w:rsid w:val="000374B2"/>
    <w:rsid w:val="000376C0"/>
    <w:rsid w:val="00037D64"/>
    <w:rsid w:val="000400BD"/>
    <w:rsid w:val="000403A7"/>
    <w:rsid w:val="00040632"/>
    <w:rsid w:val="00040D93"/>
    <w:rsid w:val="00040EE0"/>
    <w:rsid w:val="00040F4C"/>
    <w:rsid w:val="00041AFC"/>
    <w:rsid w:val="00041CEC"/>
    <w:rsid w:val="00041D02"/>
    <w:rsid w:val="0004219A"/>
    <w:rsid w:val="00042596"/>
    <w:rsid w:val="00042A4A"/>
    <w:rsid w:val="00043033"/>
    <w:rsid w:val="00044183"/>
    <w:rsid w:val="0004431D"/>
    <w:rsid w:val="00044906"/>
    <w:rsid w:val="00044AAC"/>
    <w:rsid w:val="00046514"/>
    <w:rsid w:val="0004694F"/>
    <w:rsid w:val="00046CFC"/>
    <w:rsid w:val="00046F12"/>
    <w:rsid w:val="00046F2F"/>
    <w:rsid w:val="000472CA"/>
    <w:rsid w:val="00047AD4"/>
    <w:rsid w:val="00047D54"/>
    <w:rsid w:val="0005033D"/>
    <w:rsid w:val="00050541"/>
    <w:rsid w:val="0005054A"/>
    <w:rsid w:val="0005087F"/>
    <w:rsid w:val="00050A87"/>
    <w:rsid w:val="00051506"/>
    <w:rsid w:val="00051810"/>
    <w:rsid w:val="000522E4"/>
    <w:rsid w:val="00053713"/>
    <w:rsid w:val="0005434E"/>
    <w:rsid w:val="00054793"/>
    <w:rsid w:val="00054ED8"/>
    <w:rsid w:val="00055CB6"/>
    <w:rsid w:val="00055E2F"/>
    <w:rsid w:val="0005691D"/>
    <w:rsid w:val="0005704A"/>
    <w:rsid w:val="000572DD"/>
    <w:rsid w:val="00057B1E"/>
    <w:rsid w:val="00057CBA"/>
    <w:rsid w:val="00057EC1"/>
    <w:rsid w:val="0006033F"/>
    <w:rsid w:val="00060382"/>
    <w:rsid w:val="000610E1"/>
    <w:rsid w:val="000616AD"/>
    <w:rsid w:val="000620AE"/>
    <w:rsid w:val="00062113"/>
    <w:rsid w:val="000622A6"/>
    <w:rsid w:val="00062405"/>
    <w:rsid w:val="00062A71"/>
    <w:rsid w:val="00062D70"/>
    <w:rsid w:val="00062EC5"/>
    <w:rsid w:val="00062F22"/>
    <w:rsid w:val="00063975"/>
    <w:rsid w:val="00063CEA"/>
    <w:rsid w:val="00064013"/>
    <w:rsid w:val="0006444D"/>
    <w:rsid w:val="000645FC"/>
    <w:rsid w:val="00065296"/>
    <w:rsid w:val="0006533F"/>
    <w:rsid w:val="00065348"/>
    <w:rsid w:val="00065423"/>
    <w:rsid w:val="0006551C"/>
    <w:rsid w:val="0006558D"/>
    <w:rsid w:val="00065A75"/>
    <w:rsid w:val="000663F0"/>
    <w:rsid w:val="00066558"/>
    <w:rsid w:val="000671DB"/>
    <w:rsid w:val="00067363"/>
    <w:rsid w:val="00067982"/>
    <w:rsid w:val="00070A87"/>
    <w:rsid w:val="000712B3"/>
    <w:rsid w:val="00071A7C"/>
    <w:rsid w:val="00071B5D"/>
    <w:rsid w:val="00071E38"/>
    <w:rsid w:val="00072FF5"/>
    <w:rsid w:val="00073A5A"/>
    <w:rsid w:val="00073B01"/>
    <w:rsid w:val="0007474E"/>
    <w:rsid w:val="00074988"/>
    <w:rsid w:val="00075068"/>
    <w:rsid w:val="0007512B"/>
    <w:rsid w:val="00075551"/>
    <w:rsid w:val="000758F0"/>
    <w:rsid w:val="000763A1"/>
    <w:rsid w:val="000767F5"/>
    <w:rsid w:val="00076D90"/>
    <w:rsid w:val="0007735D"/>
    <w:rsid w:val="00077714"/>
    <w:rsid w:val="00077BB3"/>
    <w:rsid w:val="00077FF0"/>
    <w:rsid w:val="00081A55"/>
    <w:rsid w:val="00081BB4"/>
    <w:rsid w:val="00081EBA"/>
    <w:rsid w:val="0008263E"/>
    <w:rsid w:val="00082C19"/>
    <w:rsid w:val="00082F89"/>
    <w:rsid w:val="00083457"/>
    <w:rsid w:val="000834ED"/>
    <w:rsid w:val="000837CD"/>
    <w:rsid w:val="00083B7F"/>
    <w:rsid w:val="000842DB"/>
    <w:rsid w:val="000845BB"/>
    <w:rsid w:val="00084BFF"/>
    <w:rsid w:val="000851A9"/>
    <w:rsid w:val="00085395"/>
    <w:rsid w:val="00086896"/>
    <w:rsid w:val="00086AC1"/>
    <w:rsid w:val="00086D19"/>
    <w:rsid w:val="00087634"/>
    <w:rsid w:val="00087F2B"/>
    <w:rsid w:val="00090694"/>
    <w:rsid w:val="0009098B"/>
    <w:rsid w:val="00090EE2"/>
    <w:rsid w:val="00090FC6"/>
    <w:rsid w:val="0009122C"/>
    <w:rsid w:val="000913B1"/>
    <w:rsid w:val="0009290F"/>
    <w:rsid w:val="00092F51"/>
    <w:rsid w:val="00093093"/>
    <w:rsid w:val="00093241"/>
    <w:rsid w:val="000934D5"/>
    <w:rsid w:val="00093868"/>
    <w:rsid w:val="0009445D"/>
    <w:rsid w:val="00094A84"/>
    <w:rsid w:val="00095025"/>
    <w:rsid w:val="00095135"/>
    <w:rsid w:val="00095152"/>
    <w:rsid w:val="00095A60"/>
    <w:rsid w:val="0009626E"/>
    <w:rsid w:val="0009644D"/>
    <w:rsid w:val="0009653A"/>
    <w:rsid w:val="0009704A"/>
    <w:rsid w:val="00097191"/>
    <w:rsid w:val="000974D1"/>
    <w:rsid w:val="00097784"/>
    <w:rsid w:val="0009799E"/>
    <w:rsid w:val="000A07CB"/>
    <w:rsid w:val="000A0BC0"/>
    <w:rsid w:val="000A0CD8"/>
    <w:rsid w:val="000A1183"/>
    <w:rsid w:val="000A12ED"/>
    <w:rsid w:val="000A1D49"/>
    <w:rsid w:val="000A212B"/>
    <w:rsid w:val="000A242D"/>
    <w:rsid w:val="000A256D"/>
    <w:rsid w:val="000A2643"/>
    <w:rsid w:val="000A2778"/>
    <w:rsid w:val="000A288C"/>
    <w:rsid w:val="000A2E5F"/>
    <w:rsid w:val="000A385C"/>
    <w:rsid w:val="000A3A2C"/>
    <w:rsid w:val="000A3D9E"/>
    <w:rsid w:val="000A3FD4"/>
    <w:rsid w:val="000A4A54"/>
    <w:rsid w:val="000A4ED9"/>
    <w:rsid w:val="000A55C4"/>
    <w:rsid w:val="000A5858"/>
    <w:rsid w:val="000A589E"/>
    <w:rsid w:val="000A5DB7"/>
    <w:rsid w:val="000A6254"/>
    <w:rsid w:val="000A629B"/>
    <w:rsid w:val="000A6753"/>
    <w:rsid w:val="000A6D94"/>
    <w:rsid w:val="000A72BC"/>
    <w:rsid w:val="000A7377"/>
    <w:rsid w:val="000A74A4"/>
    <w:rsid w:val="000A74BB"/>
    <w:rsid w:val="000A76E0"/>
    <w:rsid w:val="000A775A"/>
    <w:rsid w:val="000A79B3"/>
    <w:rsid w:val="000A7D63"/>
    <w:rsid w:val="000A7FF4"/>
    <w:rsid w:val="000B03CC"/>
    <w:rsid w:val="000B1A37"/>
    <w:rsid w:val="000B25DA"/>
    <w:rsid w:val="000B28BD"/>
    <w:rsid w:val="000B3D72"/>
    <w:rsid w:val="000B4212"/>
    <w:rsid w:val="000B4309"/>
    <w:rsid w:val="000B4461"/>
    <w:rsid w:val="000B51CC"/>
    <w:rsid w:val="000B52D8"/>
    <w:rsid w:val="000B67B7"/>
    <w:rsid w:val="000B6A0A"/>
    <w:rsid w:val="000B75A7"/>
    <w:rsid w:val="000C0127"/>
    <w:rsid w:val="000C0190"/>
    <w:rsid w:val="000C0CA6"/>
    <w:rsid w:val="000C0EA8"/>
    <w:rsid w:val="000C13A2"/>
    <w:rsid w:val="000C1BF6"/>
    <w:rsid w:val="000C21E7"/>
    <w:rsid w:val="000C23EC"/>
    <w:rsid w:val="000C26A2"/>
    <w:rsid w:val="000C290E"/>
    <w:rsid w:val="000C30C3"/>
    <w:rsid w:val="000C3330"/>
    <w:rsid w:val="000C3408"/>
    <w:rsid w:val="000C3422"/>
    <w:rsid w:val="000C35AB"/>
    <w:rsid w:val="000C3F7B"/>
    <w:rsid w:val="000C4769"/>
    <w:rsid w:val="000C4D56"/>
    <w:rsid w:val="000C52FC"/>
    <w:rsid w:val="000C5DFA"/>
    <w:rsid w:val="000C6AFD"/>
    <w:rsid w:val="000C6C90"/>
    <w:rsid w:val="000C72B7"/>
    <w:rsid w:val="000C735A"/>
    <w:rsid w:val="000C77CF"/>
    <w:rsid w:val="000C7A79"/>
    <w:rsid w:val="000D0A26"/>
    <w:rsid w:val="000D0D18"/>
    <w:rsid w:val="000D127B"/>
    <w:rsid w:val="000D13CB"/>
    <w:rsid w:val="000D2196"/>
    <w:rsid w:val="000D2C2E"/>
    <w:rsid w:val="000D3058"/>
    <w:rsid w:val="000D310A"/>
    <w:rsid w:val="000D3EF4"/>
    <w:rsid w:val="000D4497"/>
    <w:rsid w:val="000D4761"/>
    <w:rsid w:val="000D4DC0"/>
    <w:rsid w:val="000D4E8E"/>
    <w:rsid w:val="000D55BA"/>
    <w:rsid w:val="000D5637"/>
    <w:rsid w:val="000D585E"/>
    <w:rsid w:val="000D5A03"/>
    <w:rsid w:val="000D5ED3"/>
    <w:rsid w:val="000D6A2D"/>
    <w:rsid w:val="000D6F4E"/>
    <w:rsid w:val="000D6FDA"/>
    <w:rsid w:val="000D71A4"/>
    <w:rsid w:val="000D73BB"/>
    <w:rsid w:val="000D78F5"/>
    <w:rsid w:val="000D7AC7"/>
    <w:rsid w:val="000D7C6F"/>
    <w:rsid w:val="000E04FD"/>
    <w:rsid w:val="000E0E96"/>
    <w:rsid w:val="000E298B"/>
    <w:rsid w:val="000E2C7D"/>
    <w:rsid w:val="000E3E56"/>
    <w:rsid w:val="000E440D"/>
    <w:rsid w:val="000E4AC5"/>
    <w:rsid w:val="000E5B90"/>
    <w:rsid w:val="000E5DB7"/>
    <w:rsid w:val="000E6253"/>
    <w:rsid w:val="000E6AC4"/>
    <w:rsid w:val="000E6E4D"/>
    <w:rsid w:val="000E6FBD"/>
    <w:rsid w:val="000E6FCB"/>
    <w:rsid w:val="000F001C"/>
    <w:rsid w:val="000F00AA"/>
    <w:rsid w:val="000F0848"/>
    <w:rsid w:val="000F090B"/>
    <w:rsid w:val="000F0E42"/>
    <w:rsid w:val="000F15F7"/>
    <w:rsid w:val="000F1AA2"/>
    <w:rsid w:val="000F378E"/>
    <w:rsid w:val="000F3B71"/>
    <w:rsid w:val="000F3F3B"/>
    <w:rsid w:val="000F45A2"/>
    <w:rsid w:val="000F4721"/>
    <w:rsid w:val="000F47E8"/>
    <w:rsid w:val="000F4C6D"/>
    <w:rsid w:val="000F4E9C"/>
    <w:rsid w:val="000F60E1"/>
    <w:rsid w:val="000F70E4"/>
    <w:rsid w:val="000F7269"/>
    <w:rsid w:val="000F76EA"/>
    <w:rsid w:val="000F7C7E"/>
    <w:rsid w:val="001005BD"/>
    <w:rsid w:val="00100A8B"/>
    <w:rsid w:val="00100F5C"/>
    <w:rsid w:val="00101B15"/>
    <w:rsid w:val="00101BF3"/>
    <w:rsid w:val="00101CDA"/>
    <w:rsid w:val="00102037"/>
    <w:rsid w:val="0010228E"/>
    <w:rsid w:val="0010343F"/>
    <w:rsid w:val="00103DCB"/>
    <w:rsid w:val="00104C4C"/>
    <w:rsid w:val="00105015"/>
    <w:rsid w:val="001050E8"/>
    <w:rsid w:val="0010544F"/>
    <w:rsid w:val="001055D2"/>
    <w:rsid w:val="001057C2"/>
    <w:rsid w:val="00106BCC"/>
    <w:rsid w:val="00107124"/>
    <w:rsid w:val="001074C0"/>
    <w:rsid w:val="00107B0A"/>
    <w:rsid w:val="0011038E"/>
    <w:rsid w:val="0011055D"/>
    <w:rsid w:val="001112D2"/>
    <w:rsid w:val="001112DD"/>
    <w:rsid w:val="00111573"/>
    <w:rsid w:val="00112370"/>
    <w:rsid w:val="0011239B"/>
    <w:rsid w:val="001125EF"/>
    <w:rsid w:val="00112919"/>
    <w:rsid w:val="00112CAB"/>
    <w:rsid w:val="00112CEB"/>
    <w:rsid w:val="00113A77"/>
    <w:rsid w:val="0011440C"/>
    <w:rsid w:val="0011456E"/>
    <w:rsid w:val="00114C33"/>
    <w:rsid w:val="00114D5B"/>
    <w:rsid w:val="00114E3A"/>
    <w:rsid w:val="001150CE"/>
    <w:rsid w:val="001154D8"/>
    <w:rsid w:val="00115AA5"/>
    <w:rsid w:val="00115DD6"/>
    <w:rsid w:val="00116D3F"/>
    <w:rsid w:val="00117474"/>
    <w:rsid w:val="00117623"/>
    <w:rsid w:val="00117FEA"/>
    <w:rsid w:val="001200CF"/>
    <w:rsid w:val="001202B0"/>
    <w:rsid w:val="001208E3"/>
    <w:rsid w:val="001211F9"/>
    <w:rsid w:val="00121609"/>
    <w:rsid w:val="00121735"/>
    <w:rsid w:val="0012192F"/>
    <w:rsid w:val="001223CD"/>
    <w:rsid w:val="00122994"/>
    <w:rsid w:val="00123204"/>
    <w:rsid w:val="001238F5"/>
    <w:rsid w:val="00123C7D"/>
    <w:rsid w:val="00124B46"/>
    <w:rsid w:val="001257BE"/>
    <w:rsid w:val="001257E0"/>
    <w:rsid w:val="00125D69"/>
    <w:rsid w:val="00127263"/>
    <w:rsid w:val="0012799C"/>
    <w:rsid w:val="00127BC2"/>
    <w:rsid w:val="00127E15"/>
    <w:rsid w:val="00130654"/>
    <w:rsid w:val="001308F1"/>
    <w:rsid w:val="00130ACD"/>
    <w:rsid w:val="00130ADC"/>
    <w:rsid w:val="00130D9F"/>
    <w:rsid w:val="00132C4D"/>
    <w:rsid w:val="00133FC1"/>
    <w:rsid w:val="00134659"/>
    <w:rsid w:val="00135111"/>
    <w:rsid w:val="00135376"/>
    <w:rsid w:val="00136175"/>
    <w:rsid w:val="0013689F"/>
    <w:rsid w:val="00136A6F"/>
    <w:rsid w:val="00136C1A"/>
    <w:rsid w:val="001371E1"/>
    <w:rsid w:val="00137812"/>
    <w:rsid w:val="00137DE5"/>
    <w:rsid w:val="00137F06"/>
    <w:rsid w:val="001405FA"/>
    <w:rsid w:val="00140802"/>
    <w:rsid w:val="00140D1A"/>
    <w:rsid w:val="00141184"/>
    <w:rsid w:val="00141315"/>
    <w:rsid w:val="0014152B"/>
    <w:rsid w:val="00141740"/>
    <w:rsid w:val="00141AA0"/>
    <w:rsid w:val="00141AE4"/>
    <w:rsid w:val="001425C3"/>
    <w:rsid w:val="0014262D"/>
    <w:rsid w:val="00142B29"/>
    <w:rsid w:val="00143EED"/>
    <w:rsid w:val="00144108"/>
    <w:rsid w:val="00144440"/>
    <w:rsid w:val="00144588"/>
    <w:rsid w:val="001447DD"/>
    <w:rsid w:val="00145358"/>
    <w:rsid w:val="001459BC"/>
    <w:rsid w:val="00145B0F"/>
    <w:rsid w:val="00146B27"/>
    <w:rsid w:val="00146F76"/>
    <w:rsid w:val="0014779E"/>
    <w:rsid w:val="00147B13"/>
    <w:rsid w:val="001500D8"/>
    <w:rsid w:val="00150384"/>
    <w:rsid w:val="001504BA"/>
    <w:rsid w:val="00150860"/>
    <w:rsid w:val="001509D4"/>
    <w:rsid w:val="00150ECA"/>
    <w:rsid w:val="0015108F"/>
    <w:rsid w:val="00151707"/>
    <w:rsid w:val="0015218F"/>
    <w:rsid w:val="00152C86"/>
    <w:rsid w:val="00152EBC"/>
    <w:rsid w:val="00152F4F"/>
    <w:rsid w:val="00153264"/>
    <w:rsid w:val="0015329F"/>
    <w:rsid w:val="00154286"/>
    <w:rsid w:val="001544A1"/>
    <w:rsid w:val="00154CA1"/>
    <w:rsid w:val="001553B8"/>
    <w:rsid w:val="001554C2"/>
    <w:rsid w:val="00155571"/>
    <w:rsid w:val="00156D04"/>
    <w:rsid w:val="001571C0"/>
    <w:rsid w:val="001574FE"/>
    <w:rsid w:val="0015753D"/>
    <w:rsid w:val="00157984"/>
    <w:rsid w:val="00157CC9"/>
    <w:rsid w:val="001609AE"/>
    <w:rsid w:val="00160C21"/>
    <w:rsid w:val="001612DB"/>
    <w:rsid w:val="001612F4"/>
    <w:rsid w:val="00161553"/>
    <w:rsid w:val="0016216F"/>
    <w:rsid w:val="0016256B"/>
    <w:rsid w:val="00162F81"/>
    <w:rsid w:val="00163660"/>
    <w:rsid w:val="00163793"/>
    <w:rsid w:val="00163868"/>
    <w:rsid w:val="00164CA1"/>
    <w:rsid w:val="00165313"/>
    <w:rsid w:val="001659C3"/>
    <w:rsid w:val="00165DC6"/>
    <w:rsid w:val="00166593"/>
    <w:rsid w:val="001665AB"/>
    <w:rsid w:val="00166A55"/>
    <w:rsid w:val="00166D80"/>
    <w:rsid w:val="00167485"/>
    <w:rsid w:val="00167809"/>
    <w:rsid w:val="001679F5"/>
    <w:rsid w:val="00167B92"/>
    <w:rsid w:val="00167CB9"/>
    <w:rsid w:val="00167DD8"/>
    <w:rsid w:val="001705AD"/>
    <w:rsid w:val="001706D6"/>
    <w:rsid w:val="00170CFD"/>
    <w:rsid w:val="00170F1A"/>
    <w:rsid w:val="001714F2"/>
    <w:rsid w:val="00171FEA"/>
    <w:rsid w:val="00172F60"/>
    <w:rsid w:val="00173622"/>
    <w:rsid w:val="00173D32"/>
    <w:rsid w:val="0017448A"/>
    <w:rsid w:val="00174ED1"/>
    <w:rsid w:val="00175B9F"/>
    <w:rsid w:val="001762F4"/>
    <w:rsid w:val="001765D1"/>
    <w:rsid w:val="001777BA"/>
    <w:rsid w:val="00180DA4"/>
    <w:rsid w:val="00181029"/>
    <w:rsid w:val="00181276"/>
    <w:rsid w:val="00181BBC"/>
    <w:rsid w:val="00182D75"/>
    <w:rsid w:val="0018385F"/>
    <w:rsid w:val="00183BCF"/>
    <w:rsid w:val="00184017"/>
    <w:rsid w:val="001847BB"/>
    <w:rsid w:val="00184B08"/>
    <w:rsid w:val="00185010"/>
    <w:rsid w:val="001854F2"/>
    <w:rsid w:val="00185C22"/>
    <w:rsid w:val="00186A7F"/>
    <w:rsid w:val="00186BA9"/>
    <w:rsid w:val="00186FB2"/>
    <w:rsid w:val="00187D50"/>
    <w:rsid w:val="00190B4D"/>
    <w:rsid w:val="0019123D"/>
    <w:rsid w:val="0019196C"/>
    <w:rsid w:val="00191F6B"/>
    <w:rsid w:val="001926A9"/>
    <w:rsid w:val="00192BA8"/>
    <w:rsid w:val="00192F05"/>
    <w:rsid w:val="00194024"/>
    <w:rsid w:val="00194729"/>
    <w:rsid w:val="00194850"/>
    <w:rsid w:val="00195234"/>
    <w:rsid w:val="00195EA6"/>
    <w:rsid w:val="00196016"/>
    <w:rsid w:val="00196117"/>
    <w:rsid w:val="00197A70"/>
    <w:rsid w:val="00197A8B"/>
    <w:rsid w:val="00197C0F"/>
    <w:rsid w:val="00197D0E"/>
    <w:rsid w:val="001A0487"/>
    <w:rsid w:val="001A0675"/>
    <w:rsid w:val="001A0A37"/>
    <w:rsid w:val="001A164B"/>
    <w:rsid w:val="001A1F68"/>
    <w:rsid w:val="001A21FA"/>
    <w:rsid w:val="001A28C9"/>
    <w:rsid w:val="001A3474"/>
    <w:rsid w:val="001A422F"/>
    <w:rsid w:val="001A4A73"/>
    <w:rsid w:val="001A4D7C"/>
    <w:rsid w:val="001A4EF0"/>
    <w:rsid w:val="001A552F"/>
    <w:rsid w:val="001A5CB7"/>
    <w:rsid w:val="001A6042"/>
    <w:rsid w:val="001A6A14"/>
    <w:rsid w:val="001A6F58"/>
    <w:rsid w:val="001A70B1"/>
    <w:rsid w:val="001A7672"/>
    <w:rsid w:val="001B0738"/>
    <w:rsid w:val="001B1235"/>
    <w:rsid w:val="001B158D"/>
    <w:rsid w:val="001B1BBB"/>
    <w:rsid w:val="001B2CA9"/>
    <w:rsid w:val="001B3110"/>
    <w:rsid w:val="001B3328"/>
    <w:rsid w:val="001B37CA"/>
    <w:rsid w:val="001B3E38"/>
    <w:rsid w:val="001B40F5"/>
    <w:rsid w:val="001B4729"/>
    <w:rsid w:val="001B4DF6"/>
    <w:rsid w:val="001B4F0E"/>
    <w:rsid w:val="001B5292"/>
    <w:rsid w:val="001B5F40"/>
    <w:rsid w:val="001B6310"/>
    <w:rsid w:val="001B6C09"/>
    <w:rsid w:val="001B6E12"/>
    <w:rsid w:val="001B7A58"/>
    <w:rsid w:val="001B7E67"/>
    <w:rsid w:val="001B7FAD"/>
    <w:rsid w:val="001C05CD"/>
    <w:rsid w:val="001C082B"/>
    <w:rsid w:val="001C0F17"/>
    <w:rsid w:val="001C11A6"/>
    <w:rsid w:val="001C1B24"/>
    <w:rsid w:val="001C1B66"/>
    <w:rsid w:val="001C1BB5"/>
    <w:rsid w:val="001C1C72"/>
    <w:rsid w:val="001C24A7"/>
    <w:rsid w:val="001C24BB"/>
    <w:rsid w:val="001C2732"/>
    <w:rsid w:val="001C31A2"/>
    <w:rsid w:val="001C351D"/>
    <w:rsid w:val="001C3794"/>
    <w:rsid w:val="001C3855"/>
    <w:rsid w:val="001C41C1"/>
    <w:rsid w:val="001C4ABB"/>
    <w:rsid w:val="001C4B8F"/>
    <w:rsid w:val="001C4BB8"/>
    <w:rsid w:val="001C4D8C"/>
    <w:rsid w:val="001C4FD0"/>
    <w:rsid w:val="001C544D"/>
    <w:rsid w:val="001C5E46"/>
    <w:rsid w:val="001C6AB8"/>
    <w:rsid w:val="001C6B3B"/>
    <w:rsid w:val="001C7A26"/>
    <w:rsid w:val="001C7E3F"/>
    <w:rsid w:val="001D0EF1"/>
    <w:rsid w:val="001D0F32"/>
    <w:rsid w:val="001D16D0"/>
    <w:rsid w:val="001D1A44"/>
    <w:rsid w:val="001D1C56"/>
    <w:rsid w:val="001D1D2C"/>
    <w:rsid w:val="001D22C2"/>
    <w:rsid w:val="001D2C99"/>
    <w:rsid w:val="001D2FE3"/>
    <w:rsid w:val="001D3A7F"/>
    <w:rsid w:val="001D3B75"/>
    <w:rsid w:val="001D452E"/>
    <w:rsid w:val="001D54C1"/>
    <w:rsid w:val="001D556E"/>
    <w:rsid w:val="001D5DF2"/>
    <w:rsid w:val="001D6175"/>
    <w:rsid w:val="001D68B2"/>
    <w:rsid w:val="001D6B3F"/>
    <w:rsid w:val="001D6FE1"/>
    <w:rsid w:val="001D759D"/>
    <w:rsid w:val="001D7EFD"/>
    <w:rsid w:val="001D7F60"/>
    <w:rsid w:val="001E085B"/>
    <w:rsid w:val="001E0CAA"/>
    <w:rsid w:val="001E149B"/>
    <w:rsid w:val="001E155C"/>
    <w:rsid w:val="001E15CB"/>
    <w:rsid w:val="001E18A0"/>
    <w:rsid w:val="001E1AF1"/>
    <w:rsid w:val="001E297E"/>
    <w:rsid w:val="001E3306"/>
    <w:rsid w:val="001E34DC"/>
    <w:rsid w:val="001E3802"/>
    <w:rsid w:val="001E40B1"/>
    <w:rsid w:val="001E504C"/>
    <w:rsid w:val="001E52DE"/>
    <w:rsid w:val="001E56AC"/>
    <w:rsid w:val="001E5A17"/>
    <w:rsid w:val="001E6441"/>
    <w:rsid w:val="001E6B52"/>
    <w:rsid w:val="001E74C5"/>
    <w:rsid w:val="001F0A97"/>
    <w:rsid w:val="001F1236"/>
    <w:rsid w:val="001F18F2"/>
    <w:rsid w:val="001F2F90"/>
    <w:rsid w:val="001F3021"/>
    <w:rsid w:val="001F3C7C"/>
    <w:rsid w:val="001F4597"/>
    <w:rsid w:val="001F4826"/>
    <w:rsid w:val="001F4933"/>
    <w:rsid w:val="001F5918"/>
    <w:rsid w:val="001F59C8"/>
    <w:rsid w:val="001F5E33"/>
    <w:rsid w:val="001F6483"/>
    <w:rsid w:val="001F6CD3"/>
    <w:rsid w:val="001F75DA"/>
    <w:rsid w:val="001F7931"/>
    <w:rsid w:val="001F7CE0"/>
    <w:rsid w:val="00200085"/>
    <w:rsid w:val="002007D3"/>
    <w:rsid w:val="00201633"/>
    <w:rsid w:val="002019B5"/>
    <w:rsid w:val="00203332"/>
    <w:rsid w:val="002036E6"/>
    <w:rsid w:val="002038E8"/>
    <w:rsid w:val="00203CD5"/>
    <w:rsid w:val="00203D8F"/>
    <w:rsid w:val="00203DA4"/>
    <w:rsid w:val="0020460A"/>
    <w:rsid w:val="00204EA6"/>
    <w:rsid w:val="00205019"/>
    <w:rsid w:val="00205186"/>
    <w:rsid w:val="002062DE"/>
    <w:rsid w:val="00206516"/>
    <w:rsid w:val="00206598"/>
    <w:rsid w:val="002070CF"/>
    <w:rsid w:val="002071D5"/>
    <w:rsid w:val="002073FD"/>
    <w:rsid w:val="00207414"/>
    <w:rsid w:val="00207AB0"/>
    <w:rsid w:val="00207B33"/>
    <w:rsid w:val="00207E73"/>
    <w:rsid w:val="002102F8"/>
    <w:rsid w:val="002110EC"/>
    <w:rsid w:val="002111E5"/>
    <w:rsid w:val="0021149E"/>
    <w:rsid w:val="0021173B"/>
    <w:rsid w:val="002118B9"/>
    <w:rsid w:val="00211CFD"/>
    <w:rsid w:val="002125DC"/>
    <w:rsid w:val="00213691"/>
    <w:rsid w:val="002142C0"/>
    <w:rsid w:val="00214853"/>
    <w:rsid w:val="00215388"/>
    <w:rsid w:val="002165A2"/>
    <w:rsid w:val="00217993"/>
    <w:rsid w:val="00217BED"/>
    <w:rsid w:val="00217C5B"/>
    <w:rsid w:val="00217CC3"/>
    <w:rsid w:val="00220128"/>
    <w:rsid w:val="00220362"/>
    <w:rsid w:val="00220989"/>
    <w:rsid w:val="00220A43"/>
    <w:rsid w:val="0022139E"/>
    <w:rsid w:val="00222312"/>
    <w:rsid w:val="00222729"/>
    <w:rsid w:val="0022287B"/>
    <w:rsid w:val="002228DB"/>
    <w:rsid w:val="00223185"/>
    <w:rsid w:val="00223264"/>
    <w:rsid w:val="002233D6"/>
    <w:rsid w:val="00223E20"/>
    <w:rsid w:val="00224335"/>
    <w:rsid w:val="0022441D"/>
    <w:rsid w:val="00224574"/>
    <w:rsid w:val="00224BB6"/>
    <w:rsid w:val="00224E3F"/>
    <w:rsid w:val="00225000"/>
    <w:rsid w:val="0022521D"/>
    <w:rsid w:val="002252E0"/>
    <w:rsid w:val="00225396"/>
    <w:rsid w:val="002255F6"/>
    <w:rsid w:val="00225B43"/>
    <w:rsid w:val="00226032"/>
    <w:rsid w:val="002267F7"/>
    <w:rsid w:val="0022738D"/>
    <w:rsid w:val="00227605"/>
    <w:rsid w:val="00227850"/>
    <w:rsid w:val="00227A53"/>
    <w:rsid w:val="00227C6C"/>
    <w:rsid w:val="00227E2E"/>
    <w:rsid w:val="00227F36"/>
    <w:rsid w:val="00227F53"/>
    <w:rsid w:val="00230AFA"/>
    <w:rsid w:val="00230C6E"/>
    <w:rsid w:val="00230E21"/>
    <w:rsid w:val="00231066"/>
    <w:rsid w:val="002316A8"/>
    <w:rsid w:val="00231855"/>
    <w:rsid w:val="00231859"/>
    <w:rsid w:val="002320C9"/>
    <w:rsid w:val="0023288F"/>
    <w:rsid w:val="0023290A"/>
    <w:rsid w:val="00232B6D"/>
    <w:rsid w:val="0023359B"/>
    <w:rsid w:val="00233603"/>
    <w:rsid w:val="00233FE7"/>
    <w:rsid w:val="002340EF"/>
    <w:rsid w:val="00234B82"/>
    <w:rsid w:val="00236443"/>
    <w:rsid w:val="00236700"/>
    <w:rsid w:val="00236D2A"/>
    <w:rsid w:val="0023714F"/>
    <w:rsid w:val="00237C24"/>
    <w:rsid w:val="00237C8B"/>
    <w:rsid w:val="00240391"/>
    <w:rsid w:val="00240AF3"/>
    <w:rsid w:val="002418D5"/>
    <w:rsid w:val="00241A9F"/>
    <w:rsid w:val="00241B06"/>
    <w:rsid w:val="0024343A"/>
    <w:rsid w:val="002436BA"/>
    <w:rsid w:val="0024385F"/>
    <w:rsid w:val="002438DC"/>
    <w:rsid w:val="00244652"/>
    <w:rsid w:val="00244A15"/>
    <w:rsid w:val="00244BB9"/>
    <w:rsid w:val="002452D9"/>
    <w:rsid w:val="0024629B"/>
    <w:rsid w:val="0024649B"/>
    <w:rsid w:val="00246CAA"/>
    <w:rsid w:val="002470EB"/>
    <w:rsid w:val="00247319"/>
    <w:rsid w:val="0024799E"/>
    <w:rsid w:val="00247E60"/>
    <w:rsid w:val="00251001"/>
    <w:rsid w:val="002512B7"/>
    <w:rsid w:val="00251496"/>
    <w:rsid w:val="00251B08"/>
    <w:rsid w:val="00251C53"/>
    <w:rsid w:val="00251E6D"/>
    <w:rsid w:val="00252AB9"/>
    <w:rsid w:val="002532B1"/>
    <w:rsid w:val="00253952"/>
    <w:rsid w:val="00253C0F"/>
    <w:rsid w:val="00253F48"/>
    <w:rsid w:val="00254A01"/>
    <w:rsid w:val="00254FC3"/>
    <w:rsid w:val="00255452"/>
    <w:rsid w:val="002558C1"/>
    <w:rsid w:val="00256207"/>
    <w:rsid w:val="002565FC"/>
    <w:rsid w:val="002575F3"/>
    <w:rsid w:val="002601B4"/>
    <w:rsid w:val="00260374"/>
    <w:rsid w:val="002603E1"/>
    <w:rsid w:val="002605FE"/>
    <w:rsid w:val="0026120E"/>
    <w:rsid w:val="002617EE"/>
    <w:rsid w:val="00261DDB"/>
    <w:rsid w:val="00262582"/>
    <w:rsid w:val="0026291D"/>
    <w:rsid w:val="00262CF3"/>
    <w:rsid w:val="002632C6"/>
    <w:rsid w:val="002638DD"/>
    <w:rsid w:val="0026398B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0D5D"/>
    <w:rsid w:val="00271022"/>
    <w:rsid w:val="00271389"/>
    <w:rsid w:val="00271465"/>
    <w:rsid w:val="00271A07"/>
    <w:rsid w:val="00271E47"/>
    <w:rsid w:val="00271E7B"/>
    <w:rsid w:val="002721F5"/>
    <w:rsid w:val="00272DF4"/>
    <w:rsid w:val="0027334D"/>
    <w:rsid w:val="002734AB"/>
    <w:rsid w:val="00273B51"/>
    <w:rsid w:val="00275062"/>
    <w:rsid w:val="002752AD"/>
    <w:rsid w:val="00275758"/>
    <w:rsid w:val="0027583D"/>
    <w:rsid w:val="002759C7"/>
    <w:rsid w:val="00275DEF"/>
    <w:rsid w:val="00275E0B"/>
    <w:rsid w:val="00275E43"/>
    <w:rsid w:val="0027609F"/>
    <w:rsid w:val="002763A2"/>
    <w:rsid w:val="002765D8"/>
    <w:rsid w:val="00276B33"/>
    <w:rsid w:val="00276FBB"/>
    <w:rsid w:val="002771D9"/>
    <w:rsid w:val="00277669"/>
    <w:rsid w:val="002778C8"/>
    <w:rsid w:val="002803A5"/>
    <w:rsid w:val="00280ACB"/>
    <w:rsid w:val="0028120B"/>
    <w:rsid w:val="002812E3"/>
    <w:rsid w:val="00281576"/>
    <w:rsid w:val="00282AD4"/>
    <w:rsid w:val="00282B3F"/>
    <w:rsid w:val="0028341F"/>
    <w:rsid w:val="002837AE"/>
    <w:rsid w:val="00283C13"/>
    <w:rsid w:val="00283F7B"/>
    <w:rsid w:val="0028405F"/>
    <w:rsid w:val="00284229"/>
    <w:rsid w:val="0028431A"/>
    <w:rsid w:val="002853FA"/>
    <w:rsid w:val="00285412"/>
    <w:rsid w:val="00286220"/>
    <w:rsid w:val="002868F0"/>
    <w:rsid w:val="00291043"/>
    <w:rsid w:val="0029110B"/>
    <w:rsid w:val="002915D0"/>
    <w:rsid w:val="00291640"/>
    <w:rsid w:val="0029237E"/>
    <w:rsid w:val="00292997"/>
    <w:rsid w:val="00292D82"/>
    <w:rsid w:val="00293D24"/>
    <w:rsid w:val="0029461A"/>
    <w:rsid w:val="00294977"/>
    <w:rsid w:val="00294A56"/>
    <w:rsid w:val="0029509B"/>
    <w:rsid w:val="00295369"/>
    <w:rsid w:val="0029588F"/>
    <w:rsid w:val="00295E96"/>
    <w:rsid w:val="00296878"/>
    <w:rsid w:val="00297256"/>
    <w:rsid w:val="00297560"/>
    <w:rsid w:val="00297A5C"/>
    <w:rsid w:val="00297D51"/>
    <w:rsid w:val="002A0044"/>
    <w:rsid w:val="002A0122"/>
    <w:rsid w:val="002A0132"/>
    <w:rsid w:val="002A016B"/>
    <w:rsid w:val="002A0D51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6614"/>
    <w:rsid w:val="002A7089"/>
    <w:rsid w:val="002A70B9"/>
    <w:rsid w:val="002A7B05"/>
    <w:rsid w:val="002B060E"/>
    <w:rsid w:val="002B0692"/>
    <w:rsid w:val="002B1619"/>
    <w:rsid w:val="002B1AB8"/>
    <w:rsid w:val="002B3EF4"/>
    <w:rsid w:val="002B4845"/>
    <w:rsid w:val="002B5436"/>
    <w:rsid w:val="002B5567"/>
    <w:rsid w:val="002B5812"/>
    <w:rsid w:val="002B6D2D"/>
    <w:rsid w:val="002B72AA"/>
    <w:rsid w:val="002B75C0"/>
    <w:rsid w:val="002C0D7D"/>
    <w:rsid w:val="002C1110"/>
    <w:rsid w:val="002C1BC2"/>
    <w:rsid w:val="002C1F09"/>
    <w:rsid w:val="002C22A4"/>
    <w:rsid w:val="002C2551"/>
    <w:rsid w:val="002C260B"/>
    <w:rsid w:val="002C268F"/>
    <w:rsid w:val="002C27A6"/>
    <w:rsid w:val="002C31E4"/>
    <w:rsid w:val="002C398D"/>
    <w:rsid w:val="002C3B72"/>
    <w:rsid w:val="002C40D2"/>
    <w:rsid w:val="002C43BD"/>
    <w:rsid w:val="002C509F"/>
    <w:rsid w:val="002C5245"/>
    <w:rsid w:val="002C564A"/>
    <w:rsid w:val="002C59D8"/>
    <w:rsid w:val="002C5FEB"/>
    <w:rsid w:val="002C6494"/>
    <w:rsid w:val="002C64D1"/>
    <w:rsid w:val="002D05CB"/>
    <w:rsid w:val="002D0E59"/>
    <w:rsid w:val="002D191B"/>
    <w:rsid w:val="002D2380"/>
    <w:rsid w:val="002D25D3"/>
    <w:rsid w:val="002D26B8"/>
    <w:rsid w:val="002D2842"/>
    <w:rsid w:val="002D2C4F"/>
    <w:rsid w:val="002D2D0C"/>
    <w:rsid w:val="002D3A49"/>
    <w:rsid w:val="002D3EBB"/>
    <w:rsid w:val="002D40D0"/>
    <w:rsid w:val="002D4256"/>
    <w:rsid w:val="002D455C"/>
    <w:rsid w:val="002D495E"/>
    <w:rsid w:val="002D4AE8"/>
    <w:rsid w:val="002D6066"/>
    <w:rsid w:val="002D6A4C"/>
    <w:rsid w:val="002E02A1"/>
    <w:rsid w:val="002E1281"/>
    <w:rsid w:val="002E196A"/>
    <w:rsid w:val="002E1F8A"/>
    <w:rsid w:val="002E20C7"/>
    <w:rsid w:val="002E20CD"/>
    <w:rsid w:val="002E2137"/>
    <w:rsid w:val="002E222E"/>
    <w:rsid w:val="002E28D8"/>
    <w:rsid w:val="002E3080"/>
    <w:rsid w:val="002E3638"/>
    <w:rsid w:val="002E37D1"/>
    <w:rsid w:val="002E3BEE"/>
    <w:rsid w:val="002E4DB8"/>
    <w:rsid w:val="002E4DCE"/>
    <w:rsid w:val="002E4E4C"/>
    <w:rsid w:val="002E4EA7"/>
    <w:rsid w:val="002E5846"/>
    <w:rsid w:val="002E631B"/>
    <w:rsid w:val="002E792B"/>
    <w:rsid w:val="002E7AEB"/>
    <w:rsid w:val="002E7B79"/>
    <w:rsid w:val="002E7C7A"/>
    <w:rsid w:val="002F044E"/>
    <w:rsid w:val="002F1B09"/>
    <w:rsid w:val="002F1D56"/>
    <w:rsid w:val="002F1DCB"/>
    <w:rsid w:val="002F1DE4"/>
    <w:rsid w:val="002F2D8A"/>
    <w:rsid w:val="002F333D"/>
    <w:rsid w:val="002F351A"/>
    <w:rsid w:val="002F357F"/>
    <w:rsid w:val="002F4027"/>
    <w:rsid w:val="002F46D6"/>
    <w:rsid w:val="002F498A"/>
    <w:rsid w:val="002F4AD8"/>
    <w:rsid w:val="002F5285"/>
    <w:rsid w:val="002F545A"/>
    <w:rsid w:val="002F5723"/>
    <w:rsid w:val="002F5820"/>
    <w:rsid w:val="002F64BB"/>
    <w:rsid w:val="002F7D9B"/>
    <w:rsid w:val="0030028C"/>
    <w:rsid w:val="00300AEB"/>
    <w:rsid w:val="00300C31"/>
    <w:rsid w:val="00300D42"/>
    <w:rsid w:val="00301294"/>
    <w:rsid w:val="003015C8"/>
    <w:rsid w:val="003017EC"/>
    <w:rsid w:val="00302165"/>
    <w:rsid w:val="00303AC8"/>
    <w:rsid w:val="00303BB4"/>
    <w:rsid w:val="00304439"/>
    <w:rsid w:val="00304771"/>
    <w:rsid w:val="00304D16"/>
    <w:rsid w:val="00304F9C"/>
    <w:rsid w:val="003052D4"/>
    <w:rsid w:val="00305863"/>
    <w:rsid w:val="003060D6"/>
    <w:rsid w:val="003060E9"/>
    <w:rsid w:val="00306147"/>
    <w:rsid w:val="0030617B"/>
    <w:rsid w:val="00306C5B"/>
    <w:rsid w:val="00306D98"/>
    <w:rsid w:val="003073BA"/>
    <w:rsid w:val="00307529"/>
    <w:rsid w:val="00307DB3"/>
    <w:rsid w:val="00307ED2"/>
    <w:rsid w:val="003106A6"/>
    <w:rsid w:val="0031076D"/>
    <w:rsid w:val="0031169A"/>
    <w:rsid w:val="00311AA6"/>
    <w:rsid w:val="00311C4D"/>
    <w:rsid w:val="00311D5F"/>
    <w:rsid w:val="003121AB"/>
    <w:rsid w:val="00312A85"/>
    <w:rsid w:val="00312F7E"/>
    <w:rsid w:val="003135C4"/>
    <w:rsid w:val="003144BC"/>
    <w:rsid w:val="00314879"/>
    <w:rsid w:val="00314D47"/>
    <w:rsid w:val="00315169"/>
    <w:rsid w:val="003153C8"/>
    <w:rsid w:val="00315524"/>
    <w:rsid w:val="00315561"/>
    <w:rsid w:val="00315D2C"/>
    <w:rsid w:val="00316A8B"/>
    <w:rsid w:val="00316B3D"/>
    <w:rsid w:val="00317660"/>
    <w:rsid w:val="00320336"/>
    <w:rsid w:val="0032058C"/>
    <w:rsid w:val="003208D0"/>
    <w:rsid w:val="003209D6"/>
    <w:rsid w:val="00320DB8"/>
    <w:rsid w:val="003217B9"/>
    <w:rsid w:val="003217DE"/>
    <w:rsid w:val="00321924"/>
    <w:rsid w:val="00321A92"/>
    <w:rsid w:val="00321AF1"/>
    <w:rsid w:val="00321EB6"/>
    <w:rsid w:val="00321ED1"/>
    <w:rsid w:val="003220A5"/>
    <w:rsid w:val="003221F0"/>
    <w:rsid w:val="0032331F"/>
    <w:rsid w:val="003238E0"/>
    <w:rsid w:val="00323A1C"/>
    <w:rsid w:val="00323A2F"/>
    <w:rsid w:val="00323A8E"/>
    <w:rsid w:val="00323EDA"/>
    <w:rsid w:val="003247E1"/>
    <w:rsid w:val="00324B59"/>
    <w:rsid w:val="0032525E"/>
    <w:rsid w:val="00325E46"/>
    <w:rsid w:val="00325EB7"/>
    <w:rsid w:val="0032656E"/>
    <w:rsid w:val="00326D81"/>
    <w:rsid w:val="0032788F"/>
    <w:rsid w:val="00327B15"/>
    <w:rsid w:val="003306F1"/>
    <w:rsid w:val="00332190"/>
    <w:rsid w:val="00332A98"/>
    <w:rsid w:val="003334BD"/>
    <w:rsid w:val="00333973"/>
    <w:rsid w:val="00333B99"/>
    <w:rsid w:val="00333CD0"/>
    <w:rsid w:val="0033448D"/>
    <w:rsid w:val="00334AD2"/>
    <w:rsid w:val="00334C7F"/>
    <w:rsid w:val="00334CB6"/>
    <w:rsid w:val="00334D87"/>
    <w:rsid w:val="00335CF6"/>
    <w:rsid w:val="0033709C"/>
    <w:rsid w:val="003370C5"/>
    <w:rsid w:val="00337224"/>
    <w:rsid w:val="003373C6"/>
    <w:rsid w:val="0033753A"/>
    <w:rsid w:val="003375E0"/>
    <w:rsid w:val="00337DD5"/>
    <w:rsid w:val="00340BF3"/>
    <w:rsid w:val="00341C6C"/>
    <w:rsid w:val="00341D26"/>
    <w:rsid w:val="00341EF0"/>
    <w:rsid w:val="00341F05"/>
    <w:rsid w:val="00342BA6"/>
    <w:rsid w:val="00342E43"/>
    <w:rsid w:val="0034335E"/>
    <w:rsid w:val="00343410"/>
    <w:rsid w:val="00343AA7"/>
    <w:rsid w:val="00343B41"/>
    <w:rsid w:val="00344668"/>
    <w:rsid w:val="00344940"/>
    <w:rsid w:val="0034506D"/>
    <w:rsid w:val="0034599A"/>
    <w:rsid w:val="00345F2D"/>
    <w:rsid w:val="00346234"/>
    <w:rsid w:val="003462D9"/>
    <w:rsid w:val="00346712"/>
    <w:rsid w:val="0034723F"/>
    <w:rsid w:val="00347247"/>
    <w:rsid w:val="0034741E"/>
    <w:rsid w:val="003474B6"/>
    <w:rsid w:val="0034770F"/>
    <w:rsid w:val="00347DD4"/>
    <w:rsid w:val="00350D81"/>
    <w:rsid w:val="00351894"/>
    <w:rsid w:val="00351DF5"/>
    <w:rsid w:val="003523A9"/>
    <w:rsid w:val="00352B43"/>
    <w:rsid w:val="00352C28"/>
    <w:rsid w:val="0035378B"/>
    <w:rsid w:val="0035383B"/>
    <w:rsid w:val="00353A78"/>
    <w:rsid w:val="00353B33"/>
    <w:rsid w:val="003541BB"/>
    <w:rsid w:val="00354502"/>
    <w:rsid w:val="00354931"/>
    <w:rsid w:val="00354B4A"/>
    <w:rsid w:val="00354F89"/>
    <w:rsid w:val="0035506D"/>
    <w:rsid w:val="003560FF"/>
    <w:rsid w:val="00356894"/>
    <w:rsid w:val="00356E17"/>
    <w:rsid w:val="003579A1"/>
    <w:rsid w:val="0036077F"/>
    <w:rsid w:val="00360A35"/>
    <w:rsid w:val="00360B1C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63"/>
    <w:rsid w:val="00362E90"/>
    <w:rsid w:val="00364F8B"/>
    <w:rsid w:val="00364FA0"/>
    <w:rsid w:val="003650A1"/>
    <w:rsid w:val="003657F3"/>
    <w:rsid w:val="00365844"/>
    <w:rsid w:val="00365F61"/>
    <w:rsid w:val="0036624C"/>
    <w:rsid w:val="003666F0"/>
    <w:rsid w:val="003672B6"/>
    <w:rsid w:val="00367B15"/>
    <w:rsid w:val="00367F84"/>
    <w:rsid w:val="00370384"/>
    <w:rsid w:val="0037039F"/>
    <w:rsid w:val="003712BC"/>
    <w:rsid w:val="003712D8"/>
    <w:rsid w:val="00372164"/>
    <w:rsid w:val="00372507"/>
    <w:rsid w:val="003738BD"/>
    <w:rsid w:val="00373FFC"/>
    <w:rsid w:val="00374263"/>
    <w:rsid w:val="003746F0"/>
    <w:rsid w:val="0037480D"/>
    <w:rsid w:val="00374A20"/>
    <w:rsid w:val="00374AB7"/>
    <w:rsid w:val="00374B96"/>
    <w:rsid w:val="00374E21"/>
    <w:rsid w:val="0037537A"/>
    <w:rsid w:val="0037708B"/>
    <w:rsid w:val="00377B2E"/>
    <w:rsid w:val="003805A3"/>
    <w:rsid w:val="00380C9B"/>
    <w:rsid w:val="003810F0"/>
    <w:rsid w:val="0038159D"/>
    <w:rsid w:val="003815D4"/>
    <w:rsid w:val="003818DC"/>
    <w:rsid w:val="00381A55"/>
    <w:rsid w:val="00382446"/>
    <w:rsid w:val="00382513"/>
    <w:rsid w:val="00383388"/>
    <w:rsid w:val="003834F8"/>
    <w:rsid w:val="003838D0"/>
    <w:rsid w:val="003840C2"/>
    <w:rsid w:val="00384327"/>
    <w:rsid w:val="00384A89"/>
    <w:rsid w:val="00384CB8"/>
    <w:rsid w:val="00385086"/>
    <w:rsid w:val="00385D98"/>
    <w:rsid w:val="0038744D"/>
    <w:rsid w:val="00387518"/>
    <w:rsid w:val="0038775D"/>
    <w:rsid w:val="00387EDC"/>
    <w:rsid w:val="00390306"/>
    <w:rsid w:val="003908A6"/>
    <w:rsid w:val="0039109D"/>
    <w:rsid w:val="003914C2"/>
    <w:rsid w:val="00391636"/>
    <w:rsid w:val="00391989"/>
    <w:rsid w:val="00391A6C"/>
    <w:rsid w:val="003927F6"/>
    <w:rsid w:val="0039398D"/>
    <w:rsid w:val="00393B3F"/>
    <w:rsid w:val="0039402D"/>
    <w:rsid w:val="003957FE"/>
    <w:rsid w:val="0039645E"/>
    <w:rsid w:val="00396739"/>
    <w:rsid w:val="003967D9"/>
    <w:rsid w:val="003970CA"/>
    <w:rsid w:val="003978B1"/>
    <w:rsid w:val="00397B61"/>
    <w:rsid w:val="003A04F6"/>
    <w:rsid w:val="003A0837"/>
    <w:rsid w:val="003A18CA"/>
    <w:rsid w:val="003A1A73"/>
    <w:rsid w:val="003A1FA7"/>
    <w:rsid w:val="003A2B4D"/>
    <w:rsid w:val="003A2BCE"/>
    <w:rsid w:val="003A2D12"/>
    <w:rsid w:val="003A2EBA"/>
    <w:rsid w:val="003A32DB"/>
    <w:rsid w:val="003A36FA"/>
    <w:rsid w:val="003A3D27"/>
    <w:rsid w:val="003A45E3"/>
    <w:rsid w:val="003A46B8"/>
    <w:rsid w:val="003A478C"/>
    <w:rsid w:val="003A4964"/>
    <w:rsid w:val="003A4A38"/>
    <w:rsid w:val="003A5295"/>
    <w:rsid w:val="003A5525"/>
    <w:rsid w:val="003A5889"/>
    <w:rsid w:val="003A5C8C"/>
    <w:rsid w:val="003A689E"/>
    <w:rsid w:val="003A6B38"/>
    <w:rsid w:val="003A6B83"/>
    <w:rsid w:val="003A6C97"/>
    <w:rsid w:val="003A722F"/>
    <w:rsid w:val="003A7373"/>
    <w:rsid w:val="003A7CF7"/>
    <w:rsid w:val="003A7D09"/>
    <w:rsid w:val="003B039F"/>
    <w:rsid w:val="003B0834"/>
    <w:rsid w:val="003B0DF4"/>
    <w:rsid w:val="003B1F9D"/>
    <w:rsid w:val="003B2504"/>
    <w:rsid w:val="003B2A8D"/>
    <w:rsid w:val="003B2AD1"/>
    <w:rsid w:val="003B2D2E"/>
    <w:rsid w:val="003B376A"/>
    <w:rsid w:val="003B4260"/>
    <w:rsid w:val="003B4538"/>
    <w:rsid w:val="003B461F"/>
    <w:rsid w:val="003B483F"/>
    <w:rsid w:val="003B4998"/>
    <w:rsid w:val="003B4A56"/>
    <w:rsid w:val="003B5A32"/>
    <w:rsid w:val="003B5B59"/>
    <w:rsid w:val="003B68C5"/>
    <w:rsid w:val="003B709D"/>
    <w:rsid w:val="003B7B50"/>
    <w:rsid w:val="003C0B07"/>
    <w:rsid w:val="003C160A"/>
    <w:rsid w:val="003C19B1"/>
    <w:rsid w:val="003C2034"/>
    <w:rsid w:val="003C23ED"/>
    <w:rsid w:val="003C2557"/>
    <w:rsid w:val="003C2CE7"/>
    <w:rsid w:val="003C2DB8"/>
    <w:rsid w:val="003C3490"/>
    <w:rsid w:val="003C3512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4CD"/>
    <w:rsid w:val="003C7E62"/>
    <w:rsid w:val="003D12B9"/>
    <w:rsid w:val="003D147D"/>
    <w:rsid w:val="003D1E7A"/>
    <w:rsid w:val="003D242B"/>
    <w:rsid w:val="003D2492"/>
    <w:rsid w:val="003D28BE"/>
    <w:rsid w:val="003D29AA"/>
    <w:rsid w:val="003D2A99"/>
    <w:rsid w:val="003D3232"/>
    <w:rsid w:val="003D3B79"/>
    <w:rsid w:val="003D4AED"/>
    <w:rsid w:val="003D5C43"/>
    <w:rsid w:val="003D5EBF"/>
    <w:rsid w:val="003D5F28"/>
    <w:rsid w:val="003D60C1"/>
    <w:rsid w:val="003D6869"/>
    <w:rsid w:val="003D6920"/>
    <w:rsid w:val="003D6982"/>
    <w:rsid w:val="003D7B43"/>
    <w:rsid w:val="003E0249"/>
    <w:rsid w:val="003E08A4"/>
    <w:rsid w:val="003E105C"/>
    <w:rsid w:val="003E1EF8"/>
    <w:rsid w:val="003E2DFB"/>
    <w:rsid w:val="003E30FB"/>
    <w:rsid w:val="003E347A"/>
    <w:rsid w:val="003E4466"/>
    <w:rsid w:val="003E4C91"/>
    <w:rsid w:val="003E502A"/>
    <w:rsid w:val="003E52D8"/>
    <w:rsid w:val="003E62F1"/>
    <w:rsid w:val="003E6451"/>
    <w:rsid w:val="003E6597"/>
    <w:rsid w:val="003E6ED5"/>
    <w:rsid w:val="003E6F84"/>
    <w:rsid w:val="003F0148"/>
    <w:rsid w:val="003F07A8"/>
    <w:rsid w:val="003F1750"/>
    <w:rsid w:val="003F1E67"/>
    <w:rsid w:val="003F3051"/>
    <w:rsid w:val="003F313C"/>
    <w:rsid w:val="003F33B1"/>
    <w:rsid w:val="003F33B9"/>
    <w:rsid w:val="003F3583"/>
    <w:rsid w:val="003F37FC"/>
    <w:rsid w:val="003F3E76"/>
    <w:rsid w:val="003F4318"/>
    <w:rsid w:val="003F4B2C"/>
    <w:rsid w:val="003F4C00"/>
    <w:rsid w:val="003F54B4"/>
    <w:rsid w:val="003F54DF"/>
    <w:rsid w:val="003F551C"/>
    <w:rsid w:val="003F626D"/>
    <w:rsid w:val="003F72ED"/>
    <w:rsid w:val="003F7447"/>
    <w:rsid w:val="003F7D23"/>
    <w:rsid w:val="00400050"/>
    <w:rsid w:val="004002C8"/>
    <w:rsid w:val="00400468"/>
    <w:rsid w:val="0040099D"/>
    <w:rsid w:val="00400A68"/>
    <w:rsid w:val="004016CB"/>
    <w:rsid w:val="00401B23"/>
    <w:rsid w:val="00402222"/>
    <w:rsid w:val="00402689"/>
    <w:rsid w:val="00402ADB"/>
    <w:rsid w:val="0040368D"/>
    <w:rsid w:val="00403926"/>
    <w:rsid w:val="00403D1D"/>
    <w:rsid w:val="00403F57"/>
    <w:rsid w:val="0040444F"/>
    <w:rsid w:val="004046BD"/>
    <w:rsid w:val="00404BAB"/>
    <w:rsid w:val="00404D5C"/>
    <w:rsid w:val="00405318"/>
    <w:rsid w:val="004059D2"/>
    <w:rsid w:val="004060C9"/>
    <w:rsid w:val="004066D0"/>
    <w:rsid w:val="00406C2E"/>
    <w:rsid w:val="00406CDA"/>
    <w:rsid w:val="00406EB0"/>
    <w:rsid w:val="00406FBE"/>
    <w:rsid w:val="00407711"/>
    <w:rsid w:val="00407911"/>
    <w:rsid w:val="00407C13"/>
    <w:rsid w:val="0041018E"/>
    <w:rsid w:val="004103F6"/>
    <w:rsid w:val="00410638"/>
    <w:rsid w:val="00411826"/>
    <w:rsid w:val="00411F34"/>
    <w:rsid w:val="0041231B"/>
    <w:rsid w:val="00412511"/>
    <w:rsid w:val="004125C2"/>
    <w:rsid w:val="00412DFA"/>
    <w:rsid w:val="00413465"/>
    <w:rsid w:val="004135BB"/>
    <w:rsid w:val="004149AC"/>
    <w:rsid w:val="0041501E"/>
    <w:rsid w:val="00415452"/>
    <w:rsid w:val="004158D3"/>
    <w:rsid w:val="004158F7"/>
    <w:rsid w:val="004159C3"/>
    <w:rsid w:val="00415A57"/>
    <w:rsid w:val="00415E0D"/>
    <w:rsid w:val="00416097"/>
    <w:rsid w:val="0041650F"/>
    <w:rsid w:val="00416566"/>
    <w:rsid w:val="00416DAC"/>
    <w:rsid w:val="00416DDF"/>
    <w:rsid w:val="00416E9B"/>
    <w:rsid w:val="00417106"/>
    <w:rsid w:val="00417256"/>
    <w:rsid w:val="0041779F"/>
    <w:rsid w:val="00417DAE"/>
    <w:rsid w:val="00417DAF"/>
    <w:rsid w:val="00420880"/>
    <w:rsid w:val="00421179"/>
    <w:rsid w:val="00421DE7"/>
    <w:rsid w:val="004225D7"/>
    <w:rsid w:val="00423623"/>
    <w:rsid w:val="0042459A"/>
    <w:rsid w:val="0042470E"/>
    <w:rsid w:val="0042507B"/>
    <w:rsid w:val="00425352"/>
    <w:rsid w:val="00425381"/>
    <w:rsid w:val="00426BB5"/>
    <w:rsid w:val="00426C99"/>
    <w:rsid w:val="00426F72"/>
    <w:rsid w:val="004272BE"/>
    <w:rsid w:val="00427538"/>
    <w:rsid w:val="004306C2"/>
    <w:rsid w:val="00430939"/>
    <w:rsid w:val="00430C96"/>
    <w:rsid w:val="004310BA"/>
    <w:rsid w:val="0043174F"/>
    <w:rsid w:val="00431BFF"/>
    <w:rsid w:val="00432199"/>
    <w:rsid w:val="004322C4"/>
    <w:rsid w:val="00432337"/>
    <w:rsid w:val="004328F8"/>
    <w:rsid w:val="00432A58"/>
    <w:rsid w:val="00432FC7"/>
    <w:rsid w:val="004331C3"/>
    <w:rsid w:val="00433C17"/>
    <w:rsid w:val="00434617"/>
    <w:rsid w:val="00434BBB"/>
    <w:rsid w:val="00434DE9"/>
    <w:rsid w:val="00435051"/>
    <w:rsid w:val="00435C69"/>
    <w:rsid w:val="004360FB"/>
    <w:rsid w:val="004364BA"/>
    <w:rsid w:val="00436764"/>
    <w:rsid w:val="00437CED"/>
    <w:rsid w:val="004407BF"/>
    <w:rsid w:val="00440900"/>
    <w:rsid w:val="00440D2A"/>
    <w:rsid w:val="0044121D"/>
    <w:rsid w:val="00441822"/>
    <w:rsid w:val="00441BF6"/>
    <w:rsid w:val="00441C64"/>
    <w:rsid w:val="00441D2B"/>
    <w:rsid w:val="00441F8B"/>
    <w:rsid w:val="00442085"/>
    <w:rsid w:val="0044227A"/>
    <w:rsid w:val="0044279E"/>
    <w:rsid w:val="0044356B"/>
    <w:rsid w:val="004441A0"/>
    <w:rsid w:val="00445861"/>
    <w:rsid w:val="00445A8E"/>
    <w:rsid w:val="00446613"/>
    <w:rsid w:val="00446D44"/>
    <w:rsid w:val="004504E7"/>
    <w:rsid w:val="0045078A"/>
    <w:rsid w:val="0045086D"/>
    <w:rsid w:val="00450DAB"/>
    <w:rsid w:val="0045125B"/>
    <w:rsid w:val="00451794"/>
    <w:rsid w:val="004519E2"/>
    <w:rsid w:val="00451E25"/>
    <w:rsid w:val="00451EF1"/>
    <w:rsid w:val="0045220F"/>
    <w:rsid w:val="00452E60"/>
    <w:rsid w:val="0045321B"/>
    <w:rsid w:val="00454871"/>
    <w:rsid w:val="004548F7"/>
    <w:rsid w:val="00454D31"/>
    <w:rsid w:val="00454E5B"/>
    <w:rsid w:val="00455833"/>
    <w:rsid w:val="00455AE3"/>
    <w:rsid w:val="00456C88"/>
    <w:rsid w:val="00456FB5"/>
    <w:rsid w:val="00456FE5"/>
    <w:rsid w:val="00457490"/>
    <w:rsid w:val="0045778B"/>
    <w:rsid w:val="0045786C"/>
    <w:rsid w:val="00457953"/>
    <w:rsid w:val="00457AC5"/>
    <w:rsid w:val="004604D8"/>
    <w:rsid w:val="00460656"/>
    <w:rsid w:val="00460964"/>
    <w:rsid w:val="00460FB3"/>
    <w:rsid w:val="00462236"/>
    <w:rsid w:val="00463091"/>
    <w:rsid w:val="00463D3C"/>
    <w:rsid w:val="00464851"/>
    <w:rsid w:val="00464BF5"/>
    <w:rsid w:val="00464F2B"/>
    <w:rsid w:val="00465432"/>
    <w:rsid w:val="00465862"/>
    <w:rsid w:val="00466595"/>
    <w:rsid w:val="00466B3E"/>
    <w:rsid w:val="0046746A"/>
    <w:rsid w:val="004675AC"/>
    <w:rsid w:val="00467B14"/>
    <w:rsid w:val="004705FC"/>
    <w:rsid w:val="004707FE"/>
    <w:rsid w:val="00470EDC"/>
    <w:rsid w:val="00472418"/>
    <w:rsid w:val="0047276D"/>
    <w:rsid w:val="00472AF6"/>
    <w:rsid w:val="00473482"/>
    <w:rsid w:val="004740A0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6A"/>
    <w:rsid w:val="004776BC"/>
    <w:rsid w:val="00477820"/>
    <w:rsid w:val="00477B96"/>
    <w:rsid w:val="00480802"/>
    <w:rsid w:val="00480BAE"/>
    <w:rsid w:val="00480CAC"/>
    <w:rsid w:val="00480D7F"/>
    <w:rsid w:val="00480E30"/>
    <w:rsid w:val="0048139F"/>
    <w:rsid w:val="004819AD"/>
    <w:rsid w:val="00481E1D"/>
    <w:rsid w:val="00481E40"/>
    <w:rsid w:val="00482405"/>
    <w:rsid w:val="004826A7"/>
    <w:rsid w:val="004828DA"/>
    <w:rsid w:val="004830BB"/>
    <w:rsid w:val="00483359"/>
    <w:rsid w:val="0048368C"/>
    <w:rsid w:val="0048372F"/>
    <w:rsid w:val="0048399F"/>
    <w:rsid w:val="004839DD"/>
    <w:rsid w:val="00483A0C"/>
    <w:rsid w:val="004841CC"/>
    <w:rsid w:val="00484ECE"/>
    <w:rsid w:val="00485775"/>
    <w:rsid w:val="00485E82"/>
    <w:rsid w:val="00485F19"/>
    <w:rsid w:val="00486132"/>
    <w:rsid w:val="0048686D"/>
    <w:rsid w:val="00486A1C"/>
    <w:rsid w:val="00486A4D"/>
    <w:rsid w:val="004878F0"/>
    <w:rsid w:val="00487DBA"/>
    <w:rsid w:val="004915CB"/>
    <w:rsid w:val="00491A2B"/>
    <w:rsid w:val="004920FA"/>
    <w:rsid w:val="004924DC"/>
    <w:rsid w:val="00492580"/>
    <w:rsid w:val="00492879"/>
    <w:rsid w:val="00493CA0"/>
    <w:rsid w:val="00493D35"/>
    <w:rsid w:val="00493E85"/>
    <w:rsid w:val="00493E8B"/>
    <w:rsid w:val="004945C1"/>
    <w:rsid w:val="00494AA4"/>
    <w:rsid w:val="0049505A"/>
    <w:rsid w:val="00495145"/>
    <w:rsid w:val="0049531F"/>
    <w:rsid w:val="00495BE3"/>
    <w:rsid w:val="00495DA8"/>
    <w:rsid w:val="00496F61"/>
    <w:rsid w:val="004970F9"/>
    <w:rsid w:val="004979A5"/>
    <w:rsid w:val="004A0144"/>
    <w:rsid w:val="004A036E"/>
    <w:rsid w:val="004A0389"/>
    <w:rsid w:val="004A0498"/>
    <w:rsid w:val="004A06B0"/>
    <w:rsid w:val="004A0A22"/>
    <w:rsid w:val="004A0D0E"/>
    <w:rsid w:val="004A14E4"/>
    <w:rsid w:val="004A204E"/>
    <w:rsid w:val="004A26A5"/>
    <w:rsid w:val="004A27F0"/>
    <w:rsid w:val="004A310A"/>
    <w:rsid w:val="004A3212"/>
    <w:rsid w:val="004A3454"/>
    <w:rsid w:val="004A376B"/>
    <w:rsid w:val="004A37CD"/>
    <w:rsid w:val="004A3BE4"/>
    <w:rsid w:val="004A40D9"/>
    <w:rsid w:val="004A48CE"/>
    <w:rsid w:val="004A49A5"/>
    <w:rsid w:val="004A4D3C"/>
    <w:rsid w:val="004A4F8A"/>
    <w:rsid w:val="004A52AB"/>
    <w:rsid w:val="004A5494"/>
    <w:rsid w:val="004A5D4E"/>
    <w:rsid w:val="004A61C5"/>
    <w:rsid w:val="004A620D"/>
    <w:rsid w:val="004A62A0"/>
    <w:rsid w:val="004A71A4"/>
    <w:rsid w:val="004A7604"/>
    <w:rsid w:val="004A77DF"/>
    <w:rsid w:val="004A7DC0"/>
    <w:rsid w:val="004B0866"/>
    <w:rsid w:val="004B09C2"/>
    <w:rsid w:val="004B1417"/>
    <w:rsid w:val="004B1627"/>
    <w:rsid w:val="004B2249"/>
    <w:rsid w:val="004B305C"/>
    <w:rsid w:val="004B31B8"/>
    <w:rsid w:val="004B339A"/>
    <w:rsid w:val="004B37F2"/>
    <w:rsid w:val="004B4C83"/>
    <w:rsid w:val="004B4DA5"/>
    <w:rsid w:val="004B51F8"/>
    <w:rsid w:val="004B55B7"/>
    <w:rsid w:val="004B591D"/>
    <w:rsid w:val="004B599A"/>
    <w:rsid w:val="004B5BFA"/>
    <w:rsid w:val="004B619E"/>
    <w:rsid w:val="004B6468"/>
    <w:rsid w:val="004B6EF8"/>
    <w:rsid w:val="004B7125"/>
    <w:rsid w:val="004B7480"/>
    <w:rsid w:val="004B74DC"/>
    <w:rsid w:val="004B756A"/>
    <w:rsid w:val="004B7FB1"/>
    <w:rsid w:val="004C0970"/>
    <w:rsid w:val="004C0B3F"/>
    <w:rsid w:val="004C0F87"/>
    <w:rsid w:val="004C2346"/>
    <w:rsid w:val="004C25F9"/>
    <w:rsid w:val="004C2735"/>
    <w:rsid w:val="004C2794"/>
    <w:rsid w:val="004C29F0"/>
    <w:rsid w:val="004C2BB6"/>
    <w:rsid w:val="004C2BE7"/>
    <w:rsid w:val="004C2C2D"/>
    <w:rsid w:val="004C3027"/>
    <w:rsid w:val="004C3119"/>
    <w:rsid w:val="004C384C"/>
    <w:rsid w:val="004C3867"/>
    <w:rsid w:val="004C3CE4"/>
    <w:rsid w:val="004C3DB0"/>
    <w:rsid w:val="004C439A"/>
    <w:rsid w:val="004C43F9"/>
    <w:rsid w:val="004C4720"/>
    <w:rsid w:val="004C4CD0"/>
    <w:rsid w:val="004C5060"/>
    <w:rsid w:val="004C515E"/>
    <w:rsid w:val="004C5165"/>
    <w:rsid w:val="004C583F"/>
    <w:rsid w:val="004C589C"/>
    <w:rsid w:val="004C5A25"/>
    <w:rsid w:val="004C5AE8"/>
    <w:rsid w:val="004C5F7F"/>
    <w:rsid w:val="004C6E0E"/>
    <w:rsid w:val="004C70DC"/>
    <w:rsid w:val="004D0211"/>
    <w:rsid w:val="004D0794"/>
    <w:rsid w:val="004D0C17"/>
    <w:rsid w:val="004D1685"/>
    <w:rsid w:val="004D17A6"/>
    <w:rsid w:val="004D1A7B"/>
    <w:rsid w:val="004D2621"/>
    <w:rsid w:val="004D270A"/>
    <w:rsid w:val="004D2D31"/>
    <w:rsid w:val="004D2E03"/>
    <w:rsid w:val="004D3296"/>
    <w:rsid w:val="004D3EB3"/>
    <w:rsid w:val="004D3EC2"/>
    <w:rsid w:val="004D4056"/>
    <w:rsid w:val="004D4452"/>
    <w:rsid w:val="004D45B5"/>
    <w:rsid w:val="004D4CB0"/>
    <w:rsid w:val="004D58C0"/>
    <w:rsid w:val="004D5B0F"/>
    <w:rsid w:val="004D63BA"/>
    <w:rsid w:val="004D6B28"/>
    <w:rsid w:val="004D75BC"/>
    <w:rsid w:val="004D7626"/>
    <w:rsid w:val="004D76A4"/>
    <w:rsid w:val="004D7804"/>
    <w:rsid w:val="004E0434"/>
    <w:rsid w:val="004E085C"/>
    <w:rsid w:val="004E086D"/>
    <w:rsid w:val="004E12DF"/>
    <w:rsid w:val="004E186A"/>
    <w:rsid w:val="004E1A40"/>
    <w:rsid w:val="004E1C97"/>
    <w:rsid w:val="004E1DB2"/>
    <w:rsid w:val="004E200A"/>
    <w:rsid w:val="004E23FC"/>
    <w:rsid w:val="004E2409"/>
    <w:rsid w:val="004E261D"/>
    <w:rsid w:val="004E28B1"/>
    <w:rsid w:val="004E3927"/>
    <w:rsid w:val="004E3B7F"/>
    <w:rsid w:val="004E5342"/>
    <w:rsid w:val="004E563C"/>
    <w:rsid w:val="004E57BF"/>
    <w:rsid w:val="004E5C94"/>
    <w:rsid w:val="004E5F41"/>
    <w:rsid w:val="004E6011"/>
    <w:rsid w:val="004E6CEE"/>
    <w:rsid w:val="004E6DE6"/>
    <w:rsid w:val="004E70DD"/>
    <w:rsid w:val="004E765E"/>
    <w:rsid w:val="004E7815"/>
    <w:rsid w:val="004E7BF7"/>
    <w:rsid w:val="004F06F5"/>
    <w:rsid w:val="004F12A4"/>
    <w:rsid w:val="004F1456"/>
    <w:rsid w:val="004F1A07"/>
    <w:rsid w:val="004F253F"/>
    <w:rsid w:val="004F296F"/>
    <w:rsid w:val="004F33A0"/>
    <w:rsid w:val="004F36FA"/>
    <w:rsid w:val="004F3873"/>
    <w:rsid w:val="004F3A15"/>
    <w:rsid w:val="004F3BD2"/>
    <w:rsid w:val="004F46ED"/>
    <w:rsid w:val="004F4995"/>
    <w:rsid w:val="004F49A3"/>
    <w:rsid w:val="004F4C99"/>
    <w:rsid w:val="004F4F69"/>
    <w:rsid w:val="004F5358"/>
    <w:rsid w:val="004F601B"/>
    <w:rsid w:val="004F61D5"/>
    <w:rsid w:val="004F63C1"/>
    <w:rsid w:val="004F6484"/>
    <w:rsid w:val="004F6539"/>
    <w:rsid w:val="004F6A3E"/>
    <w:rsid w:val="00501188"/>
    <w:rsid w:val="00502372"/>
    <w:rsid w:val="00503D54"/>
    <w:rsid w:val="0050461B"/>
    <w:rsid w:val="005046CE"/>
    <w:rsid w:val="005048E2"/>
    <w:rsid w:val="00505FC8"/>
    <w:rsid w:val="00506603"/>
    <w:rsid w:val="0050682C"/>
    <w:rsid w:val="0050689D"/>
    <w:rsid w:val="00506ACA"/>
    <w:rsid w:val="00506F41"/>
    <w:rsid w:val="0050736A"/>
    <w:rsid w:val="0050753E"/>
    <w:rsid w:val="005077F5"/>
    <w:rsid w:val="005108C0"/>
    <w:rsid w:val="0051094F"/>
    <w:rsid w:val="00510BC5"/>
    <w:rsid w:val="00511217"/>
    <w:rsid w:val="00511873"/>
    <w:rsid w:val="00511BAF"/>
    <w:rsid w:val="00511E2E"/>
    <w:rsid w:val="00512461"/>
    <w:rsid w:val="00512585"/>
    <w:rsid w:val="00512749"/>
    <w:rsid w:val="00512A2F"/>
    <w:rsid w:val="00513B7E"/>
    <w:rsid w:val="00513E9D"/>
    <w:rsid w:val="005140CB"/>
    <w:rsid w:val="0051432A"/>
    <w:rsid w:val="0051475D"/>
    <w:rsid w:val="00514B11"/>
    <w:rsid w:val="00514DED"/>
    <w:rsid w:val="00515485"/>
    <w:rsid w:val="00515BD0"/>
    <w:rsid w:val="00515BE9"/>
    <w:rsid w:val="00515C74"/>
    <w:rsid w:val="00515CEB"/>
    <w:rsid w:val="0051630F"/>
    <w:rsid w:val="0051672B"/>
    <w:rsid w:val="00517113"/>
    <w:rsid w:val="0052007E"/>
    <w:rsid w:val="00520098"/>
    <w:rsid w:val="0052032E"/>
    <w:rsid w:val="0052185B"/>
    <w:rsid w:val="0052199F"/>
    <w:rsid w:val="00521CAD"/>
    <w:rsid w:val="0052200D"/>
    <w:rsid w:val="00522425"/>
    <w:rsid w:val="00522A1B"/>
    <w:rsid w:val="00522E01"/>
    <w:rsid w:val="0052337A"/>
    <w:rsid w:val="00523F39"/>
    <w:rsid w:val="00524385"/>
    <w:rsid w:val="005246BE"/>
    <w:rsid w:val="00525137"/>
    <w:rsid w:val="005251DD"/>
    <w:rsid w:val="00525AA7"/>
    <w:rsid w:val="00527510"/>
    <w:rsid w:val="0052762C"/>
    <w:rsid w:val="0052792D"/>
    <w:rsid w:val="0053012B"/>
    <w:rsid w:val="005301A6"/>
    <w:rsid w:val="00530A68"/>
    <w:rsid w:val="00530AD4"/>
    <w:rsid w:val="0053129F"/>
    <w:rsid w:val="00531C5A"/>
    <w:rsid w:val="00532C44"/>
    <w:rsid w:val="00532CE7"/>
    <w:rsid w:val="00532D8B"/>
    <w:rsid w:val="0053324C"/>
    <w:rsid w:val="00533A8D"/>
    <w:rsid w:val="00534068"/>
    <w:rsid w:val="0053417E"/>
    <w:rsid w:val="005344D9"/>
    <w:rsid w:val="00534A28"/>
    <w:rsid w:val="00535018"/>
    <w:rsid w:val="00535782"/>
    <w:rsid w:val="0053595E"/>
    <w:rsid w:val="00537389"/>
    <w:rsid w:val="00537571"/>
    <w:rsid w:val="00540056"/>
    <w:rsid w:val="00540313"/>
    <w:rsid w:val="005410E2"/>
    <w:rsid w:val="00541508"/>
    <w:rsid w:val="00541AE3"/>
    <w:rsid w:val="00543498"/>
    <w:rsid w:val="00544011"/>
    <w:rsid w:val="00544BE5"/>
    <w:rsid w:val="00544C1D"/>
    <w:rsid w:val="00544E6E"/>
    <w:rsid w:val="005453A3"/>
    <w:rsid w:val="005455D1"/>
    <w:rsid w:val="005455F6"/>
    <w:rsid w:val="0054582F"/>
    <w:rsid w:val="0054632B"/>
    <w:rsid w:val="00546F77"/>
    <w:rsid w:val="00546FC7"/>
    <w:rsid w:val="00547F9D"/>
    <w:rsid w:val="005500F9"/>
    <w:rsid w:val="00550160"/>
    <w:rsid w:val="00550249"/>
    <w:rsid w:val="00550540"/>
    <w:rsid w:val="00550544"/>
    <w:rsid w:val="005519E2"/>
    <w:rsid w:val="00551E16"/>
    <w:rsid w:val="005523A8"/>
    <w:rsid w:val="00552F2C"/>
    <w:rsid w:val="00553007"/>
    <w:rsid w:val="005536CA"/>
    <w:rsid w:val="00553A25"/>
    <w:rsid w:val="005547EB"/>
    <w:rsid w:val="00554863"/>
    <w:rsid w:val="00555122"/>
    <w:rsid w:val="005552A2"/>
    <w:rsid w:val="005555E0"/>
    <w:rsid w:val="0055599F"/>
    <w:rsid w:val="00556D68"/>
    <w:rsid w:val="0055707B"/>
    <w:rsid w:val="005570D6"/>
    <w:rsid w:val="00557245"/>
    <w:rsid w:val="00557D13"/>
    <w:rsid w:val="00557E0E"/>
    <w:rsid w:val="00557E45"/>
    <w:rsid w:val="005605F3"/>
    <w:rsid w:val="00560C41"/>
    <w:rsid w:val="00560C68"/>
    <w:rsid w:val="00560CAC"/>
    <w:rsid w:val="005610EA"/>
    <w:rsid w:val="00561D85"/>
    <w:rsid w:val="00561F44"/>
    <w:rsid w:val="00562B4D"/>
    <w:rsid w:val="00562DB1"/>
    <w:rsid w:val="0056347A"/>
    <w:rsid w:val="00563E41"/>
    <w:rsid w:val="00563EB8"/>
    <w:rsid w:val="005647BF"/>
    <w:rsid w:val="005648F8"/>
    <w:rsid w:val="00564AF1"/>
    <w:rsid w:val="00564D10"/>
    <w:rsid w:val="00564FA3"/>
    <w:rsid w:val="00565083"/>
    <w:rsid w:val="005650BF"/>
    <w:rsid w:val="005650DC"/>
    <w:rsid w:val="005655DB"/>
    <w:rsid w:val="00565A9E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AF0"/>
    <w:rsid w:val="00571E59"/>
    <w:rsid w:val="00572079"/>
    <w:rsid w:val="00572900"/>
    <w:rsid w:val="00572FDF"/>
    <w:rsid w:val="00573602"/>
    <w:rsid w:val="0057364B"/>
    <w:rsid w:val="00573C67"/>
    <w:rsid w:val="00574773"/>
    <w:rsid w:val="005761EC"/>
    <w:rsid w:val="00576353"/>
    <w:rsid w:val="00576B08"/>
    <w:rsid w:val="00576E34"/>
    <w:rsid w:val="00577247"/>
    <w:rsid w:val="0057789F"/>
    <w:rsid w:val="00577C07"/>
    <w:rsid w:val="00577DB1"/>
    <w:rsid w:val="00577FEC"/>
    <w:rsid w:val="00580180"/>
    <w:rsid w:val="00580AD3"/>
    <w:rsid w:val="00580DE7"/>
    <w:rsid w:val="005810E1"/>
    <w:rsid w:val="00581B64"/>
    <w:rsid w:val="00581CF3"/>
    <w:rsid w:val="005820CD"/>
    <w:rsid w:val="00582A12"/>
    <w:rsid w:val="005830BB"/>
    <w:rsid w:val="005831AA"/>
    <w:rsid w:val="005832A1"/>
    <w:rsid w:val="00583BDD"/>
    <w:rsid w:val="00583E52"/>
    <w:rsid w:val="00583FFD"/>
    <w:rsid w:val="00584132"/>
    <w:rsid w:val="00584252"/>
    <w:rsid w:val="005848DD"/>
    <w:rsid w:val="0058519A"/>
    <w:rsid w:val="005855B4"/>
    <w:rsid w:val="005856BD"/>
    <w:rsid w:val="00585983"/>
    <w:rsid w:val="00585C85"/>
    <w:rsid w:val="005865AF"/>
    <w:rsid w:val="005868C6"/>
    <w:rsid w:val="00586BCA"/>
    <w:rsid w:val="00586DC4"/>
    <w:rsid w:val="00587038"/>
    <w:rsid w:val="00587319"/>
    <w:rsid w:val="0059021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4309"/>
    <w:rsid w:val="00594538"/>
    <w:rsid w:val="00594B24"/>
    <w:rsid w:val="005956A3"/>
    <w:rsid w:val="00595958"/>
    <w:rsid w:val="00595CAB"/>
    <w:rsid w:val="0059622E"/>
    <w:rsid w:val="0059684D"/>
    <w:rsid w:val="00597671"/>
    <w:rsid w:val="00597BBF"/>
    <w:rsid w:val="005A0280"/>
    <w:rsid w:val="005A040C"/>
    <w:rsid w:val="005A0463"/>
    <w:rsid w:val="005A046F"/>
    <w:rsid w:val="005A05DF"/>
    <w:rsid w:val="005A0948"/>
    <w:rsid w:val="005A0A03"/>
    <w:rsid w:val="005A0BB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B90"/>
    <w:rsid w:val="005A3DF8"/>
    <w:rsid w:val="005A53E4"/>
    <w:rsid w:val="005A5549"/>
    <w:rsid w:val="005A566A"/>
    <w:rsid w:val="005A56E0"/>
    <w:rsid w:val="005A6E21"/>
    <w:rsid w:val="005A70CA"/>
    <w:rsid w:val="005A7ABD"/>
    <w:rsid w:val="005A7CF8"/>
    <w:rsid w:val="005A7E84"/>
    <w:rsid w:val="005B00FF"/>
    <w:rsid w:val="005B0B9B"/>
    <w:rsid w:val="005B0EDA"/>
    <w:rsid w:val="005B1042"/>
    <w:rsid w:val="005B121D"/>
    <w:rsid w:val="005B16AB"/>
    <w:rsid w:val="005B1705"/>
    <w:rsid w:val="005B1A0C"/>
    <w:rsid w:val="005B26B0"/>
    <w:rsid w:val="005B362D"/>
    <w:rsid w:val="005B41C9"/>
    <w:rsid w:val="005B4277"/>
    <w:rsid w:val="005B427B"/>
    <w:rsid w:val="005B44E6"/>
    <w:rsid w:val="005B4853"/>
    <w:rsid w:val="005B521C"/>
    <w:rsid w:val="005B591B"/>
    <w:rsid w:val="005B623D"/>
    <w:rsid w:val="005B6CA1"/>
    <w:rsid w:val="005B70EB"/>
    <w:rsid w:val="005B770C"/>
    <w:rsid w:val="005C02F0"/>
    <w:rsid w:val="005C06ED"/>
    <w:rsid w:val="005C0A57"/>
    <w:rsid w:val="005C0CE1"/>
    <w:rsid w:val="005C11B8"/>
    <w:rsid w:val="005C179F"/>
    <w:rsid w:val="005C1B24"/>
    <w:rsid w:val="005C216C"/>
    <w:rsid w:val="005C2609"/>
    <w:rsid w:val="005C2B30"/>
    <w:rsid w:val="005C38FB"/>
    <w:rsid w:val="005C412B"/>
    <w:rsid w:val="005C41AF"/>
    <w:rsid w:val="005C43EC"/>
    <w:rsid w:val="005C45DD"/>
    <w:rsid w:val="005C4620"/>
    <w:rsid w:val="005C4704"/>
    <w:rsid w:val="005C4CB1"/>
    <w:rsid w:val="005C61BE"/>
    <w:rsid w:val="005C63A5"/>
    <w:rsid w:val="005C64FD"/>
    <w:rsid w:val="005C6783"/>
    <w:rsid w:val="005C70AB"/>
    <w:rsid w:val="005C7C79"/>
    <w:rsid w:val="005C7CA0"/>
    <w:rsid w:val="005D015C"/>
    <w:rsid w:val="005D1472"/>
    <w:rsid w:val="005D1A8A"/>
    <w:rsid w:val="005D33A3"/>
    <w:rsid w:val="005D3F06"/>
    <w:rsid w:val="005D4608"/>
    <w:rsid w:val="005D48E0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33"/>
    <w:rsid w:val="005D7890"/>
    <w:rsid w:val="005D7AAF"/>
    <w:rsid w:val="005E0A95"/>
    <w:rsid w:val="005E0E74"/>
    <w:rsid w:val="005E19C1"/>
    <w:rsid w:val="005E2194"/>
    <w:rsid w:val="005E23A3"/>
    <w:rsid w:val="005E24F0"/>
    <w:rsid w:val="005E2542"/>
    <w:rsid w:val="005E3113"/>
    <w:rsid w:val="005E34D1"/>
    <w:rsid w:val="005E36FE"/>
    <w:rsid w:val="005E3F66"/>
    <w:rsid w:val="005E490F"/>
    <w:rsid w:val="005E4B04"/>
    <w:rsid w:val="005E4BC9"/>
    <w:rsid w:val="005E5314"/>
    <w:rsid w:val="005E53DC"/>
    <w:rsid w:val="005E6C6A"/>
    <w:rsid w:val="005E764D"/>
    <w:rsid w:val="005E7724"/>
    <w:rsid w:val="005E7BB3"/>
    <w:rsid w:val="005E7C78"/>
    <w:rsid w:val="005F04A7"/>
    <w:rsid w:val="005F0B43"/>
    <w:rsid w:val="005F10B3"/>
    <w:rsid w:val="005F114F"/>
    <w:rsid w:val="005F18C5"/>
    <w:rsid w:val="005F18E4"/>
    <w:rsid w:val="005F1CCA"/>
    <w:rsid w:val="005F247B"/>
    <w:rsid w:val="005F2A08"/>
    <w:rsid w:val="005F36CC"/>
    <w:rsid w:val="005F3A6F"/>
    <w:rsid w:val="005F3B48"/>
    <w:rsid w:val="005F3EB1"/>
    <w:rsid w:val="005F413E"/>
    <w:rsid w:val="005F466B"/>
    <w:rsid w:val="005F46D8"/>
    <w:rsid w:val="005F480F"/>
    <w:rsid w:val="005F5156"/>
    <w:rsid w:val="005F51D8"/>
    <w:rsid w:val="005F5271"/>
    <w:rsid w:val="005F5469"/>
    <w:rsid w:val="005F63F3"/>
    <w:rsid w:val="005F66F0"/>
    <w:rsid w:val="005F6A64"/>
    <w:rsid w:val="005F6D7F"/>
    <w:rsid w:val="005F6DFE"/>
    <w:rsid w:val="005F7174"/>
    <w:rsid w:val="005F7B79"/>
    <w:rsid w:val="00600D6E"/>
    <w:rsid w:val="0060120D"/>
    <w:rsid w:val="006017C1"/>
    <w:rsid w:val="00601818"/>
    <w:rsid w:val="00601ADE"/>
    <w:rsid w:val="00601EEF"/>
    <w:rsid w:val="0060255A"/>
    <w:rsid w:val="006027E2"/>
    <w:rsid w:val="00602998"/>
    <w:rsid w:val="00602D7F"/>
    <w:rsid w:val="00602EB3"/>
    <w:rsid w:val="0060342F"/>
    <w:rsid w:val="006035A1"/>
    <w:rsid w:val="0060364A"/>
    <w:rsid w:val="0060393D"/>
    <w:rsid w:val="00603BA8"/>
    <w:rsid w:val="00604307"/>
    <w:rsid w:val="0060487F"/>
    <w:rsid w:val="00604EAD"/>
    <w:rsid w:val="0060513F"/>
    <w:rsid w:val="006062DA"/>
    <w:rsid w:val="006065E2"/>
    <w:rsid w:val="00606635"/>
    <w:rsid w:val="0060694B"/>
    <w:rsid w:val="00607E1D"/>
    <w:rsid w:val="006104FB"/>
    <w:rsid w:val="00611092"/>
    <w:rsid w:val="006116FF"/>
    <w:rsid w:val="0061176D"/>
    <w:rsid w:val="00611EA8"/>
    <w:rsid w:val="0061200F"/>
    <w:rsid w:val="00612756"/>
    <w:rsid w:val="00612A2F"/>
    <w:rsid w:val="00612AAE"/>
    <w:rsid w:val="00612B07"/>
    <w:rsid w:val="00612FD9"/>
    <w:rsid w:val="006139E0"/>
    <w:rsid w:val="00613E1C"/>
    <w:rsid w:val="006146C5"/>
    <w:rsid w:val="00614D35"/>
    <w:rsid w:val="006156B4"/>
    <w:rsid w:val="00615ADD"/>
    <w:rsid w:val="00615DAF"/>
    <w:rsid w:val="00615EA5"/>
    <w:rsid w:val="00616254"/>
    <w:rsid w:val="0061672A"/>
    <w:rsid w:val="00616E05"/>
    <w:rsid w:val="00617985"/>
    <w:rsid w:val="00617C0F"/>
    <w:rsid w:val="00620641"/>
    <w:rsid w:val="00620B77"/>
    <w:rsid w:val="00621190"/>
    <w:rsid w:val="0062131B"/>
    <w:rsid w:val="00621435"/>
    <w:rsid w:val="00621E26"/>
    <w:rsid w:val="006224EA"/>
    <w:rsid w:val="0062263A"/>
    <w:rsid w:val="006227DF"/>
    <w:rsid w:val="00622EFA"/>
    <w:rsid w:val="0062326B"/>
    <w:rsid w:val="006234A0"/>
    <w:rsid w:val="006236C8"/>
    <w:rsid w:val="00624093"/>
    <w:rsid w:val="0062415E"/>
    <w:rsid w:val="00625370"/>
    <w:rsid w:val="00625A84"/>
    <w:rsid w:val="00626079"/>
    <w:rsid w:val="00626B3B"/>
    <w:rsid w:val="00626B8F"/>
    <w:rsid w:val="006275B5"/>
    <w:rsid w:val="006300DB"/>
    <w:rsid w:val="006309CF"/>
    <w:rsid w:val="00631198"/>
    <w:rsid w:val="00631698"/>
    <w:rsid w:val="00631B14"/>
    <w:rsid w:val="00631E44"/>
    <w:rsid w:val="0063373E"/>
    <w:rsid w:val="00634C57"/>
    <w:rsid w:val="00634CE7"/>
    <w:rsid w:val="00634F30"/>
    <w:rsid w:val="006350D5"/>
    <w:rsid w:val="00635AA6"/>
    <w:rsid w:val="00635EBE"/>
    <w:rsid w:val="0063642C"/>
    <w:rsid w:val="006376B3"/>
    <w:rsid w:val="00637858"/>
    <w:rsid w:val="006403E6"/>
    <w:rsid w:val="006404A7"/>
    <w:rsid w:val="00640A38"/>
    <w:rsid w:val="00640E6B"/>
    <w:rsid w:val="00641242"/>
    <w:rsid w:val="00641787"/>
    <w:rsid w:val="0064179B"/>
    <w:rsid w:val="00641E2C"/>
    <w:rsid w:val="00642338"/>
    <w:rsid w:val="00642489"/>
    <w:rsid w:val="006428D3"/>
    <w:rsid w:val="0064402D"/>
    <w:rsid w:val="00644055"/>
    <w:rsid w:val="00644137"/>
    <w:rsid w:val="006445BC"/>
    <w:rsid w:val="0064478C"/>
    <w:rsid w:val="00644938"/>
    <w:rsid w:val="00645160"/>
    <w:rsid w:val="006451E4"/>
    <w:rsid w:val="0064574B"/>
    <w:rsid w:val="00645B33"/>
    <w:rsid w:val="006475A3"/>
    <w:rsid w:val="00647D47"/>
    <w:rsid w:val="00647EDF"/>
    <w:rsid w:val="00650A4F"/>
    <w:rsid w:val="00650E38"/>
    <w:rsid w:val="00650FFC"/>
    <w:rsid w:val="0065153D"/>
    <w:rsid w:val="006516CB"/>
    <w:rsid w:val="006523F5"/>
    <w:rsid w:val="00652444"/>
    <w:rsid w:val="006529A6"/>
    <w:rsid w:val="00652E30"/>
    <w:rsid w:val="00653542"/>
    <w:rsid w:val="00653BD0"/>
    <w:rsid w:val="00654110"/>
    <w:rsid w:val="006545E7"/>
    <w:rsid w:val="00654659"/>
    <w:rsid w:val="006547CD"/>
    <w:rsid w:val="00654DCC"/>
    <w:rsid w:val="00655F54"/>
    <w:rsid w:val="00656C5D"/>
    <w:rsid w:val="00656CFB"/>
    <w:rsid w:val="00656D25"/>
    <w:rsid w:val="00657964"/>
    <w:rsid w:val="00657E87"/>
    <w:rsid w:val="0066063F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4B35"/>
    <w:rsid w:val="0066502F"/>
    <w:rsid w:val="006652B9"/>
    <w:rsid w:val="006653CC"/>
    <w:rsid w:val="00665501"/>
    <w:rsid w:val="00665982"/>
    <w:rsid w:val="00665AAC"/>
    <w:rsid w:val="00665BA4"/>
    <w:rsid w:val="00666BF3"/>
    <w:rsid w:val="00667748"/>
    <w:rsid w:val="00667856"/>
    <w:rsid w:val="006679A1"/>
    <w:rsid w:val="00667AF2"/>
    <w:rsid w:val="00670489"/>
    <w:rsid w:val="006710C9"/>
    <w:rsid w:val="00671CFE"/>
    <w:rsid w:val="00671D85"/>
    <w:rsid w:val="00672586"/>
    <w:rsid w:val="006727BC"/>
    <w:rsid w:val="00673006"/>
    <w:rsid w:val="00673392"/>
    <w:rsid w:val="0067404B"/>
    <w:rsid w:val="006741CD"/>
    <w:rsid w:val="006745DF"/>
    <w:rsid w:val="00674BAC"/>
    <w:rsid w:val="00674D89"/>
    <w:rsid w:val="00674DF4"/>
    <w:rsid w:val="0067514E"/>
    <w:rsid w:val="00675A15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20C"/>
    <w:rsid w:val="0068032F"/>
    <w:rsid w:val="00680D37"/>
    <w:rsid w:val="0068174E"/>
    <w:rsid w:val="00681DCE"/>
    <w:rsid w:val="00682110"/>
    <w:rsid w:val="0068260E"/>
    <w:rsid w:val="006846B3"/>
    <w:rsid w:val="006849E7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6FD2"/>
    <w:rsid w:val="0068706C"/>
    <w:rsid w:val="006875A0"/>
    <w:rsid w:val="006878C6"/>
    <w:rsid w:val="00687D27"/>
    <w:rsid w:val="00687E40"/>
    <w:rsid w:val="00691943"/>
    <w:rsid w:val="00693361"/>
    <w:rsid w:val="00693550"/>
    <w:rsid w:val="00694622"/>
    <w:rsid w:val="00695065"/>
    <w:rsid w:val="00695651"/>
    <w:rsid w:val="00695BEF"/>
    <w:rsid w:val="006961FC"/>
    <w:rsid w:val="00696251"/>
    <w:rsid w:val="006966C7"/>
    <w:rsid w:val="006968C1"/>
    <w:rsid w:val="006977F6"/>
    <w:rsid w:val="00697A13"/>
    <w:rsid w:val="00697FC2"/>
    <w:rsid w:val="006A0DD4"/>
    <w:rsid w:val="006A109C"/>
    <w:rsid w:val="006A3CAF"/>
    <w:rsid w:val="006A41B9"/>
    <w:rsid w:val="006A4E6C"/>
    <w:rsid w:val="006A4E91"/>
    <w:rsid w:val="006A521C"/>
    <w:rsid w:val="006A5C69"/>
    <w:rsid w:val="006A5F27"/>
    <w:rsid w:val="006A5F4B"/>
    <w:rsid w:val="006A6114"/>
    <w:rsid w:val="006A6565"/>
    <w:rsid w:val="006A6BE3"/>
    <w:rsid w:val="006A7665"/>
    <w:rsid w:val="006A7691"/>
    <w:rsid w:val="006A7EE2"/>
    <w:rsid w:val="006B0409"/>
    <w:rsid w:val="006B0514"/>
    <w:rsid w:val="006B0F92"/>
    <w:rsid w:val="006B13F2"/>
    <w:rsid w:val="006B2785"/>
    <w:rsid w:val="006B27C7"/>
    <w:rsid w:val="006B2A1F"/>
    <w:rsid w:val="006B340F"/>
    <w:rsid w:val="006B344A"/>
    <w:rsid w:val="006B39E1"/>
    <w:rsid w:val="006B55DF"/>
    <w:rsid w:val="006B58C9"/>
    <w:rsid w:val="006B5F9A"/>
    <w:rsid w:val="006B60ED"/>
    <w:rsid w:val="006B614C"/>
    <w:rsid w:val="006B6C82"/>
    <w:rsid w:val="006B6CC5"/>
    <w:rsid w:val="006B6CF6"/>
    <w:rsid w:val="006B74AC"/>
    <w:rsid w:val="006B757B"/>
    <w:rsid w:val="006B78D8"/>
    <w:rsid w:val="006B79EA"/>
    <w:rsid w:val="006B7EA8"/>
    <w:rsid w:val="006C0C5D"/>
    <w:rsid w:val="006C113F"/>
    <w:rsid w:val="006C123E"/>
    <w:rsid w:val="006C15A1"/>
    <w:rsid w:val="006C1752"/>
    <w:rsid w:val="006C1DDC"/>
    <w:rsid w:val="006C1F77"/>
    <w:rsid w:val="006C1F94"/>
    <w:rsid w:val="006C28CA"/>
    <w:rsid w:val="006C2A0B"/>
    <w:rsid w:val="006C2B31"/>
    <w:rsid w:val="006C2BBF"/>
    <w:rsid w:val="006C2FBD"/>
    <w:rsid w:val="006C3336"/>
    <w:rsid w:val="006C3495"/>
    <w:rsid w:val="006C3742"/>
    <w:rsid w:val="006C4355"/>
    <w:rsid w:val="006C4587"/>
    <w:rsid w:val="006C469D"/>
    <w:rsid w:val="006C46B5"/>
    <w:rsid w:val="006C484F"/>
    <w:rsid w:val="006C501A"/>
    <w:rsid w:val="006C52EC"/>
    <w:rsid w:val="006C5506"/>
    <w:rsid w:val="006C56D4"/>
    <w:rsid w:val="006C5C22"/>
    <w:rsid w:val="006C65FF"/>
    <w:rsid w:val="006C6681"/>
    <w:rsid w:val="006C683C"/>
    <w:rsid w:val="006C6924"/>
    <w:rsid w:val="006C6C1E"/>
    <w:rsid w:val="006C7076"/>
    <w:rsid w:val="006C7981"/>
    <w:rsid w:val="006C7AEC"/>
    <w:rsid w:val="006C7CA6"/>
    <w:rsid w:val="006D12FB"/>
    <w:rsid w:val="006D156E"/>
    <w:rsid w:val="006D15D3"/>
    <w:rsid w:val="006D18B3"/>
    <w:rsid w:val="006D1BA2"/>
    <w:rsid w:val="006D1E89"/>
    <w:rsid w:val="006D26CE"/>
    <w:rsid w:val="006D2CE1"/>
    <w:rsid w:val="006D3045"/>
    <w:rsid w:val="006D317E"/>
    <w:rsid w:val="006D3E8A"/>
    <w:rsid w:val="006D47D9"/>
    <w:rsid w:val="006D49BA"/>
    <w:rsid w:val="006D4BA3"/>
    <w:rsid w:val="006D4F1E"/>
    <w:rsid w:val="006D5C7F"/>
    <w:rsid w:val="006D61F6"/>
    <w:rsid w:val="006D66DD"/>
    <w:rsid w:val="006D766A"/>
    <w:rsid w:val="006D7F30"/>
    <w:rsid w:val="006E1081"/>
    <w:rsid w:val="006E1332"/>
    <w:rsid w:val="006E13F6"/>
    <w:rsid w:val="006E19CB"/>
    <w:rsid w:val="006E279A"/>
    <w:rsid w:val="006E313B"/>
    <w:rsid w:val="006E34B2"/>
    <w:rsid w:val="006E3553"/>
    <w:rsid w:val="006E3A45"/>
    <w:rsid w:val="006E4078"/>
    <w:rsid w:val="006E51C4"/>
    <w:rsid w:val="006E53AD"/>
    <w:rsid w:val="006E58CB"/>
    <w:rsid w:val="006E594C"/>
    <w:rsid w:val="006E6A93"/>
    <w:rsid w:val="006E7227"/>
    <w:rsid w:val="006E725C"/>
    <w:rsid w:val="006E761A"/>
    <w:rsid w:val="006F0646"/>
    <w:rsid w:val="006F0741"/>
    <w:rsid w:val="006F1C27"/>
    <w:rsid w:val="006F2575"/>
    <w:rsid w:val="006F29CB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5CB9"/>
    <w:rsid w:val="006F60EE"/>
    <w:rsid w:val="006F61FB"/>
    <w:rsid w:val="006F624B"/>
    <w:rsid w:val="006F6D87"/>
    <w:rsid w:val="006F6FF2"/>
    <w:rsid w:val="006F79FB"/>
    <w:rsid w:val="007008A9"/>
    <w:rsid w:val="00700E8A"/>
    <w:rsid w:val="007018A4"/>
    <w:rsid w:val="0070284F"/>
    <w:rsid w:val="00702D15"/>
    <w:rsid w:val="0070398A"/>
    <w:rsid w:val="007039C4"/>
    <w:rsid w:val="007045FD"/>
    <w:rsid w:val="0070494B"/>
    <w:rsid w:val="00705242"/>
    <w:rsid w:val="0070540C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079E5"/>
    <w:rsid w:val="00707CA3"/>
    <w:rsid w:val="00707FD9"/>
    <w:rsid w:val="00710CE8"/>
    <w:rsid w:val="00711A9E"/>
    <w:rsid w:val="007124D7"/>
    <w:rsid w:val="00712C20"/>
    <w:rsid w:val="00712E1F"/>
    <w:rsid w:val="007132CA"/>
    <w:rsid w:val="0071333D"/>
    <w:rsid w:val="00713549"/>
    <w:rsid w:val="0071399A"/>
    <w:rsid w:val="007140BE"/>
    <w:rsid w:val="007147AB"/>
    <w:rsid w:val="00715231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1BC1"/>
    <w:rsid w:val="00721BE1"/>
    <w:rsid w:val="00722727"/>
    <w:rsid w:val="00722777"/>
    <w:rsid w:val="0072306E"/>
    <w:rsid w:val="00723401"/>
    <w:rsid w:val="00723435"/>
    <w:rsid w:val="00723436"/>
    <w:rsid w:val="0072396B"/>
    <w:rsid w:val="007240E2"/>
    <w:rsid w:val="0072454C"/>
    <w:rsid w:val="0072583E"/>
    <w:rsid w:val="0072594F"/>
    <w:rsid w:val="00725B5F"/>
    <w:rsid w:val="00725BB5"/>
    <w:rsid w:val="00726788"/>
    <w:rsid w:val="00727C02"/>
    <w:rsid w:val="00727EE2"/>
    <w:rsid w:val="0073008E"/>
    <w:rsid w:val="00730884"/>
    <w:rsid w:val="00730A8B"/>
    <w:rsid w:val="00730AE8"/>
    <w:rsid w:val="00730CB4"/>
    <w:rsid w:val="00730D59"/>
    <w:rsid w:val="00730F1B"/>
    <w:rsid w:val="0073186D"/>
    <w:rsid w:val="007324A6"/>
    <w:rsid w:val="0073261D"/>
    <w:rsid w:val="0073333D"/>
    <w:rsid w:val="007343D9"/>
    <w:rsid w:val="00734F71"/>
    <w:rsid w:val="00735448"/>
    <w:rsid w:val="00735749"/>
    <w:rsid w:val="00736F07"/>
    <w:rsid w:val="00737557"/>
    <w:rsid w:val="007377BD"/>
    <w:rsid w:val="00737DEC"/>
    <w:rsid w:val="0074004D"/>
    <w:rsid w:val="00741493"/>
    <w:rsid w:val="00741B6B"/>
    <w:rsid w:val="00741F2A"/>
    <w:rsid w:val="0074333D"/>
    <w:rsid w:val="007434E5"/>
    <w:rsid w:val="00743884"/>
    <w:rsid w:val="007446AB"/>
    <w:rsid w:val="0074499B"/>
    <w:rsid w:val="007449D6"/>
    <w:rsid w:val="00744FC1"/>
    <w:rsid w:val="0074501E"/>
    <w:rsid w:val="007450BF"/>
    <w:rsid w:val="0074518B"/>
    <w:rsid w:val="0074599A"/>
    <w:rsid w:val="00746EE5"/>
    <w:rsid w:val="00746F45"/>
    <w:rsid w:val="007471A1"/>
    <w:rsid w:val="007477BD"/>
    <w:rsid w:val="007477DA"/>
    <w:rsid w:val="007477ED"/>
    <w:rsid w:val="00747EE9"/>
    <w:rsid w:val="0075016F"/>
    <w:rsid w:val="007520B6"/>
    <w:rsid w:val="00752180"/>
    <w:rsid w:val="00752323"/>
    <w:rsid w:val="007532B7"/>
    <w:rsid w:val="00753CAB"/>
    <w:rsid w:val="00754A70"/>
    <w:rsid w:val="00754BC9"/>
    <w:rsid w:val="00754FB0"/>
    <w:rsid w:val="00755202"/>
    <w:rsid w:val="00755D3A"/>
    <w:rsid w:val="00757241"/>
    <w:rsid w:val="0075751D"/>
    <w:rsid w:val="0075763E"/>
    <w:rsid w:val="007578D3"/>
    <w:rsid w:val="00757D7C"/>
    <w:rsid w:val="007601AE"/>
    <w:rsid w:val="007601D2"/>
    <w:rsid w:val="007602CF"/>
    <w:rsid w:val="00760391"/>
    <w:rsid w:val="0076052B"/>
    <w:rsid w:val="007609C6"/>
    <w:rsid w:val="007615F3"/>
    <w:rsid w:val="00761625"/>
    <w:rsid w:val="0076175D"/>
    <w:rsid w:val="0076190A"/>
    <w:rsid w:val="00761A96"/>
    <w:rsid w:val="00761CB5"/>
    <w:rsid w:val="00761F7B"/>
    <w:rsid w:val="007629D5"/>
    <w:rsid w:val="007635F8"/>
    <w:rsid w:val="0076384E"/>
    <w:rsid w:val="00763A88"/>
    <w:rsid w:val="00763B23"/>
    <w:rsid w:val="00763B85"/>
    <w:rsid w:val="00763DAC"/>
    <w:rsid w:val="00764341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5CC"/>
    <w:rsid w:val="00772DAB"/>
    <w:rsid w:val="00772FF9"/>
    <w:rsid w:val="0077348B"/>
    <w:rsid w:val="00773B76"/>
    <w:rsid w:val="00773BF4"/>
    <w:rsid w:val="00773F5D"/>
    <w:rsid w:val="00774269"/>
    <w:rsid w:val="007743DB"/>
    <w:rsid w:val="0077452E"/>
    <w:rsid w:val="00774D2C"/>
    <w:rsid w:val="00775E00"/>
    <w:rsid w:val="0077605B"/>
    <w:rsid w:val="00776169"/>
    <w:rsid w:val="00776527"/>
    <w:rsid w:val="00776783"/>
    <w:rsid w:val="00777040"/>
    <w:rsid w:val="00777CE6"/>
    <w:rsid w:val="00777D57"/>
    <w:rsid w:val="00780BF0"/>
    <w:rsid w:val="00780EF1"/>
    <w:rsid w:val="007819B2"/>
    <w:rsid w:val="00781A91"/>
    <w:rsid w:val="00781AD3"/>
    <w:rsid w:val="00781B70"/>
    <w:rsid w:val="00781F36"/>
    <w:rsid w:val="00782E4D"/>
    <w:rsid w:val="00783339"/>
    <w:rsid w:val="00783576"/>
    <w:rsid w:val="00783810"/>
    <w:rsid w:val="007838D8"/>
    <w:rsid w:val="00784276"/>
    <w:rsid w:val="0078440C"/>
    <w:rsid w:val="00784980"/>
    <w:rsid w:val="00784D45"/>
    <w:rsid w:val="007853FD"/>
    <w:rsid w:val="00785778"/>
    <w:rsid w:val="00786C87"/>
    <w:rsid w:val="00786CD1"/>
    <w:rsid w:val="007873BE"/>
    <w:rsid w:val="0078755E"/>
    <w:rsid w:val="007877C9"/>
    <w:rsid w:val="00790764"/>
    <w:rsid w:val="007907D5"/>
    <w:rsid w:val="0079085F"/>
    <w:rsid w:val="00790E96"/>
    <w:rsid w:val="00791005"/>
    <w:rsid w:val="0079139B"/>
    <w:rsid w:val="00793D78"/>
    <w:rsid w:val="007940EB"/>
    <w:rsid w:val="0079420B"/>
    <w:rsid w:val="0079453C"/>
    <w:rsid w:val="0079457A"/>
    <w:rsid w:val="00794677"/>
    <w:rsid w:val="00795367"/>
    <w:rsid w:val="00795759"/>
    <w:rsid w:val="00795788"/>
    <w:rsid w:val="00795B47"/>
    <w:rsid w:val="00797D3C"/>
    <w:rsid w:val="007A0B5E"/>
    <w:rsid w:val="007A0C93"/>
    <w:rsid w:val="007A147A"/>
    <w:rsid w:val="007A15BA"/>
    <w:rsid w:val="007A16E3"/>
    <w:rsid w:val="007A170B"/>
    <w:rsid w:val="007A20EB"/>
    <w:rsid w:val="007A236B"/>
    <w:rsid w:val="007A282C"/>
    <w:rsid w:val="007A293C"/>
    <w:rsid w:val="007A2A3A"/>
    <w:rsid w:val="007A33E2"/>
    <w:rsid w:val="007A3CAF"/>
    <w:rsid w:val="007A4551"/>
    <w:rsid w:val="007A4664"/>
    <w:rsid w:val="007A4782"/>
    <w:rsid w:val="007A516D"/>
    <w:rsid w:val="007A51C9"/>
    <w:rsid w:val="007A5E65"/>
    <w:rsid w:val="007A5FEE"/>
    <w:rsid w:val="007A65E1"/>
    <w:rsid w:val="007A6A6E"/>
    <w:rsid w:val="007A6AAA"/>
    <w:rsid w:val="007A6FF6"/>
    <w:rsid w:val="007A7033"/>
    <w:rsid w:val="007A775D"/>
    <w:rsid w:val="007B02AD"/>
    <w:rsid w:val="007B04B0"/>
    <w:rsid w:val="007B0834"/>
    <w:rsid w:val="007B0E83"/>
    <w:rsid w:val="007B112B"/>
    <w:rsid w:val="007B11FA"/>
    <w:rsid w:val="007B1396"/>
    <w:rsid w:val="007B16D6"/>
    <w:rsid w:val="007B1D1B"/>
    <w:rsid w:val="007B1E3F"/>
    <w:rsid w:val="007B2011"/>
    <w:rsid w:val="007B2221"/>
    <w:rsid w:val="007B23E7"/>
    <w:rsid w:val="007B2CFE"/>
    <w:rsid w:val="007B309B"/>
    <w:rsid w:val="007B37AB"/>
    <w:rsid w:val="007B3BB3"/>
    <w:rsid w:val="007B3D5E"/>
    <w:rsid w:val="007B3DCB"/>
    <w:rsid w:val="007B46BF"/>
    <w:rsid w:val="007B54AE"/>
    <w:rsid w:val="007B5725"/>
    <w:rsid w:val="007B5C1F"/>
    <w:rsid w:val="007B5D3E"/>
    <w:rsid w:val="007B5F59"/>
    <w:rsid w:val="007B6319"/>
    <w:rsid w:val="007B6689"/>
    <w:rsid w:val="007B6747"/>
    <w:rsid w:val="007B6F72"/>
    <w:rsid w:val="007B74AA"/>
    <w:rsid w:val="007B756F"/>
    <w:rsid w:val="007B7AD3"/>
    <w:rsid w:val="007B7D1A"/>
    <w:rsid w:val="007C0D78"/>
    <w:rsid w:val="007C10BD"/>
    <w:rsid w:val="007C162D"/>
    <w:rsid w:val="007C1A03"/>
    <w:rsid w:val="007C1A88"/>
    <w:rsid w:val="007C1DD4"/>
    <w:rsid w:val="007C1F0C"/>
    <w:rsid w:val="007C1FFB"/>
    <w:rsid w:val="007C2767"/>
    <w:rsid w:val="007C2D94"/>
    <w:rsid w:val="007C4A6B"/>
    <w:rsid w:val="007C5F92"/>
    <w:rsid w:val="007C6227"/>
    <w:rsid w:val="007C6319"/>
    <w:rsid w:val="007C634E"/>
    <w:rsid w:val="007C63DB"/>
    <w:rsid w:val="007C64F7"/>
    <w:rsid w:val="007C6970"/>
    <w:rsid w:val="007C6BBD"/>
    <w:rsid w:val="007C6D89"/>
    <w:rsid w:val="007C6F5E"/>
    <w:rsid w:val="007D0382"/>
    <w:rsid w:val="007D08F2"/>
    <w:rsid w:val="007D0F6B"/>
    <w:rsid w:val="007D14FE"/>
    <w:rsid w:val="007D1A1F"/>
    <w:rsid w:val="007D213B"/>
    <w:rsid w:val="007D2783"/>
    <w:rsid w:val="007D2E18"/>
    <w:rsid w:val="007D3A68"/>
    <w:rsid w:val="007D3EF3"/>
    <w:rsid w:val="007D40DF"/>
    <w:rsid w:val="007D42E5"/>
    <w:rsid w:val="007D4458"/>
    <w:rsid w:val="007D4FA5"/>
    <w:rsid w:val="007D579C"/>
    <w:rsid w:val="007D62F0"/>
    <w:rsid w:val="007D65C3"/>
    <w:rsid w:val="007D6AF9"/>
    <w:rsid w:val="007D7646"/>
    <w:rsid w:val="007D7763"/>
    <w:rsid w:val="007D7F4F"/>
    <w:rsid w:val="007E01E9"/>
    <w:rsid w:val="007E0535"/>
    <w:rsid w:val="007E07F2"/>
    <w:rsid w:val="007E0D4A"/>
    <w:rsid w:val="007E0E91"/>
    <w:rsid w:val="007E1788"/>
    <w:rsid w:val="007E1EE3"/>
    <w:rsid w:val="007E29B4"/>
    <w:rsid w:val="007E2C81"/>
    <w:rsid w:val="007E2DD4"/>
    <w:rsid w:val="007E2F12"/>
    <w:rsid w:val="007E32AE"/>
    <w:rsid w:val="007E354A"/>
    <w:rsid w:val="007E3627"/>
    <w:rsid w:val="007E413C"/>
    <w:rsid w:val="007E435A"/>
    <w:rsid w:val="007E445C"/>
    <w:rsid w:val="007E49F7"/>
    <w:rsid w:val="007E4C70"/>
    <w:rsid w:val="007E5149"/>
    <w:rsid w:val="007E532F"/>
    <w:rsid w:val="007E5759"/>
    <w:rsid w:val="007E585C"/>
    <w:rsid w:val="007E5B1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2DFD"/>
    <w:rsid w:val="007F3546"/>
    <w:rsid w:val="007F3CB6"/>
    <w:rsid w:val="007F4740"/>
    <w:rsid w:val="007F595A"/>
    <w:rsid w:val="007F5C38"/>
    <w:rsid w:val="007F708D"/>
    <w:rsid w:val="007F727E"/>
    <w:rsid w:val="007F72E3"/>
    <w:rsid w:val="007F7E3F"/>
    <w:rsid w:val="008006B3"/>
    <w:rsid w:val="00800B63"/>
    <w:rsid w:val="0080158A"/>
    <w:rsid w:val="00801BFE"/>
    <w:rsid w:val="00801E13"/>
    <w:rsid w:val="00802791"/>
    <w:rsid w:val="00802B5F"/>
    <w:rsid w:val="00803008"/>
    <w:rsid w:val="00803069"/>
    <w:rsid w:val="0080346B"/>
    <w:rsid w:val="00803E08"/>
    <w:rsid w:val="00804155"/>
    <w:rsid w:val="00804C40"/>
    <w:rsid w:val="00804C9F"/>
    <w:rsid w:val="008054A3"/>
    <w:rsid w:val="0080559E"/>
    <w:rsid w:val="00805AF3"/>
    <w:rsid w:val="0080621E"/>
    <w:rsid w:val="00806955"/>
    <w:rsid w:val="00806C9C"/>
    <w:rsid w:val="008071B1"/>
    <w:rsid w:val="0080734C"/>
    <w:rsid w:val="00807BC0"/>
    <w:rsid w:val="00807C82"/>
    <w:rsid w:val="008107EE"/>
    <w:rsid w:val="008117CC"/>
    <w:rsid w:val="00811FF8"/>
    <w:rsid w:val="0081249F"/>
    <w:rsid w:val="00812708"/>
    <w:rsid w:val="00813D58"/>
    <w:rsid w:val="00813DCA"/>
    <w:rsid w:val="008147B9"/>
    <w:rsid w:val="00814F45"/>
    <w:rsid w:val="00815B3A"/>
    <w:rsid w:val="00815EE3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7C1"/>
    <w:rsid w:val="00821B4F"/>
    <w:rsid w:val="00821FF6"/>
    <w:rsid w:val="00822574"/>
    <w:rsid w:val="00822980"/>
    <w:rsid w:val="00822F08"/>
    <w:rsid w:val="00824BA6"/>
    <w:rsid w:val="00824BF4"/>
    <w:rsid w:val="00825007"/>
    <w:rsid w:val="00825120"/>
    <w:rsid w:val="0082528D"/>
    <w:rsid w:val="00825C4D"/>
    <w:rsid w:val="0082654E"/>
    <w:rsid w:val="00826A08"/>
    <w:rsid w:val="00826AC0"/>
    <w:rsid w:val="00826C77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5D"/>
    <w:rsid w:val="008324A3"/>
    <w:rsid w:val="00832A1C"/>
    <w:rsid w:val="00832F77"/>
    <w:rsid w:val="00834304"/>
    <w:rsid w:val="008343CE"/>
    <w:rsid w:val="0083471A"/>
    <w:rsid w:val="00834FAA"/>
    <w:rsid w:val="00835495"/>
    <w:rsid w:val="008354FB"/>
    <w:rsid w:val="008357DA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0C73"/>
    <w:rsid w:val="008414EE"/>
    <w:rsid w:val="008417B5"/>
    <w:rsid w:val="00841901"/>
    <w:rsid w:val="00842701"/>
    <w:rsid w:val="0084473C"/>
    <w:rsid w:val="00844998"/>
    <w:rsid w:val="008458A0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294C"/>
    <w:rsid w:val="00852B1F"/>
    <w:rsid w:val="00853282"/>
    <w:rsid w:val="0085334C"/>
    <w:rsid w:val="00853CE7"/>
    <w:rsid w:val="00854291"/>
    <w:rsid w:val="00854806"/>
    <w:rsid w:val="00855408"/>
    <w:rsid w:val="00855D03"/>
    <w:rsid w:val="00856030"/>
    <w:rsid w:val="00856AA1"/>
    <w:rsid w:val="00856D65"/>
    <w:rsid w:val="00856FA4"/>
    <w:rsid w:val="008603CA"/>
    <w:rsid w:val="00860D79"/>
    <w:rsid w:val="00861B41"/>
    <w:rsid w:val="00861B9F"/>
    <w:rsid w:val="00861BE3"/>
    <w:rsid w:val="00861EB6"/>
    <w:rsid w:val="008620A3"/>
    <w:rsid w:val="008625D3"/>
    <w:rsid w:val="00862C0A"/>
    <w:rsid w:val="00862C86"/>
    <w:rsid w:val="00863434"/>
    <w:rsid w:val="0086344F"/>
    <w:rsid w:val="008641AC"/>
    <w:rsid w:val="0086484F"/>
    <w:rsid w:val="00865C4B"/>
    <w:rsid w:val="00865DDD"/>
    <w:rsid w:val="00865E4C"/>
    <w:rsid w:val="00865E80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1B86"/>
    <w:rsid w:val="0087347C"/>
    <w:rsid w:val="008734E7"/>
    <w:rsid w:val="0087368D"/>
    <w:rsid w:val="008740CC"/>
    <w:rsid w:val="0087442A"/>
    <w:rsid w:val="00874578"/>
    <w:rsid w:val="00874904"/>
    <w:rsid w:val="00874FE8"/>
    <w:rsid w:val="00875A32"/>
    <w:rsid w:val="00875CC1"/>
    <w:rsid w:val="00876086"/>
    <w:rsid w:val="00876651"/>
    <w:rsid w:val="00876E83"/>
    <w:rsid w:val="0087722C"/>
    <w:rsid w:val="008772BC"/>
    <w:rsid w:val="00877957"/>
    <w:rsid w:val="00880A0E"/>
    <w:rsid w:val="00880DD7"/>
    <w:rsid w:val="008817FE"/>
    <w:rsid w:val="008819EB"/>
    <w:rsid w:val="00881CD7"/>
    <w:rsid w:val="00881DFE"/>
    <w:rsid w:val="00882911"/>
    <w:rsid w:val="00882F6E"/>
    <w:rsid w:val="00883202"/>
    <w:rsid w:val="00884E02"/>
    <w:rsid w:val="0088502B"/>
    <w:rsid w:val="00885D40"/>
    <w:rsid w:val="0088657A"/>
    <w:rsid w:val="00886E94"/>
    <w:rsid w:val="008873D4"/>
    <w:rsid w:val="008902A5"/>
    <w:rsid w:val="00890CB1"/>
    <w:rsid w:val="00891EDF"/>
    <w:rsid w:val="00892872"/>
    <w:rsid w:val="0089296D"/>
    <w:rsid w:val="00893E85"/>
    <w:rsid w:val="00893EBE"/>
    <w:rsid w:val="00893F50"/>
    <w:rsid w:val="00894031"/>
    <w:rsid w:val="00894C5D"/>
    <w:rsid w:val="00895508"/>
    <w:rsid w:val="0089570B"/>
    <w:rsid w:val="00895797"/>
    <w:rsid w:val="008962CD"/>
    <w:rsid w:val="008967E9"/>
    <w:rsid w:val="00896A5C"/>
    <w:rsid w:val="00896DF6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28"/>
    <w:rsid w:val="008A3CBA"/>
    <w:rsid w:val="008A3D90"/>
    <w:rsid w:val="008A4278"/>
    <w:rsid w:val="008A4B59"/>
    <w:rsid w:val="008A55F4"/>
    <w:rsid w:val="008A63E1"/>
    <w:rsid w:val="008A66B7"/>
    <w:rsid w:val="008A68BB"/>
    <w:rsid w:val="008A6AA5"/>
    <w:rsid w:val="008A7127"/>
    <w:rsid w:val="008B02E7"/>
    <w:rsid w:val="008B0472"/>
    <w:rsid w:val="008B0CBA"/>
    <w:rsid w:val="008B1850"/>
    <w:rsid w:val="008B186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4575"/>
    <w:rsid w:val="008B4758"/>
    <w:rsid w:val="008B51B7"/>
    <w:rsid w:val="008B5324"/>
    <w:rsid w:val="008B5C99"/>
    <w:rsid w:val="008B6106"/>
    <w:rsid w:val="008B65A8"/>
    <w:rsid w:val="008B697D"/>
    <w:rsid w:val="008B7C02"/>
    <w:rsid w:val="008B7D2B"/>
    <w:rsid w:val="008B7EF9"/>
    <w:rsid w:val="008C0049"/>
    <w:rsid w:val="008C025A"/>
    <w:rsid w:val="008C0314"/>
    <w:rsid w:val="008C056C"/>
    <w:rsid w:val="008C0654"/>
    <w:rsid w:val="008C0680"/>
    <w:rsid w:val="008C0E88"/>
    <w:rsid w:val="008C0EBE"/>
    <w:rsid w:val="008C1717"/>
    <w:rsid w:val="008C17F0"/>
    <w:rsid w:val="008C1D26"/>
    <w:rsid w:val="008C301D"/>
    <w:rsid w:val="008C3A32"/>
    <w:rsid w:val="008C3B05"/>
    <w:rsid w:val="008C451F"/>
    <w:rsid w:val="008C471B"/>
    <w:rsid w:val="008C4B50"/>
    <w:rsid w:val="008C5A37"/>
    <w:rsid w:val="008C6CD6"/>
    <w:rsid w:val="008C7303"/>
    <w:rsid w:val="008C7569"/>
    <w:rsid w:val="008C79C3"/>
    <w:rsid w:val="008D006F"/>
    <w:rsid w:val="008D033D"/>
    <w:rsid w:val="008D06A2"/>
    <w:rsid w:val="008D0C2A"/>
    <w:rsid w:val="008D0DBD"/>
    <w:rsid w:val="008D117E"/>
    <w:rsid w:val="008D127E"/>
    <w:rsid w:val="008D1CA8"/>
    <w:rsid w:val="008D1E0A"/>
    <w:rsid w:val="008D1E6A"/>
    <w:rsid w:val="008D1FD3"/>
    <w:rsid w:val="008D2304"/>
    <w:rsid w:val="008D2407"/>
    <w:rsid w:val="008D2A16"/>
    <w:rsid w:val="008D2AAF"/>
    <w:rsid w:val="008D2ABB"/>
    <w:rsid w:val="008D2AEC"/>
    <w:rsid w:val="008D2CB5"/>
    <w:rsid w:val="008D3295"/>
    <w:rsid w:val="008D33F5"/>
    <w:rsid w:val="008D35E4"/>
    <w:rsid w:val="008D3ACD"/>
    <w:rsid w:val="008D3D21"/>
    <w:rsid w:val="008D3ECE"/>
    <w:rsid w:val="008D400B"/>
    <w:rsid w:val="008D50FA"/>
    <w:rsid w:val="008D6C3A"/>
    <w:rsid w:val="008D70E2"/>
    <w:rsid w:val="008D7F47"/>
    <w:rsid w:val="008D7FF4"/>
    <w:rsid w:val="008E0001"/>
    <w:rsid w:val="008E0243"/>
    <w:rsid w:val="008E039E"/>
    <w:rsid w:val="008E1697"/>
    <w:rsid w:val="008E18EC"/>
    <w:rsid w:val="008E292B"/>
    <w:rsid w:val="008E2C57"/>
    <w:rsid w:val="008E31FF"/>
    <w:rsid w:val="008E3287"/>
    <w:rsid w:val="008E38E4"/>
    <w:rsid w:val="008E3D0D"/>
    <w:rsid w:val="008E3DFA"/>
    <w:rsid w:val="008E419B"/>
    <w:rsid w:val="008E4566"/>
    <w:rsid w:val="008E487E"/>
    <w:rsid w:val="008E4C65"/>
    <w:rsid w:val="008E51EB"/>
    <w:rsid w:val="008E5274"/>
    <w:rsid w:val="008E5746"/>
    <w:rsid w:val="008E64D7"/>
    <w:rsid w:val="008E6DCB"/>
    <w:rsid w:val="008E6E5D"/>
    <w:rsid w:val="008E6F06"/>
    <w:rsid w:val="008E7000"/>
    <w:rsid w:val="008E7039"/>
    <w:rsid w:val="008E723E"/>
    <w:rsid w:val="008E7B8E"/>
    <w:rsid w:val="008E7FC9"/>
    <w:rsid w:val="008F0107"/>
    <w:rsid w:val="008F029B"/>
    <w:rsid w:val="008F0589"/>
    <w:rsid w:val="008F130B"/>
    <w:rsid w:val="008F26D4"/>
    <w:rsid w:val="008F2A5D"/>
    <w:rsid w:val="008F2BC7"/>
    <w:rsid w:val="008F2E83"/>
    <w:rsid w:val="008F3636"/>
    <w:rsid w:val="008F3E91"/>
    <w:rsid w:val="008F3FC9"/>
    <w:rsid w:val="008F418F"/>
    <w:rsid w:val="008F4D9C"/>
    <w:rsid w:val="008F509F"/>
    <w:rsid w:val="008F525A"/>
    <w:rsid w:val="008F5383"/>
    <w:rsid w:val="008F585B"/>
    <w:rsid w:val="008F631F"/>
    <w:rsid w:val="008F77CC"/>
    <w:rsid w:val="008F7FB0"/>
    <w:rsid w:val="009003A8"/>
    <w:rsid w:val="009005E4"/>
    <w:rsid w:val="00900977"/>
    <w:rsid w:val="0090165B"/>
    <w:rsid w:val="00901D43"/>
    <w:rsid w:val="00901F6D"/>
    <w:rsid w:val="009021DA"/>
    <w:rsid w:val="00902337"/>
    <w:rsid w:val="00902500"/>
    <w:rsid w:val="00902EFF"/>
    <w:rsid w:val="0090356D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4A"/>
    <w:rsid w:val="009067EA"/>
    <w:rsid w:val="00906860"/>
    <w:rsid w:val="00906B79"/>
    <w:rsid w:val="0090786F"/>
    <w:rsid w:val="0091001E"/>
    <w:rsid w:val="009101D4"/>
    <w:rsid w:val="00910702"/>
    <w:rsid w:val="00910C18"/>
    <w:rsid w:val="009110F7"/>
    <w:rsid w:val="009112E3"/>
    <w:rsid w:val="0091155E"/>
    <w:rsid w:val="00912437"/>
    <w:rsid w:val="00912A92"/>
    <w:rsid w:val="00912AF9"/>
    <w:rsid w:val="00913237"/>
    <w:rsid w:val="00913B36"/>
    <w:rsid w:val="0091476D"/>
    <w:rsid w:val="00914DFA"/>
    <w:rsid w:val="009154EF"/>
    <w:rsid w:val="00915D07"/>
    <w:rsid w:val="009162AE"/>
    <w:rsid w:val="009165BB"/>
    <w:rsid w:val="00917154"/>
    <w:rsid w:val="00917251"/>
    <w:rsid w:val="0091728D"/>
    <w:rsid w:val="0092008B"/>
    <w:rsid w:val="0092036B"/>
    <w:rsid w:val="009203CC"/>
    <w:rsid w:val="00920EC4"/>
    <w:rsid w:val="0092180B"/>
    <w:rsid w:val="00921F14"/>
    <w:rsid w:val="0092292F"/>
    <w:rsid w:val="00922D28"/>
    <w:rsid w:val="00923322"/>
    <w:rsid w:val="009233B9"/>
    <w:rsid w:val="00923CB0"/>
    <w:rsid w:val="00923D8C"/>
    <w:rsid w:val="00924871"/>
    <w:rsid w:val="00924AC8"/>
    <w:rsid w:val="00925429"/>
    <w:rsid w:val="00925488"/>
    <w:rsid w:val="00925615"/>
    <w:rsid w:val="00925795"/>
    <w:rsid w:val="0092597A"/>
    <w:rsid w:val="00926520"/>
    <w:rsid w:val="0092691E"/>
    <w:rsid w:val="00926B2B"/>
    <w:rsid w:val="00926CF0"/>
    <w:rsid w:val="009273A9"/>
    <w:rsid w:val="00930251"/>
    <w:rsid w:val="0093033E"/>
    <w:rsid w:val="009305FC"/>
    <w:rsid w:val="00930FB1"/>
    <w:rsid w:val="0093104E"/>
    <w:rsid w:val="0093139F"/>
    <w:rsid w:val="00932117"/>
    <w:rsid w:val="00932239"/>
    <w:rsid w:val="00932443"/>
    <w:rsid w:val="00932A09"/>
    <w:rsid w:val="00932B32"/>
    <w:rsid w:val="00932E00"/>
    <w:rsid w:val="00932F66"/>
    <w:rsid w:val="0093305E"/>
    <w:rsid w:val="009332D2"/>
    <w:rsid w:val="00933959"/>
    <w:rsid w:val="00933E43"/>
    <w:rsid w:val="00933F4A"/>
    <w:rsid w:val="00933FEB"/>
    <w:rsid w:val="009341F1"/>
    <w:rsid w:val="00934897"/>
    <w:rsid w:val="00934B2A"/>
    <w:rsid w:val="00934C3C"/>
    <w:rsid w:val="00934FF2"/>
    <w:rsid w:val="00935448"/>
    <w:rsid w:val="00935524"/>
    <w:rsid w:val="009358D7"/>
    <w:rsid w:val="00935BD4"/>
    <w:rsid w:val="00935DFE"/>
    <w:rsid w:val="00935F70"/>
    <w:rsid w:val="009360FA"/>
    <w:rsid w:val="009361BA"/>
    <w:rsid w:val="0093648B"/>
    <w:rsid w:val="00937017"/>
    <w:rsid w:val="009373B2"/>
    <w:rsid w:val="00937AE2"/>
    <w:rsid w:val="00940207"/>
    <w:rsid w:val="0094061F"/>
    <w:rsid w:val="00940C37"/>
    <w:rsid w:val="00940F0F"/>
    <w:rsid w:val="00941912"/>
    <w:rsid w:val="00942A89"/>
    <w:rsid w:val="0094416B"/>
    <w:rsid w:val="0094427A"/>
    <w:rsid w:val="009449C6"/>
    <w:rsid w:val="00944C7C"/>
    <w:rsid w:val="00945245"/>
    <w:rsid w:val="0094537F"/>
    <w:rsid w:val="00945523"/>
    <w:rsid w:val="00946415"/>
    <w:rsid w:val="00946C43"/>
    <w:rsid w:val="00946FE0"/>
    <w:rsid w:val="009473BB"/>
    <w:rsid w:val="00947816"/>
    <w:rsid w:val="0094795E"/>
    <w:rsid w:val="00947C89"/>
    <w:rsid w:val="009507E6"/>
    <w:rsid w:val="00950921"/>
    <w:rsid w:val="00951D68"/>
    <w:rsid w:val="00951E5B"/>
    <w:rsid w:val="00952050"/>
    <w:rsid w:val="00952315"/>
    <w:rsid w:val="009523D9"/>
    <w:rsid w:val="00952B7B"/>
    <w:rsid w:val="00952BEF"/>
    <w:rsid w:val="0095357B"/>
    <w:rsid w:val="009538B3"/>
    <w:rsid w:val="0095408D"/>
    <w:rsid w:val="00954F39"/>
    <w:rsid w:val="00955554"/>
    <w:rsid w:val="009555FD"/>
    <w:rsid w:val="00955BAD"/>
    <w:rsid w:val="0095664B"/>
    <w:rsid w:val="009568DC"/>
    <w:rsid w:val="00956B8B"/>
    <w:rsid w:val="00956D75"/>
    <w:rsid w:val="00957140"/>
    <w:rsid w:val="00957445"/>
    <w:rsid w:val="0095759C"/>
    <w:rsid w:val="00960405"/>
    <w:rsid w:val="009618EE"/>
    <w:rsid w:val="0096195C"/>
    <w:rsid w:val="00961CB4"/>
    <w:rsid w:val="00961DDD"/>
    <w:rsid w:val="0096249D"/>
    <w:rsid w:val="009624D2"/>
    <w:rsid w:val="009628D9"/>
    <w:rsid w:val="00963171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64D8"/>
    <w:rsid w:val="009665AB"/>
    <w:rsid w:val="009670A3"/>
    <w:rsid w:val="009674BE"/>
    <w:rsid w:val="009678D1"/>
    <w:rsid w:val="00967E01"/>
    <w:rsid w:val="00970386"/>
    <w:rsid w:val="009709EE"/>
    <w:rsid w:val="00970FB5"/>
    <w:rsid w:val="00971195"/>
    <w:rsid w:val="00971710"/>
    <w:rsid w:val="00971B87"/>
    <w:rsid w:val="00971C77"/>
    <w:rsid w:val="0097203A"/>
    <w:rsid w:val="00972057"/>
    <w:rsid w:val="00972FCD"/>
    <w:rsid w:val="00973324"/>
    <w:rsid w:val="009736DF"/>
    <w:rsid w:val="009741AE"/>
    <w:rsid w:val="009741FC"/>
    <w:rsid w:val="00974520"/>
    <w:rsid w:val="0097452F"/>
    <w:rsid w:val="00974782"/>
    <w:rsid w:val="00974923"/>
    <w:rsid w:val="00974AA8"/>
    <w:rsid w:val="009753C9"/>
    <w:rsid w:val="009754D3"/>
    <w:rsid w:val="00975909"/>
    <w:rsid w:val="009763FC"/>
    <w:rsid w:val="0097768D"/>
    <w:rsid w:val="0097799F"/>
    <w:rsid w:val="00977C33"/>
    <w:rsid w:val="00977C3D"/>
    <w:rsid w:val="0098000C"/>
    <w:rsid w:val="00980D3D"/>
    <w:rsid w:val="00980F78"/>
    <w:rsid w:val="0098103E"/>
    <w:rsid w:val="0098157D"/>
    <w:rsid w:val="0098203B"/>
    <w:rsid w:val="009822D3"/>
    <w:rsid w:val="00983101"/>
    <w:rsid w:val="009834D2"/>
    <w:rsid w:val="0098371F"/>
    <w:rsid w:val="00983E41"/>
    <w:rsid w:val="0098417C"/>
    <w:rsid w:val="009845E1"/>
    <w:rsid w:val="00984600"/>
    <w:rsid w:val="009848D1"/>
    <w:rsid w:val="00984CE5"/>
    <w:rsid w:val="00984D1B"/>
    <w:rsid w:val="00984DF6"/>
    <w:rsid w:val="00986246"/>
    <w:rsid w:val="009864E3"/>
    <w:rsid w:val="009866EB"/>
    <w:rsid w:val="00987277"/>
    <w:rsid w:val="00987A30"/>
    <w:rsid w:val="00990197"/>
    <w:rsid w:val="00990312"/>
    <w:rsid w:val="009908AF"/>
    <w:rsid w:val="00990D4E"/>
    <w:rsid w:val="0099182E"/>
    <w:rsid w:val="00991D45"/>
    <w:rsid w:val="00992736"/>
    <w:rsid w:val="00992B49"/>
    <w:rsid w:val="00992BB3"/>
    <w:rsid w:val="00992CF3"/>
    <w:rsid w:val="00993194"/>
    <w:rsid w:val="0099321E"/>
    <w:rsid w:val="00993673"/>
    <w:rsid w:val="00993ECA"/>
    <w:rsid w:val="00994171"/>
    <w:rsid w:val="00994868"/>
    <w:rsid w:val="00994976"/>
    <w:rsid w:val="00994D28"/>
    <w:rsid w:val="00994F2C"/>
    <w:rsid w:val="00995720"/>
    <w:rsid w:val="009957CC"/>
    <w:rsid w:val="00995B3D"/>
    <w:rsid w:val="009968D6"/>
    <w:rsid w:val="00996D3F"/>
    <w:rsid w:val="009975A6"/>
    <w:rsid w:val="00997953"/>
    <w:rsid w:val="00997D55"/>
    <w:rsid w:val="009A049C"/>
    <w:rsid w:val="009A0BFF"/>
    <w:rsid w:val="009A10A0"/>
    <w:rsid w:val="009A12B7"/>
    <w:rsid w:val="009A1385"/>
    <w:rsid w:val="009A17FA"/>
    <w:rsid w:val="009A1CAB"/>
    <w:rsid w:val="009A1DA8"/>
    <w:rsid w:val="009A2188"/>
    <w:rsid w:val="009A2359"/>
    <w:rsid w:val="009A24F1"/>
    <w:rsid w:val="009A27E0"/>
    <w:rsid w:val="009A3126"/>
    <w:rsid w:val="009A3805"/>
    <w:rsid w:val="009A3E06"/>
    <w:rsid w:val="009A3E42"/>
    <w:rsid w:val="009A439F"/>
    <w:rsid w:val="009A4D57"/>
    <w:rsid w:val="009A51A5"/>
    <w:rsid w:val="009A5309"/>
    <w:rsid w:val="009A5759"/>
    <w:rsid w:val="009A5BA9"/>
    <w:rsid w:val="009A60D1"/>
    <w:rsid w:val="009A6225"/>
    <w:rsid w:val="009A64F5"/>
    <w:rsid w:val="009A6F53"/>
    <w:rsid w:val="009A7F8D"/>
    <w:rsid w:val="009B00D2"/>
    <w:rsid w:val="009B05B3"/>
    <w:rsid w:val="009B07C8"/>
    <w:rsid w:val="009B0CAF"/>
    <w:rsid w:val="009B1324"/>
    <w:rsid w:val="009B2558"/>
    <w:rsid w:val="009B284F"/>
    <w:rsid w:val="009B3742"/>
    <w:rsid w:val="009B3764"/>
    <w:rsid w:val="009B3840"/>
    <w:rsid w:val="009B39A8"/>
    <w:rsid w:val="009B4156"/>
    <w:rsid w:val="009B479C"/>
    <w:rsid w:val="009B52AC"/>
    <w:rsid w:val="009B553D"/>
    <w:rsid w:val="009B584D"/>
    <w:rsid w:val="009B59EA"/>
    <w:rsid w:val="009B5B6E"/>
    <w:rsid w:val="009B62A6"/>
    <w:rsid w:val="009B66CE"/>
    <w:rsid w:val="009B6F41"/>
    <w:rsid w:val="009B6FD3"/>
    <w:rsid w:val="009B72BE"/>
    <w:rsid w:val="009B78A4"/>
    <w:rsid w:val="009B7B0A"/>
    <w:rsid w:val="009B7DB2"/>
    <w:rsid w:val="009C0362"/>
    <w:rsid w:val="009C03DB"/>
    <w:rsid w:val="009C0832"/>
    <w:rsid w:val="009C13B7"/>
    <w:rsid w:val="009C1417"/>
    <w:rsid w:val="009C15AF"/>
    <w:rsid w:val="009C1750"/>
    <w:rsid w:val="009C175F"/>
    <w:rsid w:val="009C197C"/>
    <w:rsid w:val="009C29ED"/>
    <w:rsid w:val="009C2E29"/>
    <w:rsid w:val="009C3771"/>
    <w:rsid w:val="009C38F7"/>
    <w:rsid w:val="009C3E8F"/>
    <w:rsid w:val="009C4DBC"/>
    <w:rsid w:val="009C508E"/>
    <w:rsid w:val="009C554B"/>
    <w:rsid w:val="009C58B8"/>
    <w:rsid w:val="009C5E83"/>
    <w:rsid w:val="009C66F8"/>
    <w:rsid w:val="009C672B"/>
    <w:rsid w:val="009C67D7"/>
    <w:rsid w:val="009C7126"/>
    <w:rsid w:val="009C719E"/>
    <w:rsid w:val="009C7231"/>
    <w:rsid w:val="009C7782"/>
    <w:rsid w:val="009C7799"/>
    <w:rsid w:val="009D07A9"/>
    <w:rsid w:val="009D0AE2"/>
    <w:rsid w:val="009D0D9F"/>
    <w:rsid w:val="009D0EBB"/>
    <w:rsid w:val="009D10E7"/>
    <w:rsid w:val="009D1369"/>
    <w:rsid w:val="009D14D7"/>
    <w:rsid w:val="009D2C46"/>
    <w:rsid w:val="009D3ACD"/>
    <w:rsid w:val="009D4254"/>
    <w:rsid w:val="009D4F21"/>
    <w:rsid w:val="009D53AC"/>
    <w:rsid w:val="009D587D"/>
    <w:rsid w:val="009D6178"/>
    <w:rsid w:val="009D6EA6"/>
    <w:rsid w:val="009D7731"/>
    <w:rsid w:val="009D78C3"/>
    <w:rsid w:val="009E06B0"/>
    <w:rsid w:val="009E1120"/>
    <w:rsid w:val="009E1393"/>
    <w:rsid w:val="009E1922"/>
    <w:rsid w:val="009E1A3D"/>
    <w:rsid w:val="009E26A8"/>
    <w:rsid w:val="009E4715"/>
    <w:rsid w:val="009E4A35"/>
    <w:rsid w:val="009E4A58"/>
    <w:rsid w:val="009E5273"/>
    <w:rsid w:val="009E5685"/>
    <w:rsid w:val="009E57A8"/>
    <w:rsid w:val="009E5B85"/>
    <w:rsid w:val="009E5DDB"/>
    <w:rsid w:val="009E63CF"/>
    <w:rsid w:val="009E6FCB"/>
    <w:rsid w:val="009F032E"/>
    <w:rsid w:val="009F1CA6"/>
    <w:rsid w:val="009F1F17"/>
    <w:rsid w:val="009F2921"/>
    <w:rsid w:val="009F3063"/>
    <w:rsid w:val="009F324D"/>
    <w:rsid w:val="009F42CF"/>
    <w:rsid w:val="009F4982"/>
    <w:rsid w:val="009F4CA7"/>
    <w:rsid w:val="009F4F6A"/>
    <w:rsid w:val="009F55BA"/>
    <w:rsid w:val="009F5B8E"/>
    <w:rsid w:val="009F5F03"/>
    <w:rsid w:val="009F6AAF"/>
    <w:rsid w:val="009F6BF5"/>
    <w:rsid w:val="009F6CD1"/>
    <w:rsid w:val="009F7D36"/>
    <w:rsid w:val="009F7D61"/>
    <w:rsid w:val="00A00470"/>
    <w:rsid w:val="00A00E71"/>
    <w:rsid w:val="00A0187B"/>
    <w:rsid w:val="00A01F62"/>
    <w:rsid w:val="00A02317"/>
    <w:rsid w:val="00A02E8B"/>
    <w:rsid w:val="00A0306F"/>
    <w:rsid w:val="00A032CA"/>
    <w:rsid w:val="00A03306"/>
    <w:rsid w:val="00A03511"/>
    <w:rsid w:val="00A03B10"/>
    <w:rsid w:val="00A03E2E"/>
    <w:rsid w:val="00A04616"/>
    <w:rsid w:val="00A04717"/>
    <w:rsid w:val="00A05C51"/>
    <w:rsid w:val="00A05D8F"/>
    <w:rsid w:val="00A05EB1"/>
    <w:rsid w:val="00A05EE4"/>
    <w:rsid w:val="00A06E2D"/>
    <w:rsid w:val="00A06F99"/>
    <w:rsid w:val="00A102C3"/>
    <w:rsid w:val="00A1053B"/>
    <w:rsid w:val="00A10D66"/>
    <w:rsid w:val="00A113A4"/>
    <w:rsid w:val="00A124A0"/>
    <w:rsid w:val="00A12A8E"/>
    <w:rsid w:val="00A133F9"/>
    <w:rsid w:val="00A136B7"/>
    <w:rsid w:val="00A14114"/>
    <w:rsid w:val="00A141A7"/>
    <w:rsid w:val="00A141E8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7DE"/>
    <w:rsid w:val="00A20FE1"/>
    <w:rsid w:val="00A2102F"/>
    <w:rsid w:val="00A21B4D"/>
    <w:rsid w:val="00A22073"/>
    <w:rsid w:val="00A223E0"/>
    <w:rsid w:val="00A22959"/>
    <w:rsid w:val="00A23158"/>
    <w:rsid w:val="00A232D7"/>
    <w:rsid w:val="00A23775"/>
    <w:rsid w:val="00A23847"/>
    <w:rsid w:val="00A23E43"/>
    <w:rsid w:val="00A24726"/>
    <w:rsid w:val="00A24DEB"/>
    <w:rsid w:val="00A24ED9"/>
    <w:rsid w:val="00A251DB"/>
    <w:rsid w:val="00A25216"/>
    <w:rsid w:val="00A2556A"/>
    <w:rsid w:val="00A2597D"/>
    <w:rsid w:val="00A25FC3"/>
    <w:rsid w:val="00A2628E"/>
    <w:rsid w:val="00A266BF"/>
    <w:rsid w:val="00A26777"/>
    <w:rsid w:val="00A269AB"/>
    <w:rsid w:val="00A26B56"/>
    <w:rsid w:val="00A26F8F"/>
    <w:rsid w:val="00A2731E"/>
    <w:rsid w:val="00A276E9"/>
    <w:rsid w:val="00A309AC"/>
    <w:rsid w:val="00A30EA4"/>
    <w:rsid w:val="00A30F65"/>
    <w:rsid w:val="00A3147A"/>
    <w:rsid w:val="00A315D0"/>
    <w:rsid w:val="00A3279E"/>
    <w:rsid w:val="00A336D2"/>
    <w:rsid w:val="00A33DB1"/>
    <w:rsid w:val="00A33EEB"/>
    <w:rsid w:val="00A348A1"/>
    <w:rsid w:val="00A351C8"/>
    <w:rsid w:val="00A35900"/>
    <w:rsid w:val="00A35F33"/>
    <w:rsid w:val="00A362F9"/>
    <w:rsid w:val="00A37311"/>
    <w:rsid w:val="00A401A3"/>
    <w:rsid w:val="00A40EAC"/>
    <w:rsid w:val="00A418BC"/>
    <w:rsid w:val="00A419FF"/>
    <w:rsid w:val="00A41FCF"/>
    <w:rsid w:val="00A428BA"/>
    <w:rsid w:val="00A42936"/>
    <w:rsid w:val="00A43CF8"/>
    <w:rsid w:val="00A43DF2"/>
    <w:rsid w:val="00A445A8"/>
    <w:rsid w:val="00A44B0D"/>
    <w:rsid w:val="00A44CB6"/>
    <w:rsid w:val="00A44D21"/>
    <w:rsid w:val="00A45087"/>
    <w:rsid w:val="00A45489"/>
    <w:rsid w:val="00A456C5"/>
    <w:rsid w:val="00A45731"/>
    <w:rsid w:val="00A45858"/>
    <w:rsid w:val="00A45CED"/>
    <w:rsid w:val="00A460FC"/>
    <w:rsid w:val="00A465E9"/>
    <w:rsid w:val="00A468E7"/>
    <w:rsid w:val="00A46D6E"/>
    <w:rsid w:val="00A46DE0"/>
    <w:rsid w:val="00A47240"/>
    <w:rsid w:val="00A478BA"/>
    <w:rsid w:val="00A5057A"/>
    <w:rsid w:val="00A50D73"/>
    <w:rsid w:val="00A518BB"/>
    <w:rsid w:val="00A51A9B"/>
    <w:rsid w:val="00A52A88"/>
    <w:rsid w:val="00A52CAD"/>
    <w:rsid w:val="00A53340"/>
    <w:rsid w:val="00A53FC7"/>
    <w:rsid w:val="00A55569"/>
    <w:rsid w:val="00A55C36"/>
    <w:rsid w:val="00A5661B"/>
    <w:rsid w:val="00A566A0"/>
    <w:rsid w:val="00A60005"/>
    <w:rsid w:val="00A601E7"/>
    <w:rsid w:val="00A60AC1"/>
    <w:rsid w:val="00A61944"/>
    <w:rsid w:val="00A61E5C"/>
    <w:rsid w:val="00A62162"/>
    <w:rsid w:val="00A626FF"/>
    <w:rsid w:val="00A627D7"/>
    <w:rsid w:val="00A62C71"/>
    <w:rsid w:val="00A62CE1"/>
    <w:rsid w:val="00A6428C"/>
    <w:rsid w:val="00A65469"/>
    <w:rsid w:val="00A65528"/>
    <w:rsid w:val="00A655D3"/>
    <w:rsid w:val="00A662D9"/>
    <w:rsid w:val="00A6630C"/>
    <w:rsid w:val="00A66AF5"/>
    <w:rsid w:val="00A6741E"/>
    <w:rsid w:val="00A67722"/>
    <w:rsid w:val="00A67E29"/>
    <w:rsid w:val="00A7016A"/>
    <w:rsid w:val="00A7018D"/>
    <w:rsid w:val="00A71215"/>
    <w:rsid w:val="00A716AC"/>
    <w:rsid w:val="00A7191D"/>
    <w:rsid w:val="00A722F9"/>
    <w:rsid w:val="00A723E3"/>
    <w:rsid w:val="00A72D42"/>
    <w:rsid w:val="00A73D1E"/>
    <w:rsid w:val="00A73D95"/>
    <w:rsid w:val="00A74158"/>
    <w:rsid w:val="00A746C9"/>
    <w:rsid w:val="00A74C2A"/>
    <w:rsid w:val="00A75E40"/>
    <w:rsid w:val="00A76818"/>
    <w:rsid w:val="00A77557"/>
    <w:rsid w:val="00A77B7D"/>
    <w:rsid w:val="00A77D1D"/>
    <w:rsid w:val="00A77E6B"/>
    <w:rsid w:val="00A800D7"/>
    <w:rsid w:val="00A809AD"/>
    <w:rsid w:val="00A81652"/>
    <w:rsid w:val="00A81A67"/>
    <w:rsid w:val="00A82BF0"/>
    <w:rsid w:val="00A82C91"/>
    <w:rsid w:val="00A82F4D"/>
    <w:rsid w:val="00A83150"/>
    <w:rsid w:val="00A83398"/>
    <w:rsid w:val="00A83D6E"/>
    <w:rsid w:val="00A83FA9"/>
    <w:rsid w:val="00A83FD5"/>
    <w:rsid w:val="00A84AF4"/>
    <w:rsid w:val="00A85001"/>
    <w:rsid w:val="00A8521A"/>
    <w:rsid w:val="00A852A2"/>
    <w:rsid w:val="00A85348"/>
    <w:rsid w:val="00A857C0"/>
    <w:rsid w:val="00A85ACB"/>
    <w:rsid w:val="00A85FBA"/>
    <w:rsid w:val="00A86901"/>
    <w:rsid w:val="00A8707C"/>
    <w:rsid w:val="00A87DF8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4E67"/>
    <w:rsid w:val="00A94F63"/>
    <w:rsid w:val="00A94F87"/>
    <w:rsid w:val="00A9532C"/>
    <w:rsid w:val="00A95B8A"/>
    <w:rsid w:val="00A95F1A"/>
    <w:rsid w:val="00A96116"/>
    <w:rsid w:val="00A9614E"/>
    <w:rsid w:val="00A96422"/>
    <w:rsid w:val="00A96C0F"/>
    <w:rsid w:val="00A97075"/>
    <w:rsid w:val="00A975D7"/>
    <w:rsid w:val="00A97C59"/>
    <w:rsid w:val="00AA0E80"/>
    <w:rsid w:val="00AA16F4"/>
    <w:rsid w:val="00AA17CD"/>
    <w:rsid w:val="00AA1AAE"/>
    <w:rsid w:val="00AA1D85"/>
    <w:rsid w:val="00AA212B"/>
    <w:rsid w:val="00AA212F"/>
    <w:rsid w:val="00AA26A9"/>
    <w:rsid w:val="00AA2996"/>
    <w:rsid w:val="00AA2AF4"/>
    <w:rsid w:val="00AA314A"/>
    <w:rsid w:val="00AA4282"/>
    <w:rsid w:val="00AA43F2"/>
    <w:rsid w:val="00AA4790"/>
    <w:rsid w:val="00AA49E1"/>
    <w:rsid w:val="00AA52BF"/>
    <w:rsid w:val="00AA559A"/>
    <w:rsid w:val="00AA5667"/>
    <w:rsid w:val="00AA6C31"/>
    <w:rsid w:val="00AA6F9E"/>
    <w:rsid w:val="00AA7752"/>
    <w:rsid w:val="00AA7CE8"/>
    <w:rsid w:val="00AA7E0C"/>
    <w:rsid w:val="00AB02BD"/>
    <w:rsid w:val="00AB0596"/>
    <w:rsid w:val="00AB0680"/>
    <w:rsid w:val="00AB1457"/>
    <w:rsid w:val="00AB1ACD"/>
    <w:rsid w:val="00AB2AF1"/>
    <w:rsid w:val="00AB2D0F"/>
    <w:rsid w:val="00AB2F73"/>
    <w:rsid w:val="00AB32CB"/>
    <w:rsid w:val="00AB3AD7"/>
    <w:rsid w:val="00AB3BA7"/>
    <w:rsid w:val="00AB3EC7"/>
    <w:rsid w:val="00AB467A"/>
    <w:rsid w:val="00AB5297"/>
    <w:rsid w:val="00AB56E2"/>
    <w:rsid w:val="00AB5A64"/>
    <w:rsid w:val="00AB5CA1"/>
    <w:rsid w:val="00AB6456"/>
    <w:rsid w:val="00AB69DD"/>
    <w:rsid w:val="00AB75C5"/>
    <w:rsid w:val="00AB776E"/>
    <w:rsid w:val="00AC044E"/>
    <w:rsid w:val="00AC04B1"/>
    <w:rsid w:val="00AC1143"/>
    <w:rsid w:val="00AC1B53"/>
    <w:rsid w:val="00AC2118"/>
    <w:rsid w:val="00AC2395"/>
    <w:rsid w:val="00AC2960"/>
    <w:rsid w:val="00AC2A32"/>
    <w:rsid w:val="00AC2AC4"/>
    <w:rsid w:val="00AC3891"/>
    <w:rsid w:val="00AC4284"/>
    <w:rsid w:val="00AC45BD"/>
    <w:rsid w:val="00AC50BB"/>
    <w:rsid w:val="00AC5256"/>
    <w:rsid w:val="00AC6D17"/>
    <w:rsid w:val="00AC78F1"/>
    <w:rsid w:val="00AC7B96"/>
    <w:rsid w:val="00AD0B22"/>
    <w:rsid w:val="00AD0EE7"/>
    <w:rsid w:val="00AD146B"/>
    <w:rsid w:val="00AD14D3"/>
    <w:rsid w:val="00AD168E"/>
    <w:rsid w:val="00AD2E25"/>
    <w:rsid w:val="00AD306C"/>
    <w:rsid w:val="00AD449D"/>
    <w:rsid w:val="00AD44CD"/>
    <w:rsid w:val="00AD47A7"/>
    <w:rsid w:val="00AD47C0"/>
    <w:rsid w:val="00AD543F"/>
    <w:rsid w:val="00AD5AD2"/>
    <w:rsid w:val="00AD6462"/>
    <w:rsid w:val="00AD6634"/>
    <w:rsid w:val="00AD66C5"/>
    <w:rsid w:val="00AD68C4"/>
    <w:rsid w:val="00AD71F9"/>
    <w:rsid w:val="00AE09B3"/>
    <w:rsid w:val="00AE1579"/>
    <w:rsid w:val="00AE1A83"/>
    <w:rsid w:val="00AE2A78"/>
    <w:rsid w:val="00AE30BE"/>
    <w:rsid w:val="00AE38DD"/>
    <w:rsid w:val="00AE3E6A"/>
    <w:rsid w:val="00AE417E"/>
    <w:rsid w:val="00AE47CA"/>
    <w:rsid w:val="00AE5672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1F16"/>
    <w:rsid w:val="00AF2C3E"/>
    <w:rsid w:val="00AF422A"/>
    <w:rsid w:val="00AF436B"/>
    <w:rsid w:val="00AF5179"/>
    <w:rsid w:val="00AF5C91"/>
    <w:rsid w:val="00AF5CC2"/>
    <w:rsid w:val="00AF5F65"/>
    <w:rsid w:val="00AF660D"/>
    <w:rsid w:val="00AF6776"/>
    <w:rsid w:val="00AF6DB5"/>
    <w:rsid w:val="00AF6F98"/>
    <w:rsid w:val="00AF7277"/>
    <w:rsid w:val="00B00550"/>
    <w:rsid w:val="00B00913"/>
    <w:rsid w:val="00B00D4D"/>
    <w:rsid w:val="00B01593"/>
    <w:rsid w:val="00B01D0F"/>
    <w:rsid w:val="00B01FF9"/>
    <w:rsid w:val="00B0236E"/>
    <w:rsid w:val="00B023F2"/>
    <w:rsid w:val="00B026FE"/>
    <w:rsid w:val="00B0271F"/>
    <w:rsid w:val="00B02E10"/>
    <w:rsid w:val="00B0313F"/>
    <w:rsid w:val="00B03448"/>
    <w:rsid w:val="00B038CA"/>
    <w:rsid w:val="00B03A4C"/>
    <w:rsid w:val="00B04F7D"/>
    <w:rsid w:val="00B05F00"/>
    <w:rsid w:val="00B06DB4"/>
    <w:rsid w:val="00B070FA"/>
    <w:rsid w:val="00B0750D"/>
    <w:rsid w:val="00B07850"/>
    <w:rsid w:val="00B0799C"/>
    <w:rsid w:val="00B102CE"/>
    <w:rsid w:val="00B10A4D"/>
    <w:rsid w:val="00B10A5C"/>
    <w:rsid w:val="00B10ADC"/>
    <w:rsid w:val="00B10C90"/>
    <w:rsid w:val="00B11002"/>
    <w:rsid w:val="00B11117"/>
    <w:rsid w:val="00B1114F"/>
    <w:rsid w:val="00B121B2"/>
    <w:rsid w:val="00B131B1"/>
    <w:rsid w:val="00B135D1"/>
    <w:rsid w:val="00B141B6"/>
    <w:rsid w:val="00B14BC1"/>
    <w:rsid w:val="00B154DE"/>
    <w:rsid w:val="00B15591"/>
    <w:rsid w:val="00B15CAD"/>
    <w:rsid w:val="00B162C3"/>
    <w:rsid w:val="00B16960"/>
    <w:rsid w:val="00B16DD1"/>
    <w:rsid w:val="00B16EB8"/>
    <w:rsid w:val="00B1700A"/>
    <w:rsid w:val="00B176ED"/>
    <w:rsid w:val="00B17ACD"/>
    <w:rsid w:val="00B17B22"/>
    <w:rsid w:val="00B17E71"/>
    <w:rsid w:val="00B17FDE"/>
    <w:rsid w:val="00B20632"/>
    <w:rsid w:val="00B20F9F"/>
    <w:rsid w:val="00B21DE7"/>
    <w:rsid w:val="00B230DD"/>
    <w:rsid w:val="00B2379C"/>
    <w:rsid w:val="00B23D5D"/>
    <w:rsid w:val="00B23E6E"/>
    <w:rsid w:val="00B2450C"/>
    <w:rsid w:val="00B2687D"/>
    <w:rsid w:val="00B27178"/>
    <w:rsid w:val="00B27613"/>
    <w:rsid w:val="00B27CFE"/>
    <w:rsid w:val="00B27EC6"/>
    <w:rsid w:val="00B27EC7"/>
    <w:rsid w:val="00B30287"/>
    <w:rsid w:val="00B30C6B"/>
    <w:rsid w:val="00B3108D"/>
    <w:rsid w:val="00B31D2C"/>
    <w:rsid w:val="00B32DDB"/>
    <w:rsid w:val="00B32F57"/>
    <w:rsid w:val="00B3345C"/>
    <w:rsid w:val="00B33776"/>
    <w:rsid w:val="00B33D14"/>
    <w:rsid w:val="00B343C4"/>
    <w:rsid w:val="00B34528"/>
    <w:rsid w:val="00B34750"/>
    <w:rsid w:val="00B34CC8"/>
    <w:rsid w:val="00B34CC9"/>
    <w:rsid w:val="00B34CDA"/>
    <w:rsid w:val="00B35160"/>
    <w:rsid w:val="00B3563B"/>
    <w:rsid w:val="00B357C2"/>
    <w:rsid w:val="00B36AEB"/>
    <w:rsid w:val="00B36BDC"/>
    <w:rsid w:val="00B3732D"/>
    <w:rsid w:val="00B37C63"/>
    <w:rsid w:val="00B37D3A"/>
    <w:rsid w:val="00B37D96"/>
    <w:rsid w:val="00B402FC"/>
    <w:rsid w:val="00B4037D"/>
    <w:rsid w:val="00B40B4C"/>
    <w:rsid w:val="00B411B8"/>
    <w:rsid w:val="00B42271"/>
    <w:rsid w:val="00B422E2"/>
    <w:rsid w:val="00B42517"/>
    <w:rsid w:val="00B425D5"/>
    <w:rsid w:val="00B42902"/>
    <w:rsid w:val="00B42D5F"/>
    <w:rsid w:val="00B43216"/>
    <w:rsid w:val="00B439DA"/>
    <w:rsid w:val="00B43B6C"/>
    <w:rsid w:val="00B4411A"/>
    <w:rsid w:val="00B4489D"/>
    <w:rsid w:val="00B4594C"/>
    <w:rsid w:val="00B45FE4"/>
    <w:rsid w:val="00B45FE8"/>
    <w:rsid w:val="00B46604"/>
    <w:rsid w:val="00B46674"/>
    <w:rsid w:val="00B46BE1"/>
    <w:rsid w:val="00B47089"/>
    <w:rsid w:val="00B474DB"/>
    <w:rsid w:val="00B47587"/>
    <w:rsid w:val="00B47DC0"/>
    <w:rsid w:val="00B506A4"/>
    <w:rsid w:val="00B51176"/>
    <w:rsid w:val="00B5150A"/>
    <w:rsid w:val="00B52151"/>
    <w:rsid w:val="00B524CB"/>
    <w:rsid w:val="00B52673"/>
    <w:rsid w:val="00B530CD"/>
    <w:rsid w:val="00B534CE"/>
    <w:rsid w:val="00B53639"/>
    <w:rsid w:val="00B53B66"/>
    <w:rsid w:val="00B53C7D"/>
    <w:rsid w:val="00B53E56"/>
    <w:rsid w:val="00B55311"/>
    <w:rsid w:val="00B55946"/>
    <w:rsid w:val="00B55A97"/>
    <w:rsid w:val="00B55F5E"/>
    <w:rsid w:val="00B5601B"/>
    <w:rsid w:val="00B5642C"/>
    <w:rsid w:val="00B5658D"/>
    <w:rsid w:val="00B56B6F"/>
    <w:rsid w:val="00B5752E"/>
    <w:rsid w:val="00B57ED2"/>
    <w:rsid w:val="00B60AC1"/>
    <w:rsid w:val="00B60AE2"/>
    <w:rsid w:val="00B60BBF"/>
    <w:rsid w:val="00B60FA7"/>
    <w:rsid w:val="00B61FF6"/>
    <w:rsid w:val="00B62316"/>
    <w:rsid w:val="00B6274C"/>
    <w:rsid w:val="00B63A11"/>
    <w:rsid w:val="00B64425"/>
    <w:rsid w:val="00B64585"/>
    <w:rsid w:val="00B646CA"/>
    <w:rsid w:val="00B64C24"/>
    <w:rsid w:val="00B64E72"/>
    <w:rsid w:val="00B654E3"/>
    <w:rsid w:val="00B65CEF"/>
    <w:rsid w:val="00B6608F"/>
    <w:rsid w:val="00B663A1"/>
    <w:rsid w:val="00B6718D"/>
    <w:rsid w:val="00B674C7"/>
    <w:rsid w:val="00B67749"/>
    <w:rsid w:val="00B679FB"/>
    <w:rsid w:val="00B71982"/>
    <w:rsid w:val="00B71A8D"/>
    <w:rsid w:val="00B71FBF"/>
    <w:rsid w:val="00B72DD9"/>
    <w:rsid w:val="00B734A0"/>
    <w:rsid w:val="00B73A14"/>
    <w:rsid w:val="00B73FE8"/>
    <w:rsid w:val="00B7463A"/>
    <w:rsid w:val="00B748BD"/>
    <w:rsid w:val="00B74964"/>
    <w:rsid w:val="00B7497E"/>
    <w:rsid w:val="00B74F38"/>
    <w:rsid w:val="00B756C5"/>
    <w:rsid w:val="00B76100"/>
    <w:rsid w:val="00B7680F"/>
    <w:rsid w:val="00B76A49"/>
    <w:rsid w:val="00B76B48"/>
    <w:rsid w:val="00B76D1E"/>
    <w:rsid w:val="00B77543"/>
    <w:rsid w:val="00B77584"/>
    <w:rsid w:val="00B77E34"/>
    <w:rsid w:val="00B77E52"/>
    <w:rsid w:val="00B77ED4"/>
    <w:rsid w:val="00B77F8B"/>
    <w:rsid w:val="00B80D44"/>
    <w:rsid w:val="00B80D89"/>
    <w:rsid w:val="00B80EC6"/>
    <w:rsid w:val="00B8104B"/>
    <w:rsid w:val="00B81288"/>
    <w:rsid w:val="00B81D70"/>
    <w:rsid w:val="00B82A5F"/>
    <w:rsid w:val="00B82C5E"/>
    <w:rsid w:val="00B833B9"/>
    <w:rsid w:val="00B83AAF"/>
    <w:rsid w:val="00B83BF4"/>
    <w:rsid w:val="00B83E07"/>
    <w:rsid w:val="00B84CF6"/>
    <w:rsid w:val="00B85016"/>
    <w:rsid w:val="00B8561A"/>
    <w:rsid w:val="00B862C3"/>
    <w:rsid w:val="00B86628"/>
    <w:rsid w:val="00B86643"/>
    <w:rsid w:val="00B868F7"/>
    <w:rsid w:val="00B86EB1"/>
    <w:rsid w:val="00B871A7"/>
    <w:rsid w:val="00B873ED"/>
    <w:rsid w:val="00B90131"/>
    <w:rsid w:val="00B90359"/>
    <w:rsid w:val="00B92200"/>
    <w:rsid w:val="00B92951"/>
    <w:rsid w:val="00B92D1D"/>
    <w:rsid w:val="00B92D7E"/>
    <w:rsid w:val="00B930CE"/>
    <w:rsid w:val="00B938C5"/>
    <w:rsid w:val="00B939CD"/>
    <w:rsid w:val="00B93FCD"/>
    <w:rsid w:val="00B940A8"/>
    <w:rsid w:val="00B94A14"/>
    <w:rsid w:val="00B94A46"/>
    <w:rsid w:val="00B9554A"/>
    <w:rsid w:val="00B95720"/>
    <w:rsid w:val="00B95940"/>
    <w:rsid w:val="00B95ACA"/>
    <w:rsid w:val="00B95C12"/>
    <w:rsid w:val="00B96D74"/>
    <w:rsid w:val="00B96EE5"/>
    <w:rsid w:val="00B9720E"/>
    <w:rsid w:val="00B973F1"/>
    <w:rsid w:val="00B97ACC"/>
    <w:rsid w:val="00B97F3A"/>
    <w:rsid w:val="00B97FE2"/>
    <w:rsid w:val="00BA0E0B"/>
    <w:rsid w:val="00BA15D7"/>
    <w:rsid w:val="00BA201A"/>
    <w:rsid w:val="00BA21DF"/>
    <w:rsid w:val="00BA29B7"/>
    <w:rsid w:val="00BA31CC"/>
    <w:rsid w:val="00BA361D"/>
    <w:rsid w:val="00BA3787"/>
    <w:rsid w:val="00BA403A"/>
    <w:rsid w:val="00BA46E8"/>
    <w:rsid w:val="00BA49DB"/>
    <w:rsid w:val="00BA4AE9"/>
    <w:rsid w:val="00BA4E19"/>
    <w:rsid w:val="00BA5125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25E8"/>
    <w:rsid w:val="00BB286B"/>
    <w:rsid w:val="00BB2BA1"/>
    <w:rsid w:val="00BB3340"/>
    <w:rsid w:val="00BB3AA1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1E1"/>
    <w:rsid w:val="00BB6EA2"/>
    <w:rsid w:val="00BB6EE5"/>
    <w:rsid w:val="00BB7142"/>
    <w:rsid w:val="00BB76F3"/>
    <w:rsid w:val="00BB7B5B"/>
    <w:rsid w:val="00BB7EB1"/>
    <w:rsid w:val="00BC003F"/>
    <w:rsid w:val="00BC06AA"/>
    <w:rsid w:val="00BC0930"/>
    <w:rsid w:val="00BC0B14"/>
    <w:rsid w:val="00BC1119"/>
    <w:rsid w:val="00BC1293"/>
    <w:rsid w:val="00BC1C44"/>
    <w:rsid w:val="00BC223A"/>
    <w:rsid w:val="00BC3204"/>
    <w:rsid w:val="00BC327F"/>
    <w:rsid w:val="00BC3512"/>
    <w:rsid w:val="00BC4B35"/>
    <w:rsid w:val="00BC4C38"/>
    <w:rsid w:val="00BC4D3E"/>
    <w:rsid w:val="00BC50BE"/>
    <w:rsid w:val="00BC5332"/>
    <w:rsid w:val="00BC5715"/>
    <w:rsid w:val="00BC5AC1"/>
    <w:rsid w:val="00BC5B14"/>
    <w:rsid w:val="00BC5C12"/>
    <w:rsid w:val="00BC641B"/>
    <w:rsid w:val="00BC69EE"/>
    <w:rsid w:val="00BC7154"/>
    <w:rsid w:val="00BC731E"/>
    <w:rsid w:val="00BC7614"/>
    <w:rsid w:val="00BC7941"/>
    <w:rsid w:val="00BC7EFA"/>
    <w:rsid w:val="00BD041B"/>
    <w:rsid w:val="00BD163B"/>
    <w:rsid w:val="00BD25BB"/>
    <w:rsid w:val="00BD2AF8"/>
    <w:rsid w:val="00BD366B"/>
    <w:rsid w:val="00BD3C09"/>
    <w:rsid w:val="00BD410B"/>
    <w:rsid w:val="00BD49B1"/>
    <w:rsid w:val="00BD4A73"/>
    <w:rsid w:val="00BD4EDD"/>
    <w:rsid w:val="00BD4EF4"/>
    <w:rsid w:val="00BD505B"/>
    <w:rsid w:val="00BD6659"/>
    <w:rsid w:val="00BD6C75"/>
    <w:rsid w:val="00BD6D50"/>
    <w:rsid w:val="00BD7105"/>
    <w:rsid w:val="00BD73D2"/>
    <w:rsid w:val="00BE08AB"/>
    <w:rsid w:val="00BE0AD1"/>
    <w:rsid w:val="00BE0DDA"/>
    <w:rsid w:val="00BE0EF9"/>
    <w:rsid w:val="00BE10A1"/>
    <w:rsid w:val="00BE18B9"/>
    <w:rsid w:val="00BE190A"/>
    <w:rsid w:val="00BE23BE"/>
    <w:rsid w:val="00BE2495"/>
    <w:rsid w:val="00BE24DD"/>
    <w:rsid w:val="00BE34BB"/>
    <w:rsid w:val="00BE386D"/>
    <w:rsid w:val="00BE425E"/>
    <w:rsid w:val="00BE4DA9"/>
    <w:rsid w:val="00BE4E2F"/>
    <w:rsid w:val="00BE54BF"/>
    <w:rsid w:val="00BE557B"/>
    <w:rsid w:val="00BE55EF"/>
    <w:rsid w:val="00BE652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759"/>
    <w:rsid w:val="00BF5C4C"/>
    <w:rsid w:val="00BF63D6"/>
    <w:rsid w:val="00BF6E0F"/>
    <w:rsid w:val="00BF765C"/>
    <w:rsid w:val="00BF77FC"/>
    <w:rsid w:val="00BF7BA0"/>
    <w:rsid w:val="00C006D6"/>
    <w:rsid w:val="00C00BD7"/>
    <w:rsid w:val="00C01410"/>
    <w:rsid w:val="00C024BB"/>
    <w:rsid w:val="00C02B1B"/>
    <w:rsid w:val="00C02D23"/>
    <w:rsid w:val="00C03D4D"/>
    <w:rsid w:val="00C04293"/>
    <w:rsid w:val="00C044F4"/>
    <w:rsid w:val="00C04B78"/>
    <w:rsid w:val="00C04DD9"/>
    <w:rsid w:val="00C052AA"/>
    <w:rsid w:val="00C05F0A"/>
    <w:rsid w:val="00C06EE3"/>
    <w:rsid w:val="00C07279"/>
    <w:rsid w:val="00C07321"/>
    <w:rsid w:val="00C07749"/>
    <w:rsid w:val="00C07C2F"/>
    <w:rsid w:val="00C07C67"/>
    <w:rsid w:val="00C10805"/>
    <w:rsid w:val="00C10D44"/>
    <w:rsid w:val="00C11244"/>
    <w:rsid w:val="00C118A9"/>
    <w:rsid w:val="00C11D48"/>
    <w:rsid w:val="00C11DB5"/>
    <w:rsid w:val="00C12304"/>
    <w:rsid w:val="00C12316"/>
    <w:rsid w:val="00C1246C"/>
    <w:rsid w:val="00C128D4"/>
    <w:rsid w:val="00C129BB"/>
    <w:rsid w:val="00C13870"/>
    <w:rsid w:val="00C13D5D"/>
    <w:rsid w:val="00C1493E"/>
    <w:rsid w:val="00C15537"/>
    <w:rsid w:val="00C15DBD"/>
    <w:rsid w:val="00C161C5"/>
    <w:rsid w:val="00C172F7"/>
    <w:rsid w:val="00C2010D"/>
    <w:rsid w:val="00C20366"/>
    <w:rsid w:val="00C20CB5"/>
    <w:rsid w:val="00C21430"/>
    <w:rsid w:val="00C216DF"/>
    <w:rsid w:val="00C21E61"/>
    <w:rsid w:val="00C21F94"/>
    <w:rsid w:val="00C224BD"/>
    <w:rsid w:val="00C22576"/>
    <w:rsid w:val="00C2272B"/>
    <w:rsid w:val="00C234DB"/>
    <w:rsid w:val="00C23C5C"/>
    <w:rsid w:val="00C2479A"/>
    <w:rsid w:val="00C24903"/>
    <w:rsid w:val="00C25026"/>
    <w:rsid w:val="00C25099"/>
    <w:rsid w:val="00C250FA"/>
    <w:rsid w:val="00C255FB"/>
    <w:rsid w:val="00C2590D"/>
    <w:rsid w:val="00C25D9C"/>
    <w:rsid w:val="00C26086"/>
    <w:rsid w:val="00C268A9"/>
    <w:rsid w:val="00C27197"/>
    <w:rsid w:val="00C27913"/>
    <w:rsid w:val="00C27E64"/>
    <w:rsid w:val="00C27FA7"/>
    <w:rsid w:val="00C300E2"/>
    <w:rsid w:val="00C31010"/>
    <w:rsid w:val="00C313BF"/>
    <w:rsid w:val="00C31B80"/>
    <w:rsid w:val="00C31F21"/>
    <w:rsid w:val="00C32498"/>
    <w:rsid w:val="00C32631"/>
    <w:rsid w:val="00C327D8"/>
    <w:rsid w:val="00C32807"/>
    <w:rsid w:val="00C33301"/>
    <w:rsid w:val="00C33311"/>
    <w:rsid w:val="00C33B68"/>
    <w:rsid w:val="00C34AD4"/>
    <w:rsid w:val="00C34F2F"/>
    <w:rsid w:val="00C353AF"/>
    <w:rsid w:val="00C35570"/>
    <w:rsid w:val="00C3579B"/>
    <w:rsid w:val="00C35A2A"/>
    <w:rsid w:val="00C36A79"/>
    <w:rsid w:val="00C3707B"/>
    <w:rsid w:val="00C3788D"/>
    <w:rsid w:val="00C401A9"/>
    <w:rsid w:val="00C401D2"/>
    <w:rsid w:val="00C4031A"/>
    <w:rsid w:val="00C405D4"/>
    <w:rsid w:val="00C40996"/>
    <w:rsid w:val="00C419D5"/>
    <w:rsid w:val="00C41D54"/>
    <w:rsid w:val="00C42129"/>
    <w:rsid w:val="00C42766"/>
    <w:rsid w:val="00C42812"/>
    <w:rsid w:val="00C42EBB"/>
    <w:rsid w:val="00C435E8"/>
    <w:rsid w:val="00C43891"/>
    <w:rsid w:val="00C446AC"/>
    <w:rsid w:val="00C44DB6"/>
    <w:rsid w:val="00C4513B"/>
    <w:rsid w:val="00C46417"/>
    <w:rsid w:val="00C475E8"/>
    <w:rsid w:val="00C50ACF"/>
    <w:rsid w:val="00C50B94"/>
    <w:rsid w:val="00C50E79"/>
    <w:rsid w:val="00C514D1"/>
    <w:rsid w:val="00C5197D"/>
    <w:rsid w:val="00C521F5"/>
    <w:rsid w:val="00C525FB"/>
    <w:rsid w:val="00C527AD"/>
    <w:rsid w:val="00C5390B"/>
    <w:rsid w:val="00C53E3B"/>
    <w:rsid w:val="00C540D3"/>
    <w:rsid w:val="00C54257"/>
    <w:rsid w:val="00C54549"/>
    <w:rsid w:val="00C5459D"/>
    <w:rsid w:val="00C54697"/>
    <w:rsid w:val="00C550CE"/>
    <w:rsid w:val="00C553A5"/>
    <w:rsid w:val="00C55402"/>
    <w:rsid w:val="00C5603B"/>
    <w:rsid w:val="00C56423"/>
    <w:rsid w:val="00C56E94"/>
    <w:rsid w:val="00C56F92"/>
    <w:rsid w:val="00C571EE"/>
    <w:rsid w:val="00C57EC0"/>
    <w:rsid w:val="00C6020C"/>
    <w:rsid w:val="00C60AE3"/>
    <w:rsid w:val="00C617B8"/>
    <w:rsid w:val="00C61F47"/>
    <w:rsid w:val="00C6270E"/>
    <w:rsid w:val="00C62828"/>
    <w:rsid w:val="00C62B91"/>
    <w:rsid w:val="00C63132"/>
    <w:rsid w:val="00C647D0"/>
    <w:rsid w:val="00C653D5"/>
    <w:rsid w:val="00C654A5"/>
    <w:rsid w:val="00C655DA"/>
    <w:rsid w:val="00C6689D"/>
    <w:rsid w:val="00C672C1"/>
    <w:rsid w:val="00C67519"/>
    <w:rsid w:val="00C676BD"/>
    <w:rsid w:val="00C67C7F"/>
    <w:rsid w:val="00C706D2"/>
    <w:rsid w:val="00C715CC"/>
    <w:rsid w:val="00C719A3"/>
    <w:rsid w:val="00C71D2F"/>
    <w:rsid w:val="00C7245F"/>
    <w:rsid w:val="00C72984"/>
    <w:rsid w:val="00C72BC7"/>
    <w:rsid w:val="00C733B3"/>
    <w:rsid w:val="00C737F1"/>
    <w:rsid w:val="00C73885"/>
    <w:rsid w:val="00C73C93"/>
    <w:rsid w:val="00C73F7B"/>
    <w:rsid w:val="00C7435A"/>
    <w:rsid w:val="00C747B1"/>
    <w:rsid w:val="00C74F69"/>
    <w:rsid w:val="00C750B9"/>
    <w:rsid w:val="00C75510"/>
    <w:rsid w:val="00C755F9"/>
    <w:rsid w:val="00C75752"/>
    <w:rsid w:val="00C75B60"/>
    <w:rsid w:val="00C76025"/>
    <w:rsid w:val="00C761EC"/>
    <w:rsid w:val="00C76249"/>
    <w:rsid w:val="00C76323"/>
    <w:rsid w:val="00C770C9"/>
    <w:rsid w:val="00C8019E"/>
    <w:rsid w:val="00C80E36"/>
    <w:rsid w:val="00C81070"/>
    <w:rsid w:val="00C8174E"/>
    <w:rsid w:val="00C82191"/>
    <w:rsid w:val="00C82FBE"/>
    <w:rsid w:val="00C83134"/>
    <w:rsid w:val="00C831E7"/>
    <w:rsid w:val="00C83205"/>
    <w:rsid w:val="00C832F3"/>
    <w:rsid w:val="00C84307"/>
    <w:rsid w:val="00C845A4"/>
    <w:rsid w:val="00C84D26"/>
    <w:rsid w:val="00C8504C"/>
    <w:rsid w:val="00C85127"/>
    <w:rsid w:val="00C85545"/>
    <w:rsid w:val="00C855B5"/>
    <w:rsid w:val="00C85F0E"/>
    <w:rsid w:val="00C8602D"/>
    <w:rsid w:val="00C862C1"/>
    <w:rsid w:val="00C864E9"/>
    <w:rsid w:val="00C867F9"/>
    <w:rsid w:val="00C872AA"/>
    <w:rsid w:val="00C87C6B"/>
    <w:rsid w:val="00C90357"/>
    <w:rsid w:val="00C9079E"/>
    <w:rsid w:val="00C90CF4"/>
    <w:rsid w:val="00C90F18"/>
    <w:rsid w:val="00C910F8"/>
    <w:rsid w:val="00C91C20"/>
    <w:rsid w:val="00C922DE"/>
    <w:rsid w:val="00C92843"/>
    <w:rsid w:val="00C929FE"/>
    <w:rsid w:val="00C92EB6"/>
    <w:rsid w:val="00C93389"/>
    <w:rsid w:val="00C94607"/>
    <w:rsid w:val="00C948E6"/>
    <w:rsid w:val="00C94CDD"/>
    <w:rsid w:val="00C95123"/>
    <w:rsid w:val="00C97588"/>
    <w:rsid w:val="00CA0346"/>
    <w:rsid w:val="00CA0649"/>
    <w:rsid w:val="00CA0BD5"/>
    <w:rsid w:val="00CA0DA1"/>
    <w:rsid w:val="00CA10A4"/>
    <w:rsid w:val="00CA1BD6"/>
    <w:rsid w:val="00CA2D95"/>
    <w:rsid w:val="00CA37FF"/>
    <w:rsid w:val="00CA423A"/>
    <w:rsid w:val="00CA47BC"/>
    <w:rsid w:val="00CA48CF"/>
    <w:rsid w:val="00CA4D2D"/>
    <w:rsid w:val="00CA5580"/>
    <w:rsid w:val="00CA5CB3"/>
    <w:rsid w:val="00CA5EAD"/>
    <w:rsid w:val="00CA61CF"/>
    <w:rsid w:val="00CA620E"/>
    <w:rsid w:val="00CA66FE"/>
    <w:rsid w:val="00CA6AB4"/>
    <w:rsid w:val="00CA7255"/>
    <w:rsid w:val="00CA79E2"/>
    <w:rsid w:val="00CA7E12"/>
    <w:rsid w:val="00CB01F1"/>
    <w:rsid w:val="00CB0E44"/>
    <w:rsid w:val="00CB111E"/>
    <w:rsid w:val="00CB183C"/>
    <w:rsid w:val="00CB18B2"/>
    <w:rsid w:val="00CB1BEE"/>
    <w:rsid w:val="00CB2351"/>
    <w:rsid w:val="00CB2BF7"/>
    <w:rsid w:val="00CB3210"/>
    <w:rsid w:val="00CB3605"/>
    <w:rsid w:val="00CB4022"/>
    <w:rsid w:val="00CB404F"/>
    <w:rsid w:val="00CB4257"/>
    <w:rsid w:val="00CB4930"/>
    <w:rsid w:val="00CB4BA9"/>
    <w:rsid w:val="00CB4C48"/>
    <w:rsid w:val="00CB4C63"/>
    <w:rsid w:val="00CB4F93"/>
    <w:rsid w:val="00CB55F7"/>
    <w:rsid w:val="00CB5A48"/>
    <w:rsid w:val="00CB5E10"/>
    <w:rsid w:val="00CB613B"/>
    <w:rsid w:val="00CB6152"/>
    <w:rsid w:val="00CB64E1"/>
    <w:rsid w:val="00CB6C6F"/>
    <w:rsid w:val="00CB6E4D"/>
    <w:rsid w:val="00CB70E1"/>
    <w:rsid w:val="00CC009B"/>
    <w:rsid w:val="00CC0834"/>
    <w:rsid w:val="00CC0AEA"/>
    <w:rsid w:val="00CC0B00"/>
    <w:rsid w:val="00CC0E6A"/>
    <w:rsid w:val="00CC20FE"/>
    <w:rsid w:val="00CC210D"/>
    <w:rsid w:val="00CC225C"/>
    <w:rsid w:val="00CC2E7D"/>
    <w:rsid w:val="00CC4029"/>
    <w:rsid w:val="00CC425E"/>
    <w:rsid w:val="00CC44A3"/>
    <w:rsid w:val="00CC469E"/>
    <w:rsid w:val="00CC58E9"/>
    <w:rsid w:val="00CC5A69"/>
    <w:rsid w:val="00CC5BE8"/>
    <w:rsid w:val="00CC612B"/>
    <w:rsid w:val="00CC655F"/>
    <w:rsid w:val="00CC66F9"/>
    <w:rsid w:val="00CC6C2A"/>
    <w:rsid w:val="00CC6FE5"/>
    <w:rsid w:val="00CC7458"/>
    <w:rsid w:val="00CC76BD"/>
    <w:rsid w:val="00CC7866"/>
    <w:rsid w:val="00CC7A87"/>
    <w:rsid w:val="00CD0373"/>
    <w:rsid w:val="00CD08BF"/>
    <w:rsid w:val="00CD0B7E"/>
    <w:rsid w:val="00CD0D6B"/>
    <w:rsid w:val="00CD0F56"/>
    <w:rsid w:val="00CD1060"/>
    <w:rsid w:val="00CD10A5"/>
    <w:rsid w:val="00CD1129"/>
    <w:rsid w:val="00CD1A80"/>
    <w:rsid w:val="00CD1CB5"/>
    <w:rsid w:val="00CD1F87"/>
    <w:rsid w:val="00CD2076"/>
    <w:rsid w:val="00CD2197"/>
    <w:rsid w:val="00CD24CE"/>
    <w:rsid w:val="00CD255B"/>
    <w:rsid w:val="00CD284C"/>
    <w:rsid w:val="00CD29B5"/>
    <w:rsid w:val="00CD2B78"/>
    <w:rsid w:val="00CD3866"/>
    <w:rsid w:val="00CD3909"/>
    <w:rsid w:val="00CD3D33"/>
    <w:rsid w:val="00CD3FAB"/>
    <w:rsid w:val="00CD5456"/>
    <w:rsid w:val="00CD5C3E"/>
    <w:rsid w:val="00CD5C57"/>
    <w:rsid w:val="00CD5EE0"/>
    <w:rsid w:val="00CD6331"/>
    <w:rsid w:val="00CD6EB2"/>
    <w:rsid w:val="00CD7783"/>
    <w:rsid w:val="00CD7E9E"/>
    <w:rsid w:val="00CE01DC"/>
    <w:rsid w:val="00CE0CB0"/>
    <w:rsid w:val="00CE12FB"/>
    <w:rsid w:val="00CE14BE"/>
    <w:rsid w:val="00CE17A4"/>
    <w:rsid w:val="00CE1BA9"/>
    <w:rsid w:val="00CE2D8F"/>
    <w:rsid w:val="00CE2DC6"/>
    <w:rsid w:val="00CE30D0"/>
    <w:rsid w:val="00CE3532"/>
    <w:rsid w:val="00CE35A8"/>
    <w:rsid w:val="00CE3770"/>
    <w:rsid w:val="00CE3E48"/>
    <w:rsid w:val="00CE46C0"/>
    <w:rsid w:val="00CE47B8"/>
    <w:rsid w:val="00CE54FD"/>
    <w:rsid w:val="00CE5C3F"/>
    <w:rsid w:val="00CE5C92"/>
    <w:rsid w:val="00CE5E12"/>
    <w:rsid w:val="00CE6065"/>
    <w:rsid w:val="00CE60F1"/>
    <w:rsid w:val="00CE62FA"/>
    <w:rsid w:val="00CE670B"/>
    <w:rsid w:val="00CE6833"/>
    <w:rsid w:val="00CE6992"/>
    <w:rsid w:val="00CE6D92"/>
    <w:rsid w:val="00CE7562"/>
    <w:rsid w:val="00CE75F3"/>
    <w:rsid w:val="00CF020B"/>
    <w:rsid w:val="00CF0E03"/>
    <w:rsid w:val="00CF1184"/>
    <w:rsid w:val="00CF15BF"/>
    <w:rsid w:val="00CF192F"/>
    <w:rsid w:val="00CF2A1B"/>
    <w:rsid w:val="00CF2E4D"/>
    <w:rsid w:val="00CF2EFC"/>
    <w:rsid w:val="00CF3486"/>
    <w:rsid w:val="00CF34C9"/>
    <w:rsid w:val="00CF35A7"/>
    <w:rsid w:val="00CF4205"/>
    <w:rsid w:val="00CF4211"/>
    <w:rsid w:val="00CF4908"/>
    <w:rsid w:val="00CF51EC"/>
    <w:rsid w:val="00CF545D"/>
    <w:rsid w:val="00CF5873"/>
    <w:rsid w:val="00CF620C"/>
    <w:rsid w:val="00CF6AB7"/>
    <w:rsid w:val="00CF6F88"/>
    <w:rsid w:val="00CF73AE"/>
    <w:rsid w:val="00CF7777"/>
    <w:rsid w:val="00D00054"/>
    <w:rsid w:val="00D0085A"/>
    <w:rsid w:val="00D0197F"/>
    <w:rsid w:val="00D01B31"/>
    <w:rsid w:val="00D0242D"/>
    <w:rsid w:val="00D02716"/>
    <w:rsid w:val="00D0302F"/>
    <w:rsid w:val="00D033B7"/>
    <w:rsid w:val="00D037A1"/>
    <w:rsid w:val="00D03842"/>
    <w:rsid w:val="00D03A72"/>
    <w:rsid w:val="00D040DD"/>
    <w:rsid w:val="00D04134"/>
    <w:rsid w:val="00D047B9"/>
    <w:rsid w:val="00D05995"/>
    <w:rsid w:val="00D05C65"/>
    <w:rsid w:val="00D068A0"/>
    <w:rsid w:val="00D06B56"/>
    <w:rsid w:val="00D06D52"/>
    <w:rsid w:val="00D06D68"/>
    <w:rsid w:val="00D06DEF"/>
    <w:rsid w:val="00D07266"/>
    <w:rsid w:val="00D075BE"/>
    <w:rsid w:val="00D07AFF"/>
    <w:rsid w:val="00D07CC2"/>
    <w:rsid w:val="00D1007E"/>
    <w:rsid w:val="00D10C15"/>
    <w:rsid w:val="00D11011"/>
    <w:rsid w:val="00D11476"/>
    <w:rsid w:val="00D12C25"/>
    <w:rsid w:val="00D13284"/>
    <w:rsid w:val="00D133B4"/>
    <w:rsid w:val="00D13986"/>
    <w:rsid w:val="00D13F3E"/>
    <w:rsid w:val="00D14680"/>
    <w:rsid w:val="00D147C5"/>
    <w:rsid w:val="00D14B3C"/>
    <w:rsid w:val="00D14C5B"/>
    <w:rsid w:val="00D15334"/>
    <w:rsid w:val="00D1565A"/>
    <w:rsid w:val="00D15CF4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517"/>
    <w:rsid w:val="00D22A47"/>
    <w:rsid w:val="00D23456"/>
    <w:rsid w:val="00D235B7"/>
    <w:rsid w:val="00D23A99"/>
    <w:rsid w:val="00D23FAE"/>
    <w:rsid w:val="00D25F28"/>
    <w:rsid w:val="00D26071"/>
    <w:rsid w:val="00D260C7"/>
    <w:rsid w:val="00D26133"/>
    <w:rsid w:val="00D26758"/>
    <w:rsid w:val="00D269B9"/>
    <w:rsid w:val="00D26E6B"/>
    <w:rsid w:val="00D274B3"/>
    <w:rsid w:val="00D2780D"/>
    <w:rsid w:val="00D27973"/>
    <w:rsid w:val="00D27995"/>
    <w:rsid w:val="00D27C9D"/>
    <w:rsid w:val="00D27E3E"/>
    <w:rsid w:val="00D27F07"/>
    <w:rsid w:val="00D27F3A"/>
    <w:rsid w:val="00D30003"/>
    <w:rsid w:val="00D31537"/>
    <w:rsid w:val="00D3185C"/>
    <w:rsid w:val="00D319F6"/>
    <w:rsid w:val="00D31E1E"/>
    <w:rsid w:val="00D322A0"/>
    <w:rsid w:val="00D32824"/>
    <w:rsid w:val="00D33297"/>
    <w:rsid w:val="00D334E2"/>
    <w:rsid w:val="00D335E5"/>
    <w:rsid w:val="00D34E1C"/>
    <w:rsid w:val="00D350B1"/>
    <w:rsid w:val="00D352C1"/>
    <w:rsid w:val="00D35AD6"/>
    <w:rsid w:val="00D35BBB"/>
    <w:rsid w:val="00D35E1A"/>
    <w:rsid w:val="00D3681D"/>
    <w:rsid w:val="00D36B0A"/>
    <w:rsid w:val="00D36DFB"/>
    <w:rsid w:val="00D36E1C"/>
    <w:rsid w:val="00D373AF"/>
    <w:rsid w:val="00D37646"/>
    <w:rsid w:val="00D40556"/>
    <w:rsid w:val="00D418E9"/>
    <w:rsid w:val="00D41F74"/>
    <w:rsid w:val="00D428C8"/>
    <w:rsid w:val="00D43034"/>
    <w:rsid w:val="00D43230"/>
    <w:rsid w:val="00D43ED2"/>
    <w:rsid w:val="00D4575A"/>
    <w:rsid w:val="00D46A31"/>
    <w:rsid w:val="00D46D53"/>
    <w:rsid w:val="00D47573"/>
    <w:rsid w:val="00D47B3B"/>
    <w:rsid w:val="00D50F46"/>
    <w:rsid w:val="00D51BC9"/>
    <w:rsid w:val="00D5302A"/>
    <w:rsid w:val="00D533C4"/>
    <w:rsid w:val="00D5384E"/>
    <w:rsid w:val="00D544E7"/>
    <w:rsid w:val="00D5499F"/>
    <w:rsid w:val="00D5560A"/>
    <w:rsid w:val="00D55E68"/>
    <w:rsid w:val="00D560DC"/>
    <w:rsid w:val="00D56FBF"/>
    <w:rsid w:val="00D57677"/>
    <w:rsid w:val="00D5781F"/>
    <w:rsid w:val="00D60415"/>
    <w:rsid w:val="00D60892"/>
    <w:rsid w:val="00D60DAE"/>
    <w:rsid w:val="00D60E3C"/>
    <w:rsid w:val="00D60FA7"/>
    <w:rsid w:val="00D61917"/>
    <w:rsid w:val="00D61E7D"/>
    <w:rsid w:val="00D61FAB"/>
    <w:rsid w:val="00D62C4E"/>
    <w:rsid w:val="00D62FB5"/>
    <w:rsid w:val="00D63BE5"/>
    <w:rsid w:val="00D63FCF"/>
    <w:rsid w:val="00D6475F"/>
    <w:rsid w:val="00D652EB"/>
    <w:rsid w:val="00D65580"/>
    <w:rsid w:val="00D655D4"/>
    <w:rsid w:val="00D66223"/>
    <w:rsid w:val="00D667B8"/>
    <w:rsid w:val="00D66C85"/>
    <w:rsid w:val="00D6707B"/>
    <w:rsid w:val="00D67369"/>
    <w:rsid w:val="00D67D55"/>
    <w:rsid w:val="00D70289"/>
    <w:rsid w:val="00D7041F"/>
    <w:rsid w:val="00D70822"/>
    <w:rsid w:val="00D70C5A"/>
    <w:rsid w:val="00D72076"/>
    <w:rsid w:val="00D721B4"/>
    <w:rsid w:val="00D726A9"/>
    <w:rsid w:val="00D72DBA"/>
    <w:rsid w:val="00D73012"/>
    <w:rsid w:val="00D743E0"/>
    <w:rsid w:val="00D7469D"/>
    <w:rsid w:val="00D746BE"/>
    <w:rsid w:val="00D746CF"/>
    <w:rsid w:val="00D74794"/>
    <w:rsid w:val="00D7490C"/>
    <w:rsid w:val="00D7497E"/>
    <w:rsid w:val="00D74DBC"/>
    <w:rsid w:val="00D75AC1"/>
    <w:rsid w:val="00D75E71"/>
    <w:rsid w:val="00D75FB7"/>
    <w:rsid w:val="00D763AD"/>
    <w:rsid w:val="00D767D5"/>
    <w:rsid w:val="00D77252"/>
    <w:rsid w:val="00D8084C"/>
    <w:rsid w:val="00D81809"/>
    <w:rsid w:val="00D8188C"/>
    <w:rsid w:val="00D82EF1"/>
    <w:rsid w:val="00D839E9"/>
    <w:rsid w:val="00D84060"/>
    <w:rsid w:val="00D84CC9"/>
    <w:rsid w:val="00D84F43"/>
    <w:rsid w:val="00D85114"/>
    <w:rsid w:val="00D85821"/>
    <w:rsid w:val="00D8598C"/>
    <w:rsid w:val="00D85DD8"/>
    <w:rsid w:val="00D861A7"/>
    <w:rsid w:val="00D8710D"/>
    <w:rsid w:val="00D87C06"/>
    <w:rsid w:val="00D90E41"/>
    <w:rsid w:val="00D9113A"/>
    <w:rsid w:val="00D915EA"/>
    <w:rsid w:val="00D91819"/>
    <w:rsid w:val="00D919ED"/>
    <w:rsid w:val="00D922A1"/>
    <w:rsid w:val="00D9288A"/>
    <w:rsid w:val="00D928BE"/>
    <w:rsid w:val="00D92CD7"/>
    <w:rsid w:val="00D92FC2"/>
    <w:rsid w:val="00D92FFF"/>
    <w:rsid w:val="00D932B8"/>
    <w:rsid w:val="00D932F0"/>
    <w:rsid w:val="00D951DF"/>
    <w:rsid w:val="00D95302"/>
    <w:rsid w:val="00D95889"/>
    <w:rsid w:val="00D95C5D"/>
    <w:rsid w:val="00D95CBE"/>
    <w:rsid w:val="00D95E7F"/>
    <w:rsid w:val="00D97483"/>
    <w:rsid w:val="00D97D00"/>
    <w:rsid w:val="00DA0121"/>
    <w:rsid w:val="00DA096C"/>
    <w:rsid w:val="00DA107E"/>
    <w:rsid w:val="00DA114D"/>
    <w:rsid w:val="00DA1AB6"/>
    <w:rsid w:val="00DA214B"/>
    <w:rsid w:val="00DA2E65"/>
    <w:rsid w:val="00DA308B"/>
    <w:rsid w:val="00DA37DE"/>
    <w:rsid w:val="00DA3ADF"/>
    <w:rsid w:val="00DA4174"/>
    <w:rsid w:val="00DA544C"/>
    <w:rsid w:val="00DA5ED5"/>
    <w:rsid w:val="00DA5F8E"/>
    <w:rsid w:val="00DA6364"/>
    <w:rsid w:val="00DA6F31"/>
    <w:rsid w:val="00DA7114"/>
    <w:rsid w:val="00DA7C0C"/>
    <w:rsid w:val="00DA7E2F"/>
    <w:rsid w:val="00DA7F73"/>
    <w:rsid w:val="00DB03DD"/>
    <w:rsid w:val="00DB08A9"/>
    <w:rsid w:val="00DB0B33"/>
    <w:rsid w:val="00DB0EBF"/>
    <w:rsid w:val="00DB0FD9"/>
    <w:rsid w:val="00DB13EF"/>
    <w:rsid w:val="00DB1CD3"/>
    <w:rsid w:val="00DB1D89"/>
    <w:rsid w:val="00DB1ECC"/>
    <w:rsid w:val="00DB2495"/>
    <w:rsid w:val="00DB28CB"/>
    <w:rsid w:val="00DB2DFA"/>
    <w:rsid w:val="00DB2EC8"/>
    <w:rsid w:val="00DB321D"/>
    <w:rsid w:val="00DB459B"/>
    <w:rsid w:val="00DB47FD"/>
    <w:rsid w:val="00DB4BF1"/>
    <w:rsid w:val="00DB4FF3"/>
    <w:rsid w:val="00DB5E3A"/>
    <w:rsid w:val="00DB5E9A"/>
    <w:rsid w:val="00DB613B"/>
    <w:rsid w:val="00DB657E"/>
    <w:rsid w:val="00DB6811"/>
    <w:rsid w:val="00DB7342"/>
    <w:rsid w:val="00DB7489"/>
    <w:rsid w:val="00DB7BD5"/>
    <w:rsid w:val="00DC0B4A"/>
    <w:rsid w:val="00DC0B4D"/>
    <w:rsid w:val="00DC0CBB"/>
    <w:rsid w:val="00DC0E33"/>
    <w:rsid w:val="00DC17D0"/>
    <w:rsid w:val="00DC1E5D"/>
    <w:rsid w:val="00DC2B41"/>
    <w:rsid w:val="00DC2EA7"/>
    <w:rsid w:val="00DC3128"/>
    <w:rsid w:val="00DC31B2"/>
    <w:rsid w:val="00DC435B"/>
    <w:rsid w:val="00DC4AC4"/>
    <w:rsid w:val="00DC506E"/>
    <w:rsid w:val="00DC53D8"/>
    <w:rsid w:val="00DC56FE"/>
    <w:rsid w:val="00DC5B3B"/>
    <w:rsid w:val="00DC5F11"/>
    <w:rsid w:val="00DC6C2D"/>
    <w:rsid w:val="00DC6CFA"/>
    <w:rsid w:val="00DC7B1A"/>
    <w:rsid w:val="00DD04B0"/>
    <w:rsid w:val="00DD0771"/>
    <w:rsid w:val="00DD0B84"/>
    <w:rsid w:val="00DD129F"/>
    <w:rsid w:val="00DD13FC"/>
    <w:rsid w:val="00DD1A3F"/>
    <w:rsid w:val="00DD29B5"/>
    <w:rsid w:val="00DD32DD"/>
    <w:rsid w:val="00DD33E8"/>
    <w:rsid w:val="00DD468D"/>
    <w:rsid w:val="00DD4BB7"/>
    <w:rsid w:val="00DD5287"/>
    <w:rsid w:val="00DD5B36"/>
    <w:rsid w:val="00DD68B6"/>
    <w:rsid w:val="00DD7849"/>
    <w:rsid w:val="00DD7900"/>
    <w:rsid w:val="00DE03DE"/>
    <w:rsid w:val="00DE08BF"/>
    <w:rsid w:val="00DE0D8B"/>
    <w:rsid w:val="00DE1237"/>
    <w:rsid w:val="00DE125C"/>
    <w:rsid w:val="00DE140F"/>
    <w:rsid w:val="00DE17E9"/>
    <w:rsid w:val="00DE1CE1"/>
    <w:rsid w:val="00DE2491"/>
    <w:rsid w:val="00DE273F"/>
    <w:rsid w:val="00DE27CD"/>
    <w:rsid w:val="00DE2982"/>
    <w:rsid w:val="00DE2B97"/>
    <w:rsid w:val="00DE3231"/>
    <w:rsid w:val="00DE3E22"/>
    <w:rsid w:val="00DE3E5D"/>
    <w:rsid w:val="00DE450F"/>
    <w:rsid w:val="00DE4865"/>
    <w:rsid w:val="00DE59CA"/>
    <w:rsid w:val="00DE5BED"/>
    <w:rsid w:val="00DE5CA6"/>
    <w:rsid w:val="00DE5E55"/>
    <w:rsid w:val="00DE601B"/>
    <w:rsid w:val="00DE6209"/>
    <w:rsid w:val="00DE63AE"/>
    <w:rsid w:val="00DE7156"/>
    <w:rsid w:val="00DE761A"/>
    <w:rsid w:val="00DE794E"/>
    <w:rsid w:val="00DE7AC8"/>
    <w:rsid w:val="00DF0830"/>
    <w:rsid w:val="00DF1D57"/>
    <w:rsid w:val="00DF2C5D"/>
    <w:rsid w:val="00DF2CD3"/>
    <w:rsid w:val="00DF3509"/>
    <w:rsid w:val="00DF3643"/>
    <w:rsid w:val="00DF3F5C"/>
    <w:rsid w:val="00DF42FF"/>
    <w:rsid w:val="00DF4369"/>
    <w:rsid w:val="00DF4423"/>
    <w:rsid w:val="00DF4ADF"/>
    <w:rsid w:val="00DF4D59"/>
    <w:rsid w:val="00DF57D6"/>
    <w:rsid w:val="00DF589A"/>
    <w:rsid w:val="00DF5912"/>
    <w:rsid w:val="00DF5D1E"/>
    <w:rsid w:val="00DF6DDE"/>
    <w:rsid w:val="00DF70DA"/>
    <w:rsid w:val="00DF77E4"/>
    <w:rsid w:val="00DF7F88"/>
    <w:rsid w:val="00E00B88"/>
    <w:rsid w:val="00E01C0E"/>
    <w:rsid w:val="00E034A1"/>
    <w:rsid w:val="00E0368F"/>
    <w:rsid w:val="00E03D73"/>
    <w:rsid w:val="00E03F9A"/>
    <w:rsid w:val="00E040DA"/>
    <w:rsid w:val="00E041A3"/>
    <w:rsid w:val="00E04694"/>
    <w:rsid w:val="00E05333"/>
    <w:rsid w:val="00E059E1"/>
    <w:rsid w:val="00E06436"/>
    <w:rsid w:val="00E07458"/>
    <w:rsid w:val="00E1168B"/>
    <w:rsid w:val="00E12191"/>
    <w:rsid w:val="00E129E7"/>
    <w:rsid w:val="00E12ABE"/>
    <w:rsid w:val="00E12B1E"/>
    <w:rsid w:val="00E135EB"/>
    <w:rsid w:val="00E13995"/>
    <w:rsid w:val="00E139EC"/>
    <w:rsid w:val="00E13C59"/>
    <w:rsid w:val="00E1444C"/>
    <w:rsid w:val="00E149CC"/>
    <w:rsid w:val="00E14F1C"/>
    <w:rsid w:val="00E1509D"/>
    <w:rsid w:val="00E15863"/>
    <w:rsid w:val="00E159C6"/>
    <w:rsid w:val="00E1672D"/>
    <w:rsid w:val="00E17262"/>
    <w:rsid w:val="00E17F36"/>
    <w:rsid w:val="00E20016"/>
    <w:rsid w:val="00E2009B"/>
    <w:rsid w:val="00E20733"/>
    <w:rsid w:val="00E20918"/>
    <w:rsid w:val="00E20BB9"/>
    <w:rsid w:val="00E20BCC"/>
    <w:rsid w:val="00E2251C"/>
    <w:rsid w:val="00E2363D"/>
    <w:rsid w:val="00E23C6A"/>
    <w:rsid w:val="00E2449B"/>
    <w:rsid w:val="00E2484B"/>
    <w:rsid w:val="00E24995"/>
    <w:rsid w:val="00E25038"/>
    <w:rsid w:val="00E253A2"/>
    <w:rsid w:val="00E25A96"/>
    <w:rsid w:val="00E2602F"/>
    <w:rsid w:val="00E260F6"/>
    <w:rsid w:val="00E26F37"/>
    <w:rsid w:val="00E27127"/>
    <w:rsid w:val="00E27233"/>
    <w:rsid w:val="00E274BB"/>
    <w:rsid w:val="00E27B5F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12B"/>
    <w:rsid w:val="00E35439"/>
    <w:rsid w:val="00E3575B"/>
    <w:rsid w:val="00E35A16"/>
    <w:rsid w:val="00E35A53"/>
    <w:rsid w:val="00E3634A"/>
    <w:rsid w:val="00E3656B"/>
    <w:rsid w:val="00E36767"/>
    <w:rsid w:val="00E3712B"/>
    <w:rsid w:val="00E3724A"/>
    <w:rsid w:val="00E378B1"/>
    <w:rsid w:val="00E37BDD"/>
    <w:rsid w:val="00E40295"/>
    <w:rsid w:val="00E41131"/>
    <w:rsid w:val="00E41179"/>
    <w:rsid w:val="00E41634"/>
    <w:rsid w:val="00E417BE"/>
    <w:rsid w:val="00E41CD5"/>
    <w:rsid w:val="00E41E5D"/>
    <w:rsid w:val="00E42054"/>
    <w:rsid w:val="00E42326"/>
    <w:rsid w:val="00E428A7"/>
    <w:rsid w:val="00E4372D"/>
    <w:rsid w:val="00E43A9E"/>
    <w:rsid w:val="00E43E1A"/>
    <w:rsid w:val="00E43E2E"/>
    <w:rsid w:val="00E43E77"/>
    <w:rsid w:val="00E44243"/>
    <w:rsid w:val="00E4529D"/>
    <w:rsid w:val="00E4539A"/>
    <w:rsid w:val="00E453F9"/>
    <w:rsid w:val="00E45D7D"/>
    <w:rsid w:val="00E4623F"/>
    <w:rsid w:val="00E4665D"/>
    <w:rsid w:val="00E47394"/>
    <w:rsid w:val="00E47854"/>
    <w:rsid w:val="00E478E2"/>
    <w:rsid w:val="00E47A9B"/>
    <w:rsid w:val="00E47B61"/>
    <w:rsid w:val="00E47C5D"/>
    <w:rsid w:val="00E47EBA"/>
    <w:rsid w:val="00E50156"/>
    <w:rsid w:val="00E504EB"/>
    <w:rsid w:val="00E5076C"/>
    <w:rsid w:val="00E50D2E"/>
    <w:rsid w:val="00E50D7D"/>
    <w:rsid w:val="00E51DE0"/>
    <w:rsid w:val="00E51EF0"/>
    <w:rsid w:val="00E529B1"/>
    <w:rsid w:val="00E53470"/>
    <w:rsid w:val="00E5368D"/>
    <w:rsid w:val="00E539F6"/>
    <w:rsid w:val="00E53B5B"/>
    <w:rsid w:val="00E54698"/>
    <w:rsid w:val="00E54BE9"/>
    <w:rsid w:val="00E54D22"/>
    <w:rsid w:val="00E54FB4"/>
    <w:rsid w:val="00E5539A"/>
    <w:rsid w:val="00E55791"/>
    <w:rsid w:val="00E55E1A"/>
    <w:rsid w:val="00E56BA4"/>
    <w:rsid w:val="00E578A2"/>
    <w:rsid w:val="00E579ED"/>
    <w:rsid w:val="00E60043"/>
    <w:rsid w:val="00E61740"/>
    <w:rsid w:val="00E61CD0"/>
    <w:rsid w:val="00E61EB5"/>
    <w:rsid w:val="00E6324D"/>
    <w:rsid w:val="00E63BAE"/>
    <w:rsid w:val="00E6423D"/>
    <w:rsid w:val="00E647C1"/>
    <w:rsid w:val="00E64CDB"/>
    <w:rsid w:val="00E65084"/>
    <w:rsid w:val="00E6519D"/>
    <w:rsid w:val="00E66062"/>
    <w:rsid w:val="00E660B1"/>
    <w:rsid w:val="00E6660E"/>
    <w:rsid w:val="00E66768"/>
    <w:rsid w:val="00E67305"/>
    <w:rsid w:val="00E67696"/>
    <w:rsid w:val="00E677DB"/>
    <w:rsid w:val="00E67A58"/>
    <w:rsid w:val="00E709AF"/>
    <w:rsid w:val="00E70B51"/>
    <w:rsid w:val="00E70C5F"/>
    <w:rsid w:val="00E70C94"/>
    <w:rsid w:val="00E71A58"/>
    <w:rsid w:val="00E7263B"/>
    <w:rsid w:val="00E728D7"/>
    <w:rsid w:val="00E72A26"/>
    <w:rsid w:val="00E72A7A"/>
    <w:rsid w:val="00E730ED"/>
    <w:rsid w:val="00E7335A"/>
    <w:rsid w:val="00E73986"/>
    <w:rsid w:val="00E73BA7"/>
    <w:rsid w:val="00E7467D"/>
    <w:rsid w:val="00E747DC"/>
    <w:rsid w:val="00E749D9"/>
    <w:rsid w:val="00E74A2D"/>
    <w:rsid w:val="00E75C94"/>
    <w:rsid w:val="00E76A08"/>
    <w:rsid w:val="00E76B9B"/>
    <w:rsid w:val="00E76E61"/>
    <w:rsid w:val="00E76EE4"/>
    <w:rsid w:val="00E77CC0"/>
    <w:rsid w:val="00E80393"/>
    <w:rsid w:val="00E80735"/>
    <w:rsid w:val="00E80B3D"/>
    <w:rsid w:val="00E80CA3"/>
    <w:rsid w:val="00E81AAA"/>
    <w:rsid w:val="00E821ED"/>
    <w:rsid w:val="00E82473"/>
    <w:rsid w:val="00E82618"/>
    <w:rsid w:val="00E82A42"/>
    <w:rsid w:val="00E82AB6"/>
    <w:rsid w:val="00E82D9B"/>
    <w:rsid w:val="00E83881"/>
    <w:rsid w:val="00E84295"/>
    <w:rsid w:val="00E8431C"/>
    <w:rsid w:val="00E84E09"/>
    <w:rsid w:val="00E864A9"/>
    <w:rsid w:val="00E8755C"/>
    <w:rsid w:val="00E87CE2"/>
    <w:rsid w:val="00E87D5B"/>
    <w:rsid w:val="00E90CA8"/>
    <w:rsid w:val="00E911C6"/>
    <w:rsid w:val="00E9180C"/>
    <w:rsid w:val="00E920DE"/>
    <w:rsid w:val="00E929F7"/>
    <w:rsid w:val="00E930A1"/>
    <w:rsid w:val="00E93820"/>
    <w:rsid w:val="00E93FD5"/>
    <w:rsid w:val="00E94A86"/>
    <w:rsid w:val="00E94D29"/>
    <w:rsid w:val="00E950EC"/>
    <w:rsid w:val="00E951AB"/>
    <w:rsid w:val="00E953F6"/>
    <w:rsid w:val="00E95AD1"/>
    <w:rsid w:val="00E96143"/>
    <w:rsid w:val="00E96833"/>
    <w:rsid w:val="00E973A5"/>
    <w:rsid w:val="00E97506"/>
    <w:rsid w:val="00E97BB5"/>
    <w:rsid w:val="00E97D5B"/>
    <w:rsid w:val="00E97F14"/>
    <w:rsid w:val="00EA0B1A"/>
    <w:rsid w:val="00EA0C68"/>
    <w:rsid w:val="00EA0E39"/>
    <w:rsid w:val="00EA1C07"/>
    <w:rsid w:val="00EA1D0E"/>
    <w:rsid w:val="00EA1EBB"/>
    <w:rsid w:val="00EA2072"/>
    <w:rsid w:val="00EA2275"/>
    <w:rsid w:val="00EA242A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5892"/>
    <w:rsid w:val="00EA5895"/>
    <w:rsid w:val="00EA7419"/>
    <w:rsid w:val="00EA74B6"/>
    <w:rsid w:val="00EA7B22"/>
    <w:rsid w:val="00EA7E4F"/>
    <w:rsid w:val="00EB0E32"/>
    <w:rsid w:val="00EB13FC"/>
    <w:rsid w:val="00EB1C78"/>
    <w:rsid w:val="00EB1CDC"/>
    <w:rsid w:val="00EB1D89"/>
    <w:rsid w:val="00EB3137"/>
    <w:rsid w:val="00EB3E60"/>
    <w:rsid w:val="00EB4511"/>
    <w:rsid w:val="00EB48D7"/>
    <w:rsid w:val="00EB49F1"/>
    <w:rsid w:val="00EB4A8E"/>
    <w:rsid w:val="00EB4BC5"/>
    <w:rsid w:val="00EB5BF7"/>
    <w:rsid w:val="00EB5E79"/>
    <w:rsid w:val="00EB62E0"/>
    <w:rsid w:val="00EB6473"/>
    <w:rsid w:val="00EB6B48"/>
    <w:rsid w:val="00EB6DA6"/>
    <w:rsid w:val="00EB6FAC"/>
    <w:rsid w:val="00EB7749"/>
    <w:rsid w:val="00EB7BAC"/>
    <w:rsid w:val="00EB7CC9"/>
    <w:rsid w:val="00EB7D07"/>
    <w:rsid w:val="00EC03D7"/>
    <w:rsid w:val="00EC05F2"/>
    <w:rsid w:val="00EC13A7"/>
    <w:rsid w:val="00EC181D"/>
    <w:rsid w:val="00EC189D"/>
    <w:rsid w:val="00EC1C50"/>
    <w:rsid w:val="00EC2EB6"/>
    <w:rsid w:val="00EC37E0"/>
    <w:rsid w:val="00EC4FFF"/>
    <w:rsid w:val="00EC5517"/>
    <w:rsid w:val="00EC5A1E"/>
    <w:rsid w:val="00EC5B0A"/>
    <w:rsid w:val="00EC6E8C"/>
    <w:rsid w:val="00EC73EF"/>
    <w:rsid w:val="00EC7BAA"/>
    <w:rsid w:val="00ED0962"/>
    <w:rsid w:val="00ED0B84"/>
    <w:rsid w:val="00ED0ED8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C87"/>
    <w:rsid w:val="00ED2E2F"/>
    <w:rsid w:val="00ED2EA1"/>
    <w:rsid w:val="00ED3851"/>
    <w:rsid w:val="00ED3B10"/>
    <w:rsid w:val="00ED3E51"/>
    <w:rsid w:val="00ED3F10"/>
    <w:rsid w:val="00ED3F9B"/>
    <w:rsid w:val="00ED3FB3"/>
    <w:rsid w:val="00ED4D04"/>
    <w:rsid w:val="00ED566D"/>
    <w:rsid w:val="00ED5907"/>
    <w:rsid w:val="00ED5F5B"/>
    <w:rsid w:val="00ED602C"/>
    <w:rsid w:val="00ED62C6"/>
    <w:rsid w:val="00ED64C1"/>
    <w:rsid w:val="00ED6559"/>
    <w:rsid w:val="00ED6A2D"/>
    <w:rsid w:val="00ED6DC9"/>
    <w:rsid w:val="00ED781F"/>
    <w:rsid w:val="00EE0E7E"/>
    <w:rsid w:val="00EE106A"/>
    <w:rsid w:val="00EE1291"/>
    <w:rsid w:val="00EE249F"/>
    <w:rsid w:val="00EE291D"/>
    <w:rsid w:val="00EE2EB4"/>
    <w:rsid w:val="00EE32FA"/>
    <w:rsid w:val="00EE3446"/>
    <w:rsid w:val="00EE3E78"/>
    <w:rsid w:val="00EE41FD"/>
    <w:rsid w:val="00EE460E"/>
    <w:rsid w:val="00EE4B1B"/>
    <w:rsid w:val="00EE5D5C"/>
    <w:rsid w:val="00EE5FBA"/>
    <w:rsid w:val="00EE601C"/>
    <w:rsid w:val="00EE6A09"/>
    <w:rsid w:val="00EE6E06"/>
    <w:rsid w:val="00EE7179"/>
    <w:rsid w:val="00EE7570"/>
    <w:rsid w:val="00EF041F"/>
    <w:rsid w:val="00EF068B"/>
    <w:rsid w:val="00EF0B04"/>
    <w:rsid w:val="00EF0D90"/>
    <w:rsid w:val="00EF1067"/>
    <w:rsid w:val="00EF150D"/>
    <w:rsid w:val="00EF179E"/>
    <w:rsid w:val="00EF1967"/>
    <w:rsid w:val="00EF1F5A"/>
    <w:rsid w:val="00EF23B5"/>
    <w:rsid w:val="00EF326A"/>
    <w:rsid w:val="00EF3898"/>
    <w:rsid w:val="00EF40C5"/>
    <w:rsid w:val="00EF433F"/>
    <w:rsid w:val="00EF47BF"/>
    <w:rsid w:val="00EF52F7"/>
    <w:rsid w:val="00EF54CF"/>
    <w:rsid w:val="00EF59B1"/>
    <w:rsid w:val="00EF5A13"/>
    <w:rsid w:val="00EF5E81"/>
    <w:rsid w:val="00EF5FF9"/>
    <w:rsid w:val="00EF77D4"/>
    <w:rsid w:val="00EF7CC7"/>
    <w:rsid w:val="00EF7FFC"/>
    <w:rsid w:val="00F00535"/>
    <w:rsid w:val="00F00853"/>
    <w:rsid w:val="00F00866"/>
    <w:rsid w:val="00F00EC8"/>
    <w:rsid w:val="00F013DB"/>
    <w:rsid w:val="00F0160B"/>
    <w:rsid w:val="00F0193E"/>
    <w:rsid w:val="00F01EA8"/>
    <w:rsid w:val="00F036B0"/>
    <w:rsid w:val="00F03E2F"/>
    <w:rsid w:val="00F03F50"/>
    <w:rsid w:val="00F03F8D"/>
    <w:rsid w:val="00F0408A"/>
    <w:rsid w:val="00F04811"/>
    <w:rsid w:val="00F0488C"/>
    <w:rsid w:val="00F04955"/>
    <w:rsid w:val="00F04E85"/>
    <w:rsid w:val="00F052CC"/>
    <w:rsid w:val="00F052D2"/>
    <w:rsid w:val="00F0566C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43F"/>
    <w:rsid w:val="00F12CFB"/>
    <w:rsid w:val="00F13E60"/>
    <w:rsid w:val="00F13FDB"/>
    <w:rsid w:val="00F14AC8"/>
    <w:rsid w:val="00F157DD"/>
    <w:rsid w:val="00F15AAA"/>
    <w:rsid w:val="00F15BEF"/>
    <w:rsid w:val="00F1770C"/>
    <w:rsid w:val="00F17898"/>
    <w:rsid w:val="00F204BF"/>
    <w:rsid w:val="00F207C2"/>
    <w:rsid w:val="00F211FC"/>
    <w:rsid w:val="00F21337"/>
    <w:rsid w:val="00F219A1"/>
    <w:rsid w:val="00F2232C"/>
    <w:rsid w:val="00F2334D"/>
    <w:rsid w:val="00F2338A"/>
    <w:rsid w:val="00F23927"/>
    <w:rsid w:val="00F23E20"/>
    <w:rsid w:val="00F24407"/>
    <w:rsid w:val="00F249CE"/>
    <w:rsid w:val="00F24FAA"/>
    <w:rsid w:val="00F25040"/>
    <w:rsid w:val="00F269D7"/>
    <w:rsid w:val="00F26B48"/>
    <w:rsid w:val="00F26FB5"/>
    <w:rsid w:val="00F27071"/>
    <w:rsid w:val="00F27331"/>
    <w:rsid w:val="00F276D3"/>
    <w:rsid w:val="00F27E47"/>
    <w:rsid w:val="00F27E57"/>
    <w:rsid w:val="00F27EE5"/>
    <w:rsid w:val="00F27FB1"/>
    <w:rsid w:val="00F27FD6"/>
    <w:rsid w:val="00F307CB"/>
    <w:rsid w:val="00F307D7"/>
    <w:rsid w:val="00F30C0C"/>
    <w:rsid w:val="00F30C65"/>
    <w:rsid w:val="00F31475"/>
    <w:rsid w:val="00F321D2"/>
    <w:rsid w:val="00F32649"/>
    <w:rsid w:val="00F3288B"/>
    <w:rsid w:val="00F32921"/>
    <w:rsid w:val="00F33523"/>
    <w:rsid w:val="00F3364D"/>
    <w:rsid w:val="00F33914"/>
    <w:rsid w:val="00F349BF"/>
    <w:rsid w:val="00F34AAD"/>
    <w:rsid w:val="00F34DDC"/>
    <w:rsid w:val="00F350EC"/>
    <w:rsid w:val="00F35EE5"/>
    <w:rsid w:val="00F36191"/>
    <w:rsid w:val="00F3629F"/>
    <w:rsid w:val="00F36DBB"/>
    <w:rsid w:val="00F36DF3"/>
    <w:rsid w:val="00F36E9A"/>
    <w:rsid w:val="00F37362"/>
    <w:rsid w:val="00F37638"/>
    <w:rsid w:val="00F37EDC"/>
    <w:rsid w:val="00F41B52"/>
    <w:rsid w:val="00F422EF"/>
    <w:rsid w:val="00F42F1C"/>
    <w:rsid w:val="00F437CC"/>
    <w:rsid w:val="00F442E7"/>
    <w:rsid w:val="00F44537"/>
    <w:rsid w:val="00F44943"/>
    <w:rsid w:val="00F450B7"/>
    <w:rsid w:val="00F4544B"/>
    <w:rsid w:val="00F46185"/>
    <w:rsid w:val="00F46423"/>
    <w:rsid w:val="00F4696A"/>
    <w:rsid w:val="00F47067"/>
    <w:rsid w:val="00F47234"/>
    <w:rsid w:val="00F4729B"/>
    <w:rsid w:val="00F51ADD"/>
    <w:rsid w:val="00F525AB"/>
    <w:rsid w:val="00F525EB"/>
    <w:rsid w:val="00F52CB5"/>
    <w:rsid w:val="00F53378"/>
    <w:rsid w:val="00F53721"/>
    <w:rsid w:val="00F537D9"/>
    <w:rsid w:val="00F53917"/>
    <w:rsid w:val="00F539B0"/>
    <w:rsid w:val="00F53A68"/>
    <w:rsid w:val="00F5402A"/>
    <w:rsid w:val="00F544A4"/>
    <w:rsid w:val="00F54934"/>
    <w:rsid w:val="00F550DA"/>
    <w:rsid w:val="00F55A92"/>
    <w:rsid w:val="00F5615B"/>
    <w:rsid w:val="00F564D1"/>
    <w:rsid w:val="00F5661A"/>
    <w:rsid w:val="00F56D87"/>
    <w:rsid w:val="00F56FFB"/>
    <w:rsid w:val="00F575D3"/>
    <w:rsid w:val="00F577D1"/>
    <w:rsid w:val="00F57983"/>
    <w:rsid w:val="00F57A76"/>
    <w:rsid w:val="00F57D57"/>
    <w:rsid w:val="00F61288"/>
    <w:rsid w:val="00F6178B"/>
    <w:rsid w:val="00F627E5"/>
    <w:rsid w:val="00F62BFF"/>
    <w:rsid w:val="00F62CCE"/>
    <w:rsid w:val="00F63092"/>
    <w:rsid w:val="00F632ED"/>
    <w:rsid w:val="00F63AAE"/>
    <w:rsid w:val="00F63DDE"/>
    <w:rsid w:val="00F63FB7"/>
    <w:rsid w:val="00F6421B"/>
    <w:rsid w:val="00F647F1"/>
    <w:rsid w:val="00F649D2"/>
    <w:rsid w:val="00F64B8F"/>
    <w:rsid w:val="00F64D5A"/>
    <w:rsid w:val="00F6556B"/>
    <w:rsid w:val="00F6602B"/>
    <w:rsid w:val="00F663B7"/>
    <w:rsid w:val="00F6799D"/>
    <w:rsid w:val="00F679DA"/>
    <w:rsid w:val="00F71047"/>
    <w:rsid w:val="00F7150B"/>
    <w:rsid w:val="00F717E4"/>
    <w:rsid w:val="00F71A42"/>
    <w:rsid w:val="00F71A9A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6F3A"/>
    <w:rsid w:val="00F770F5"/>
    <w:rsid w:val="00F77590"/>
    <w:rsid w:val="00F77A50"/>
    <w:rsid w:val="00F81DE1"/>
    <w:rsid w:val="00F82D02"/>
    <w:rsid w:val="00F82D14"/>
    <w:rsid w:val="00F840A3"/>
    <w:rsid w:val="00F84BBE"/>
    <w:rsid w:val="00F84E7D"/>
    <w:rsid w:val="00F85066"/>
    <w:rsid w:val="00F85894"/>
    <w:rsid w:val="00F874F8"/>
    <w:rsid w:val="00F87A4D"/>
    <w:rsid w:val="00F87ACD"/>
    <w:rsid w:val="00F90C4F"/>
    <w:rsid w:val="00F90D5C"/>
    <w:rsid w:val="00F90EEB"/>
    <w:rsid w:val="00F9135C"/>
    <w:rsid w:val="00F91B66"/>
    <w:rsid w:val="00F91C9B"/>
    <w:rsid w:val="00F9236F"/>
    <w:rsid w:val="00F9354A"/>
    <w:rsid w:val="00F93688"/>
    <w:rsid w:val="00F939F3"/>
    <w:rsid w:val="00F93C6E"/>
    <w:rsid w:val="00F93F2C"/>
    <w:rsid w:val="00F93FFB"/>
    <w:rsid w:val="00F94437"/>
    <w:rsid w:val="00F947E9"/>
    <w:rsid w:val="00F94E7B"/>
    <w:rsid w:val="00F95408"/>
    <w:rsid w:val="00F962AD"/>
    <w:rsid w:val="00F9644E"/>
    <w:rsid w:val="00F9745B"/>
    <w:rsid w:val="00F978D1"/>
    <w:rsid w:val="00FA0105"/>
    <w:rsid w:val="00FA05A0"/>
    <w:rsid w:val="00FA0AEF"/>
    <w:rsid w:val="00FA101C"/>
    <w:rsid w:val="00FA17CC"/>
    <w:rsid w:val="00FA1CFE"/>
    <w:rsid w:val="00FA1EE7"/>
    <w:rsid w:val="00FA1F01"/>
    <w:rsid w:val="00FA26DF"/>
    <w:rsid w:val="00FA2C07"/>
    <w:rsid w:val="00FA2FEC"/>
    <w:rsid w:val="00FA32BC"/>
    <w:rsid w:val="00FA3AE5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1B2"/>
    <w:rsid w:val="00FA7999"/>
    <w:rsid w:val="00FA7AEC"/>
    <w:rsid w:val="00FA7BCA"/>
    <w:rsid w:val="00FB0AEA"/>
    <w:rsid w:val="00FB0EE2"/>
    <w:rsid w:val="00FB1408"/>
    <w:rsid w:val="00FB1469"/>
    <w:rsid w:val="00FB1A79"/>
    <w:rsid w:val="00FB1BA4"/>
    <w:rsid w:val="00FB208B"/>
    <w:rsid w:val="00FB2A1A"/>
    <w:rsid w:val="00FB2B2D"/>
    <w:rsid w:val="00FB4A8C"/>
    <w:rsid w:val="00FB4B0D"/>
    <w:rsid w:val="00FB542E"/>
    <w:rsid w:val="00FB5580"/>
    <w:rsid w:val="00FB564F"/>
    <w:rsid w:val="00FB5D36"/>
    <w:rsid w:val="00FB668E"/>
    <w:rsid w:val="00FB68E7"/>
    <w:rsid w:val="00FB6B4D"/>
    <w:rsid w:val="00FB7DBB"/>
    <w:rsid w:val="00FC05F8"/>
    <w:rsid w:val="00FC077B"/>
    <w:rsid w:val="00FC0E5F"/>
    <w:rsid w:val="00FC1070"/>
    <w:rsid w:val="00FC1266"/>
    <w:rsid w:val="00FC1A95"/>
    <w:rsid w:val="00FC1BFA"/>
    <w:rsid w:val="00FC1ED4"/>
    <w:rsid w:val="00FC2374"/>
    <w:rsid w:val="00FC283B"/>
    <w:rsid w:val="00FC3123"/>
    <w:rsid w:val="00FC3BEC"/>
    <w:rsid w:val="00FC42C5"/>
    <w:rsid w:val="00FC440B"/>
    <w:rsid w:val="00FC4F31"/>
    <w:rsid w:val="00FC56DE"/>
    <w:rsid w:val="00FC5F81"/>
    <w:rsid w:val="00FC60A5"/>
    <w:rsid w:val="00FC63D9"/>
    <w:rsid w:val="00FC64DE"/>
    <w:rsid w:val="00FC6785"/>
    <w:rsid w:val="00FC684B"/>
    <w:rsid w:val="00FC6D6A"/>
    <w:rsid w:val="00FC6DDC"/>
    <w:rsid w:val="00FC770C"/>
    <w:rsid w:val="00FC7945"/>
    <w:rsid w:val="00FC7D98"/>
    <w:rsid w:val="00FD1135"/>
    <w:rsid w:val="00FD2A9F"/>
    <w:rsid w:val="00FD3265"/>
    <w:rsid w:val="00FD3CF7"/>
    <w:rsid w:val="00FD40CC"/>
    <w:rsid w:val="00FD4124"/>
    <w:rsid w:val="00FD4372"/>
    <w:rsid w:val="00FD4916"/>
    <w:rsid w:val="00FD4C86"/>
    <w:rsid w:val="00FD4D12"/>
    <w:rsid w:val="00FD4F73"/>
    <w:rsid w:val="00FD5056"/>
    <w:rsid w:val="00FD595E"/>
    <w:rsid w:val="00FD5E19"/>
    <w:rsid w:val="00FD6667"/>
    <w:rsid w:val="00FD6D33"/>
    <w:rsid w:val="00FD7802"/>
    <w:rsid w:val="00FD78C3"/>
    <w:rsid w:val="00FD7D3B"/>
    <w:rsid w:val="00FD7FBE"/>
    <w:rsid w:val="00FE0712"/>
    <w:rsid w:val="00FE0C26"/>
    <w:rsid w:val="00FE0FF0"/>
    <w:rsid w:val="00FE18A8"/>
    <w:rsid w:val="00FE1DA9"/>
    <w:rsid w:val="00FE2357"/>
    <w:rsid w:val="00FE27C7"/>
    <w:rsid w:val="00FE2C7E"/>
    <w:rsid w:val="00FE2F78"/>
    <w:rsid w:val="00FE3137"/>
    <w:rsid w:val="00FE346B"/>
    <w:rsid w:val="00FE346F"/>
    <w:rsid w:val="00FE3A8C"/>
    <w:rsid w:val="00FE431E"/>
    <w:rsid w:val="00FE460E"/>
    <w:rsid w:val="00FE4879"/>
    <w:rsid w:val="00FE48E4"/>
    <w:rsid w:val="00FE4E8C"/>
    <w:rsid w:val="00FE4EBA"/>
    <w:rsid w:val="00FE5466"/>
    <w:rsid w:val="00FE634C"/>
    <w:rsid w:val="00FE635F"/>
    <w:rsid w:val="00FE6E69"/>
    <w:rsid w:val="00FE6F59"/>
    <w:rsid w:val="00FE7A6A"/>
    <w:rsid w:val="00FF01B6"/>
    <w:rsid w:val="00FF0942"/>
    <w:rsid w:val="00FF0989"/>
    <w:rsid w:val="00FF0F79"/>
    <w:rsid w:val="00FF0FB0"/>
    <w:rsid w:val="00FF1136"/>
    <w:rsid w:val="00FF1814"/>
    <w:rsid w:val="00FF27E2"/>
    <w:rsid w:val="00FF2C97"/>
    <w:rsid w:val="00FF3D76"/>
    <w:rsid w:val="00FF4667"/>
    <w:rsid w:val="00FF5053"/>
    <w:rsid w:val="00FF556A"/>
    <w:rsid w:val="00FF5B8C"/>
    <w:rsid w:val="00FF63E6"/>
    <w:rsid w:val="00FF72DC"/>
    <w:rsid w:val="00FF7B96"/>
    <w:rsid w:val="019CB78C"/>
    <w:rsid w:val="0241D284"/>
    <w:rsid w:val="04BD1937"/>
    <w:rsid w:val="0523CDF2"/>
    <w:rsid w:val="06B1A837"/>
    <w:rsid w:val="07FB41B9"/>
    <w:rsid w:val="08A648BF"/>
    <w:rsid w:val="08AB0269"/>
    <w:rsid w:val="0A844D4D"/>
    <w:rsid w:val="0BCD71E1"/>
    <w:rsid w:val="0EBE9DEC"/>
    <w:rsid w:val="0FBB85B6"/>
    <w:rsid w:val="12650F4E"/>
    <w:rsid w:val="1371242A"/>
    <w:rsid w:val="1394E51D"/>
    <w:rsid w:val="14DB2A87"/>
    <w:rsid w:val="15DD577B"/>
    <w:rsid w:val="16EC38E2"/>
    <w:rsid w:val="17178072"/>
    <w:rsid w:val="173F358F"/>
    <w:rsid w:val="17513AF8"/>
    <w:rsid w:val="1812CB49"/>
    <w:rsid w:val="1B53A8C8"/>
    <w:rsid w:val="1BEE6986"/>
    <w:rsid w:val="20D21749"/>
    <w:rsid w:val="2111A021"/>
    <w:rsid w:val="21BE069A"/>
    <w:rsid w:val="224238BC"/>
    <w:rsid w:val="224482AD"/>
    <w:rsid w:val="23E0530E"/>
    <w:rsid w:val="24FC0D77"/>
    <w:rsid w:val="2A0E9F3A"/>
    <w:rsid w:val="2A2A6298"/>
    <w:rsid w:val="2F72CB2D"/>
    <w:rsid w:val="3204B56C"/>
    <w:rsid w:val="36A6CB7D"/>
    <w:rsid w:val="37D604A5"/>
    <w:rsid w:val="38C72AFC"/>
    <w:rsid w:val="3A31F626"/>
    <w:rsid w:val="3AA0BED0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5914544"/>
    <w:rsid w:val="581B14F9"/>
    <w:rsid w:val="58FD3BB8"/>
    <w:rsid w:val="5B145290"/>
    <w:rsid w:val="5CF587E8"/>
    <w:rsid w:val="5DD689BF"/>
    <w:rsid w:val="5E8D8646"/>
    <w:rsid w:val="60B2C930"/>
    <w:rsid w:val="64244C5C"/>
    <w:rsid w:val="64B5C10F"/>
    <w:rsid w:val="661E5011"/>
    <w:rsid w:val="67F8BB57"/>
    <w:rsid w:val="6AEA4E8B"/>
    <w:rsid w:val="6AEC8A78"/>
    <w:rsid w:val="6D951AA9"/>
    <w:rsid w:val="7059F910"/>
    <w:rsid w:val="74248E8F"/>
    <w:rsid w:val="74EA3077"/>
    <w:rsid w:val="754BB0AE"/>
    <w:rsid w:val="75B5B795"/>
    <w:rsid w:val="76D4E0D9"/>
    <w:rsid w:val="78058569"/>
    <w:rsid w:val="785B85D1"/>
    <w:rsid w:val="78E73CD1"/>
    <w:rsid w:val="78EC659F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56910147-D8D0-4759-AD79-65565E2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  <w:style w:type="character" w:customStyle="1" w:styleId="scxw9398236">
    <w:name w:val="scxw9398236"/>
    <w:basedOn w:val="Standardnpsmoodstavce"/>
    <w:rsid w:val="000D7C6F"/>
  </w:style>
  <w:style w:type="character" w:customStyle="1" w:styleId="superscript">
    <w:name w:val="superscript"/>
    <w:basedOn w:val="Standardnpsmoodstavce"/>
    <w:rsid w:val="000D7C6F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51A9B"/>
    <w:rPr>
      <w:rFonts w:ascii="Arial" w:eastAsia="Times New Roman" w:hAnsi="Arial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D1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update-of-the-compilation-method-international-trade-in-goods-change-of-ownersh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czsocz-my.sharepoint.com/personal/karolina_zabojnikova_czso_cz/Documents/Dokumenty/Anal&#253;za/Q/2023Q4/eng/Makroanal&#253;za%20grafy_e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czsocz-my.sharepoint.com/personal/karolina_zabojnikova_czso_cz/Documents/Dokumenty/Anal&#253;za/Q/2023Q4/eng/Makroanal&#253;za%20grafy_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069916774474014E-2"/>
          <c:y val="4.15424531457926E-2"/>
          <c:w val="0.88202003907252513"/>
          <c:h val="0.80321247760439507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'Vnější vztahy_a'!$D$4</c:f>
              <c:strCache>
                <c:ptCount val="1"/>
                <c:pt idx="0">
                  <c:v>Balance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'Vnější vztahy_a'!$A$8:$A$22</c:f>
              <c:strCache>
                <c:ptCount val="1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 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  <c:pt idx="13">
                  <c:v>2022</c:v>
                </c:pt>
                <c:pt idx="14">
                  <c:v>2023</c:v>
                </c:pt>
              </c:strCache>
            </c:strRef>
          </c:cat>
          <c:val>
            <c:numRef>
              <c:f>'Vnější vztahy_a'!$D$8:$D$22</c:f>
              <c:numCache>
                <c:formatCode>General</c:formatCode>
                <c:ptCount val="15"/>
                <c:pt idx="0">
                  <c:v>31.067</c:v>
                </c:pt>
                <c:pt idx="1">
                  <c:v>-20.579000000000001</c:v>
                </c:pt>
                <c:pt idx="2">
                  <c:v>11.977</c:v>
                </c:pt>
                <c:pt idx="3">
                  <c:v>64.41</c:v>
                </c:pt>
                <c:pt idx="4">
                  <c:v>106.518</c:v>
                </c:pt>
                <c:pt idx="5">
                  <c:v>146.00899999999999</c:v>
                </c:pt>
                <c:pt idx="6">
                  <c:v>130.97677807700001</c:v>
                </c:pt>
                <c:pt idx="7">
                  <c:v>163.65449183600001</c:v>
                </c:pt>
                <c:pt idx="8">
                  <c:v>163.466347926</c:v>
                </c:pt>
                <c:pt idx="9">
                  <c:v>98.465823833000002</c:v>
                </c:pt>
                <c:pt idx="10">
                  <c:v>145.694717411</c:v>
                </c:pt>
                <c:pt idx="11">
                  <c:v>179.640176981</c:v>
                </c:pt>
                <c:pt idx="12">
                  <c:v>-9.2046428369999997</c:v>
                </c:pt>
                <c:pt idx="13">
                  <c:v>-204.814584658</c:v>
                </c:pt>
                <c:pt idx="14">
                  <c:v>124.919996661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E6-474C-B5C6-CF6C28DA85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1842912"/>
        <c:axId val="1599917024"/>
      </c:barChart>
      <c:lineChart>
        <c:grouping val="standard"/>
        <c:varyColors val="0"/>
        <c:ser>
          <c:idx val="0"/>
          <c:order val="0"/>
          <c:tx>
            <c:strRef>
              <c:f>'Vnější vztahy_a'!$B$4</c:f>
              <c:strCache>
                <c:ptCount val="1"/>
                <c:pt idx="0">
                  <c:v>Export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10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strRef>
              <c:f>'Vnější vztahy_a'!$A$8:$A$22</c:f>
              <c:strCache>
                <c:ptCount val="1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 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  <c:pt idx="13">
                  <c:v>2022</c:v>
                </c:pt>
                <c:pt idx="14">
                  <c:v>2023</c:v>
                </c:pt>
              </c:strCache>
            </c:strRef>
          </c:cat>
          <c:val>
            <c:numRef>
              <c:f>'Vnější vztahy_a'!$B$8:$B$22</c:f>
              <c:numCache>
                <c:formatCode>General</c:formatCode>
                <c:ptCount val="15"/>
                <c:pt idx="0">
                  <c:v>-10.81189551944207</c:v>
                </c:pt>
                <c:pt idx="1">
                  <c:v>14.827022335007905</c:v>
                </c:pt>
                <c:pt idx="2">
                  <c:v>10.112037607700053</c:v>
                </c:pt>
                <c:pt idx="3">
                  <c:v>6.0251090942966021</c:v>
                </c:pt>
                <c:pt idx="4">
                  <c:v>2.2153513610284965</c:v>
                </c:pt>
                <c:pt idx="5">
                  <c:v>13.027208809035864</c:v>
                </c:pt>
                <c:pt idx="6">
                  <c:v>3.612768163576892</c:v>
                </c:pt>
                <c:pt idx="7">
                  <c:v>1.1074296541764621</c:v>
                </c:pt>
                <c:pt idx="8">
                  <c:v>6.4802705295808352</c:v>
                </c:pt>
                <c:pt idx="9">
                  <c:v>2.9418083571864679</c:v>
                </c:pt>
                <c:pt idx="10">
                  <c:v>2.0884439685547389</c:v>
                </c:pt>
                <c:pt idx="11">
                  <c:v>-7.0747075448299528</c:v>
                </c:pt>
                <c:pt idx="12">
                  <c:v>13.140723420675524</c:v>
                </c:pt>
                <c:pt idx="13">
                  <c:v>13.550170704130696</c:v>
                </c:pt>
                <c:pt idx="14">
                  <c:v>1.0303976290863077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BE6-474C-B5C6-CF6C28DA8596}"/>
            </c:ext>
          </c:extLst>
        </c:ser>
        <c:ser>
          <c:idx val="1"/>
          <c:order val="1"/>
          <c:tx>
            <c:strRef>
              <c:f>'Vnější vztahy_a'!$C$4</c:f>
              <c:strCache>
                <c:ptCount val="1"/>
                <c:pt idx="0">
                  <c:v>Import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10"/>
            <c:spPr>
              <a:solidFill>
                <a:srgbClr val="BD1B21"/>
              </a:solidFill>
              <a:ln w="9525">
                <a:solidFill>
                  <a:srgbClr val="BD1B21"/>
                </a:solidFill>
              </a:ln>
              <a:effectLst/>
            </c:spPr>
          </c:marker>
          <c:cat>
            <c:strRef>
              <c:f>'Vnější vztahy_a'!$A$8:$A$22</c:f>
              <c:strCache>
                <c:ptCount val="1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 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  <c:pt idx="13">
                  <c:v>2022</c:v>
                </c:pt>
                <c:pt idx="14">
                  <c:v>2023</c:v>
                </c:pt>
              </c:strCache>
            </c:strRef>
          </c:cat>
          <c:val>
            <c:numRef>
              <c:f>'Vnější vztahy_a'!$C$8:$C$22</c:f>
              <c:numCache>
                <c:formatCode>General</c:formatCode>
                <c:ptCount val="15"/>
                <c:pt idx="0">
                  <c:v>-13.849775964188691</c:v>
                </c:pt>
                <c:pt idx="1">
                  <c:v>17.636423931022911</c:v>
                </c:pt>
                <c:pt idx="2">
                  <c:v>8.6415161627225725</c:v>
                </c:pt>
                <c:pt idx="3">
                  <c:v>4.0042767307394715</c:v>
                </c:pt>
                <c:pt idx="4">
                  <c:v>0.68681070942259659</c:v>
                </c:pt>
                <c:pt idx="5">
                  <c:v>12.071376353644107</c:v>
                </c:pt>
                <c:pt idx="6">
                  <c:v>4.2889556626306211</c:v>
                </c:pt>
                <c:pt idx="7">
                  <c:v>0.11038963287046219</c:v>
                </c:pt>
                <c:pt idx="8">
                  <c:v>6.8245079237178157</c:v>
                </c:pt>
                <c:pt idx="9">
                  <c:v>5.0260247733996772</c:v>
                </c:pt>
                <c:pt idx="10">
                  <c:v>0.80432261722678255</c:v>
                </c:pt>
                <c:pt idx="11">
                  <c:v>-8.3226511448622933</c:v>
                </c:pt>
                <c:pt idx="12">
                  <c:v>19.675778990593603</c:v>
                </c:pt>
                <c:pt idx="13">
                  <c:v>18.545883799731584</c:v>
                </c:pt>
                <c:pt idx="14">
                  <c:v>-6.1646446995664022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BE6-474C-B5C6-CF6C28DA85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3910352"/>
        <c:axId val="1603910768"/>
      </c:lineChart>
      <c:catAx>
        <c:axId val="160391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603910768"/>
        <c:crosses val="autoZero"/>
        <c:auto val="1"/>
        <c:lblAlgn val="ctr"/>
        <c:lblOffset val="100"/>
        <c:noMultiLvlLbl val="0"/>
      </c:catAx>
      <c:valAx>
        <c:axId val="1603910768"/>
        <c:scaling>
          <c:orientation val="minMax"/>
          <c:max val="21"/>
          <c:min val="-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603910352"/>
        <c:crosses val="autoZero"/>
        <c:crossBetween val="between"/>
        <c:majorUnit val="3"/>
      </c:valAx>
      <c:valAx>
        <c:axId val="1599917024"/>
        <c:scaling>
          <c:orientation val="minMax"/>
          <c:max val="210"/>
          <c:min val="-21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171842912"/>
        <c:crosses val="max"/>
        <c:crossBetween val="between"/>
        <c:majorUnit val="35"/>
      </c:valAx>
      <c:catAx>
        <c:axId val="1171842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999170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7324160543034778E-2"/>
          <c:y val="0.92127482102101654"/>
          <c:w val="0.85470865828300857"/>
          <c:h val="5.60656590812783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656266097578916E-2"/>
          <c:y val="2.3304908251716772E-2"/>
          <c:w val="0.92389825103638334"/>
          <c:h val="0.6284236744343126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'Vnější vztahy 2'!$A$7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'Vnější vztahy 2'!$B$5:$O$5</c:f>
              <c:strCache>
                <c:ptCount val="14"/>
                <c:pt idx="0">
                  <c:v>Oil and natural gas</c:v>
                </c:pt>
                <c:pt idx="1">
                  <c:v>Food products</c:v>
                </c:pt>
                <c:pt idx="2">
                  <c:v>Clothing</c:v>
                </c:pt>
                <c:pt idx="3">
                  <c:v>Coke, refined                                                               oil products</c:v>
                </c:pt>
                <c:pt idx="4">
                  <c:v>Chemical subst.                                           and prod.</c:v>
                </c:pt>
                <c:pt idx="5">
                  <c:v>Pharmaceutical                                       products</c:v>
                </c:pt>
                <c:pt idx="6">
                  <c:v>Other non-metal                                        prod.</c:v>
                </c:pt>
                <c:pt idx="7">
                  <c:v>Basic metals</c:v>
                </c:pt>
                <c:pt idx="8">
                  <c:v>Metal products</c:v>
                </c:pt>
                <c:pt idx="9">
                  <c:v>Computers,                                           el. appliances</c:v>
                </c:pt>
                <c:pt idx="10">
                  <c:v>Machines                                        and appl. n.e.c.</c:v>
                </c:pt>
                <c:pt idx="11">
                  <c:v>Motor vehicles</c:v>
                </c:pt>
                <c:pt idx="12">
                  <c:v>Electricity, gas, steam                                                                                                            and air-conditioning</c:v>
                </c:pt>
                <c:pt idx="13">
                  <c:v>Services ass.                                                                                                with waste</c:v>
                </c:pt>
              </c:strCache>
            </c:strRef>
          </c:cat>
          <c:val>
            <c:numRef>
              <c:f>'Vnější vztahy 2'!$B$7:$O$7</c:f>
              <c:numCache>
                <c:formatCode>General</c:formatCode>
                <c:ptCount val="14"/>
                <c:pt idx="0">
                  <c:v>-330.88918875500002</c:v>
                </c:pt>
                <c:pt idx="1">
                  <c:v>-60.595386674000004</c:v>
                </c:pt>
                <c:pt idx="2">
                  <c:v>-46.208999618</c:v>
                </c:pt>
                <c:pt idx="3">
                  <c:v>-49.338081062000008</c:v>
                </c:pt>
                <c:pt idx="4">
                  <c:v>-157.77508681399999</c:v>
                </c:pt>
                <c:pt idx="5">
                  <c:v>-71.862649914000002</c:v>
                </c:pt>
                <c:pt idx="6">
                  <c:v>30.512399356000003</c:v>
                </c:pt>
                <c:pt idx="7">
                  <c:v>-184.71658844799998</c:v>
                </c:pt>
                <c:pt idx="8">
                  <c:v>75.834135231999994</c:v>
                </c:pt>
                <c:pt idx="9">
                  <c:v>-76.470979963999994</c:v>
                </c:pt>
                <c:pt idx="10">
                  <c:v>94.465779221999995</c:v>
                </c:pt>
                <c:pt idx="11">
                  <c:v>460.52346796100005</c:v>
                </c:pt>
                <c:pt idx="12">
                  <c:v>82.566028493000005</c:v>
                </c:pt>
                <c:pt idx="13">
                  <c:v>29.829011276999999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C4-47E6-A7AD-795C8ADA042C}"/>
            </c:ext>
          </c:extLst>
        </c:ser>
        <c:ser>
          <c:idx val="2"/>
          <c:order val="1"/>
          <c:tx>
            <c:strRef>
              <c:f>'Vnější vztahy 2'!$A$8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cat>
            <c:strRef>
              <c:f>'Vnější vztahy 2'!$B$5:$O$5</c:f>
              <c:strCache>
                <c:ptCount val="14"/>
                <c:pt idx="0">
                  <c:v>Oil and natural gas</c:v>
                </c:pt>
                <c:pt idx="1">
                  <c:v>Food products</c:v>
                </c:pt>
                <c:pt idx="2">
                  <c:v>Clothing</c:v>
                </c:pt>
                <c:pt idx="3">
                  <c:v>Coke, refined                                                               oil products</c:v>
                </c:pt>
                <c:pt idx="4">
                  <c:v>Chemical subst.                                           and prod.</c:v>
                </c:pt>
                <c:pt idx="5">
                  <c:v>Pharmaceutical                                       products</c:v>
                </c:pt>
                <c:pt idx="6">
                  <c:v>Other non-metal                                        prod.</c:v>
                </c:pt>
                <c:pt idx="7">
                  <c:v>Basic metals</c:v>
                </c:pt>
                <c:pt idx="8">
                  <c:v>Metal products</c:v>
                </c:pt>
                <c:pt idx="9">
                  <c:v>Computers,                                           el. appliances</c:v>
                </c:pt>
                <c:pt idx="10">
                  <c:v>Machines                                        and appl. n.e.c.</c:v>
                </c:pt>
                <c:pt idx="11">
                  <c:v>Motor vehicles</c:v>
                </c:pt>
                <c:pt idx="12">
                  <c:v>Electricity, gas, steam                                                                                                            and air-conditioning</c:v>
                </c:pt>
                <c:pt idx="13">
                  <c:v>Services ass.                                                                                                with waste</c:v>
                </c:pt>
              </c:strCache>
            </c:strRef>
          </c:cat>
          <c:val>
            <c:numRef>
              <c:f>'Vnější vztahy 2'!$B$8:$O$8</c:f>
              <c:numCache>
                <c:formatCode>General</c:formatCode>
                <c:ptCount val="14"/>
                <c:pt idx="0">
                  <c:v>-182.69587203700002</c:v>
                </c:pt>
                <c:pt idx="1">
                  <c:v>-53.466054400000004</c:v>
                </c:pt>
                <c:pt idx="2">
                  <c:v>-38.682484753000004</c:v>
                </c:pt>
                <c:pt idx="3">
                  <c:v>-39.517012753000003</c:v>
                </c:pt>
                <c:pt idx="4">
                  <c:v>-138.98413868200001</c:v>
                </c:pt>
                <c:pt idx="5">
                  <c:v>-63.228412164999995</c:v>
                </c:pt>
                <c:pt idx="6">
                  <c:v>29.227502944000001</c:v>
                </c:pt>
                <c:pt idx="7">
                  <c:v>-158.34045648899999</c:v>
                </c:pt>
                <c:pt idx="8">
                  <c:v>71.845255144999996</c:v>
                </c:pt>
                <c:pt idx="9">
                  <c:v>-79.761334891000004</c:v>
                </c:pt>
                <c:pt idx="10">
                  <c:v>119.12331264299998</c:v>
                </c:pt>
                <c:pt idx="11">
                  <c:v>573.14303008100001</c:v>
                </c:pt>
                <c:pt idx="12">
                  <c:v>30.638105398</c:v>
                </c:pt>
                <c:pt idx="13">
                  <c:v>25.606370879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C4-47E6-A7AD-795C8ADA04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130226048"/>
        <c:axId val="130227584"/>
      </c:barChart>
      <c:catAx>
        <c:axId val="130226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30227584"/>
        <c:crosses val="autoZero"/>
        <c:auto val="1"/>
        <c:lblAlgn val="ctr"/>
        <c:lblOffset val="100"/>
        <c:noMultiLvlLbl val="0"/>
      </c:catAx>
      <c:valAx>
        <c:axId val="130227584"/>
        <c:scaling>
          <c:orientation val="minMax"/>
          <c:max val="60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022604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9.1143194866599123E-2"/>
          <c:y val="8.2577176038395428E-2"/>
          <c:w val="0.22793671901384668"/>
          <c:h val="6.7923505362327427E-2"/>
        </c:manualLayout>
      </c:layout>
      <c:overlay val="1"/>
      <c:spPr>
        <a:ln w="6350"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4C7C21F48A488F44995C5F8FB06D" ma:contentTypeVersion="11" ma:contentTypeDescription="Vytvoří nový dokument" ma:contentTypeScope="" ma:versionID="9a58d24f60b264923fe9c7150327a53c">
  <xsd:schema xmlns:xsd="http://www.w3.org/2001/XMLSchema" xmlns:xs="http://www.w3.org/2001/XMLSchema" xmlns:p="http://schemas.microsoft.com/office/2006/metadata/properties" xmlns:ns3="b8c0c86d-151e-4fca-b0d5-747e6692fa1d" targetNamespace="http://schemas.microsoft.com/office/2006/metadata/properties" ma:root="true" ma:fieldsID="91c8efd7c542b57fe84d8bfb95d003d1" ns3:_="">
    <xsd:import namespace="b8c0c86d-151e-4fca-b0d5-747e6692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86d-151e-4fca-b0d5-747e6692f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561CC-7D6C-40EF-AB10-C45997A7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86d-151e-4fca-b0d5-747e6692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b8c0c86d-151e-4fca-b0d5-747e6692fa1d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24AE799-A8AD-4C80-81A2-F47673931A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945932-EB1B-4445-AF7E-F2C6C9F8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4</Pages>
  <Words>1982</Words>
  <Characters>11698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Karolína Súkupová</dc:creator>
  <cp:keywords/>
  <dc:description/>
  <cp:lastModifiedBy>Zábojníková Karolína</cp:lastModifiedBy>
  <cp:revision>3</cp:revision>
  <cp:lastPrinted>2023-06-09T17:23:00Z</cp:lastPrinted>
  <dcterms:created xsi:type="dcterms:W3CDTF">2024-04-22T10:42:00Z</dcterms:created>
  <dcterms:modified xsi:type="dcterms:W3CDTF">2024-04-22T10:48:00Z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0x01010070204C7C21F48A488F44995C5F8FB06D</vt:lpwstr>
  </property>
  <property fmtid="{D5CDD505-2E9C-101B-9397-08002B2CF9AE}" pid="3" name="MSIP_Label_29db9e61-aac5-4f6e-805d-ceb8cb9983a1_Enabled">
    <vt:lpwstr>true</vt:lpwstr>
  </property>
  <property fmtid="{D5CDD505-2E9C-101B-9397-08002B2CF9AE}" pid="4" name="MSIP_Label_29db9e61-aac5-4f6e-805d-ceb8cb9983a1_SetDate">
    <vt:lpwstr>2024-03-22T14:14:48Z</vt:lpwstr>
  </property>
  <property fmtid="{D5CDD505-2E9C-101B-9397-08002B2CF9AE}" pid="5" name="MSIP_Label_29db9e61-aac5-4f6e-805d-ceb8cb9983a1_Method">
    <vt:lpwstr>Standard</vt:lpwstr>
  </property>
  <property fmtid="{D5CDD505-2E9C-101B-9397-08002B2CF9AE}" pid="6" name="MSIP_Label_29db9e61-aac5-4f6e-805d-ceb8cb9983a1_Name">
    <vt:lpwstr>UniCredit - Internal Use Only - no visual markings</vt:lpwstr>
  </property>
  <property fmtid="{D5CDD505-2E9C-101B-9397-08002B2CF9AE}" pid="7" name="MSIP_Label_29db9e61-aac5-4f6e-805d-ceb8cb9983a1_SiteId">
    <vt:lpwstr>2cc49ce9-66a1-41ac-a96b-bdc54247696a</vt:lpwstr>
  </property>
  <property fmtid="{D5CDD505-2E9C-101B-9397-08002B2CF9AE}" pid="8" name="MSIP_Label_29db9e61-aac5-4f6e-805d-ceb8cb9983a1_ActionId">
    <vt:lpwstr>eaf1372b-ac54-42e1-a5b2-08a13702404b</vt:lpwstr>
  </property>
  <property fmtid="{D5CDD505-2E9C-101B-9397-08002B2CF9AE}" pid="9" name="MSIP_Label_29db9e61-aac5-4f6e-805d-ceb8cb9983a1_ContentBits">
    <vt:lpwstr>0</vt:lpwstr>
  </property>
</Properties>
</file>