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DE26" w14:textId="71D878C8" w:rsidR="00BA5125" w:rsidRPr="006E725C" w:rsidRDefault="00BA5125" w:rsidP="00BA5125">
      <w:pPr>
        <w:pStyle w:val="Nadpis11"/>
        <w:rPr>
          <w:lang w:val="en-GB"/>
        </w:rPr>
      </w:pPr>
      <w:bookmarkStart w:id="0" w:name="_Toc121993822"/>
      <w:bookmarkStart w:id="1" w:name="_Toc161914423"/>
      <w:bookmarkStart w:id="2" w:name="_Toc145318534"/>
      <w:r w:rsidRPr="006E725C">
        <w:rPr>
          <w:szCs w:val="32"/>
          <w:lang w:val="en-GB"/>
        </w:rPr>
        <w:t>3</w:t>
      </w:r>
      <w:r w:rsidRPr="006E725C">
        <w:rPr>
          <w:lang w:val="en-GB"/>
        </w:rPr>
        <w:t>. </w:t>
      </w:r>
      <w:r w:rsidR="00CE35A8" w:rsidRPr="006E725C">
        <w:rPr>
          <w:lang w:val="en-GB"/>
        </w:rPr>
        <w:t>Branches Performance</w:t>
      </w:r>
      <w:bookmarkEnd w:id="1"/>
    </w:p>
    <w:p w14:paraId="4C24079C" w14:textId="77777777" w:rsidR="00BA5125" w:rsidRPr="006E725C" w:rsidRDefault="00BA5125" w:rsidP="00BA5125">
      <w:pPr>
        <w:pStyle w:val="Nadpis11"/>
        <w:rPr>
          <w:b w:val="0"/>
          <w:sz w:val="2"/>
          <w:szCs w:val="2"/>
          <w:highlight w:val="yellow"/>
          <w:lang w:val="en-GB"/>
        </w:rPr>
      </w:pPr>
    </w:p>
    <w:p w14:paraId="1D44C12B" w14:textId="77777777" w:rsidR="00BA5125" w:rsidRPr="006E725C" w:rsidRDefault="00BA5125" w:rsidP="00BA5125">
      <w:pPr>
        <w:pStyle w:val="Nadpis11"/>
        <w:rPr>
          <w:b w:val="0"/>
          <w:sz w:val="2"/>
          <w:szCs w:val="2"/>
          <w:highlight w:val="yellow"/>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4"/>
        <w:gridCol w:w="229"/>
        <w:gridCol w:w="7596"/>
      </w:tblGrid>
      <w:tr w:rsidR="00BA5125" w:rsidRPr="006E725C" w14:paraId="0038449A" w14:textId="77777777" w:rsidTr="00BA5125">
        <w:trPr>
          <w:trHeight w:val="145"/>
        </w:trPr>
        <w:tc>
          <w:tcPr>
            <w:tcW w:w="1814" w:type="dxa"/>
            <w:tcBorders>
              <w:top w:val="nil"/>
              <w:left w:val="nil"/>
              <w:bottom w:val="nil"/>
              <w:right w:val="nil"/>
            </w:tcBorders>
            <w:shd w:val="clear" w:color="auto" w:fill="auto"/>
            <w:tcMar>
              <w:left w:w="0" w:type="dxa"/>
            </w:tcMar>
          </w:tcPr>
          <w:p w14:paraId="71B34BC3" w14:textId="202E6BF6" w:rsidR="00BA5125" w:rsidRPr="006E725C" w:rsidRDefault="00163660" w:rsidP="00BA5125">
            <w:pPr>
              <w:pStyle w:val="Marginlie"/>
              <w:rPr>
                <w:lang w:val="en-GB"/>
              </w:rPr>
            </w:pPr>
            <w:r w:rsidRPr="006E725C">
              <w:rPr>
                <w:lang w:val="en-GB"/>
              </w:rPr>
              <w:t xml:space="preserve">Gross value added fell during both Q2 and Q3. </w:t>
            </w:r>
            <w:r w:rsidR="00D274B3" w:rsidRPr="006E725C">
              <w:rPr>
                <w:lang w:val="en-GB"/>
              </w:rPr>
              <w:t xml:space="preserve">Economic performance </w:t>
            </w:r>
            <w:r w:rsidR="00FD5056">
              <w:rPr>
                <w:lang w:val="en-GB"/>
              </w:rPr>
              <w:t xml:space="preserve">still </w:t>
            </w:r>
            <w:r w:rsidR="00D274B3" w:rsidRPr="006E725C">
              <w:rPr>
                <w:lang w:val="en-GB"/>
              </w:rPr>
              <w:t xml:space="preserve">did not reach the record level from year 2019 even at the end of the last year. </w:t>
            </w:r>
          </w:p>
          <w:p w14:paraId="066E5A13" w14:textId="77777777" w:rsidR="00BA5125" w:rsidRPr="006E725C" w:rsidRDefault="00BA5125" w:rsidP="00BA5125">
            <w:pPr>
              <w:pStyle w:val="Marginlie"/>
              <w:rPr>
                <w:lang w:val="en-GB"/>
              </w:rPr>
            </w:pPr>
          </w:p>
        </w:tc>
        <w:tc>
          <w:tcPr>
            <w:tcW w:w="229" w:type="dxa"/>
            <w:tcBorders>
              <w:top w:val="nil"/>
              <w:left w:val="nil"/>
              <w:bottom w:val="nil"/>
              <w:right w:val="nil"/>
            </w:tcBorders>
            <w:shd w:val="clear" w:color="auto" w:fill="auto"/>
            <w:tcMar>
              <w:left w:w="0" w:type="dxa"/>
            </w:tcMar>
          </w:tcPr>
          <w:p w14:paraId="52824379"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A63581D" w14:textId="056EA1EC" w:rsidR="00BA5125" w:rsidRPr="006E725C" w:rsidRDefault="00D274B3" w:rsidP="00BA5125">
            <w:pPr>
              <w:spacing w:after="200"/>
              <w:rPr>
                <w:color w:val="0D0D0D" w:themeColor="text1" w:themeTint="F2"/>
                <w:lang w:val="en-GB"/>
              </w:rPr>
            </w:pPr>
            <w:r w:rsidRPr="006E725C">
              <w:rPr>
                <w:color w:val="0D0D0D" w:themeColor="text1" w:themeTint="F2"/>
                <w:lang w:val="en-GB"/>
              </w:rPr>
              <w:t>Data from the supply side of the economy confirm the weak econom</w:t>
            </w:r>
            <w:r w:rsidR="00460964" w:rsidRPr="006E725C">
              <w:rPr>
                <w:color w:val="0D0D0D" w:themeColor="text1" w:themeTint="F2"/>
                <w:lang w:val="en-GB"/>
              </w:rPr>
              <w:t>i</w:t>
            </w:r>
            <w:r w:rsidRPr="006E725C">
              <w:rPr>
                <w:color w:val="0D0D0D" w:themeColor="text1" w:themeTint="F2"/>
                <w:lang w:val="en-GB"/>
              </w:rPr>
              <w:t xml:space="preserve">c dynamics </w:t>
            </w:r>
            <w:r w:rsidR="003221F0" w:rsidRPr="006E725C">
              <w:rPr>
                <w:color w:val="0D0D0D" w:themeColor="text1" w:themeTint="F2"/>
                <w:lang w:val="en-GB"/>
              </w:rPr>
              <w:t xml:space="preserve">evident for the whole last year. </w:t>
            </w:r>
            <w:r w:rsidR="00460964" w:rsidRPr="006E725C">
              <w:rPr>
                <w:color w:val="0D0D0D" w:themeColor="text1" w:themeTint="F2"/>
                <w:lang w:val="en-GB"/>
              </w:rPr>
              <w:t xml:space="preserve">In Q1 </w:t>
            </w:r>
            <w:r w:rsidR="00BA5125" w:rsidRPr="006E725C">
              <w:rPr>
                <w:color w:val="0D0D0D" w:themeColor="text1" w:themeTint="F2"/>
                <w:lang w:val="en-GB"/>
              </w:rPr>
              <w:t xml:space="preserve">2023, </w:t>
            </w:r>
            <w:r w:rsidR="00460964" w:rsidRPr="006E725C">
              <w:rPr>
                <w:color w:val="0D0D0D" w:themeColor="text1" w:themeTint="F2"/>
                <w:lang w:val="en-GB"/>
              </w:rPr>
              <w:t xml:space="preserve">when the national economy extricated itself from mild recession, the gross value added </w:t>
            </w:r>
            <w:r w:rsidR="00BA5125" w:rsidRPr="006E725C">
              <w:rPr>
                <w:bCs/>
                <w:lang w:val="en-GB"/>
              </w:rPr>
              <w:t>(</w:t>
            </w:r>
            <w:r w:rsidR="00460964" w:rsidRPr="006E725C">
              <w:rPr>
                <w:bCs/>
                <w:lang w:val="en-GB"/>
              </w:rPr>
              <w:t>GVA</w:t>
            </w:r>
            <w:r w:rsidR="00BA5125" w:rsidRPr="006E725C">
              <w:rPr>
                <w:bCs/>
                <w:lang w:val="en-GB"/>
              </w:rPr>
              <w:t>)</w:t>
            </w:r>
            <w:r w:rsidR="00BA5125" w:rsidRPr="006E725C">
              <w:rPr>
                <w:rStyle w:val="Znakapoznpodarou"/>
                <w:color w:val="0D0D0D" w:themeColor="text1" w:themeTint="F2"/>
                <w:spacing w:val="-5"/>
                <w:lang w:val="en-GB"/>
              </w:rPr>
              <w:footnoteReference w:id="1"/>
            </w:r>
            <w:r w:rsidR="00BA5125" w:rsidRPr="006E725C">
              <w:rPr>
                <w:bCs/>
                <w:lang w:val="en-GB"/>
              </w:rPr>
              <w:t xml:space="preserve"> </w:t>
            </w:r>
            <w:r w:rsidR="00460964" w:rsidRPr="006E725C">
              <w:rPr>
                <w:bCs/>
                <w:lang w:val="en-GB"/>
              </w:rPr>
              <w:t xml:space="preserve">mildly rose quarter-on-quarter </w:t>
            </w:r>
            <w:r w:rsidR="00BA5125" w:rsidRPr="006E725C">
              <w:rPr>
                <w:bCs/>
                <w:lang w:val="en-GB"/>
              </w:rPr>
              <w:t>(+0</w:t>
            </w:r>
            <w:r w:rsidR="00460964" w:rsidRPr="006E725C">
              <w:rPr>
                <w:bCs/>
                <w:lang w:val="en-GB"/>
              </w:rPr>
              <w:t>.</w:t>
            </w:r>
            <w:r w:rsidR="00BA5125" w:rsidRPr="006E725C">
              <w:rPr>
                <w:bCs/>
                <w:lang w:val="en-GB"/>
              </w:rPr>
              <w:t>5%),</w:t>
            </w:r>
            <w:r w:rsidR="00460964" w:rsidRPr="006E725C">
              <w:rPr>
                <w:bCs/>
                <w:lang w:val="en-GB"/>
              </w:rPr>
              <w:t xml:space="preserve"> specifically mainly thanks to public services</w:t>
            </w:r>
            <w:r w:rsidR="00BA5125" w:rsidRPr="006E725C">
              <w:rPr>
                <w:rStyle w:val="Znakapoznpodarou"/>
                <w:bCs/>
                <w:lang w:val="en-GB"/>
              </w:rPr>
              <w:footnoteReference w:id="2"/>
            </w:r>
            <w:r w:rsidR="00BA5125" w:rsidRPr="006E725C">
              <w:rPr>
                <w:bCs/>
                <w:lang w:val="en-GB"/>
              </w:rPr>
              <w:t xml:space="preserve">, IT, </w:t>
            </w:r>
            <w:r w:rsidR="00460964" w:rsidRPr="006E725C">
              <w:rPr>
                <w:bCs/>
                <w:lang w:val="en-GB"/>
              </w:rPr>
              <w:t>but also construction</w:t>
            </w:r>
            <w:r w:rsidR="00BA5125" w:rsidRPr="006E725C">
              <w:rPr>
                <w:bCs/>
                <w:lang w:val="en-GB"/>
              </w:rPr>
              <w:t xml:space="preserve">, </w:t>
            </w:r>
            <w:r w:rsidR="00460964" w:rsidRPr="006E725C">
              <w:rPr>
                <w:bCs/>
                <w:lang w:val="en-GB"/>
              </w:rPr>
              <w:t>which revived due to unusually warm winter. T</w:t>
            </w:r>
            <w:r w:rsidR="009C175F" w:rsidRPr="006E725C">
              <w:rPr>
                <w:bCs/>
                <w:lang w:val="en-GB"/>
              </w:rPr>
              <w:t xml:space="preserve">he GVA growth halted during the two subsequent quarters. </w:t>
            </w:r>
            <w:r w:rsidR="000763A1" w:rsidRPr="006E725C">
              <w:rPr>
                <w:bCs/>
                <w:lang w:val="en-GB"/>
              </w:rPr>
              <w:t xml:space="preserve">The weak both internal and </w:t>
            </w:r>
            <w:r w:rsidR="00223E20">
              <w:rPr>
                <w:bCs/>
                <w:lang w:val="en-GB"/>
              </w:rPr>
              <w:t>external demand had still negative</w:t>
            </w:r>
            <w:r w:rsidR="000763A1" w:rsidRPr="006E725C">
              <w:rPr>
                <w:bCs/>
                <w:lang w:val="en-GB"/>
              </w:rPr>
              <w:t xml:space="preserve"> impact </w:t>
            </w:r>
            <w:r w:rsidR="00223E20">
              <w:rPr>
                <w:bCs/>
                <w:lang w:val="en-GB"/>
              </w:rPr>
              <w:t>on industry and</w:t>
            </w:r>
            <w:r w:rsidR="000763A1" w:rsidRPr="006E725C">
              <w:rPr>
                <w:bCs/>
                <w:lang w:val="en-GB"/>
              </w:rPr>
              <w:t xml:space="preserve"> construction performance. In addition, the ongoing slump of household consumption also weakened the key branch of services. </w:t>
            </w:r>
            <w:r w:rsidR="00F91C9B" w:rsidRPr="006E725C">
              <w:rPr>
                <w:bCs/>
                <w:lang w:val="en-GB"/>
              </w:rPr>
              <w:t>Consequently,</w:t>
            </w:r>
            <w:r w:rsidR="00495BE3">
              <w:rPr>
                <w:bCs/>
                <w:lang w:val="en-GB"/>
              </w:rPr>
              <w:t xml:space="preserve"> a partial recovery</w:t>
            </w:r>
            <w:r w:rsidR="000763A1" w:rsidRPr="006E725C">
              <w:rPr>
                <w:bCs/>
                <w:lang w:val="en-GB"/>
              </w:rPr>
              <w:t xml:space="preserve"> occurred at the end of the year and the total GVA </w:t>
            </w:r>
            <w:r w:rsidR="00F91C9B" w:rsidRPr="006E725C">
              <w:rPr>
                <w:bCs/>
                <w:lang w:val="en-GB"/>
              </w:rPr>
              <w:t xml:space="preserve">increased by </w:t>
            </w:r>
            <w:r w:rsidR="00BA5125" w:rsidRPr="006E725C">
              <w:rPr>
                <w:bCs/>
                <w:lang w:val="en-GB"/>
              </w:rPr>
              <w:t>0</w:t>
            </w:r>
            <w:r w:rsidR="00F91C9B" w:rsidRPr="006E725C">
              <w:rPr>
                <w:bCs/>
                <w:lang w:val="en-GB"/>
              </w:rPr>
              <w:t>.</w:t>
            </w:r>
            <w:r w:rsidR="00BA5125" w:rsidRPr="006E725C">
              <w:rPr>
                <w:bCs/>
                <w:lang w:val="en-GB"/>
              </w:rPr>
              <w:t>6%</w:t>
            </w:r>
            <w:r w:rsidR="00F91C9B" w:rsidRPr="006E725C">
              <w:rPr>
                <w:bCs/>
                <w:lang w:val="en-GB"/>
              </w:rPr>
              <w:t xml:space="preserve"> compared to Q3 2023. </w:t>
            </w:r>
            <w:r w:rsidR="00711A9E" w:rsidRPr="006E725C">
              <w:rPr>
                <w:bCs/>
                <w:lang w:val="en-GB"/>
              </w:rPr>
              <w:t>However, only manufacturing pulled by the growth of the pro-export production of motor vehicles essentially contributed to this result</w:t>
            </w:r>
            <w:r w:rsidR="00BA5125" w:rsidRPr="006E725C">
              <w:rPr>
                <w:bCs/>
                <w:lang w:val="en-GB"/>
              </w:rPr>
              <w:t xml:space="preserve">, </w:t>
            </w:r>
            <w:r w:rsidR="00B60AE2" w:rsidRPr="006E725C">
              <w:rPr>
                <w:bCs/>
                <w:lang w:val="en-GB"/>
              </w:rPr>
              <w:t xml:space="preserve">since the performance in the majority of services activities rather stagnated. </w:t>
            </w:r>
            <w:r w:rsidR="00E35439">
              <w:rPr>
                <w:bCs/>
                <w:lang w:val="en-GB"/>
              </w:rPr>
              <w:t>Also</w:t>
            </w:r>
            <w:r w:rsidR="00EA5892" w:rsidRPr="006E725C">
              <w:rPr>
                <w:bCs/>
                <w:lang w:val="en-GB"/>
              </w:rPr>
              <w:t xml:space="preserve"> for this reason</w:t>
            </w:r>
            <w:r w:rsidR="00E35439">
              <w:rPr>
                <w:bCs/>
                <w:lang w:val="en-GB"/>
              </w:rPr>
              <w:t>,</w:t>
            </w:r>
            <w:r w:rsidR="00EA5892" w:rsidRPr="006E725C">
              <w:rPr>
                <w:bCs/>
                <w:lang w:val="en-GB"/>
              </w:rPr>
              <w:t xml:space="preserve"> the total economy GVA </w:t>
            </w:r>
            <w:r w:rsidR="00495BE3">
              <w:rPr>
                <w:bCs/>
                <w:lang w:val="en-GB"/>
              </w:rPr>
              <w:t>still slightly stayed behind its</w:t>
            </w:r>
            <w:r w:rsidR="00EA5892" w:rsidRPr="006E725C">
              <w:rPr>
                <w:bCs/>
                <w:lang w:val="en-GB"/>
              </w:rPr>
              <w:t xml:space="preserve"> peak from the period of the pre-pandemic expansion </w:t>
            </w:r>
            <w:r w:rsidR="00BA5125" w:rsidRPr="006E725C">
              <w:rPr>
                <w:bCs/>
                <w:lang w:val="en-GB"/>
              </w:rPr>
              <w:t>(</w:t>
            </w:r>
            <w:r w:rsidR="00EA5892" w:rsidRPr="006E725C">
              <w:rPr>
                <w:bCs/>
                <w:lang w:val="en-GB"/>
              </w:rPr>
              <w:t xml:space="preserve">by </w:t>
            </w:r>
            <w:r w:rsidR="00BA5125" w:rsidRPr="006E725C">
              <w:rPr>
                <w:bCs/>
                <w:lang w:val="en-GB"/>
              </w:rPr>
              <w:t>0</w:t>
            </w:r>
            <w:r w:rsidR="00EA5892" w:rsidRPr="006E725C">
              <w:rPr>
                <w:bCs/>
                <w:lang w:val="en-GB"/>
              </w:rPr>
              <w:t>.</w:t>
            </w:r>
            <w:r w:rsidR="00BA5125" w:rsidRPr="006E725C">
              <w:rPr>
                <w:bCs/>
                <w:lang w:val="en-GB"/>
              </w:rPr>
              <w:t>1%</w:t>
            </w:r>
            <w:r w:rsidR="00495BE3">
              <w:rPr>
                <w:bCs/>
                <w:lang w:val="en-GB"/>
              </w:rPr>
              <w:t xml:space="preserve">, compared with </w:t>
            </w:r>
            <w:r w:rsidR="00495BE3" w:rsidRPr="006E725C">
              <w:rPr>
                <w:bCs/>
                <w:lang w:val="en-GB"/>
              </w:rPr>
              <w:t>Q4 2019</w:t>
            </w:r>
            <w:r w:rsidR="00BA5125" w:rsidRPr="006E725C">
              <w:rPr>
                <w:bCs/>
                <w:lang w:val="en-GB"/>
              </w:rPr>
              <w:t>).</w:t>
            </w:r>
          </w:p>
        </w:tc>
      </w:tr>
      <w:tr w:rsidR="00BA5125" w:rsidRPr="006E725C" w14:paraId="208EB2F5" w14:textId="77777777" w:rsidTr="00BA5125">
        <w:trPr>
          <w:trHeight w:val="145"/>
        </w:trPr>
        <w:tc>
          <w:tcPr>
            <w:tcW w:w="1814" w:type="dxa"/>
            <w:tcBorders>
              <w:top w:val="nil"/>
              <w:left w:val="nil"/>
              <w:bottom w:val="nil"/>
              <w:right w:val="nil"/>
            </w:tcBorders>
            <w:shd w:val="clear" w:color="auto" w:fill="auto"/>
            <w:tcMar>
              <w:left w:w="0" w:type="dxa"/>
            </w:tcMar>
          </w:tcPr>
          <w:p w14:paraId="09AC8949" w14:textId="53921540" w:rsidR="00BA5125" w:rsidRPr="006E725C" w:rsidRDefault="00FD5056" w:rsidP="00BA5125">
            <w:pPr>
              <w:pStyle w:val="Marginlie"/>
              <w:rPr>
                <w:lang w:val="en-GB"/>
              </w:rPr>
            </w:pPr>
            <w:r>
              <w:rPr>
                <w:lang w:val="en-GB"/>
              </w:rPr>
              <w:t xml:space="preserve">Manufacturing and IT </w:t>
            </w:r>
            <w:r w:rsidR="006B757B" w:rsidRPr="006E725C">
              <w:rPr>
                <w:lang w:val="en-GB"/>
              </w:rPr>
              <w:t>contributed the most to the y</w:t>
            </w:r>
            <w:r>
              <w:rPr>
                <w:lang w:val="en-GB"/>
              </w:rPr>
              <w:t>ear-on-year GVA growth in 2023.</w:t>
            </w:r>
            <w:r w:rsidR="006B757B" w:rsidRPr="006E725C">
              <w:rPr>
                <w:lang w:val="en-GB"/>
              </w:rPr>
              <w:t xml:space="preserve"> </w:t>
            </w:r>
            <w:r>
              <w:rPr>
                <w:lang w:val="en-GB"/>
              </w:rPr>
              <w:t>T</w:t>
            </w:r>
            <w:r w:rsidR="00947C89" w:rsidRPr="006E725C">
              <w:rPr>
                <w:lang w:val="en-GB"/>
              </w:rPr>
              <w:t xml:space="preserve">he slump of mainly the mining and energy industry performance had the opposite effect. </w:t>
            </w:r>
          </w:p>
          <w:p w14:paraId="3B1B77FC" w14:textId="77777777" w:rsidR="00BA5125" w:rsidRPr="006E725C" w:rsidRDefault="00BA5125" w:rsidP="00BA5125">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27D6C4D2" w14:textId="77777777" w:rsidR="00BA5125" w:rsidRPr="006E725C" w:rsidRDefault="00BA5125" w:rsidP="00BA5125">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5498560" w14:textId="7C8D853B" w:rsidR="00BA5125" w:rsidRPr="006E725C" w:rsidRDefault="009C175F" w:rsidP="00BA5125">
            <w:pPr>
              <w:spacing w:after="200"/>
              <w:rPr>
                <w:color w:val="0D0D0D" w:themeColor="text1" w:themeTint="F2"/>
                <w:spacing w:val="-4"/>
                <w:lang w:val="en-GB"/>
              </w:rPr>
            </w:pPr>
            <w:r w:rsidRPr="006E725C">
              <w:rPr>
                <w:color w:val="0D0D0D" w:themeColor="text1" w:themeTint="F2"/>
                <w:spacing w:val="-4"/>
                <w:lang w:val="en-GB"/>
              </w:rPr>
              <w:t>Total GVA increased by 0.</w:t>
            </w:r>
            <w:r w:rsidR="00BA5125" w:rsidRPr="006E725C">
              <w:rPr>
                <w:color w:val="0D0D0D" w:themeColor="text1" w:themeTint="F2"/>
                <w:spacing w:val="-4"/>
                <w:lang w:val="en-GB"/>
              </w:rPr>
              <w:t>5%</w:t>
            </w:r>
            <w:r w:rsidRPr="006E725C">
              <w:rPr>
                <w:color w:val="0D0D0D" w:themeColor="text1" w:themeTint="F2"/>
                <w:spacing w:val="-4"/>
                <w:lang w:val="en-GB"/>
              </w:rPr>
              <w:t xml:space="preserve"> for the whole year 2023</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when the year-on-year growth eased its pace for the second year in a row. </w:t>
            </w:r>
            <w:r w:rsidR="00947C89" w:rsidRPr="006E725C">
              <w:rPr>
                <w:color w:val="0D0D0D" w:themeColor="text1" w:themeTint="F2"/>
                <w:spacing w:val="-4"/>
                <w:lang w:val="en-GB"/>
              </w:rPr>
              <w:t xml:space="preserve">Manufacturing </w:t>
            </w:r>
            <w:r w:rsidR="00BA5125" w:rsidRPr="006E725C">
              <w:rPr>
                <w:color w:val="0D0D0D" w:themeColor="text1" w:themeTint="F2"/>
                <w:spacing w:val="-4"/>
                <w:lang w:val="en-GB"/>
              </w:rPr>
              <w:t>(+0</w:t>
            </w:r>
            <w:r w:rsidR="00947C89" w:rsidRPr="006E725C">
              <w:rPr>
                <w:color w:val="0D0D0D" w:themeColor="text1" w:themeTint="F2"/>
                <w:spacing w:val="-4"/>
                <w:lang w:val="en-GB"/>
              </w:rPr>
              <w:t>.</w:t>
            </w:r>
            <w:r w:rsidR="00BA5125" w:rsidRPr="006E725C">
              <w:rPr>
                <w:color w:val="0D0D0D" w:themeColor="text1" w:themeTint="F2"/>
                <w:spacing w:val="-4"/>
                <w:lang w:val="en-GB"/>
              </w:rPr>
              <w:t>5 p.</w:t>
            </w:r>
            <w:r w:rsidR="00947C89" w:rsidRPr="006E725C">
              <w:rPr>
                <w:color w:val="0D0D0D" w:themeColor="text1" w:themeTint="F2"/>
                <w:spacing w:val="-4"/>
                <w:lang w:val="en-GB"/>
              </w:rPr>
              <w:t>p.</w:t>
            </w:r>
            <w:r w:rsidR="00BA5125" w:rsidRPr="006E725C">
              <w:rPr>
                <w:color w:val="0D0D0D" w:themeColor="text1" w:themeTint="F2"/>
                <w:spacing w:val="-4"/>
                <w:lang w:val="en-GB"/>
              </w:rPr>
              <w:t xml:space="preserve">), </w:t>
            </w:r>
            <w:r w:rsidR="00947C89" w:rsidRPr="006E725C">
              <w:rPr>
                <w:color w:val="0D0D0D" w:themeColor="text1" w:themeTint="F2"/>
                <w:spacing w:val="-4"/>
                <w:lang w:val="en-GB"/>
              </w:rPr>
              <w:t xml:space="preserve">whose output increased by </w:t>
            </w:r>
            <w:r w:rsidR="00BA5125" w:rsidRPr="006E725C">
              <w:rPr>
                <w:color w:val="0D0D0D" w:themeColor="text1" w:themeTint="F2"/>
                <w:spacing w:val="-4"/>
                <w:lang w:val="en-GB"/>
              </w:rPr>
              <w:t>2</w:t>
            </w:r>
            <w:r w:rsidR="00947C89" w:rsidRPr="006E725C">
              <w:rPr>
                <w:color w:val="0D0D0D" w:themeColor="text1" w:themeTint="F2"/>
                <w:spacing w:val="-4"/>
                <w:lang w:val="en-GB"/>
              </w:rPr>
              <w:t>.</w:t>
            </w:r>
            <w:r w:rsidR="00BA5125" w:rsidRPr="006E725C">
              <w:rPr>
                <w:color w:val="0D0D0D" w:themeColor="text1" w:themeTint="F2"/>
                <w:spacing w:val="-4"/>
                <w:lang w:val="en-GB"/>
              </w:rPr>
              <w:t>2%</w:t>
            </w:r>
            <w:r w:rsidR="00947C89" w:rsidRPr="006E725C">
              <w:rPr>
                <w:color w:val="0D0D0D" w:themeColor="text1" w:themeTint="F2"/>
                <w:spacing w:val="-4"/>
                <w:lang w:val="en-GB"/>
              </w:rPr>
              <w:t xml:space="preserve"> last year,</w:t>
            </w:r>
            <w:r w:rsidR="006B757B" w:rsidRPr="006E725C">
              <w:rPr>
                <w:color w:val="0D0D0D" w:themeColor="text1" w:themeTint="F2"/>
                <w:spacing w:val="-4"/>
                <w:lang w:val="en-GB"/>
              </w:rPr>
              <w:t xml:space="preserve"> contributed to the growth the most for the third time in a row.</w:t>
            </w:r>
            <w:r w:rsidR="009154EF" w:rsidRPr="006E725C">
              <w:rPr>
                <w:color w:val="0D0D0D" w:themeColor="text1" w:themeTint="F2"/>
                <w:spacing w:val="-4"/>
                <w:lang w:val="en-GB"/>
              </w:rPr>
              <w:t xml:space="preserve"> Long-term developing information and communication</w:t>
            </w:r>
            <w:r w:rsidR="00FD5056">
              <w:rPr>
                <w:color w:val="0D0D0D" w:themeColor="text1" w:themeTint="F2"/>
                <w:spacing w:val="-4"/>
                <w:lang w:val="en-GB"/>
              </w:rPr>
              <w:t xml:space="preserve"> activities (IT)</w:t>
            </w:r>
            <w:r w:rsidR="009154EF" w:rsidRPr="006E725C">
              <w:rPr>
                <w:color w:val="0D0D0D" w:themeColor="text1" w:themeTint="F2"/>
                <w:spacing w:val="-4"/>
                <w:lang w:val="en-GB"/>
              </w:rPr>
              <w:t xml:space="preserve">, where the GVA rose the most among all the main branches </w:t>
            </w:r>
            <w:r w:rsidR="00BA5125" w:rsidRPr="006E725C">
              <w:rPr>
                <w:color w:val="0D0D0D" w:themeColor="text1" w:themeTint="F2"/>
                <w:spacing w:val="-4"/>
                <w:lang w:val="en-GB"/>
              </w:rPr>
              <w:t>(6</w:t>
            </w:r>
            <w:r w:rsidR="009154EF" w:rsidRPr="006E725C">
              <w:rPr>
                <w:color w:val="0D0D0D" w:themeColor="text1" w:themeTint="F2"/>
                <w:spacing w:val="-4"/>
                <w:lang w:val="en-GB"/>
              </w:rPr>
              <w:t>.</w:t>
            </w:r>
            <w:r w:rsidR="00BA5125" w:rsidRPr="006E725C">
              <w:rPr>
                <w:color w:val="0D0D0D" w:themeColor="text1" w:themeTint="F2"/>
                <w:spacing w:val="-4"/>
                <w:lang w:val="en-GB"/>
              </w:rPr>
              <w:t>2%)</w:t>
            </w:r>
            <w:r w:rsidR="00374AB7">
              <w:rPr>
                <w:color w:val="0D0D0D" w:themeColor="text1" w:themeTint="F2"/>
                <w:spacing w:val="-4"/>
                <w:lang w:val="en-GB"/>
              </w:rPr>
              <w:t>,</w:t>
            </w:r>
            <w:r w:rsidR="00FD5056">
              <w:rPr>
                <w:color w:val="0D0D0D" w:themeColor="text1" w:themeTint="F2"/>
                <w:spacing w:val="-4"/>
                <w:lang w:val="en-GB"/>
              </w:rPr>
              <w:t xml:space="preserve"> had almost the same</w:t>
            </w:r>
            <w:r w:rsidR="006B757B" w:rsidRPr="006E725C">
              <w:rPr>
                <w:color w:val="0D0D0D" w:themeColor="text1" w:themeTint="F2"/>
                <w:spacing w:val="-4"/>
                <w:lang w:val="en-GB"/>
              </w:rPr>
              <w:t xml:space="preserve"> effect</w:t>
            </w:r>
            <w:r w:rsidR="00BA5125" w:rsidRPr="006E725C">
              <w:rPr>
                <w:color w:val="0D0D0D" w:themeColor="text1" w:themeTint="F2"/>
                <w:spacing w:val="-4"/>
                <w:lang w:val="en-GB"/>
              </w:rPr>
              <w:t>.</w:t>
            </w:r>
            <w:r w:rsidR="006B757B" w:rsidRPr="006E725C">
              <w:rPr>
                <w:color w:val="0D0D0D" w:themeColor="text1" w:themeTint="F2"/>
                <w:spacing w:val="-4"/>
                <w:lang w:val="en-GB"/>
              </w:rPr>
              <w:t xml:space="preserve"> Public services also played an appreciable role </w:t>
            </w:r>
            <w:r w:rsidR="00BA5125" w:rsidRPr="006E725C">
              <w:rPr>
                <w:color w:val="0D0D0D" w:themeColor="text1" w:themeTint="F2"/>
                <w:spacing w:val="-4"/>
                <w:lang w:val="en-GB"/>
              </w:rPr>
              <w:t>(+0</w:t>
            </w:r>
            <w:r w:rsidR="006B757B" w:rsidRPr="006E725C">
              <w:rPr>
                <w:color w:val="0D0D0D" w:themeColor="text1" w:themeTint="F2"/>
                <w:spacing w:val="-4"/>
                <w:lang w:val="en-GB"/>
              </w:rPr>
              <w:t>.</w:t>
            </w:r>
            <w:r w:rsidR="00BA5125" w:rsidRPr="006E725C">
              <w:rPr>
                <w:color w:val="0D0D0D" w:themeColor="text1" w:themeTint="F2"/>
                <w:spacing w:val="-4"/>
                <w:lang w:val="en-GB"/>
              </w:rPr>
              <w:t>2 p.</w:t>
            </w:r>
            <w:r w:rsidR="006B757B" w:rsidRPr="006E725C">
              <w:rPr>
                <w:color w:val="0D0D0D" w:themeColor="text1" w:themeTint="F2"/>
                <w:spacing w:val="-4"/>
                <w:lang w:val="en-GB"/>
              </w:rPr>
              <w:t>p</w:t>
            </w:r>
            <w:r w:rsidR="00BA5125" w:rsidRPr="006E725C">
              <w:rPr>
                <w:color w:val="0D0D0D" w:themeColor="text1" w:themeTint="F2"/>
                <w:spacing w:val="-4"/>
                <w:lang w:val="en-GB"/>
              </w:rPr>
              <w:t xml:space="preserve">.), </w:t>
            </w:r>
            <w:r w:rsidR="006B757B" w:rsidRPr="006E725C">
              <w:rPr>
                <w:color w:val="0D0D0D" w:themeColor="text1" w:themeTint="F2"/>
                <w:spacing w:val="-4"/>
                <w:lang w:val="en-GB"/>
              </w:rPr>
              <w:t xml:space="preserve">even though their performance increased the least in the last eight years </w:t>
            </w:r>
            <w:r w:rsidR="00BA5125" w:rsidRPr="006E725C">
              <w:rPr>
                <w:color w:val="0D0D0D" w:themeColor="text1" w:themeTint="F2"/>
                <w:spacing w:val="-4"/>
                <w:lang w:val="en-GB"/>
              </w:rPr>
              <w:t>(1</w:t>
            </w:r>
            <w:r w:rsidR="006B757B" w:rsidRPr="006E725C">
              <w:rPr>
                <w:color w:val="0D0D0D" w:themeColor="text1" w:themeTint="F2"/>
                <w:spacing w:val="-4"/>
                <w:lang w:val="en-GB"/>
              </w:rPr>
              <w:t>.</w:t>
            </w:r>
            <w:r w:rsidR="00BA5125" w:rsidRPr="006E725C">
              <w:rPr>
                <w:color w:val="0D0D0D" w:themeColor="text1" w:themeTint="F2"/>
                <w:spacing w:val="-4"/>
                <w:lang w:val="en-GB"/>
              </w:rPr>
              <w:t xml:space="preserve">1%). </w:t>
            </w:r>
            <w:r w:rsidR="006B757B" w:rsidRPr="006E725C">
              <w:rPr>
                <w:color w:val="0D0D0D" w:themeColor="text1" w:themeTint="F2"/>
                <w:spacing w:val="-4"/>
                <w:lang w:val="en-GB"/>
              </w:rPr>
              <w:t xml:space="preserve">On the contrary, </w:t>
            </w:r>
            <w:r w:rsidR="00E61CD0" w:rsidRPr="006E725C">
              <w:rPr>
                <w:color w:val="0D0D0D" w:themeColor="text1" w:themeTint="F2"/>
                <w:spacing w:val="-4"/>
                <w:lang w:val="en-GB"/>
              </w:rPr>
              <w:t xml:space="preserve">mainly mining and quarrying, where the GVA dived by nearly one fifth year-on-year and exerted strength against the growth of the whole economy </w:t>
            </w:r>
            <w:r w:rsidR="00BA5125" w:rsidRPr="006E725C">
              <w:rPr>
                <w:color w:val="0D0D0D" w:themeColor="text1" w:themeTint="F2"/>
                <w:spacing w:val="-4"/>
                <w:lang w:val="en-GB"/>
              </w:rPr>
              <w:t>(</w:t>
            </w:r>
            <w:r w:rsidR="00BA5125" w:rsidRPr="006E725C">
              <w:rPr>
                <w:color w:val="0D0D0D" w:themeColor="text1" w:themeTint="F2"/>
                <w:lang w:val="en-GB"/>
              </w:rPr>
              <w:t>−</w:t>
            </w:r>
            <w:r w:rsidR="00BA5125" w:rsidRPr="006E725C">
              <w:rPr>
                <w:color w:val="0D0D0D" w:themeColor="text1" w:themeTint="F2"/>
                <w:spacing w:val="-4"/>
                <w:lang w:val="en-GB"/>
              </w:rPr>
              <w:t>0</w:t>
            </w:r>
            <w:r w:rsidR="00E61CD0" w:rsidRPr="006E725C">
              <w:rPr>
                <w:color w:val="0D0D0D" w:themeColor="text1" w:themeTint="F2"/>
                <w:spacing w:val="-4"/>
                <w:lang w:val="en-GB"/>
              </w:rPr>
              <w:t>.</w:t>
            </w:r>
            <w:r w:rsidR="00BA5125" w:rsidRPr="006E725C">
              <w:rPr>
                <w:color w:val="0D0D0D" w:themeColor="text1" w:themeTint="F2"/>
                <w:spacing w:val="-4"/>
                <w:lang w:val="en-GB"/>
              </w:rPr>
              <w:t>4 p.</w:t>
            </w:r>
            <w:r w:rsidR="00E61CD0" w:rsidRPr="006E725C">
              <w:rPr>
                <w:color w:val="0D0D0D" w:themeColor="text1" w:themeTint="F2"/>
                <w:spacing w:val="-4"/>
                <w:lang w:val="en-GB"/>
              </w:rPr>
              <w:t>p</w:t>
            </w:r>
            <w:r w:rsidR="00BA5125" w:rsidRPr="006E725C">
              <w:rPr>
                <w:color w:val="0D0D0D" w:themeColor="text1" w:themeTint="F2"/>
                <w:spacing w:val="-4"/>
                <w:lang w:val="en-GB"/>
              </w:rPr>
              <w:t>.)</w:t>
            </w:r>
            <w:r w:rsidR="00BA5125" w:rsidRPr="006E725C">
              <w:rPr>
                <w:rStyle w:val="Znakapoznpodarou"/>
                <w:color w:val="0D0D0D" w:themeColor="text1" w:themeTint="F2"/>
                <w:spacing w:val="-4"/>
                <w:lang w:val="en-GB"/>
              </w:rPr>
              <w:footnoteReference w:id="3"/>
            </w:r>
            <w:r w:rsidR="00832A1C">
              <w:rPr>
                <w:color w:val="0D0D0D" w:themeColor="text1" w:themeTint="F2"/>
                <w:spacing w:val="-4"/>
                <w:lang w:val="en-GB"/>
              </w:rPr>
              <w:t>,</w:t>
            </w:r>
            <w:r w:rsidR="00E61CD0" w:rsidRPr="006E725C">
              <w:rPr>
                <w:color w:val="0D0D0D" w:themeColor="text1" w:themeTint="F2"/>
                <w:spacing w:val="-4"/>
                <w:lang w:val="en-GB"/>
              </w:rPr>
              <w:t xml:space="preserve"> had a negative effect</w:t>
            </w:r>
            <w:r w:rsidR="00BA5125" w:rsidRPr="006E725C">
              <w:rPr>
                <w:color w:val="0D0D0D" w:themeColor="text1" w:themeTint="F2"/>
                <w:spacing w:val="-4"/>
                <w:lang w:val="en-GB"/>
              </w:rPr>
              <w:t xml:space="preserve">. </w:t>
            </w:r>
            <w:r w:rsidR="006D66DD">
              <w:rPr>
                <w:color w:val="0D0D0D" w:themeColor="text1" w:themeTint="F2"/>
                <w:spacing w:val="-4"/>
                <w:lang w:val="en-GB"/>
              </w:rPr>
              <w:t xml:space="preserve">The grouping of </w:t>
            </w:r>
            <w:r w:rsidR="00A01F62" w:rsidRPr="006E725C">
              <w:rPr>
                <w:color w:val="0D0D0D" w:themeColor="text1" w:themeTint="F2"/>
                <w:spacing w:val="-4"/>
                <w:lang w:val="en-GB"/>
              </w:rPr>
              <w:t>t</w:t>
            </w:r>
            <w:r w:rsidR="00DB4BF1" w:rsidRPr="006E725C">
              <w:rPr>
                <w:color w:val="0D0D0D" w:themeColor="text1" w:themeTint="F2"/>
                <w:spacing w:val="-4"/>
                <w:lang w:val="en-GB"/>
              </w:rPr>
              <w:t>rade, transport, accommodation and restaurants, whose performance lowered by 1.8% for the last</w:t>
            </w:r>
            <w:r w:rsidR="00A01F62" w:rsidRPr="006E725C">
              <w:rPr>
                <w:color w:val="0D0D0D" w:themeColor="text1" w:themeTint="F2"/>
                <w:spacing w:val="-4"/>
                <w:lang w:val="en-GB"/>
              </w:rPr>
              <w:t xml:space="preserve"> year</w:t>
            </w:r>
            <w:r w:rsidR="00832A1C">
              <w:rPr>
                <w:color w:val="0D0D0D" w:themeColor="text1" w:themeTint="F2"/>
                <w:spacing w:val="-4"/>
                <w:lang w:val="en-GB"/>
              </w:rPr>
              <w:t>,</w:t>
            </w:r>
            <w:r w:rsidR="00DB4BF1" w:rsidRPr="006E725C">
              <w:rPr>
                <w:color w:val="0D0D0D" w:themeColor="text1" w:themeTint="F2"/>
                <w:spacing w:val="-4"/>
                <w:lang w:val="en-GB"/>
              </w:rPr>
              <w:t xml:space="preserve"> </w:t>
            </w:r>
            <w:r w:rsidR="00E61CD0" w:rsidRPr="006E725C">
              <w:rPr>
                <w:bCs/>
                <w:lang w:val="en-GB"/>
              </w:rPr>
              <w:t>also had a comparable effect on the</w:t>
            </w:r>
            <w:r w:rsidR="00DB4BF1" w:rsidRPr="006E725C">
              <w:rPr>
                <w:bCs/>
                <w:lang w:val="en-GB"/>
              </w:rPr>
              <w:t xml:space="preserve"> GVA development</w:t>
            </w:r>
            <w:r w:rsidR="00BA5125" w:rsidRPr="006E725C">
              <w:rPr>
                <w:bCs/>
                <w:lang w:val="en-GB"/>
              </w:rPr>
              <w:t xml:space="preserve">. </w:t>
            </w:r>
            <w:r w:rsidR="00A6428C" w:rsidRPr="006E725C">
              <w:rPr>
                <w:bCs/>
                <w:lang w:val="en-GB"/>
              </w:rPr>
              <w:t xml:space="preserve">The impact of the considerable drop of consumption of the domestic households </w:t>
            </w:r>
            <w:r w:rsidR="00E35439">
              <w:rPr>
                <w:bCs/>
                <w:lang w:val="en-GB"/>
              </w:rPr>
              <w:t>(</w:t>
            </w:r>
            <w:r w:rsidR="00A6428C" w:rsidRPr="006E725C">
              <w:rPr>
                <w:bCs/>
                <w:lang w:val="en-GB"/>
              </w:rPr>
              <w:t xml:space="preserve">for both basic and </w:t>
            </w:r>
            <w:r w:rsidR="006428D3" w:rsidRPr="006E725C">
              <w:rPr>
                <w:bCs/>
                <w:lang w:val="en-GB"/>
              </w:rPr>
              <w:t>“</w:t>
            </w:r>
            <w:r w:rsidR="00802B5F">
              <w:rPr>
                <w:bCs/>
                <w:lang w:val="en-GB"/>
              </w:rPr>
              <w:t>non-essential”</w:t>
            </w:r>
            <w:r w:rsidR="006D66DD">
              <w:rPr>
                <w:bCs/>
                <w:lang w:val="en-GB"/>
              </w:rPr>
              <w:t xml:space="preserve"> goods</w:t>
            </w:r>
            <w:r w:rsidR="00E35439">
              <w:rPr>
                <w:bCs/>
                <w:lang w:val="en-GB"/>
              </w:rPr>
              <w:t xml:space="preserve">) was to some extent </w:t>
            </w:r>
            <w:r w:rsidR="00A6428C" w:rsidRPr="006E725C">
              <w:rPr>
                <w:bCs/>
                <w:lang w:val="en-GB"/>
              </w:rPr>
              <w:t xml:space="preserve">softened by the rising demand of non-residents in tourism. </w:t>
            </w:r>
            <w:r w:rsidR="000A3FD4" w:rsidRPr="006E725C">
              <w:rPr>
                <w:bCs/>
                <w:lang w:val="en-GB"/>
              </w:rPr>
              <w:t xml:space="preserve">The GVA </w:t>
            </w:r>
            <w:r w:rsidR="00A6428C" w:rsidRPr="006E725C">
              <w:rPr>
                <w:bCs/>
                <w:lang w:val="en-GB"/>
              </w:rPr>
              <w:t>in</w:t>
            </w:r>
            <w:r w:rsidR="00E35439">
              <w:rPr>
                <w:bCs/>
                <w:lang w:val="en-GB"/>
              </w:rPr>
              <w:t xml:space="preserve"> construction fell for the fifth year</w:t>
            </w:r>
            <w:r w:rsidR="000A3FD4" w:rsidRPr="006E725C">
              <w:rPr>
                <w:bCs/>
                <w:lang w:val="en-GB"/>
              </w:rPr>
              <w:t xml:space="preserve"> in a row, </w:t>
            </w:r>
            <w:r w:rsidR="00411F34" w:rsidRPr="006E725C">
              <w:rPr>
                <w:bCs/>
                <w:lang w:val="en-GB"/>
              </w:rPr>
              <w:t xml:space="preserve">nevertheless the last year’s decrease was the least pronounced for this time period </w:t>
            </w:r>
            <w:r w:rsidR="00BA5125" w:rsidRPr="006E725C">
              <w:rPr>
                <w:bCs/>
                <w:lang w:val="en-GB"/>
              </w:rPr>
              <w:t>(−1</w:t>
            </w:r>
            <w:r w:rsidR="00411F34" w:rsidRPr="006E725C">
              <w:rPr>
                <w:bCs/>
                <w:lang w:val="en-GB"/>
              </w:rPr>
              <w:t>.</w:t>
            </w:r>
            <w:r w:rsidR="00BA5125" w:rsidRPr="006E725C">
              <w:rPr>
                <w:bCs/>
                <w:lang w:val="en-GB"/>
              </w:rPr>
              <w:t>2%) a</w:t>
            </w:r>
            <w:r w:rsidR="000A3FD4" w:rsidRPr="006E725C">
              <w:rPr>
                <w:bCs/>
                <w:lang w:val="en-GB"/>
              </w:rPr>
              <w:t xml:space="preserve">nd its macroeconomic impact thus remained overshadowed by other branches. </w:t>
            </w:r>
            <w:r w:rsidR="00BA5125" w:rsidRPr="006E725C">
              <w:rPr>
                <w:bCs/>
                <w:lang w:val="en-GB"/>
              </w:rPr>
              <w:t xml:space="preserve"> </w:t>
            </w:r>
          </w:p>
        </w:tc>
      </w:tr>
      <w:tr w:rsidR="00BA5125" w:rsidRPr="006E725C" w14:paraId="285CC07E" w14:textId="77777777" w:rsidTr="00BA5125">
        <w:trPr>
          <w:trHeight w:val="145"/>
        </w:trPr>
        <w:tc>
          <w:tcPr>
            <w:tcW w:w="1814" w:type="dxa"/>
            <w:tcBorders>
              <w:top w:val="nil"/>
              <w:left w:val="nil"/>
              <w:bottom w:val="nil"/>
              <w:right w:val="nil"/>
            </w:tcBorders>
            <w:shd w:val="clear" w:color="auto" w:fill="auto"/>
            <w:tcMar>
              <w:left w:w="0" w:type="dxa"/>
            </w:tcMar>
          </w:tcPr>
          <w:p w14:paraId="1D7416E1" w14:textId="6283E95A" w:rsidR="00BA5125" w:rsidRPr="006E725C" w:rsidRDefault="00C04DD9" w:rsidP="00BA5125">
            <w:pPr>
              <w:pStyle w:val="Marginlie"/>
              <w:rPr>
                <w:color w:val="0D0D0D" w:themeColor="text1" w:themeTint="F2"/>
                <w:spacing w:val="-4"/>
                <w:lang w:val="en-GB"/>
              </w:rPr>
            </w:pPr>
            <w:r w:rsidRPr="006E725C">
              <w:rPr>
                <w:color w:val="0D0D0D" w:themeColor="text1" w:themeTint="F2"/>
                <w:spacing w:val="-4"/>
                <w:lang w:val="en-GB"/>
              </w:rPr>
              <w:t xml:space="preserve">The decrease of wood logging moderated. Production of meat kept further declining. Last year’s harvest was good for most main crops. </w:t>
            </w:r>
          </w:p>
        </w:tc>
        <w:tc>
          <w:tcPr>
            <w:tcW w:w="229" w:type="dxa"/>
            <w:tcBorders>
              <w:top w:val="nil"/>
              <w:left w:val="nil"/>
              <w:bottom w:val="nil"/>
              <w:right w:val="nil"/>
            </w:tcBorders>
            <w:shd w:val="clear" w:color="auto" w:fill="auto"/>
            <w:tcMar>
              <w:left w:w="0" w:type="dxa"/>
            </w:tcMar>
          </w:tcPr>
          <w:p w14:paraId="099E8038" w14:textId="77777777" w:rsidR="00BA5125" w:rsidRPr="006E725C" w:rsidRDefault="00BA5125" w:rsidP="00BA5125">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20A9ACF4" w14:textId="63F5998E" w:rsidR="00BA5125" w:rsidRPr="006E725C" w:rsidRDefault="00C04DD9" w:rsidP="00BA5125">
            <w:pPr>
              <w:spacing w:after="200"/>
              <w:rPr>
                <w:color w:val="0D0D0D" w:themeColor="text1" w:themeTint="F2"/>
                <w:lang w:val="en-GB"/>
              </w:rPr>
            </w:pPr>
            <w:r w:rsidRPr="006E725C">
              <w:rPr>
                <w:bCs/>
                <w:color w:val="0D0D0D" w:themeColor="text1" w:themeTint="F2"/>
                <w:lang w:val="en-GB"/>
              </w:rPr>
              <w:t xml:space="preserve">In the primary </w:t>
            </w:r>
            <w:r w:rsidR="00D8188C" w:rsidRPr="006E725C">
              <w:rPr>
                <w:bCs/>
                <w:color w:val="0D0D0D" w:themeColor="text1" w:themeTint="F2"/>
                <w:lang w:val="en-GB"/>
              </w:rPr>
              <w:t>sector,</w:t>
            </w:r>
            <w:r w:rsidRPr="006E725C">
              <w:rPr>
                <w:bCs/>
                <w:color w:val="0D0D0D" w:themeColor="text1" w:themeTint="F2"/>
                <w:lang w:val="en-GB"/>
              </w:rPr>
              <w:t xml:space="preserve"> the GVA nearly did not change last year</w:t>
            </w:r>
            <w:r w:rsidR="00E35439">
              <w:rPr>
                <w:bCs/>
                <w:color w:val="0D0D0D" w:themeColor="text1" w:themeTint="F2"/>
                <w:lang w:val="en-GB"/>
              </w:rPr>
              <w:t xml:space="preserve"> </w:t>
            </w:r>
            <w:r w:rsidR="00E35439" w:rsidRPr="006E725C">
              <w:rPr>
                <w:bCs/>
                <w:color w:val="0D0D0D" w:themeColor="text1" w:themeTint="F2"/>
                <w:lang w:val="en-GB"/>
              </w:rPr>
              <w:t>(+0.</w:t>
            </w:r>
            <w:r w:rsidR="00E35439">
              <w:rPr>
                <w:bCs/>
                <w:color w:val="0D0D0D" w:themeColor="text1" w:themeTint="F2"/>
                <w:lang w:val="en-GB"/>
              </w:rPr>
              <w:t>3%),</w:t>
            </w:r>
            <w:r w:rsidR="00E35439" w:rsidRPr="006E725C">
              <w:rPr>
                <w:bCs/>
                <w:color w:val="0D0D0D" w:themeColor="text1" w:themeTint="F2"/>
                <w:lang w:val="en-GB"/>
              </w:rPr>
              <w:t xml:space="preserve"> </w:t>
            </w:r>
            <w:r w:rsidRPr="006E725C">
              <w:rPr>
                <w:bCs/>
                <w:color w:val="0D0D0D" w:themeColor="text1" w:themeTint="F2"/>
                <w:lang w:val="en-GB"/>
              </w:rPr>
              <w:t xml:space="preserve">following two more notable decreases in years </w:t>
            </w:r>
            <w:r w:rsidR="00BA5125" w:rsidRPr="006E725C">
              <w:rPr>
                <w:bCs/>
                <w:color w:val="0D0D0D" w:themeColor="text1" w:themeTint="F2"/>
                <w:lang w:val="en-GB"/>
              </w:rPr>
              <w:t>2021 a</w:t>
            </w:r>
            <w:r w:rsidRPr="006E725C">
              <w:rPr>
                <w:bCs/>
                <w:color w:val="0D0D0D" w:themeColor="text1" w:themeTint="F2"/>
                <w:lang w:val="en-GB"/>
              </w:rPr>
              <w:t>nd</w:t>
            </w:r>
            <w:r w:rsidR="00BA5125" w:rsidRPr="006E725C">
              <w:rPr>
                <w:bCs/>
                <w:color w:val="0D0D0D" w:themeColor="text1" w:themeTint="F2"/>
                <w:lang w:val="en-GB"/>
              </w:rPr>
              <w:t xml:space="preserve"> 2022. </w:t>
            </w:r>
            <w:r w:rsidR="007E2C81" w:rsidRPr="006E725C">
              <w:rPr>
                <w:bCs/>
                <w:color w:val="0D0D0D" w:themeColor="text1" w:themeTint="F2"/>
                <w:lang w:val="en-GB"/>
              </w:rPr>
              <w:t>The decline of the bark beetle wood logging prevailed</w:t>
            </w:r>
            <w:r w:rsidR="00BA5125" w:rsidRPr="006E725C">
              <w:rPr>
                <w:bCs/>
                <w:color w:val="0D0D0D" w:themeColor="text1" w:themeTint="F2"/>
                <w:lang w:val="en-GB"/>
              </w:rPr>
              <w:t xml:space="preserve">, </w:t>
            </w:r>
            <w:r w:rsidR="00A06E2D" w:rsidRPr="006E725C">
              <w:rPr>
                <w:bCs/>
                <w:color w:val="0D0D0D" w:themeColor="text1" w:themeTint="F2"/>
                <w:lang w:val="en-GB"/>
              </w:rPr>
              <w:t xml:space="preserve">but at a slower pace compared to the preceding two years. The volume of total logging gradually approaches the level from before the onset of the bark beetle outbreak </w:t>
            </w:r>
            <w:r w:rsidR="00BA5125" w:rsidRPr="006E725C">
              <w:rPr>
                <w:bCs/>
                <w:color w:val="0D0D0D" w:themeColor="text1" w:themeTint="F2"/>
                <w:lang w:val="en-GB"/>
              </w:rPr>
              <w:t>(</w:t>
            </w:r>
            <w:r w:rsidR="00A06E2D" w:rsidRPr="006E725C">
              <w:rPr>
                <w:bCs/>
                <w:color w:val="0D0D0D" w:themeColor="text1" w:themeTint="F2"/>
                <w:lang w:val="en-GB"/>
              </w:rPr>
              <w:t xml:space="preserve">year </w:t>
            </w:r>
            <w:r w:rsidR="00BA5125" w:rsidRPr="006E725C">
              <w:rPr>
                <w:bCs/>
                <w:color w:val="0D0D0D" w:themeColor="text1" w:themeTint="F2"/>
                <w:lang w:val="en-GB"/>
              </w:rPr>
              <w:t xml:space="preserve">2017). </w:t>
            </w:r>
            <w:r w:rsidR="008620A3" w:rsidRPr="006E725C">
              <w:rPr>
                <w:bCs/>
                <w:color w:val="0D0D0D" w:themeColor="text1" w:themeTint="F2"/>
                <w:lang w:val="en-GB"/>
              </w:rPr>
              <w:t xml:space="preserve">Production of meat in slaughterhouses </w:t>
            </w:r>
            <w:r w:rsidR="00A01F62" w:rsidRPr="006E725C">
              <w:rPr>
                <w:bCs/>
                <w:color w:val="0D0D0D" w:themeColor="text1" w:themeTint="F2"/>
                <w:lang w:val="en-GB"/>
              </w:rPr>
              <w:t xml:space="preserve">decreased </w:t>
            </w:r>
            <w:r w:rsidR="008620A3" w:rsidRPr="006E725C">
              <w:rPr>
                <w:color w:val="0D0D0D" w:themeColor="text1" w:themeTint="F2"/>
                <w:lang w:val="en-GB"/>
              </w:rPr>
              <w:t>last year in agriculture</w:t>
            </w:r>
            <w:r w:rsidR="00BA5125" w:rsidRPr="006E725C">
              <w:rPr>
                <w:color w:val="0D0D0D" w:themeColor="text1" w:themeTint="F2"/>
                <w:lang w:val="en-GB"/>
              </w:rPr>
              <w:t xml:space="preserve"> (−2</w:t>
            </w:r>
            <w:r w:rsidR="008620A3" w:rsidRPr="006E725C">
              <w:rPr>
                <w:color w:val="0D0D0D" w:themeColor="text1" w:themeTint="F2"/>
                <w:lang w:val="en-GB"/>
              </w:rPr>
              <w:t>.</w:t>
            </w:r>
            <w:r w:rsidR="00BA5125" w:rsidRPr="006E725C">
              <w:rPr>
                <w:color w:val="0D0D0D" w:themeColor="text1" w:themeTint="F2"/>
                <w:lang w:val="en-GB"/>
              </w:rPr>
              <w:t xml:space="preserve">6%), </w:t>
            </w:r>
            <w:r w:rsidR="007E2C81" w:rsidRPr="006E725C">
              <w:rPr>
                <w:color w:val="0D0D0D" w:themeColor="text1" w:themeTint="F2"/>
                <w:lang w:val="en-GB"/>
              </w:rPr>
              <w:t xml:space="preserve">however less than in year </w:t>
            </w:r>
            <w:r w:rsidR="00BA5125" w:rsidRPr="006E725C">
              <w:rPr>
                <w:color w:val="0D0D0D" w:themeColor="text1" w:themeTint="F2"/>
                <w:lang w:val="en-GB"/>
              </w:rPr>
              <w:t>2022 (−4</w:t>
            </w:r>
            <w:r w:rsidR="007E2C81" w:rsidRPr="006E725C">
              <w:rPr>
                <w:color w:val="0D0D0D" w:themeColor="text1" w:themeTint="F2"/>
                <w:lang w:val="en-GB"/>
              </w:rPr>
              <w:t>.</w:t>
            </w:r>
            <w:r w:rsidR="00BA5125" w:rsidRPr="006E725C">
              <w:rPr>
                <w:color w:val="0D0D0D" w:themeColor="text1" w:themeTint="F2"/>
                <w:lang w:val="en-GB"/>
              </w:rPr>
              <w:t xml:space="preserve">2%). </w:t>
            </w:r>
            <w:r w:rsidR="007E2C81" w:rsidRPr="006E725C">
              <w:rPr>
                <w:color w:val="0D0D0D" w:themeColor="text1" w:themeTint="F2"/>
                <w:lang w:val="en-GB"/>
              </w:rPr>
              <w:t>In contrast the long-term trend of mild strengthening of the milk production persisted</w:t>
            </w:r>
            <w:r w:rsidR="00BA5125" w:rsidRPr="006E725C">
              <w:rPr>
                <w:rStyle w:val="Znakapoznpodarou"/>
                <w:color w:val="0D0D0D" w:themeColor="text1" w:themeTint="F2"/>
                <w:lang w:val="en-GB"/>
              </w:rPr>
              <w:footnoteReference w:id="4"/>
            </w:r>
            <w:r w:rsidR="00BA5125" w:rsidRPr="006E725C">
              <w:rPr>
                <w:color w:val="0D0D0D" w:themeColor="text1" w:themeTint="F2"/>
                <w:lang w:val="en-GB"/>
              </w:rPr>
              <w:t xml:space="preserve">. </w:t>
            </w:r>
            <w:r w:rsidR="008620A3" w:rsidRPr="006E725C">
              <w:rPr>
                <w:color w:val="0D0D0D" w:themeColor="text1" w:themeTint="F2"/>
                <w:lang w:val="en-GB"/>
              </w:rPr>
              <w:t>Even though the majority of main crops experienced year-on-year decrease of harvest</w:t>
            </w:r>
            <w:r w:rsidR="00BA5125" w:rsidRPr="006E725C">
              <w:rPr>
                <w:rStyle w:val="Znakapoznpodarou"/>
                <w:color w:val="0D0D0D" w:themeColor="text1" w:themeTint="F2"/>
                <w:lang w:val="en-GB"/>
              </w:rPr>
              <w:footnoteReference w:id="5"/>
            </w:r>
            <w:r w:rsidR="00E35439">
              <w:rPr>
                <w:color w:val="0D0D0D" w:themeColor="text1" w:themeTint="F2"/>
                <w:lang w:val="en-GB"/>
              </w:rPr>
              <w:t xml:space="preserve">, </w:t>
            </w:r>
            <w:r w:rsidR="008620A3" w:rsidRPr="006E725C">
              <w:rPr>
                <w:color w:val="0D0D0D" w:themeColor="text1" w:themeTint="F2"/>
                <w:lang w:val="en-GB"/>
              </w:rPr>
              <w:t xml:space="preserve">still </w:t>
            </w:r>
            <w:r w:rsidR="006B39E1">
              <w:rPr>
                <w:color w:val="0D0D0D" w:themeColor="text1" w:themeTint="F2"/>
                <w:lang w:val="en-GB"/>
              </w:rPr>
              <w:t xml:space="preserve">the </w:t>
            </w:r>
            <w:r w:rsidR="006B39E1">
              <w:rPr>
                <w:color w:val="0D0D0D" w:themeColor="text1" w:themeTint="F2"/>
                <w:lang w:val="en-GB"/>
              </w:rPr>
              <w:lastRenderedPageBreak/>
              <w:t>harvest</w:t>
            </w:r>
            <w:r w:rsidR="008620A3" w:rsidRPr="006E725C">
              <w:rPr>
                <w:color w:val="0D0D0D" w:themeColor="text1" w:themeTint="F2"/>
                <w:lang w:val="en-GB"/>
              </w:rPr>
              <w:t xml:space="preserve"> </w:t>
            </w:r>
            <w:r w:rsidR="006B39E1">
              <w:rPr>
                <w:color w:val="0D0D0D" w:themeColor="text1" w:themeTint="F2"/>
                <w:lang w:val="en-GB"/>
              </w:rPr>
              <w:t xml:space="preserve">in 2023 </w:t>
            </w:r>
            <w:r w:rsidR="00E35439">
              <w:rPr>
                <w:color w:val="0D0D0D" w:themeColor="text1" w:themeTint="F2"/>
                <w:lang w:val="en-GB"/>
              </w:rPr>
              <w:t>can</w:t>
            </w:r>
            <w:r w:rsidR="008620A3" w:rsidRPr="006E725C">
              <w:rPr>
                <w:color w:val="0D0D0D" w:themeColor="text1" w:themeTint="F2"/>
                <w:lang w:val="en-GB"/>
              </w:rPr>
              <w:t xml:space="preserve"> be considered good </w:t>
            </w:r>
            <w:r w:rsidR="00BA5125" w:rsidRPr="006E725C">
              <w:rPr>
                <w:color w:val="0D0D0D" w:themeColor="text1" w:themeTint="F2"/>
                <w:lang w:val="en-GB"/>
              </w:rPr>
              <w:t>(</w:t>
            </w:r>
            <w:r w:rsidR="008620A3" w:rsidRPr="006E725C">
              <w:rPr>
                <w:color w:val="0D0D0D" w:themeColor="text1" w:themeTint="F2"/>
                <w:lang w:val="en-GB"/>
              </w:rPr>
              <w:t>even above-average for some cereals or oil plants</w:t>
            </w:r>
            <w:r w:rsidR="00BA5125" w:rsidRPr="006E725C">
              <w:rPr>
                <w:color w:val="0D0D0D" w:themeColor="text1" w:themeTint="F2"/>
                <w:lang w:val="en-GB"/>
              </w:rPr>
              <w:t>).</w:t>
            </w:r>
          </w:p>
        </w:tc>
      </w:tr>
      <w:tr w:rsidR="00BA5125" w:rsidRPr="006E725C" w14:paraId="1D2392A2" w14:textId="77777777" w:rsidTr="00BA5125">
        <w:trPr>
          <w:trHeight w:val="145"/>
        </w:trPr>
        <w:tc>
          <w:tcPr>
            <w:tcW w:w="1814" w:type="dxa"/>
            <w:tcBorders>
              <w:top w:val="nil"/>
              <w:left w:val="nil"/>
              <w:bottom w:val="nil"/>
              <w:right w:val="nil"/>
            </w:tcBorders>
            <w:shd w:val="clear" w:color="auto" w:fill="auto"/>
            <w:tcMar>
              <w:left w:w="0" w:type="dxa"/>
            </w:tcMar>
          </w:tcPr>
          <w:p w14:paraId="09516FED" w14:textId="0B61776F" w:rsidR="00BA5125" w:rsidRPr="006E725C" w:rsidRDefault="00572FDF" w:rsidP="00BA5125">
            <w:pPr>
              <w:pStyle w:val="Marginlie"/>
              <w:rPr>
                <w:color w:val="0D0D0D" w:themeColor="text1" w:themeTint="F2"/>
                <w:spacing w:val="-4"/>
                <w:lang w:val="en-GB"/>
              </w:rPr>
            </w:pPr>
            <w:r w:rsidRPr="006E725C">
              <w:rPr>
                <w:color w:val="0D0D0D" w:themeColor="text1" w:themeTint="F2"/>
                <w:spacing w:val="-4"/>
                <w:lang w:val="en-GB"/>
              </w:rPr>
              <w:lastRenderedPageBreak/>
              <w:t>Industry went through a cyclical downturn.</w:t>
            </w:r>
            <w:r w:rsidR="0044227A" w:rsidRPr="006E725C">
              <w:rPr>
                <w:color w:val="0D0D0D" w:themeColor="text1" w:themeTint="F2"/>
                <w:spacing w:val="-4"/>
                <w:lang w:val="en-GB"/>
              </w:rPr>
              <w:t xml:space="preserve"> It faced high price level of inputs as well as weak internal and external demand for the whole last year. </w:t>
            </w:r>
          </w:p>
          <w:p w14:paraId="143F9BE3" w14:textId="128B9FEB" w:rsidR="00BA5125" w:rsidRDefault="00BA5125" w:rsidP="00BA5125">
            <w:pPr>
              <w:pStyle w:val="Marginlie"/>
              <w:rPr>
                <w:color w:val="0D0D0D" w:themeColor="text1" w:themeTint="F2"/>
                <w:spacing w:val="-4"/>
                <w:lang w:val="en-GB"/>
              </w:rPr>
            </w:pPr>
          </w:p>
          <w:p w14:paraId="1182AA07" w14:textId="5E911422" w:rsidR="002D26B8" w:rsidRDefault="002D26B8" w:rsidP="00BA5125">
            <w:pPr>
              <w:pStyle w:val="Marginlie"/>
              <w:rPr>
                <w:color w:val="0D0D0D" w:themeColor="text1" w:themeTint="F2"/>
                <w:spacing w:val="-4"/>
                <w:lang w:val="en-GB"/>
              </w:rPr>
            </w:pPr>
          </w:p>
          <w:p w14:paraId="7EBE4001" w14:textId="31F1DBA2" w:rsidR="002D26B8" w:rsidRDefault="002D26B8" w:rsidP="00BA5125">
            <w:pPr>
              <w:pStyle w:val="Marginlie"/>
              <w:rPr>
                <w:color w:val="0D0D0D" w:themeColor="text1" w:themeTint="F2"/>
                <w:spacing w:val="-4"/>
                <w:lang w:val="en-GB"/>
              </w:rPr>
            </w:pPr>
          </w:p>
          <w:p w14:paraId="2683AEF1" w14:textId="77777777" w:rsidR="002D26B8" w:rsidRPr="006E725C" w:rsidRDefault="002D26B8" w:rsidP="00BA5125">
            <w:pPr>
              <w:pStyle w:val="Marginlie"/>
              <w:rPr>
                <w:color w:val="0D0D0D" w:themeColor="text1" w:themeTint="F2"/>
                <w:spacing w:val="-4"/>
                <w:lang w:val="en-GB"/>
              </w:rPr>
            </w:pPr>
          </w:p>
          <w:p w14:paraId="674BFD33" w14:textId="7ED1A6E7" w:rsidR="00BA5125" w:rsidRPr="006E725C" w:rsidRDefault="0044227A" w:rsidP="00BA5125">
            <w:pPr>
              <w:pStyle w:val="Marginlie"/>
              <w:rPr>
                <w:color w:val="0D0D0D" w:themeColor="text1" w:themeTint="F2"/>
                <w:spacing w:val="-4"/>
                <w:lang w:val="en-GB"/>
              </w:rPr>
            </w:pPr>
            <w:r w:rsidRPr="006E725C">
              <w:rPr>
                <w:color w:val="0D0D0D" w:themeColor="text1" w:themeTint="F2"/>
                <w:spacing w:val="-4"/>
                <w:lang w:val="en-GB"/>
              </w:rPr>
              <w:t xml:space="preserve">Adverse development of industry </w:t>
            </w:r>
            <w:r w:rsidR="00812708">
              <w:rPr>
                <w:color w:val="0D0D0D" w:themeColor="text1" w:themeTint="F2"/>
                <w:spacing w:val="-4"/>
                <w:lang w:val="en-GB"/>
              </w:rPr>
              <w:t>was m</w:t>
            </w:r>
            <w:r w:rsidRPr="006E725C">
              <w:rPr>
                <w:color w:val="0D0D0D" w:themeColor="text1" w:themeTint="F2"/>
                <w:spacing w:val="-4"/>
                <w:lang w:val="en-GB"/>
              </w:rPr>
              <w:t xml:space="preserve">itigated by higher production of motor vehicle manufacturing. Neither this industry however avoided short-term outages. </w:t>
            </w:r>
            <w:r w:rsidR="00BA5125" w:rsidRPr="006E725C">
              <w:rPr>
                <w:color w:val="0D0D0D" w:themeColor="text1" w:themeTint="F2"/>
                <w:spacing w:val="-4"/>
                <w:lang w:val="en-GB"/>
              </w:rPr>
              <w:t xml:space="preserve"> </w:t>
            </w:r>
          </w:p>
        </w:tc>
        <w:tc>
          <w:tcPr>
            <w:tcW w:w="229" w:type="dxa"/>
            <w:tcBorders>
              <w:top w:val="nil"/>
              <w:left w:val="nil"/>
              <w:bottom w:val="nil"/>
              <w:right w:val="nil"/>
            </w:tcBorders>
            <w:shd w:val="clear" w:color="auto" w:fill="auto"/>
            <w:tcMar>
              <w:left w:w="0" w:type="dxa"/>
            </w:tcMar>
          </w:tcPr>
          <w:p w14:paraId="693D6E08"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4B3274F" w14:textId="0E648B56" w:rsidR="00BA5125" w:rsidRPr="006E725C" w:rsidRDefault="00581B64" w:rsidP="00BA5125">
            <w:pPr>
              <w:spacing w:after="0"/>
              <w:rPr>
                <w:color w:val="0D0D0D" w:themeColor="text1" w:themeTint="F2"/>
                <w:spacing w:val="-4"/>
                <w:lang w:val="en-GB"/>
              </w:rPr>
            </w:pPr>
            <w:r w:rsidRPr="006E725C">
              <w:rPr>
                <w:color w:val="0D0D0D" w:themeColor="text1" w:themeTint="F2"/>
                <w:spacing w:val="-4"/>
                <w:lang w:val="en-GB"/>
              </w:rPr>
              <w:t xml:space="preserve">Industry in the CR, similarly to </w:t>
            </w:r>
            <w:r w:rsidR="00572FDF" w:rsidRPr="006E725C">
              <w:rPr>
                <w:color w:val="0D0D0D" w:themeColor="text1" w:themeTint="F2"/>
                <w:spacing w:val="-4"/>
                <w:lang w:val="en-GB"/>
              </w:rPr>
              <w:t>most of</w:t>
            </w:r>
            <w:r w:rsidRPr="006E725C">
              <w:rPr>
                <w:color w:val="0D0D0D" w:themeColor="text1" w:themeTint="F2"/>
                <w:spacing w:val="-4"/>
                <w:lang w:val="en-GB"/>
              </w:rPr>
              <w:t xml:space="preserve"> the EU states</w:t>
            </w:r>
            <w:r w:rsidR="00BA5125" w:rsidRPr="006E725C">
              <w:rPr>
                <w:color w:val="0D0D0D" w:themeColor="text1" w:themeTint="F2"/>
                <w:spacing w:val="-4"/>
                <w:lang w:val="en-GB"/>
              </w:rPr>
              <w:t>,</w:t>
            </w:r>
            <w:r w:rsidRPr="006E725C">
              <w:rPr>
                <w:color w:val="0D0D0D" w:themeColor="text1" w:themeTint="F2"/>
                <w:spacing w:val="-4"/>
                <w:lang w:val="en-GB"/>
              </w:rPr>
              <w:t xml:space="preserve"> was situated in the cyclical downturn last year, whose beginning can be traced already to the half of year </w:t>
            </w:r>
            <w:r w:rsidR="00BA5125" w:rsidRPr="006E725C">
              <w:rPr>
                <w:color w:val="0D0D0D" w:themeColor="text1" w:themeTint="F2"/>
                <w:spacing w:val="-4"/>
                <w:lang w:val="en-GB"/>
              </w:rPr>
              <w:t xml:space="preserve">2022. </w:t>
            </w:r>
            <w:r w:rsidR="00715231" w:rsidRPr="006E725C">
              <w:rPr>
                <w:color w:val="0D0D0D" w:themeColor="text1" w:themeTint="F2"/>
                <w:spacing w:val="-4"/>
                <w:lang w:val="en-GB"/>
              </w:rPr>
              <w:t xml:space="preserve">The cost pressures linked to the sharp hike of prices of energies and other inputs </w:t>
            </w:r>
            <w:r w:rsidR="00BA5125" w:rsidRPr="006E725C">
              <w:rPr>
                <w:color w:val="0D0D0D" w:themeColor="text1" w:themeTint="F2"/>
                <w:spacing w:val="-4"/>
                <w:lang w:val="en-GB"/>
              </w:rPr>
              <w:t>(</w:t>
            </w:r>
            <w:r w:rsidR="00715231" w:rsidRPr="006E725C">
              <w:rPr>
                <w:color w:val="0D0D0D" w:themeColor="text1" w:themeTint="F2"/>
                <w:spacing w:val="-4"/>
                <w:lang w:val="en-GB"/>
              </w:rPr>
              <w:t>as well as uncertainty regarding their development</w:t>
            </w:r>
            <w:r w:rsidR="00BA5125" w:rsidRPr="006E725C">
              <w:rPr>
                <w:color w:val="0D0D0D" w:themeColor="text1" w:themeTint="F2"/>
                <w:spacing w:val="-4"/>
                <w:lang w:val="en-GB"/>
              </w:rPr>
              <w:t xml:space="preserve">) </w:t>
            </w:r>
            <w:r w:rsidR="00715231" w:rsidRPr="006E725C">
              <w:rPr>
                <w:color w:val="0D0D0D" w:themeColor="text1" w:themeTint="F2"/>
                <w:spacing w:val="-4"/>
                <w:lang w:val="en-GB"/>
              </w:rPr>
              <w:t xml:space="preserve">were magnified by the weakening demand in the key export territories. </w:t>
            </w:r>
            <w:r w:rsidR="00862C86" w:rsidRPr="006E725C">
              <w:rPr>
                <w:color w:val="0D0D0D" w:themeColor="text1" w:themeTint="F2"/>
                <w:spacing w:val="-4"/>
                <w:lang w:val="en-GB"/>
              </w:rPr>
              <w:t xml:space="preserve">Beside </w:t>
            </w:r>
            <w:r w:rsidR="00D8188C" w:rsidRPr="006E725C">
              <w:rPr>
                <w:color w:val="0D0D0D" w:themeColor="text1" w:themeTint="F2"/>
                <w:spacing w:val="-4"/>
                <w:lang w:val="en-GB"/>
              </w:rPr>
              <w:t>this,</w:t>
            </w:r>
            <w:r w:rsidR="00862C86" w:rsidRPr="006E725C">
              <w:rPr>
                <w:color w:val="0D0D0D" w:themeColor="text1" w:themeTint="F2"/>
                <w:spacing w:val="-4"/>
                <w:lang w:val="en-GB"/>
              </w:rPr>
              <w:t xml:space="preserve"> the slump of both household consumption and private investment activity</w:t>
            </w:r>
            <w:r w:rsidR="002D26B8">
              <w:rPr>
                <w:color w:val="0D0D0D" w:themeColor="text1" w:themeTint="F2"/>
                <w:spacing w:val="-4"/>
                <w:lang w:val="en-GB"/>
              </w:rPr>
              <w:t xml:space="preserve"> had also negative effect</w:t>
            </w:r>
            <w:r w:rsidR="00862C86" w:rsidRPr="006E725C">
              <w:rPr>
                <w:color w:val="0D0D0D" w:themeColor="text1" w:themeTint="F2"/>
                <w:spacing w:val="-4"/>
                <w:lang w:val="en-GB"/>
              </w:rPr>
              <w:t>. Even though the prices of energies became stable last year, they still lay significantly above the level f</w:t>
            </w:r>
            <w:r w:rsidR="00B411B8" w:rsidRPr="006E725C">
              <w:rPr>
                <w:color w:val="0D0D0D" w:themeColor="text1" w:themeTint="F2"/>
                <w:spacing w:val="-4"/>
                <w:lang w:val="en-GB"/>
              </w:rPr>
              <w:t>ro</w:t>
            </w:r>
            <w:r w:rsidR="00862C86" w:rsidRPr="006E725C">
              <w:rPr>
                <w:color w:val="0D0D0D" w:themeColor="text1" w:themeTint="F2"/>
                <w:spacing w:val="-4"/>
                <w:lang w:val="en-GB"/>
              </w:rPr>
              <w:t xml:space="preserve">m year </w:t>
            </w:r>
            <w:r w:rsidR="00BA5125" w:rsidRPr="006E725C">
              <w:rPr>
                <w:color w:val="0D0D0D" w:themeColor="text1" w:themeTint="F2"/>
                <w:spacing w:val="-4"/>
                <w:lang w:val="en-GB"/>
              </w:rPr>
              <w:t xml:space="preserve">2021. </w:t>
            </w:r>
            <w:r w:rsidR="00AF5F65" w:rsidRPr="006E725C">
              <w:rPr>
                <w:color w:val="0D0D0D" w:themeColor="text1" w:themeTint="F2"/>
                <w:spacing w:val="-4"/>
                <w:lang w:val="en-GB"/>
              </w:rPr>
              <w:t xml:space="preserve">It naturally affected especially the energy-intensive industrial branches. The adverse development was mitigated by the revival in the motor vehicle manufacturing, </w:t>
            </w:r>
            <w:r w:rsidR="00862C86" w:rsidRPr="006E725C">
              <w:rPr>
                <w:color w:val="0D0D0D" w:themeColor="text1" w:themeTint="F2"/>
                <w:spacing w:val="-4"/>
                <w:lang w:val="en-GB"/>
              </w:rPr>
              <w:t xml:space="preserve">which gradually finalised larger volume of orders </w:t>
            </w:r>
            <w:r w:rsidR="00AF5F65" w:rsidRPr="006E725C">
              <w:rPr>
                <w:color w:val="0D0D0D" w:themeColor="text1" w:themeTint="F2"/>
                <w:spacing w:val="-4"/>
                <w:lang w:val="en-GB"/>
              </w:rPr>
              <w:t xml:space="preserve">accumulated from the period, when the </w:t>
            </w:r>
            <w:r w:rsidR="00C04293" w:rsidRPr="006E725C">
              <w:rPr>
                <w:color w:val="0D0D0D" w:themeColor="text1" w:themeTint="F2"/>
                <w:spacing w:val="-4"/>
                <w:lang w:val="en-GB"/>
              </w:rPr>
              <w:t>continuity o</w:t>
            </w:r>
            <w:r w:rsidR="002D26B8">
              <w:rPr>
                <w:color w:val="0D0D0D" w:themeColor="text1" w:themeTint="F2"/>
                <w:spacing w:val="-4"/>
                <w:lang w:val="en-GB"/>
              </w:rPr>
              <w:t>f production was slackened due to</w:t>
            </w:r>
            <w:r w:rsidR="00C04293" w:rsidRPr="006E725C">
              <w:rPr>
                <w:color w:val="0D0D0D" w:themeColor="text1" w:themeTint="F2"/>
                <w:spacing w:val="-4"/>
                <w:lang w:val="en-GB"/>
              </w:rPr>
              <w:t xml:space="preserve"> the disrupted supply chains. </w:t>
            </w:r>
            <w:r w:rsidR="002D26B8">
              <w:rPr>
                <w:color w:val="0D0D0D" w:themeColor="text1" w:themeTint="F2"/>
                <w:spacing w:val="-4"/>
                <w:lang w:val="en-GB"/>
              </w:rPr>
              <w:t xml:space="preserve">The total </w:t>
            </w:r>
            <w:r w:rsidR="00AF5F65" w:rsidRPr="006E725C">
              <w:rPr>
                <w:color w:val="0D0D0D" w:themeColor="text1" w:themeTint="F2"/>
                <w:spacing w:val="-4"/>
                <w:lang w:val="en-GB"/>
              </w:rPr>
              <w:t>industrial output</w:t>
            </w:r>
            <w:r w:rsidR="00BA5125" w:rsidRPr="006E725C">
              <w:rPr>
                <w:rStyle w:val="Znakapoznpodarou"/>
                <w:color w:val="0D0D0D" w:themeColor="text1" w:themeTint="F2"/>
                <w:spacing w:val="-4"/>
                <w:lang w:val="en-GB"/>
              </w:rPr>
              <w:footnoteReference w:id="6"/>
            </w:r>
            <w:r w:rsidR="00BA5125" w:rsidRPr="006E725C">
              <w:rPr>
                <w:color w:val="0D0D0D" w:themeColor="text1" w:themeTint="F2"/>
                <w:spacing w:val="-4"/>
                <w:lang w:val="en-GB"/>
              </w:rPr>
              <w:t xml:space="preserve"> </w:t>
            </w:r>
            <w:r w:rsidR="00AF5F65" w:rsidRPr="006E725C">
              <w:rPr>
                <w:color w:val="0D0D0D" w:themeColor="text1" w:themeTint="F2"/>
                <w:spacing w:val="-4"/>
                <w:lang w:val="en-GB"/>
              </w:rPr>
              <w:t xml:space="preserve">rather stagnated quarter-on-quarter in the first half of year </w:t>
            </w:r>
            <w:r w:rsidR="00BA5125" w:rsidRPr="006E725C">
              <w:rPr>
                <w:color w:val="0D0D0D" w:themeColor="text1" w:themeTint="F2"/>
                <w:spacing w:val="-4"/>
                <w:lang w:val="en-GB"/>
              </w:rPr>
              <w:t>2023</w:t>
            </w:r>
            <w:r w:rsidR="00AF5F65" w:rsidRPr="006E725C">
              <w:rPr>
                <w:color w:val="0D0D0D" w:themeColor="text1" w:themeTint="F2"/>
                <w:spacing w:val="-4"/>
                <w:lang w:val="en-GB"/>
              </w:rPr>
              <w:t xml:space="preserve">, </w:t>
            </w:r>
            <w:r w:rsidR="00C04293" w:rsidRPr="006E725C">
              <w:rPr>
                <w:color w:val="0D0D0D" w:themeColor="text1" w:themeTint="F2"/>
                <w:spacing w:val="-4"/>
                <w:lang w:val="en-GB"/>
              </w:rPr>
              <w:t xml:space="preserve">it decreased by </w:t>
            </w:r>
            <w:r w:rsidR="00BA5125" w:rsidRPr="006E725C">
              <w:rPr>
                <w:color w:val="0D0D0D" w:themeColor="text1" w:themeTint="F2"/>
                <w:spacing w:val="-4"/>
                <w:lang w:val="en-GB"/>
              </w:rPr>
              <w:t>2</w:t>
            </w:r>
            <w:r w:rsidR="00C04293" w:rsidRPr="006E725C">
              <w:rPr>
                <w:color w:val="0D0D0D" w:themeColor="text1" w:themeTint="F2"/>
                <w:spacing w:val="-4"/>
                <w:lang w:val="en-GB"/>
              </w:rPr>
              <w:t>.</w:t>
            </w:r>
            <w:r w:rsidR="00BA5125" w:rsidRPr="006E725C">
              <w:rPr>
                <w:color w:val="0D0D0D" w:themeColor="text1" w:themeTint="F2"/>
                <w:spacing w:val="-4"/>
                <w:lang w:val="en-GB"/>
              </w:rPr>
              <w:t>3%</w:t>
            </w:r>
            <w:r w:rsidR="00C04293" w:rsidRPr="006E725C">
              <w:rPr>
                <w:color w:val="0D0D0D" w:themeColor="text1" w:themeTint="F2"/>
                <w:spacing w:val="-4"/>
                <w:lang w:val="en-GB"/>
              </w:rPr>
              <w:t xml:space="preserve"> in Q3</w:t>
            </w:r>
            <w:r w:rsidR="00BA5125" w:rsidRPr="006E725C">
              <w:rPr>
                <w:color w:val="0D0D0D" w:themeColor="text1" w:themeTint="F2"/>
                <w:spacing w:val="-4"/>
                <w:lang w:val="en-GB"/>
              </w:rPr>
              <w:t xml:space="preserve"> (</w:t>
            </w:r>
            <w:r w:rsidR="00C04293" w:rsidRPr="006E725C">
              <w:rPr>
                <w:color w:val="0D0D0D" w:themeColor="text1" w:themeTint="F2"/>
                <w:spacing w:val="-4"/>
                <w:lang w:val="en-GB"/>
              </w:rPr>
              <w:t>the most in the last three years</w:t>
            </w:r>
            <w:r w:rsidR="00BA5125" w:rsidRPr="006E725C">
              <w:rPr>
                <w:color w:val="0D0D0D" w:themeColor="text1" w:themeTint="F2"/>
                <w:spacing w:val="-4"/>
                <w:lang w:val="en-GB"/>
              </w:rPr>
              <w:t xml:space="preserve">), </w:t>
            </w:r>
            <w:r w:rsidR="00C04293" w:rsidRPr="006E725C">
              <w:rPr>
                <w:color w:val="0D0D0D" w:themeColor="text1" w:themeTint="F2"/>
                <w:spacing w:val="-4"/>
                <w:lang w:val="en-GB"/>
              </w:rPr>
              <w:t xml:space="preserve">mainly due to the motor vehicle manufacturing, whose continuity was disrupted by difficulties with supplies of some components shortly. </w:t>
            </w:r>
            <w:r w:rsidR="00345F2D" w:rsidRPr="006E725C">
              <w:rPr>
                <w:color w:val="0D0D0D" w:themeColor="text1" w:themeTint="F2"/>
                <w:spacing w:val="-4"/>
                <w:lang w:val="en-GB"/>
              </w:rPr>
              <w:t>Partial revival occurred in Q</w:t>
            </w:r>
            <w:r w:rsidR="00BA5125" w:rsidRPr="006E725C">
              <w:rPr>
                <w:color w:val="0D0D0D" w:themeColor="text1" w:themeTint="F2"/>
                <w:spacing w:val="-4"/>
                <w:lang w:val="en-GB"/>
              </w:rPr>
              <w:t>4</w:t>
            </w:r>
            <w:r w:rsidR="00345F2D" w:rsidRPr="006E725C">
              <w:rPr>
                <w:color w:val="0D0D0D" w:themeColor="text1" w:themeTint="F2"/>
                <w:spacing w:val="-4"/>
                <w:lang w:val="en-GB"/>
              </w:rPr>
              <w:t xml:space="preserve">, since the production increased by </w:t>
            </w:r>
            <w:r w:rsidR="00BA5125" w:rsidRPr="006E725C">
              <w:rPr>
                <w:color w:val="0D0D0D" w:themeColor="text1" w:themeTint="F2"/>
                <w:spacing w:val="-4"/>
                <w:lang w:val="en-GB"/>
              </w:rPr>
              <w:t>1</w:t>
            </w:r>
            <w:r w:rsidR="00345F2D" w:rsidRPr="006E725C">
              <w:rPr>
                <w:color w:val="0D0D0D" w:themeColor="text1" w:themeTint="F2"/>
                <w:spacing w:val="-4"/>
                <w:lang w:val="en-GB"/>
              </w:rPr>
              <w:t>.</w:t>
            </w:r>
            <w:r w:rsidR="00BA5125" w:rsidRPr="006E725C">
              <w:rPr>
                <w:color w:val="0D0D0D" w:themeColor="text1" w:themeTint="F2"/>
                <w:spacing w:val="-4"/>
                <w:lang w:val="en-GB"/>
              </w:rPr>
              <w:t xml:space="preserve">9%, </w:t>
            </w:r>
            <w:r w:rsidR="003D7B43">
              <w:rPr>
                <w:color w:val="0D0D0D" w:themeColor="text1" w:themeTint="F2"/>
                <w:spacing w:val="-4"/>
                <w:lang w:val="en-GB"/>
              </w:rPr>
              <w:t xml:space="preserve">especially </w:t>
            </w:r>
            <w:r w:rsidR="00345F2D" w:rsidRPr="006E725C">
              <w:rPr>
                <w:color w:val="0D0D0D" w:themeColor="text1" w:themeTint="F2"/>
                <w:spacing w:val="-4"/>
                <w:lang w:val="en-GB"/>
              </w:rPr>
              <w:t xml:space="preserve">thanks to the </w:t>
            </w:r>
            <w:r w:rsidR="0038775D" w:rsidRPr="006E725C">
              <w:rPr>
                <w:color w:val="0D0D0D" w:themeColor="text1" w:themeTint="F2"/>
                <w:spacing w:val="-4"/>
                <w:lang w:val="en-GB"/>
              </w:rPr>
              <w:t xml:space="preserve">manufacturing of transport equipment </w:t>
            </w:r>
            <w:r w:rsidR="00BA5125" w:rsidRPr="006E725C">
              <w:rPr>
                <w:color w:val="0D0D0D" w:themeColor="text1" w:themeTint="F2"/>
                <w:spacing w:val="-4"/>
                <w:lang w:val="en-GB"/>
              </w:rPr>
              <w:t>(</w:t>
            </w:r>
            <w:r w:rsidR="0038775D" w:rsidRPr="006E725C">
              <w:rPr>
                <w:color w:val="0D0D0D" w:themeColor="text1" w:themeTint="F2"/>
                <w:spacing w:val="-4"/>
                <w:lang w:val="en-GB"/>
              </w:rPr>
              <w:t xml:space="preserve">which also processed some </w:t>
            </w:r>
            <w:r w:rsidR="00206598" w:rsidRPr="006E725C">
              <w:rPr>
                <w:color w:val="0D0D0D" w:themeColor="text1" w:themeTint="F2"/>
                <w:spacing w:val="-4"/>
                <w:lang w:val="en-GB"/>
              </w:rPr>
              <w:t>large, extraordinary</w:t>
            </w:r>
            <w:r w:rsidR="0038775D" w:rsidRPr="006E725C">
              <w:rPr>
                <w:color w:val="0D0D0D" w:themeColor="text1" w:themeTint="F2"/>
                <w:spacing w:val="-4"/>
                <w:lang w:val="en-GB"/>
              </w:rPr>
              <w:t xml:space="preserve"> orders</w:t>
            </w:r>
            <w:r w:rsidR="00BA5125" w:rsidRPr="006E725C">
              <w:rPr>
                <w:color w:val="0D0D0D" w:themeColor="text1" w:themeTint="F2"/>
                <w:spacing w:val="-4"/>
                <w:lang w:val="en-GB"/>
              </w:rPr>
              <w:t>) a</w:t>
            </w:r>
            <w:r w:rsidR="0038775D" w:rsidRPr="006E725C">
              <w:rPr>
                <w:color w:val="0D0D0D" w:themeColor="text1" w:themeTint="F2"/>
                <w:spacing w:val="-4"/>
                <w:lang w:val="en-GB"/>
              </w:rPr>
              <w:t xml:space="preserve">nd their main supplier branches. </w:t>
            </w:r>
            <w:r w:rsidR="00206598" w:rsidRPr="006E725C">
              <w:rPr>
                <w:color w:val="0D0D0D" w:themeColor="text1" w:themeTint="F2"/>
                <w:spacing w:val="-4"/>
                <w:lang w:val="en-GB"/>
              </w:rPr>
              <w:t xml:space="preserve">Still the output of the whole industry mildly fell behind </w:t>
            </w:r>
            <w:r w:rsidR="003D7B43">
              <w:rPr>
                <w:color w:val="0D0D0D" w:themeColor="text1" w:themeTint="F2"/>
                <w:spacing w:val="-4"/>
                <w:lang w:val="en-GB"/>
              </w:rPr>
              <w:t>its</w:t>
            </w:r>
            <w:r w:rsidR="003D7B43" w:rsidRPr="006E725C">
              <w:rPr>
                <w:color w:val="0D0D0D" w:themeColor="text1" w:themeTint="F2"/>
                <w:spacing w:val="-4"/>
                <w:lang w:val="en-GB"/>
              </w:rPr>
              <w:t xml:space="preserve"> peak from the period of the pre-pandemic expansion (Q2 </w:t>
            </w:r>
            <w:r w:rsidR="003D7B43">
              <w:rPr>
                <w:color w:val="0D0D0D" w:themeColor="text1" w:themeTint="F2"/>
                <w:spacing w:val="-4"/>
                <w:lang w:val="en-GB"/>
              </w:rPr>
              <w:t xml:space="preserve">2019) </w:t>
            </w:r>
            <w:r w:rsidR="00206598" w:rsidRPr="006E725C">
              <w:rPr>
                <w:color w:val="0D0D0D" w:themeColor="text1" w:themeTint="F2"/>
                <w:spacing w:val="-4"/>
                <w:lang w:val="en-GB"/>
              </w:rPr>
              <w:t xml:space="preserve">at the end of </w:t>
            </w:r>
            <w:r w:rsidR="003D7B43">
              <w:rPr>
                <w:color w:val="0D0D0D" w:themeColor="text1" w:themeTint="F2"/>
                <w:spacing w:val="-4"/>
                <w:lang w:val="en-GB"/>
              </w:rPr>
              <w:t>2023</w:t>
            </w:r>
            <w:r w:rsidR="00206598" w:rsidRPr="006E725C">
              <w:rPr>
                <w:color w:val="0D0D0D" w:themeColor="text1" w:themeTint="F2"/>
                <w:spacing w:val="-4"/>
                <w:lang w:val="en-GB"/>
              </w:rPr>
              <w:t xml:space="preserve"> </w:t>
            </w:r>
            <w:r w:rsidR="00BA5125" w:rsidRPr="006E725C">
              <w:rPr>
                <w:color w:val="0D0D0D" w:themeColor="text1" w:themeTint="F2"/>
                <w:spacing w:val="-4"/>
                <w:lang w:val="en-GB"/>
              </w:rPr>
              <w:t>(</w:t>
            </w:r>
            <w:r w:rsidR="00206598" w:rsidRPr="006E725C">
              <w:rPr>
                <w:color w:val="0D0D0D" w:themeColor="text1" w:themeTint="F2"/>
                <w:spacing w:val="-4"/>
                <w:lang w:val="en-GB"/>
              </w:rPr>
              <w:t xml:space="preserve">by </w:t>
            </w:r>
            <w:r w:rsidR="00BA5125" w:rsidRPr="006E725C">
              <w:rPr>
                <w:color w:val="0D0D0D" w:themeColor="text1" w:themeTint="F2"/>
                <w:spacing w:val="-4"/>
                <w:lang w:val="en-GB"/>
              </w:rPr>
              <w:t>1</w:t>
            </w:r>
            <w:r w:rsidR="00206598" w:rsidRPr="006E725C">
              <w:rPr>
                <w:color w:val="0D0D0D" w:themeColor="text1" w:themeTint="F2"/>
                <w:spacing w:val="-4"/>
                <w:lang w:val="en-GB"/>
              </w:rPr>
              <w:t>.</w:t>
            </w:r>
            <w:r w:rsidR="00BA5125" w:rsidRPr="006E725C">
              <w:rPr>
                <w:color w:val="0D0D0D" w:themeColor="text1" w:themeTint="F2"/>
                <w:spacing w:val="-4"/>
                <w:lang w:val="en-GB"/>
              </w:rPr>
              <w:t>1%)</w:t>
            </w:r>
            <w:r w:rsidR="00BA5125" w:rsidRPr="006E725C">
              <w:rPr>
                <w:rStyle w:val="Znakapoznpodarou"/>
                <w:color w:val="0D0D0D" w:themeColor="text1" w:themeTint="F2"/>
                <w:spacing w:val="-4"/>
                <w:lang w:val="en-GB"/>
              </w:rPr>
              <w:footnoteReference w:id="7"/>
            </w:r>
          </w:p>
          <w:p w14:paraId="17F7EBF3" w14:textId="77777777" w:rsidR="00BA5125" w:rsidRPr="006E725C" w:rsidRDefault="00BA5125" w:rsidP="00BA5125">
            <w:pPr>
              <w:spacing w:after="0"/>
              <w:rPr>
                <w:color w:val="0D0D0D" w:themeColor="text1" w:themeTint="F2"/>
                <w:spacing w:val="-4"/>
                <w:lang w:val="en-GB"/>
              </w:rPr>
            </w:pPr>
          </w:p>
        </w:tc>
      </w:tr>
      <w:tr w:rsidR="00BA5125" w:rsidRPr="006E725C" w14:paraId="519756E2" w14:textId="77777777" w:rsidTr="00BA5125">
        <w:trPr>
          <w:trHeight w:val="145"/>
        </w:trPr>
        <w:tc>
          <w:tcPr>
            <w:tcW w:w="1814" w:type="dxa"/>
            <w:tcBorders>
              <w:top w:val="nil"/>
              <w:left w:val="nil"/>
              <w:bottom w:val="nil"/>
              <w:right w:val="nil"/>
            </w:tcBorders>
            <w:shd w:val="clear" w:color="auto" w:fill="auto"/>
            <w:tcMar>
              <w:left w:w="0" w:type="dxa"/>
            </w:tcMar>
          </w:tcPr>
          <w:p w14:paraId="78BD2405" w14:textId="598CCB4E" w:rsidR="00BA5125" w:rsidRPr="006E725C" w:rsidRDefault="00A77557" w:rsidP="00BA5125">
            <w:pPr>
              <w:pStyle w:val="Marginlie"/>
              <w:rPr>
                <w:color w:val="0D0D0D" w:themeColor="text1" w:themeTint="F2"/>
                <w:spacing w:val="-4"/>
                <w:lang w:val="en-GB"/>
              </w:rPr>
            </w:pPr>
            <w:r w:rsidRPr="006E725C">
              <w:rPr>
                <w:color w:val="0D0D0D" w:themeColor="text1" w:themeTint="F2"/>
                <w:spacing w:val="-4"/>
                <w:lang w:val="en-GB"/>
              </w:rPr>
              <w:t xml:space="preserve">Despite the fast growth of output in the manufacturing of motor </w:t>
            </w:r>
            <w:r w:rsidR="00D8188C" w:rsidRPr="006E725C">
              <w:rPr>
                <w:color w:val="0D0D0D" w:themeColor="text1" w:themeTint="F2"/>
                <w:spacing w:val="-4"/>
                <w:lang w:val="en-GB"/>
              </w:rPr>
              <w:t>vehicles</w:t>
            </w:r>
            <w:r w:rsidRPr="006E725C">
              <w:rPr>
                <w:color w:val="0D0D0D" w:themeColor="text1" w:themeTint="F2"/>
                <w:spacing w:val="-4"/>
                <w:lang w:val="en-GB"/>
              </w:rPr>
              <w:t>, the performance of the whole industr</w:t>
            </w:r>
            <w:r w:rsidR="004519E2">
              <w:rPr>
                <w:color w:val="0D0D0D" w:themeColor="text1" w:themeTint="F2"/>
                <w:spacing w:val="-4"/>
                <w:lang w:val="en-GB"/>
              </w:rPr>
              <w:t>y slightly decreased in 2023.</w:t>
            </w:r>
          </w:p>
        </w:tc>
        <w:tc>
          <w:tcPr>
            <w:tcW w:w="229" w:type="dxa"/>
            <w:tcBorders>
              <w:top w:val="nil"/>
              <w:left w:val="nil"/>
              <w:bottom w:val="nil"/>
              <w:right w:val="nil"/>
            </w:tcBorders>
            <w:shd w:val="clear" w:color="auto" w:fill="auto"/>
            <w:tcMar>
              <w:left w:w="0" w:type="dxa"/>
            </w:tcMar>
          </w:tcPr>
          <w:p w14:paraId="0B1BC57C"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373EEA7" w14:textId="5A040A57" w:rsidR="00BA5125" w:rsidRPr="006E725C" w:rsidRDefault="00715231" w:rsidP="00D66C85">
            <w:pPr>
              <w:spacing w:after="180"/>
              <w:rPr>
                <w:color w:val="0D0D0D" w:themeColor="text1" w:themeTint="F2"/>
                <w:spacing w:val="-4"/>
                <w:lang w:val="en-GB"/>
              </w:rPr>
            </w:pPr>
            <w:r w:rsidRPr="006E725C">
              <w:rPr>
                <w:color w:val="0D0D0D" w:themeColor="text1" w:themeTint="F2"/>
                <w:spacing w:val="-4"/>
                <w:lang w:val="en-GB"/>
              </w:rPr>
              <w:t xml:space="preserve">The industrial output decreased by </w:t>
            </w:r>
            <w:r w:rsidR="00BA5125" w:rsidRPr="006E725C">
              <w:rPr>
                <w:color w:val="0D0D0D" w:themeColor="text1" w:themeTint="F2"/>
                <w:spacing w:val="-4"/>
                <w:lang w:val="en-GB"/>
              </w:rPr>
              <w:t>0</w:t>
            </w:r>
            <w:r w:rsidRPr="006E725C">
              <w:rPr>
                <w:color w:val="0D0D0D" w:themeColor="text1" w:themeTint="F2"/>
                <w:spacing w:val="-4"/>
                <w:lang w:val="en-GB"/>
              </w:rPr>
              <w:t>.</w:t>
            </w:r>
            <w:r w:rsidR="00BA5125" w:rsidRPr="006E725C">
              <w:rPr>
                <w:color w:val="0D0D0D" w:themeColor="text1" w:themeTint="F2"/>
                <w:spacing w:val="-4"/>
                <w:lang w:val="en-GB"/>
              </w:rPr>
              <w:t>8%</w:t>
            </w:r>
            <w:r w:rsidRPr="006E725C">
              <w:rPr>
                <w:color w:val="0D0D0D" w:themeColor="text1" w:themeTint="F2"/>
                <w:spacing w:val="-4"/>
                <w:lang w:val="en-GB"/>
              </w:rPr>
              <w:t xml:space="preserve"> for the whole last year</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it thus fell after two years of post-crisis recovery. </w:t>
            </w:r>
            <w:r w:rsidR="00A26F8F" w:rsidRPr="006E725C">
              <w:rPr>
                <w:color w:val="0D0D0D" w:themeColor="text1" w:themeTint="F2"/>
                <w:spacing w:val="-4"/>
                <w:lang w:val="en-GB"/>
              </w:rPr>
              <w:t>Manufacturing of transport equipment</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where the production growth accelerated to </w:t>
            </w:r>
            <w:r w:rsidR="00BA5125" w:rsidRPr="006E725C">
              <w:rPr>
                <w:color w:val="0D0D0D" w:themeColor="text1" w:themeTint="F2"/>
                <w:spacing w:val="-4"/>
                <w:lang w:val="en-GB"/>
              </w:rPr>
              <w:t>16</w:t>
            </w:r>
            <w:r w:rsidRPr="006E725C">
              <w:rPr>
                <w:color w:val="0D0D0D" w:themeColor="text1" w:themeTint="F2"/>
                <w:spacing w:val="-4"/>
                <w:lang w:val="en-GB"/>
              </w:rPr>
              <w:t>.</w:t>
            </w:r>
            <w:r w:rsidR="00BA5125" w:rsidRPr="006E725C">
              <w:rPr>
                <w:color w:val="0D0D0D" w:themeColor="text1" w:themeTint="F2"/>
                <w:spacing w:val="-4"/>
                <w:lang w:val="en-GB"/>
              </w:rPr>
              <w:t>6%</w:t>
            </w:r>
            <w:r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the most in the last </w:t>
            </w:r>
            <w:r w:rsidR="00BA5125" w:rsidRPr="006E725C">
              <w:rPr>
                <w:color w:val="0D0D0D" w:themeColor="text1" w:themeTint="F2"/>
                <w:spacing w:val="-4"/>
                <w:lang w:val="en-GB"/>
              </w:rPr>
              <w:t>12</w:t>
            </w:r>
            <w:r w:rsidRPr="006E725C">
              <w:rPr>
                <w:color w:val="0D0D0D" w:themeColor="text1" w:themeTint="F2"/>
                <w:spacing w:val="-4"/>
                <w:lang w:val="en-GB"/>
              </w:rPr>
              <w:t xml:space="preserve"> </w:t>
            </w:r>
            <w:r w:rsidR="00A26F8F" w:rsidRPr="006E725C">
              <w:rPr>
                <w:color w:val="0D0D0D" w:themeColor="text1" w:themeTint="F2"/>
                <w:spacing w:val="-4"/>
                <w:lang w:val="en-GB"/>
              </w:rPr>
              <w:t>years</w:t>
            </w:r>
            <w:r w:rsidR="00BA5125" w:rsidRPr="006E725C">
              <w:rPr>
                <w:color w:val="0D0D0D" w:themeColor="text1" w:themeTint="F2"/>
                <w:spacing w:val="-4"/>
                <w:lang w:val="en-GB"/>
              </w:rPr>
              <w:t>)</w:t>
            </w:r>
            <w:r w:rsidR="00A26F8F" w:rsidRPr="006E725C">
              <w:rPr>
                <w:color w:val="0D0D0D" w:themeColor="text1" w:themeTint="F2"/>
                <w:spacing w:val="-4"/>
                <w:lang w:val="en-GB"/>
              </w:rPr>
              <w:t xml:space="preserve"> considerably influenced the </w:t>
            </w:r>
            <w:r w:rsidR="00A26F8F" w:rsidRPr="00D66C85">
              <w:rPr>
                <w:color w:val="0D0D0D" w:themeColor="text1" w:themeTint="F2"/>
                <w:spacing w:val="-6"/>
                <w:lang w:val="en-GB"/>
              </w:rPr>
              <w:t>d</w:t>
            </w:r>
            <w:r w:rsidR="00D66C85" w:rsidRPr="00D66C85">
              <w:rPr>
                <w:color w:val="0D0D0D" w:themeColor="text1" w:themeTint="F2"/>
                <w:spacing w:val="-6"/>
                <w:lang w:val="en-GB"/>
              </w:rPr>
              <w:t>evelopment of industry</w:t>
            </w:r>
            <w:r w:rsidR="00D66C85" w:rsidRPr="00D66C85">
              <w:rPr>
                <w:rStyle w:val="Znakapoznpodarou"/>
                <w:color w:val="0D0D0D" w:themeColor="text1" w:themeTint="F2"/>
                <w:spacing w:val="-6"/>
                <w:lang w:val="en-GB"/>
              </w:rPr>
              <w:footnoteReference w:id="8"/>
            </w:r>
            <w:r w:rsidR="00BA5125" w:rsidRPr="00D66C85">
              <w:rPr>
                <w:color w:val="0D0D0D" w:themeColor="text1" w:themeTint="F2"/>
                <w:spacing w:val="-6"/>
                <w:lang w:val="en-GB"/>
              </w:rPr>
              <w:t xml:space="preserve">. </w:t>
            </w:r>
            <w:r w:rsidR="00425381" w:rsidRPr="00D66C85">
              <w:rPr>
                <w:color w:val="0D0D0D" w:themeColor="text1" w:themeTint="F2"/>
                <w:spacing w:val="-6"/>
                <w:lang w:val="en-GB"/>
              </w:rPr>
              <w:t>Both manufacturing of personal transport equipment</w:t>
            </w:r>
            <w:r w:rsidR="00BA5125" w:rsidRPr="00D66C85">
              <w:rPr>
                <w:rStyle w:val="Znakapoznpodarou"/>
                <w:color w:val="0D0D0D" w:themeColor="text1" w:themeTint="F2"/>
                <w:spacing w:val="-6"/>
                <w:lang w:val="en-GB"/>
              </w:rPr>
              <w:footnoteReference w:id="9"/>
            </w:r>
            <w:r w:rsidR="00BA5125" w:rsidRPr="00D66C85">
              <w:rPr>
                <w:color w:val="0D0D0D" w:themeColor="text1" w:themeTint="F2"/>
                <w:spacing w:val="-6"/>
                <w:lang w:val="en-GB"/>
              </w:rPr>
              <w:t xml:space="preserve"> (</w:t>
            </w:r>
            <w:r w:rsidR="00403926" w:rsidRPr="00D66C85">
              <w:rPr>
                <w:color w:val="0D0D0D" w:themeColor="text1" w:themeTint="F2"/>
                <w:spacing w:val="-6"/>
                <w:lang w:val="en-GB"/>
              </w:rPr>
              <w:t>benefiting</w:t>
            </w:r>
            <w:r w:rsidR="00403926" w:rsidRPr="006E725C">
              <w:rPr>
                <w:color w:val="0D0D0D" w:themeColor="text1" w:themeTint="F2"/>
                <w:spacing w:val="-4"/>
                <w:lang w:val="en-GB"/>
              </w:rPr>
              <w:t xml:space="preserve"> from the growing </w:t>
            </w:r>
            <w:r w:rsidR="00D66C85">
              <w:rPr>
                <w:color w:val="0D0D0D" w:themeColor="text1" w:themeTint="F2"/>
                <w:spacing w:val="-4"/>
                <w:lang w:val="en-GB"/>
              </w:rPr>
              <w:t xml:space="preserve">of both </w:t>
            </w:r>
            <w:r w:rsidR="00403926" w:rsidRPr="006E725C">
              <w:rPr>
                <w:color w:val="0D0D0D" w:themeColor="text1" w:themeTint="F2"/>
                <w:spacing w:val="-4"/>
                <w:lang w:val="en-GB"/>
              </w:rPr>
              <w:t>internal as well as external demand</w:t>
            </w:r>
            <w:r w:rsidR="00BA5125" w:rsidRPr="006E725C">
              <w:rPr>
                <w:rStyle w:val="Znakapoznpodarou"/>
                <w:color w:val="0D0D0D" w:themeColor="text1" w:themeTint="F2"/>
                <w:spacing w:val="-4"/>
                <w:lang w:val="en-GB"/>
              </w:rPr>
              <w:footnoteReference w:id="10"/>
            </w:r>
            <w:r w:rsidR="00BA5125" w:rsidRPr="006E725C">
              <w:rPr>
                <w:color w:val="0D0D0D" w:themeColor="text1" w:themeTint="F2"/>
                <w:spacing w:val="-4"/>
                <w:lang w:val="en-GB"/>
              </w:rPr>
              <w:t>)</w:t>
            </w:r>
            <w:r w:rsidR="00425381" w:rsidRPr="006E725C">
              <w:rPr>
                <w:color w:val="0D0D0D" w:themeColor="text1" w:themeTint="F2"/>
                <w:spacing w:val="-4"/>
                <w:lang w:val="en-GB"/>
              </w:rPr>
              <w:t xml:space="preserve"> and other transport equipment </w:t>
            </w:r>
            <w:r w:rsidR="00BA5125" w:rsidRPr="006E725C">
              <w:rPr>
                <w:color w:val="0D0D0D" w:themeColor="text1" w:themeTint="F2"/>
                <w:spacing w:val="-4"/>
                <w:lang w:val="en-GB"/>
              </w:rPr>
              <w:t>(</w:t>
            </w:r>
            <w:r w:rsidR="00425381" w:rsidRPr="006E725C">
              <w:rPr>
                <w:color w:val="0D0D0D" w:themeColor="text1" w:themeTint="F2"/>
                <w:spacing w:val="-4"/>
                <w:lang w:val="en-GB"/>
              </w:rPr>
              <w:t>driven by significant domestic orders for the army and also the railway</w:t>
            </w:r>
            <w:r w:rsidR="00BA5125" w:rsidRPr="006E725C">
              <w:rPr>
                <w:color w:val="0D0D0D" w:themeColor="text1" w:themeTint="F2"/>
                <w:spacing w:val="-4"/>
                <w:lang w:val="en-GB"/>
              </w:rPr>
              <w:t>)</w:t>
            </w:r>
            <w:r w:rsidR="00425381" w:rsidRPr="006E725C">
              <w:rPr>
                <w:color w:val="0D0D0D" w:themeColor="text1" w:themeTint="F2"/>
                <w:spacing w:val="-4"/>
                <w:lang w:val="en-GB"/>
              </w:rPr>
              <w:t xml:space="preserve"> thrived</w:t>
            </w:r>
            <w:r w:rsidR="00BA5125" w:rsidRPr="006E725C">
              <w:rPr>
                <w:color w:val="0D0D0D" w:themeColor="text1" w:themeTint="F2"/>
                <w:spacing w:val="-4"/>
                <w:lang w:val="en-GB"/>
              </w:rPr>
              <w:t xml:space="preserve">. </w:t>
            </w:r>
            <w:r w:rsidR="004E563C" w:rsidRPr="006E725C">
              <w:rPr>
                <w:color w:val="0D0D0D" w:themeColor="text1" w:themeTint="F2"/>
                <w:spacing w:val="-4"/>
                <w:lang w:val="en-GB"/>
              </w:rPr>
              <w:t xml:space="preserve">In spite of occasional partial outage in supplies of some production </w:t>
            </w:r>
            <w:r w:rsidR="00B30287" w:rsidRPr="006E725C">
              <w:rPr>
                <w:color w:val="0D0D0D" w:themeColor="text1" w:themeTint="F2"/>
                <w:spacing w:val="-4"/>
                <w:lang w:val="en-GB"/>
              </w:rPr>
              <w:t>components,</w:t>
            </w:r>
            <w:r w:rsidR="004E563C" w:rsidRPr="006E725C">
              <w:rPr>
                <w:color w:val="0D0D0D" w:themeColor="text1" w:themeTint="F2"/>
                <w:spacing w:val="-4"/>
                <w:lang w:val="en-GB"/>
              </w:rPr>
              <w:t xml:space="preserve"> the utilisation of the production capacities in the motor vehicle manufacturing remained above 92% throughout </w:t>
            </w:r>
            <w:r w:rsidR="00B411B8" w:rsidRPr="006E725C">
              <w:rPr>
                <w:color w:val="0D0D0D" w:themeColor="text1" w:themeTint="F2"/>
                <w:spacing w:val="-4"/>
                <w:lang w:val="en-GB"/>
              </w:rPr>
              <w:t>a</w:t>
            </w:r>
            <w:r w:rsidR="004E563C" w:rsidRPr="006E725C">
              <w:rPr>
                <w:color w:val="0D0D0D" w:themeColor="text1" w:themeTint="F2"/>
                <w:spacing w:val="-4"/>
                <w:lang w:val="en-GB"/>
              </w:rPr>
              <w:t xml:space="preserve"> major part of the last year and belonged to the highest within the industry</w:t>
            </w:r>
            <w:r w:rsidR="00BA5125" w:rsidRPr="006E725C">
              <w:rPr>
                <w:rStyle w:val="Znakapoznpodarou"/>
                <w:color w:val="0D0D0D" w:themeColor="text1" w:themeTint="F2"/>
                <w:spacing w:val="-4"/>
                <w:lang w:val="en-GB"/>
              </w:rPr>
              <w:footnoteReference w:id="11"/>
            </w:r>
            <w:r w:rsidR="00BA5125" w:rsidRPr="006E725C">
              <w:rPr>
                <w:color w:val="0D0D0D" w:themeColor="text1" w:themeTint="F2"/>
                <w:spacing w:val="-4"/>
                <w:lang w:val="en-GB"/>
              </w:rPr>
              <w:t xml:space="preserve">. </w:t>
            </w:r>
          </w:p>
        </w:tc>
      </w:tr>
      <w:tr w:rsidR="00BA5125" w:rsidRPr="006E725C" w14:paraId="031471AE" w14:textId="77777777" w:rsidTr="00BA5125">
        <w:trPr>
          <w:trHeight w:val="145"/>
        </w:trPr>
        <w:tc>
          <w:tcPr>
            <w:tcW w:w="1814" w:type="dxa"/>
            <w:tcBorders>
              <w:top w:val="nil"/>
              <w:left w:val="nil"/>
              <w:bottom w:val="nil"/>
              <w:right w:val="nil"/>
            </w:tcBorders>
            <w:shd w:val="clear" w:color="auto" w:fill="auto"/>
            <w:tcMar>
              <w:left w:w="0" w:type="dxa"/>
            </w:tcMar>
          </w:tcPr>
          <w:p w14:paraId="35ECEA41" w14:textId="17BA63A8" w:rsidR="00BA5125" w:rsidRPr="006E725C" w:rsidRDefault="005B427B" w:rsidP="00BA5125">
            <w:pPr>
              <w:pStyle w:val="Marginlie"/>
              <w:rPr>
                <w:color w:val="0D0D0D" w:themeColor="text1" w:themeTint="F2"/>
                <w:spacing w:val="-4"/>
                <w:lang w:val="en-GB"/>
              </w:rPr>
            </w:pPr>
            <w:r w:rsidRPr="006E725C">
              <w:rPr>
                <w:color w:val="0D0D0D" w:themeColor="text1" w:themeTint="F2"/>
                <w:spacing w:val="-4"/>
                <w:lang w:val="en-GB"/>
              </w:rPr>
              <w:t xml:space="preserve">The largest slump </w:t>
            </w:r>
            <w:r w:rsidR="00B411B8" w:rsidRPr="006E725C">
              <w:rPr>
                <w:color w:val="0D0D0D" w:themeColor="text1" w:themeTint="F2"/>
                <w:spacing w:val="-4"/>
                <w:lang w:val="en-GB"/>
              </w:rPr>
              <w:t>afflicted</w:t>
            </w:r>
            <w:r w:rsidRPr="006E725C">
              <w:rPr>
                <w:color w:val="0D0D0D" w:themeColor="text1" w:themeTint="F2"/>
                <w:spacing w:val="-4"/>
                <w:lang w:val="en-GB"/>
              </w:rPr>
              <w:t xml:space="preserve"> the </w:t>
            </w:r>
            <w:r w:rsidR="00B411B8" w:rsidRPr="006E725C">
              <w:rPr>
                <w:color w:val="0D0D0D" w:themeColor="text1" w:themeTint="F2"/>
                <w:spacing w:val="-4"/>
                <w:lang w:val="en-GB"/>
              </w:rPr>
              <w:t>manufacturing</w:t>
            </w:r>
            <w:r w:rsidRPr="006E725C">
              <w:rPr>
                <w:color w:val="0D0D0D" w:themeColor="text1" w:themeTint="F2"/>
                <w:spacing w:val="-4"/>
                <w:lang w:val="en-GB"/>
              </w:rPr>
              <w:t xml:space="preserve"> of construction materials. The output fell in the majority of energy-</w:t>
            </w:r>
            <w:r w:rsidR="00B411B8" w:rsidRPr="006E725C">
              <w:rPr>
                <w:color w:val="0D0D0D" w:themeColor="text1" w:themeTint="F2"/>
                <w:spacing w:val="-4"/>
                <w:lang w:val="en-GB"/>
              </w:rPr>
              <w:t>intensive</w:t>
            </w:r>
            <w:r w:rsidRPr="006E725C">
              <w:rPr>
                <w:color w:val="0D0D0D" w:themeColor="text1" w:themeTint="F2"/>
                <w:spacing w:val="-4"/>
                <w:lang w:val="en-GB"/>
              </w:rPr>
              <w:t xml:space="preserve"> </w:t>
            </w:r>
            <w:r w:rsidR="00B411B8" w:rsidRPr="006E725C">
              <w:rPr>
                <w:color w:val="0D0D0D" w:themeColor="text1" w:themeTint="F2"/>
                <w:spacing w:val="-4"/>
                <w:lang w:val="en-GB"/>
              </w:rPr>
              <w:t>manufacturing</w:t>
            </w:r>
            <w:r w:rsidRPr="006E725C">
              <w:rPr>
                <w:color w:val="0D0D0D" w:themeColor="text1" w:themeTint="F2"/>
                <w:spacing w:val="-4"/>
                <w:lang w:val="en-GB"/>
              </w:rPr>
              <w:t xml:space="preserve"> activities in both years 20</w:t>
            </w:r>
            <w:r w:rsidR="00BA5125" w:rsidRPr="006E725C">
              <w:rPr>
                <w:color w:val="0D0D0D" w:themeColor="text1" w:themeTint="F2"/>
                <w:spacing w:val="-4"/>
                <w:lang w:val="en-GB"/>
              </w:rPr>
              <w:t>22</w:t>
            </w:r>
            <w:r w:rsidRPr="006E725C">
              <w:rPr>
                <w:color w:val="0D0D0D" w:themeColor="text1" w:themeTint="F2"/>
                <w:spacing w:val="-4"/>
                <w:lang w:val="en-GB"/>
              </w:rPr>
              <w:t xml:space="preserve"> and </w:t>
            </w:r>
            <w:r w:rsidR="00BA5125" w:rsidRPr="006E725C">
              <w:rPr>
                <w:color w:val="0D0D0D" w:themeColor="text1" w:themeTint="F2"/>
                <w:spacing w:val="-4"/>
                <w:lang w:val="en-GB"/>
              </w:rPr>
              <w:t>2023.</w:t>
            </w:r>
          </w:p>
        </w:tc>
        <w:tc>
          <w:tcPr>
            <w:tcW w:w="229" w:type="dxa"/>
            <w:tcBorders>
              <w:top w:val="nil"/>
              <w:left w:val="nil"/>
              <w:bottom w:val="nil"/>
              <w:right w:val="nil"/>
            </w:tcBorders>
            <w:shd w:val="clear" w:color="auto" w:fill="auto"/>
            <w:tcMar>
              <w:left w:w="0" w:type="dxa"/>
            </w:tcMar>
          </w:tcPr>
          <w:p w14:paraId="5CE38465"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1F5B0D28" w14:textId="7A78C0E6" w:rsidR="00BA5125" w:rsidRPr="006E725C" w:rsidRDefault="001B7FAD" w:rsidP="00BA5125">
            <w:pPr>
              <w:spacing w:after="180"/>
              <w:rPr>
                <w:spacing w:val="-5"/>
                <w:lang w:val="en-GB"/>
              </w:rPr>
            </w:pPr>
            <w:r w:rsidRPr="006E725C">
              <w:rPr>
                <w:spacing w:val="-5"/>
                <w:lang w:val="en-GB"/>
              </w:rPr>
              <w:t>The sub-branch of the</w:t>
            </w:r>
            <w:r w:rsidR="001A6A14">
              <w:rPr>
                <w:spacing w:val="-5"/>
                <w:lang w:val="en-GB"/>
              </w:rPr>
              <w:t xml:space="preserve"> electrotechnical industry profited from </w:t>
            </w:r>
            <w:r w:rsidRPr="006E725C">
              <w:rPr>
                <w:spacing w:val="-5"/>
                <w:lang w:val="en-GB"/>
              </w:rPr>
              <w:t>the development</w:t>
            </w:r>
            <w:r w:rsidR="00A73D1E">
              <w:rPr>
                <w:spacing w:val="-5"/>
                <w:lang w:val="en-GB"/>
              </w:rPr>
              <w:t xml:space="preserve"> of motor vehicle manufacturing. I</w:t>
            </w:r>
            <w:r w:rsidRPr="006E725C">
              <w:rPr>
                <w:spacing w:val="-5"/>
                <w:lang w:val="en-GB"/>
              </w:rPr>
              <w:t xml:space="preserve">t however grew slower </w:t>
            </w:r>
            <w:r w:rsidR="00BA5125" w:rsidRPr="006E725C">
              <w:rPr>
                <w:spacing w:val="-5"/>
                <w:lang w:val="en-GB"/>
              </w:rPr>
              <w:t>(+4</w:t>
            </w:r>
            <w:r w:rsidR="00B411B8" w:rsidRPr="006E725C">
              <w:rPr>
                <w:spacing w:val="-5"/>
                <w:lang w:val="en-GB"/>
              </w:rPr>
              <w:t>.</w:t>
            </w:r>
            <w:r w:rsidR="00BA5125" w:rsidRPr="006E725C">
              <w:rPr>
                <w:spacing w:val="-5"/>
                <w:lang w:val="en-GB"/>
              </w:rPr>
              <w:t>2%) a</w:t>
            </w:r>
            <w:r w:rsidRPr="006E725C">
              <w:rPr>
                <w:spacing w:val="-5"/>
                <w:lang w:val="en-GB"/>
              </w:rPr>
              <w:t xml:space="preserve">nd contributed </w:t>
            </w:r>
            <w:r w:rsidR="0013689F" w:rsidRPr="006E725C">
              <w:rPr>
                <w:spacing w:val="-5"/>
                <w:lang w:val="en-GB"/>
              </w:rPr>
              <w:t>to</w:t>
            </w:r>
            <w:r w:rsidR="001A6A14">
              <w:rPr>
                <w:spacing w:val="-5"/>
                <w:lang w:val="en-GB"/>
              </w:rPr>
              <w:t xml:space="preserve"> the</w:t>
            </w:r>
            <w:r w:rsidRPr="006E725C">
              <w:rPr>
                <w:spacing w:val="-5"/>
                <w:lang w:val="en-GB"/>
              </w:rPr>
              <w:t xml:space="preserve"> growth of the whole industry only </w:t>
            </w:r>
            <w:r w:rsidR="001A6A14">
              <w:rPr>
                <w:spacing w:val="-5"/>
                <w:lang w:val="en-GB"/>
              </w:rPr>
              <w:t xml:space="preserve">by </w:t>
            </w:r>
            <w:r w:rsidR="00BA5125" w:rsidRPr="006E725C">
              <w:rPr>
                <w:spacing w:val="-5"/>
                <w:lang w:val="en-GB"/>
              </w:rPr>
              <w:t>0</w:t>
            </w:r>
            <w:r w:rsidRPr="006E725C">
              <w:rPr>
                <w:spacing w:val="-5"/>
                <w:lang w:val="en-GB"/>
              </w:rPr>
              <w:t>.</w:t>
            </w:r>
            <w:r w:rsidR="00BA5125" w:rsidRPr="006E725C">
              <w:rPr>
                <w:spacing w:val="-5"/>
                <w:lang w:val="en-GB"/>
              </w:rPr>
              <w:t>3 p.</w:t>
            </w:r>
            <w:r w:rsidRPr="006E725C">
              <w:rPr>
                <w:spacing w:val="-5"/>
                <w:lang w:val="en-GB"/>
              </w:rPr>
              <w:t>p</w:t>
            </w:r>
            <w:r w:rsidR="00BA5125" w:rsidRPr="006E725C">
              <w:rPr>
                <w:spacing w:val="-5"/>
                <w:lang w:val="en-GB"/>
              </w:rPr>
              <w:t xml:space="preserve">. </w:t>
            </w:r>
            <w:r w:rsidRPr="006E725C">
              <w:rPr>
                <w:spacing w:val="-5"/>
                <w:lang w:val="en-GB"/>
              </w:rPr>
              <w:t xml:space="preserve">Output in the next sub-branch </w:t>
            </w:r>
            <w:r w:rsidR="00BA5125" w:rsidRPr="006E725C">
              <w:rPr>
                <w:spacing w:val="-5"/>
                <w:lang w:val="en-GB"/>
              </w:rPr>
              <w:t xml:space="preserve">– </w:t>
            </w:r>
            <w:r w:rsidRPr="006E725C">
              <w:rPr>
                <w:spacing w:val="-5"/>
                <w:lang w:val="en-GB"/>
              </w:rPr>
              <w:t>rubber and plastic industries</w:t>
            </w:r>
            <w:r w:rsidR="00BA5125" w:rsidRPr="006E725C">
              <w:rPr>
                <w:spacing w:val="-5"/>
                <w:lang w:val="en-GB"/>
              </w:rPr>
              <w:t xml:space="preserve"> – </w:t>
            </w:r>
            <w:r w:rsidRPr="006E725C">
              <w:rPr>
                <w:spacing w:val="-5"/>
                <w:lang w:val="en-GB"/>
              </w:rPr>
              <w:t xml:space="preserve">even slightly decreased </w:t>
            </w:r>
            <w:r w:rsidR="00BA5125" w:rsidRPr="006E725C">
              <w:rPr>
                <w:spacing w:val="-5"/>
                <w:lang w:val="en-GB"/>
              </w:rPr>
              <w:t>(</w:t>
            </w:r>
            <w:r w:rsidR="00BA5125" w:rsidRPr="006E725C">
              <w:rPr>
                <w:color w:val="0D0D0D" w:themeColor="text1" w:themeTint="F2"/>
                <w:lang w:val="en-GB"/>
              </w:rPr>
              <w:t>−</w:t>
            </w:r>
            <w:r w:rsidR="00BA5125" w:rsidRPr="006E725C">
              <w:rPr>
                <w:spacing w:val="-5"/>
                <w:lang w:val="en-GB"/>
              </w:rPr>
              <w:t>4</w:t>
            </w:r>
            <w:r w:rsidRPr="006E725C">
              <w:rPr>
                <w:spacing w:val="-5"/>
                <w:lang w:val="en-GB"/>
              </w:rPr>
              <w:t>.</w:t>
            </w:r>
            <w:r w:rsidR="00BA5125" w:rsidRPr="006E725C">
              <w:rPr>
                <w:spacing w:val="-5"/>
                <w:lang w:val="en-GB"/>
              </w:rPr>
              <w:t xml:space="preserve">5%), </w:t>
            </w:r>
            <w:r w:rsidRPr="006E725C">
              <w:rPr>
                <w:spacing w:val="-5"/>
                <w:lang w:val="en-GB"/>
              </w:rPr>
              <w:t>partially likely also for the reason, that compared to the above mentioned this features higher energy</w:t>
            </w:r>
            <w:r w:rsidRPr="002D2842">
              <w:rPr>
                <w:spacing w:val="-5"/>
                <w:lang w:val="en-GB"/>
              </w:rPr>
              <w:t>-intensity</w:t>
            </w:r>
            <w:r w:rsidRPr="006E725C">
              <w:rPr>
                <w:spacing w:val="-5"/>
                <w:lang w:val="en-GB"/>
              </w:rPr>
              <w:t>.</w:t>
            </w:r>
            <w:r w:rsidR="0013689F" w:rsidRPr="006E725C">
              <w:rPr>
                <w:spacing w:val="-5"/>
                <w:lang w:val="en-GB"/>
              </w:rPr>
              <w:t xml:space="preserve"> T</w:t>
            </w:r>
            <w:r w:rsidR="002D2842">
              <w:rPr>
                <w:spacing w:val="-5"/>
                <w:lang w:val="en-GB"/>
              </w:rPr>
              <w:t>his intensity, t</w:t>
            </w:r>
            <w:r w:rsidR="0013689F" w:rsidRPr="006E725C">
              <w:rPr>
                <w:spacing w:val="-5"/>
                <w:lang w:val="en-GB"/>
              </w:rPr>
              <w:t xml:space="preserve">ogether with the decreased demand on the part of </w:t>
            </w:r>
            <w:r w:rsidR="00320DB8" w:rsidRPr="006E725C">
              <w:rPr>
                <w:spacing w:val="-5"/>
                <w:lang w:val="en-GB"/>
              </w:rPr>
              <w:t>construction,</w:t>
            </w:r>
            <w:r w:rsidR="002D2842">
              <w:rPr>
                <w:spacing w:val="-5"/>
                <w:lang w:val="en-GB"/>
              </w:rPr>
              <w:t xml:space="preserve"> </w:t>
            </w:r>
            <w:r w:rsidR="00B16960">
              <w:rPr>
                <w:spacing w:val="-5"/>
                <w:lang w:val="en-GB"/>
              </w:rPr>
              <w:t>markedly affected the branch</w:t>
            </w:r>
            <w:r w:rsidR="0013689F" w:rsidRPr="006E725C">
              <w:rPr>
                <w:spacing w:val="-5"/>
                <w:lang w:val="en-GB"/>
              </w:rPr>
              <w:t xml:space="preserve"> of o</w:t>
            </w:r>
            <w:r w:rsidR="00B16960">
              <w:rPr>
                <w:spacing w:val="-5"/>
                <w:lang w:val="en-GB"/>
              </w:rPr>
              <w:t>ther non-metal mineral product</w:t>
            </w:r>
            <w:r w:rsidR="0013689F" w:rsidRPr="006E725C">
              <w:rPr>
                <w:spacing w:val="-5"/>
                <w:lang w:val="en-GB"/>
              </w:rPr>
              <w:t xml:space="preserve">, where the output plunged by </w:t>
            </w:r>
            <w:r w:rsidR="00BA5125" w:rsidRPr="006E725C">
              <w:rPr>
                <w:spacing w:val="-5"/>
                <w:lang w:val="en-GB"/>
              </w:rPr>
              <w:t>17</w:t>
            </w:r>
            <w:r w:rsidR="0013689F" w:rsidRPr="006E725C">
              <w:rPr>
                <w:spacing w:val="-5"/>
                <w:lang w:val="en-GB"/>
              </w:rPr>
              <w:t>.</w:t>
            </w:r>
            <w:r w:rsidR="00BA5125" w:rsidRPr="006E725C">
              <w:rPr>
                <w:spacing w:val="-5"/>
                <w:lang w:val="en-GB"/>
              </w:rPr>
              <w:t>1%</w:t>
            </w:r>
            <w:r w:rsidR="0013689F" w:rsidRPr="006E725C">
              <w:rPr>
                <w:spacing w:val="-5"/>
                <w:lang w:val="en-GB"/>
              </w:rPr>
              <w:t xml:space="preserve"> last year</w:t>
            </w:r>
            <w:r w:rsidR="00BA5125" w:rsidRPr="006E725C">
              <w:rPr>
                <w:spacing w:val="-5"/>
                <w:lang w:val="en-GB"/>
              </w:rPr>
              <w:t xml:space="preserve"> (</w:t>
            </w:r>
            <w:r w:rsidR="0013689F" w:rsidRPr="006E725C">
              <w:rPr>
                <w:spacing w:val="-5"/>
                <w:lang w:val="en-GB"/>
              </w:rPr>
              <w:t xml:space="preserve">the most after year </w:t>
            </w:r>
            <w:r w:rsidR="00BA5125" w:rsidRPr="006E725C">
              <w:rPr>
                <w:spacing w:val="-5"/>
                <w:lang w:val="en-GB"/>
              </w:rPr>
              <w:t xml:space="preserve">2009), </w:t>
            </w:r>
            <w:r w:rsidR="00B16960">
              <w:rPr>
                <w:spacing w:val="-5"/>
                <w:lang w:val="en-GB"/>
              </w:rPr>
              <w:t>the most</w:t>
            </w:r>
            <w:r w:rsidR="0013689F" w:rsidRPr="006E725C">
              <w:rPr>
                <w:spacing w:val="-5"/>
                <w:lang w:val="en-GB"/>
              </w:rPr>
              <w:t xml:space="preserve"> among all industrial branches. </w:t>
            </w:r>
            <w:r w:rsidR="00DB1ECC">
              <w:rPr>
                <w:spacing w:val="-5"/>
                <w:lang w:val="en-GB"/>
              </w:rPr>
              <w:t>The drop in</w:t>
            </w:r>
            <w:r w:rsidR="00634F30" w:rsidRPr="006E725C">
              <w:rPr>
                <w:spacing w:val="-5"/>
                <w:lang w:val="en-GB"/>
              </w:rPr>
              <w:t xml:space="preserve"> demand for technical textiles is </w:t>
            </w:r>
            <w:r w:rsidR="00634F30" w:rsidRPr="006E725C">
              <w:rPr>
                <w:spacing w:val="-5"/>
                <w:lang w:val="en-GB"/>
              </w:rPr>
              <w:lastRenderedPageBreak/>
              <w:t>also associated with weaker performance of construction</w:t>
            </w:r>
            <w:r w:rsidR="00BA5125" w:rsidRPr="006E725C">
              <w:rPr>
                <w:color w:val="0D0D0D" w:themeColor="text1" w:themeTint="F2"/>
                <w:spacing w:val="-4"/>
                <w:lang w:val="en-GB"/>
              </w:rPr>
              <w:t xml:space="preserve">, </w:t>
            </w:r>
            <w:r w:rsidR="003D3232" w:rsidRPr="006E725C">
              <w:rPr>
                <w:color w:val="0D0D0D" w:themeColor="text1" w:themeTint="F2"/>
                <w:spacing w:val="-4"/>
                <w:lang w:val="en-GB"/>
              </w:rPr>
              <w:t xml:space="preserve">which was reflected in the </w:t>
            </w:r>
            <w:r w:rsidR="00BA5125" w:rsidRPr="006E725C">
              <w:rPr>
                <w:color w:val="0D0D0D" w:themeColor="text1" w:themeTint="F2"/>
                <w:spacing w:val="-4"/>
                <w:lang w:val="en-GB"/>
              </w:rPr>
              <w:t xml:space="preserve">11% </w:t>
            </w:r>
            <w:r w:rsidR="00DB1ECC">
              <w:rPr>
                <w:color w:val="0D0D0D" w:themeColor="text1" w:themeTint="F2"/>
                <w:spacing w:val="-4"/>
                <w:lang w:val="en-GB"/>
              </w:rPr>
              <w:t>decrease</w:t>
            </w:r>
            <w:r w:rsidR="003D3232" w:rsidRPr="006E725C">
              <w:rPr>
                <w:color w:val="0D0D0D" w:themeColor="text1" w:themeTint="F2"/>
                <w:spacing w:val="-4"/>
                <w:lang w:val="en-GB"/>
              </w:rPr>
              <w:t xml:space="preserve"> of production in the whole textile industry. Weak internal and external demand </w:t>
            </w:r>
            <w:r w:rsidR="00343AA7" w:rsidRPr="006E725C">
              <w:rPr>
                <w:color w:val="0D0D0D" w:themeColor="text1" w:themeTint="F2"/>
                <w:spacing w:val="-4"/>
                <w:lang w:val="en-GB"/>
              </w:rPr>
              <w:t xml:space="preserve">led to the more than </w:t>
            </w:r>
            <w:r w:rsidR="00BA5125" w:rsidRPr="006E725C">
              <w:rPr>
                <w:spacing w:val="-5"/>
                <w:lang w:val="en-GB"/>
              </w:rPr>
              <w:t xml:space="preserve">14% </w:t>
            </w:r>
            <w:r w:rsidR="00343AA7" w:rsidRPr="006E725C">
              <w:rPr>
                <w:spacing w:val="-5"/>
                <w:lang w:val="en-GB"/>
              </w:rPr>
              <w:t xml:space="preserve">downturn in metallurgy and foundry industry </w:t>
            </w:r>
            <w:r w:rsidR="00BA5125" w:rsidRPr="006E725C">
              <w:rPr>
                <w:spacing w:val="-5"/>
                <w:lang w:val="en-GB"/>
              </w:rPr>
              <w:t>(</w:t>
            </w:r>
            <w:r w:rsidR="00DB1ECC">
              <w:rPr>
                <w:spacing w:val="-5"/>
                <w:lang w:val="en-GB"/>
              </w:rPr>
              <w:t xml:space="preserve">where </w:t>
            </w:r>
            <w:r w:rsidR="00343AA7" w:rsidRPr="006E725C">
              <w:rPr>
                <w:spacing w:val="-5"/>
                <w:lang w:val="en-GB"/>
              </w:rPr>
              <w:t>production decreased for the second year in a row, nearly by one quarter in the last five years</w:t>
            </w:r>
            <w:r w:rsidR="00BA5125" w:rsidRPr="006E725C">
              <w:rPr>
                <w:spacing w:val="-5"/>
                <w:lang w:val="en-GB"/>
              </w:rPr>
              <w:t xml:space="preserve">). </w:t>
            </w:r>
            <w:r w:rsidR="00634F30" w:rsidRPr="006E725C">
              <w:rPr>
                <w:spacing w:val="-5"/>
                <w:lang w:val="en-GB"/>
              </w:rPr>
              <w:t>Similarly,</w:t>
            </w:r>
            <w:r w:rsidR="00343AA7" w:rsidRPr="006E725C">
              <w:rPr>
                <w:spacing w:val="-5"/>
                <w:lang w:val="en-GB"/>
              </w:rPr>
              <w:t xml:space="preserve"> </w:t>
            </w:r>
            <w:r w:rsidR="00634F30" w:rsidRPr="006E725C">
              <w:rPr>
                <w:spacing w:val="-5"/>
                <w:lang w:val="en-GB"/>
              </w:rPr>
              <w:t xml:space="preserve">also </w:t>
            </w:r>
            <w:r w:rsidR="00343AA7" w:rsidRPr="006E725C">
              <w:rPr>
                <w:spacing w:val="-5"/>
                <w:lang w:val="en-GB"/>
              </w:rPr>
              <w:t xml:space="preserve">the chemical industry struggled </w:t>
            </w:r>
            <w:r w:rsidR="00634F30" w:rsidRPr="006E725C">
              <w:rPr>
                <w:spacing w:val="-5"/>
                <w:lang w:val="en-GB"/>
              </w:rPr>
              <w:t>with the sharp grow</w:t>
            </w:r>
            <w:r w:rsidR="00DB1ECC">
              <w:rPr>
                <w:spacing w:val="-5"/>
                <w:lang w:val="en-GB"/>
              </w:rPr>
              <w:t>th of prices of inputs</w:t>
            </w:r>
            <w:r w:rsidR="00634F30" w:rsidRPr="006E725C">
              <w:rPr>
                <w:spacing w:val="-5"/>
                <w:lang w:val="en-GB"/>
              </w:rPr>
              <w:t xml:space="preserve"> for the second year in a row and at the same time with the decrease of demand for output. It decreased by </w:t>
            </w:r>
            <w:r w:rsidR="00BA5125" w:rsidRPr="006E725C">
              <w:rPr>
                <w:spacing w:val="-5"/>
                <w:lang w:val="en-GB"/>
              </w:rPr>
              <w:t>9</w:t>
            </w:r>
            <w:r w:rsidR="00634F30" w:rsidRPr="006E725C">
              <w:rPr>
                <w:spacing w:val="-5"/>
                <w:lang w:val="en-GB"/>
              </w:rPr>
              <w:t>.</w:t>
            </w:r>
            <w:r w:rsidR="00BA5125" w:rsidRPr="006E725C">
              <w:rPr>
                <w:spacing w:val="-5"/>
                <w:lang w:val="en-GB"/>
              </w:rPr>
              <w:t>4%</w:t>
            </w:r>
            <w:r w:rsidR="00634F30" w:rsidRPr="006E725C">
              <w:rPr>
                <w:spacing w:val="-5"/>
                <w:lang w:val="en-GB"/>
              </w:rPr>
              <w:t xml:space="preserve"> last year</w:t>
            </w:r>
            <w:r w:rsidR="00BA5125" w:rsidRPr="006E725C">
              <w:rPr>
                <w:spacing w:val="-5"/>
                <w:lang w:val="en-GB"/>
              </w:rPr>
              <w:t xml:space="preserve">. </w:t>
            </w:r>
            <w:r w:rsidR="00634F30" w:rsidRPr="006E725C">
              <w:rPr>
                <w:spacing w:val="-5"/>
                <w:lang w:val="en-GB"/>
              </w:rPr>
              <w:t xml:space="preserve">Some smaller branches with energy-intensive production also suffered, in case of wood and paper industries it was however also considerably aided by lower wood logging. </w:t>
            </w:r>
          </w:p>
        </w:tc>
      </w:tr>
      <w:tr w:rsidR="00BA5125" w:rsidRPr="006E725C" w14:paraId="3DAAD178" w14:textId="77777777" w:rsidTr="00BA5125">
        <w:trPr>
          <w:trHeight w:val="145"/>
        </w:trPr>
        <w:tc>
          <w:tcPr>
            <w:tcW w:w="1814" w:type="dxa"/>
            <w:tcBorders>
              <w:top w:val="nil"/>
              <w:left w:val="nil"/>
              <w:bottom w:val="nil"/>
              <w:right w:val="nil"/>
            </w:tcBorders>
            <w:shd w:val="clear" w:color="auto" w:fill="auto"/>
            <w:tcMar>
              <w:left w:w="0" w:type="dxa"/>
            </w:tcMar>
          </w:tcPr>
          <w:p w14:paraId="4259D1E3" w14:textId="38FAE106" w:rsidR="00BA5125" w:rsidRPr="006E725C" w:rsidRDefault="000B52D8" w:rsidP="00BA5125">
            <w:pPr>
              <w:pStyle w:val="Marginlie"/>
              <w:rPr>
                <w:color w:val="0D0D0D" w:themeColor="text1" w:themeTint="F2"/>
                <w:spacing w:val="-4"/>
                <w:lang w:val="en-GB"/>
              </w:rPr>
            </w:pPr>
            <w:r w:rsidRPr="006E725C">
              <w:rPr>
                <w:color w:val="0D0D0D" w:themeColor="text1" w:themeTint="F2"/>
                <w:spacing w:val="-4"/>
                <w:lang w:val="en-GB"/>
              </w:rPr>
              <w:lastRenderedPageBreak/>
              <w:t xml:space="preserve">Among branches producing investment products, the output decreased the most in </w:t>
            </w:r>
            <w:r w:rsidR="006403E6" w:rsidRPr="006E725C">
              <w:rPr>
                <w:color w:val="0D0D0D" w:themeColor="text1" w:themeTint="F2"/>
                <w:spacing w:val="-4"/>
                <w:lang w:val="en-GB"/>
              </w:rPr>
              <w:t xml:space="preserve">machinery. The weaker external demand had the most adverse effect. </w:t>
            </w:r>
          </w:p>
        </w:tc>
        <w:tc>
          <w:tcPr>
            <w:tcW w:w="229" w:type="dxa"/>
            <w:tcBorders>
              <w:top w:val="nil"/>
              <w:left w:val="nil"/>
              <w:bottom w:val="nil"/>
              <w:right w:val="nil"/>
            </w:tcBorders>
            <w:shd w:val="clear" w:color="auto" w:fill="auto"/>
            <w:tcMar>
              <w:left w:w="0" w:type="dxa"/>
            </w:tcMar>
          </w:tcPr>
          <w:p w14:paraId="0AD5DBB8"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95ADBB0" w14:textId="6D95A405" w:rsidR="00BA5125" w:rsidRPr="006E725C" w:rsidRDefault="008C451F" w:rsidP="00BA5125">
            <w:pPr>
              <w:spacing w:after="180"/>
              <w:rPr>
                <w:color w:val="0D0D0D" w:themeColor="text1" w:themeTint="F2"/>
                <w:spacing w:val="-4"/>
                <w:lang w:val="en-GB"/>
              </w:rPr>
            </w:pPr>
            <w:r w:rsidRPr="006E725C">
              <w:rPr>
                <w:color w:val="0D0D0D" w:themeColor="text1" w:themeTint="F2"/>
                <w:spacing w:val="-4"/>
                <w:lang w:val="en-GB"/>
              </w:rPr>
              <w:t xml:space="preserve">Persisting weaker </w:t>
            </w:r>
            <w:r w:rsidR="000B52D8" w:rsidRPr="006E725C">
              <w:rPr>
                <w:color w:val="0D0D0D" w:themeColor="text1" w:themeTint="F2"/>
                <w:spacing w:val="-4"/>
                <w:lang w:val="en-GB"/>
              </w:rPr>
              <w:t>business confidence in the economy together with deteriorated accessibility of credit financing (due to high interest rates</w:t>
            </w:r>
            <w:r w:rsidR="00BA5125" w:rsidRPr="006E725C">
              <w:rPr>
                <w:color w:val="0D0D0D" w:themeColor="text1" w:themeTint="F2"/>
                <w:spacing w:val="-4"/>
                <w:lang w:val="en-GB"/>
              </w:rPr>
              <w:t xml:space="preserve">) </w:t>
            </w:r>
            <w:r w:rsidR="000B52D8" w:rsidRPr="006E725C">
              <w:rPr>
                <w:color w:val="0D0D0D" w:themeColor="text1" w:themeTint="F2"/>
                <w:spacing w:val="-4"/>
                <w:lang w:val="en-GB"/>
              </w:rPr>
              <w:t xml:space="preserve">inhibits the growth of private investment activity. It negatively impacts most industrial branches oriented on the production of investment products. </w:t>
            </w:r>
            <w:r w:rsidR="00EA1C07" w:rsidRPr="006E725C">
              <w:rPr>
                <w:color w:val="0D0D0D" w:themeColor="text1" w:themeTint="F2"/>
                <w:spacing w:val="-4"/>
                <w:lang w:val="en-GB"/>
              </w:rPr>
              <w:t xml:space="preserve">The output in machinery belonged to the fastest growing within industry in years </w:t>
            </w:r>
            <w:r w:rsidR="00BA5125" w:rsidRPr="006E725C">
              <w:rPr>
                <w:color w:val="0D0D0D" w:themeColor="text1" w:themeTint="F2"/>
                <w:spacing w:val="-4"/>
                <w:lang w:val="en-GB"/>
              </w:rPr>
              <w:t xml:space="preserve">2021 </w:t>
            </w:r>
            <w:r w:rsidR="00EA1C07" w:rsidRPr="006E725C">
              <w:rPr>
                <w:color w:val="0D0D0D" w:themeColor="text1" w:themeTint="F2"/>
                <w:spacing w:val="-4"/>
                <w:lang w:val="en-GB"/>
              </w:rPr>
              <w:t xml:space="preserve">as well as </w:t>
            </w:r>
            <w:r w:rsidR="00BA5125" w:rsidRPr="006E725C">
              <w:rPr>
                <w:color w:val="0D0D0D" w:themeColor="text1" w:themeTint="F2"/>
                <w:spacing w:val="-4"/>
                <w:lang w:val="en-GB"/>
              </w:rPr>
              <w:t xml:space="preserve">2022, </w:t>
            </w:r>
            <w:r w:rsidR="00EA1C07" w:rsidRPr="006E725C">
              <w:rPr>
                <w:color w:val="0D0D0D" w:themeColor="text1" w:themeTint="F2"/>
                <w:spacing w:val="-4"/>
                <w:lang w:val="en-GB"/>
              </w:rPr>
              <w:t xml:space="preserve">it however lowered by </w:t>
            </w:r>
            <w:r w:rsidR="00BA5125" w:rsidRPr="006E725C">
              <w:rPr>
                <w:color w:val="0D0D0D" w:themeColor="text1" w:themeTint="F2"/>
                <w:spacing w:val="-4"/>
                <w:lang w:val="en-GB"/>
              </w:rPr>
              <w:t>1</w:t>
            </w:r>
            <w:r w:rsidR="00EA1C07" w:rsidRPr="006E725C">
              <w:rPr>
                <w:color w:val="0D0D0D" w:themeColor="text1" w:themeTint="F2"/>
                <w:spacing w:val="-4"/>
                <w:lang w:val="en-GB"/>
              </w:rPr>
              <w:t>.</w:t>
            </w:r>
            <w:r w:rsidR="00BA5125" w:rsidRPr="006E725C">
              <w:rPr>
                <w:color w:val="0D0D0D" w:themeColor="text1" w:themeTint="F2"/>
                <w:spacing w:val="-4"/>
                <w:lang w:val="en-GB"/>
              </w:rPr>
              <w:t>6%</w:t>
            </w:r>
            <w:r w:rsidR="00EA1C07"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r w:rsidR="00EA1C07" w:rsidRPr="006E725C">
              <w:rPr>
                <w:color w:val="0D0D0D" w:themeColor="text1" w:themeTint="F2"/>
                <w:spacing w:val="-4"/>
                <w:lang w:val="en-GB"/>
              </w:rPr>
              <w:t>first of all due to the weaker external demand. It also stood behind the mild last year</w:t>
            </w:r>
            <w:r w:rsidR="00C50ACF">
              <w:rPr>
                <w:color w:val="0D0D0D" w:themeColor="text1" w:themeTint="F2"/>
                <w:spacing w:val="-4"/>
                <w:lang w:val="en-GB"/>
              </w:rPr>
              <w:t xml:space="preserve">’s decrease of the </w:t>
            </w:r>
            <w:r w:rsidR="00C50ACF" w:rsidRPr="00C50ACF">
              <w:rPr>
                <w:color w:val="0D0D0D" w:themeColor="text1" w:themeTint="F2"/>
                <w:spacing w:val="-4"/>
                <w:lang w:val="en-GB"/>
              </w:rPr>
              <w:t xml:space="preserve">fabricated metal product </w:t>
            </w:r>
            <w:r w:rsidR="00EA1C07" w:rsidRPr="006E725C">
              <w:rPr>
                <w:color w:val="0D0D0D" w:themeColor="text1" w:themeTint="F2"/>
                <w:spacing w:val="-4"/>
                <w:lang w:val="en-GB"/>
              </w:rPr>
              <w:t xml:space="preserve">industry </w:t>
            </w:r>
            <w:r w:rsidR="00BA5125" w:rsidRPr="006E725C">
              <w:rPr>
                <w:color w:val="0D0D0D" w:themeColor="text1" w:themeTint="F2"/>
                <w:spacing w:val="-2"/>
                <w:lang w:val="en-GB"/>
              </w:rPr>
              <w:t>(−1</w:t>
            </w:r>
            <w:r w:rsidR="00EA1C07" w:rsidRPr="006E725C">
              <w:rPr>
                <w:color w:val="0D0D0D" w:themeColor="text1" w:themeTint="F2"/>
                <w:spacing w:val="-2"/>
                <w:lang w:val="en-GB"/>
              </w:rPr>
              <w:t>.</w:t>
            </w:r>
            <w:r w:rsidR="00BA5125" w:rsidRPr="006E725C">
              <w:rPr>
                <w:color w:val="0D0D0D" w:themeColor="text1" w:themeTint="F2"/>
                <w:spacing w:val="-2"/>
                <w:lang w:val="en-GB"/>
              </w:rPr>
              <w:t xml:space="preserve">1%), </w:t>
            </w:r>
            <w:r w:rsidR="00EA1C07" w:rsidRPr="006E725C">
              <w:rPr>
                <w:color w:val="0D0D0D" w:themeColor="text1" w:themeTint="F2"/>
                <w:spacing w:val="-2"/>
                <w:lang w:val="en-GB"/>
              </w:rPr>
              <w:t xml:space="preserve">where the internal demand prevented larger downturn </w:t>
            </w:r>
            <w:r w:rsidR="00BA5125" w:rsidRPr="006E725C">
              <w:rPr>
                <w:color w:val="0D0D0D" w:themeColor="text1" w:themeTint="F2"/>
                <w:spacing w:val="-2"/>
                <w:lang w:val="en-GB"/>
              </w:rPr>
              <w:t>(</w:t>
            </w:r>
            <w:r w:rsidR="00BA5125" w:rsidRPr="006E725C">
              <w:rPr>
                <w:color w:val="0D0D0D" w:themeColor="text1" w:themeTint="F2"/>
                <w:spacing w:val="-4"/>
                <w:lang w:val="en-GB"/>
              </w:rPr>
              <w:t>st</w:t>
            </w:r>
            <w:r w:rsidR="00EA1C07" w:rsidRPr="006E725C">
              <w:rPr>
                <w:color w:val="0D0D0D" w:themeColor="text1" w:themeTint="F2"/>
                <w:spacing w:val="-4"/>
                <w:lang w:val="en-GB"/>
              </w:rPr>
              <w:t>ate orders in defence and security</w:t>
            </w:r>
            <w:r w:rsidR="00C50ACF">
              <w:rPr>
                <w:color w:val="0D0D0D" w:themeColor="text1" w:themeTint="F2"/>
                <w:spacing w:val="-4"/>
                <w:lang w:val="en-GB"/>
              </w:rPr>
              <w:t>). Domestic</w:t>
            </w:r>
            <w:r w:rsidR="00EA1C07" w:rsidRPr="006E725C">
              <w:rPr>
                <w:color w:val="0D0D0D" w:themeColor="text1" w:themeTint="F2"/>
                <w:spacing w:val="-4"/>
                <w:lang w:val="en-GB"/>
              </w:rPr>
              <w:t xml:space="preserve"> demand </w:t>
            </w:r>
            <w:r w:rsidR="00C50ACF">
              <w:rPr>
                <w:color w:val="0D0D0D" w:themeColor="text1" w:themeTint="F2"/>
                <w:spacing w:val="-4"/>
                <w:lang w:val="en-GB"/>
              </w:rPr>
              <w:t>(</w:t>
            </w:r>
            <w:r w:rsidR="00EA1C07" w:rsidRPr="006E725C">
              <w:rPr>
                <w:color w:val="0D0D0D" w:themeColor="text1" w:themeTint="F2"/>
                <w:spacing w:val="-4"/>
                <w:lang w:val="en-GB"/>
              </w:rPr>
              <w:t>among other things in the form of photovoltaics</w:t>
            </w:r>
            <w:r w:rsidR="00C50ACF">
              <w:rPr>
                <w:color w:val="0D0D0D" w:themeColor="text1" w:themeTint="F2"/>
                <w:spacing w:val="-4"/>
                <w:lang w:val="en-GB"/>
              </w:rPr>
              <w:t>)</w:t>
            </w:r>
            <w:r w:rsidR="00EA1C07" w:rsidRPr="006E725C">
              <w:rPr>
                <w:color w:val="0D0D0D" w:themeColor="text1" w:themeTint="F2"/>
                <w:spacing w:val="-4"/>
                <w:lang w:val="en-GB"/>
              </w:rPr>
              <w:t xml:space="preserve"> development also supported the electronic industry, where the output slightly increased for the third year in a row </w:t>
            </w:r>
            <w:r w:rsidR="00BA5125" w:rsidRPr="006E725C">
              <w:rPr>
                <w:color w:val="0D0D0D" w:themeColor="text1" w:themeTint="F2"/>
                <w:spacing w:val="-4"/>
                <w:lang w:val="en-GB"/>
              </w:rPr>
              <w:t>(</w:t>
            </w:r>
            <w:r w:rsidR="00BA5125" w:rsidRPr="006E725C">
              <w:rPr>
                <w:color w:val="0D0D0D" w:themeColor="text1" w:themeTint="F2"/>
                <w:lang w:val="en-GB"/>
              </w:rPr>
              <w:t>+1</w:t>
            </w:r>
            <w:r w:rsidR="00EA1C07" w:rsidRPr="006E725C">
              <w:rPr>
                <w:color w:val="0D0D0D" w:themeColor="text1" w:themeTint="F2"/>
                <w:lang w:val="en-GB"/>
              </w:rPr>
              <w:t>.</w:t>
            </w:r>
            <w:r w:rsidR="00BA5125" w:rsidRPr="006E725C">
              <w:rPr>
                <w:color w:val="0D0D0D" w:themeColor="text1" w:themeTint="F2"/>
                <w:lang w:val="en-GB"/>
              </w:rPr>
              <w:t>3</w:t>
            </w:r>
            <w:r w:rsidR="00BA5125" w:rsidRPr="006E725C">
              <w:rPr>
                <w:color w:val="0D0D0D" w:themeColor="text1" w:themeTint="F2"/>
                <w:spacing w:val="-4"/>
                <w:lang w:val="en-GB"/>
              </w:rPr>
              <w:t>%</w:t>
            </w:r>
            <w:r w:rsidR="00EA1C07"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p>
        </w:tc>
      </w:tr>
      <w:tr w:rsidR="007B5F59" w:rsidRPr="006E725C" w14:paraId="6469CBB5"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001AAA2F" w14:textId="77777777" w:rsidR="007B5F59" w:rsidRPr="006E725C" w:rsidRDefault="007B5F59" w:rsidP="007B5F59">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19FF7670"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86F645A" w14:textId="32EB5CA0" w:rsidR="007B5F59" w:rsidRPr="006E725C" w:rsidRDefault="007B5F59" w:rsidP="007B5F59">
            <w:pPr>
              <w:spacing w:after="0"/>
              <w:rPr>
                <w:spacing w:val="-2"/>
                <w:lang w:val="en-GB"/>
              </w:rPr>
            </w:pPr>
            <w:r w:rsidRPr="006E725C">
              <w:rPr>
                <w:rFonts w:cs="Arial"/>
                <w:b/>
                <w:bCs/>
                <w:color w:val="000000"/>
                <w:spacing w:val="-2"/>
                <w:szCs w:val="20"/>
                <w:lang w:val="en-GB"/>
              </w:rPr>
              <w:t xml:space="preserve">Chart 4 </w:t>
            </w:r>
            <w:r w:rsidRPr="006E725C">
              <w:rPr>
                <w:b/>
                <w:spacing w:val="-2"/>
                <w:lang w:val="en-GB"/>
              </w:rPr>
              <w:t xml:space="preserve">Contributions of sub-branches to the year-on-year change of the industrial output in the CR </w:t>
            </w:r>
            <w:r w:rsidRPr="006E725C">
              <w:rPr>
                <w:spacing w:val="-2"/>
                <w:lang w:val="en-GB"/>
              </w:rPr>
              <w:t xml:space="preserve">(adjusted for calendar effects, real, in p.p.) </w:t>
            </w:r>
            <w:r w:rsidRPr="006E725C">
              <w:rPr>
                <w:b/>
                <w:bCs/>
                <w:spacing w:val="-2"/>
                <w:lang w:val="en-GB"/>
              </w:rPr>
              <w:t>and output in the entire industry in the CR, Germany and EU27</w:t>
            </w:r>
            <w:r w:rsidRPr="006E725C">
              <w:rPr>
                <w:spacing w:val="-2"/>
                <w:lang w:val="en-GB"/>
              </w:rPr>
              <w:t xml:space="preserve"> (seasonally adjusted, level of year 2021=100, right axis)</w:t>
            </w:r>
          </w:p>
        </w:tc>
      </w:tr>
      <w:tr w:rsidR="007B5F59" w:rsidRPr="006E725C" w14:paraId="66A1866B" w14:textId="77777777" w:rsidTr="00FC4F31">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49B8CA47"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Pr>
          <w:p w14:paraId="5134D25E"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Pr>
          <w:p w14:paraId="72775269" w14:textId="173604DE" w:rsidR="007B5F59" w:rsidRPr="006E725C" w:rsidRDefault="007B5F59" w:rsidP="007B5F59">
            <w:pPr>
              <w:spacing w:after="0"/>
              <w:rPr>
                <w:spacing w:val="-6"/>
                <w:lang w:val="en-GB"/>
              </w:rPr>
            </w:pPr>
            <w:r>
              <w:rPr>
                <w:noProof/>
              </w:rPr>
              <w:drawing>
                <wp:inline distT="0" distB="0" distL="0" distR="0" wp14:anchorId="0E6581EF" wp14:editId="7B306B23">
                  <wp:extent cx="4628636" cy="3653797"/>
                  <wp:effectExtent l="0" t="0" r="635" b="381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B5F59" w:rsidRPr="006E725C" w14:paraId="3172F44F" w14:textId="77777777" w:rsidTr="00BA5125">
        <w:trPr>
          <w:trHeight w:val="170"/>
        </w:trPr>
        <w:tc>
          <w:tcPr>
            <w:tcW w:w="1814" w:type="dxa"/>
            <w:vMerge/>
            <w:tcBorders>
              <w:top w:val="nil"/>
              <w:left w:val="nil"/>
              <w:bottom w:val="nil"/>
              <w:right w:val="nil"/>
            </w:tcBorders>
            <w:shd w:val="clear" w:color="auto" w:fill="auto"/>
            <w:tcMar>
              <w:left w:w="0" w:type="dxa"/>
            </w:tcMar>
          </w:tcPr>
          <w:p w14:paraId="5DAEB5E0"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Mar>
              <w:left w:w="0" w:type="dxa"/>
            </w:tcMar>
          </w:tcPr>
          <w:p w14:paraId="128427A6"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2F1B38A" w14:textId="79FC08A8" w:rsidR="007B5F59" w:rsidRPr="006E725C" w:rsidRDefault="007B5F59" w:rsidP="007B5F59">
            <w:pPr>
              <w:tabs>
                <w:tab w:val="right" w:pos="7683"/>
              </w:tabs>
              <w:spacing w:after="0" w:line="240" w:lineRule="auto"/>
              <w:jc w:val="left"/>
              <w:rPr>
                <w:rFonts w:cs="Arial"/>
                <w:sz w:val="14"/>
                <w:szCs w:val="14"/>
                <w:lang w:val="en-GB"/>
              </w:rPr>
            </w:pPr>
            <w:r w:rsidRPr="006E725C">
              <w:rPr>
                <w:rFonts w:cs="Arial"/>
                <w:sz w:val="14"/>
                <w:szCs w:val="14"/>
                <w:lang w:val="en-GB"/>
              </w:rPr>
              <w:t xml:space="preserve">Note: Sales are given in current prices.  </w:t>
            </w:r>
            <w:r w:rsidRPr="006E725C">
              <w:rPr>
                <w:rFonts w:cs="Arial"/>
                <w:sz w:val="14"/>
                <w:szCs w:val="14"/>
                <w:lang w:val="en-GB"/>
              </w:rPr>
              <w:tab/>
              <w:t xml:space="preserve"> </w:t>
            </w:r>
          </w:p>
          <w:p w14:paraId="3D81A3BA" w14:textId="572C4456" w:rsidR="007B5F59" w:rsidRPr="00FC4F31" w:rsidRDefault="007B5F59" w:rsidP="007B5F59">
            <w:pPr>
              <w:tabs>
                <w:tab w:val="right" w:pos="7683"/>
              </w:tabs>
              <w:spacing w:after="200" w:line="240" w:lineRule="auto"/>
              <w:jc w:val="left"/>
              <w:rPr>
                <w:rFonts w:cs="Arial"/>
                <w:sz w:val="14"/>
                <w:szCs w:val="14"/>
                <w:lang w:val="en-GB"/>
              </w:rPr>
            </w:pPr>
            <w:r w:rsidRPr="006E725C">
              <w:rPr>
                <w:rFonts w:cs="Arial"/>
                <w:sz w:val="14"/>
                <w:szCs w:val="14"/>
                <w:lang w:val="en-GB"/>
              </w:rPr>
              <w:t>Source: CZSO</w:t>
            </w:r>
            <w:r>
              <w:rPr>
                <w:rFonts w:cs="Arial"/>
                <w:sz w:val="14"/>
                <w:szCs w:val="14"/>
                <w:lang w:val="en-GB"/>
              </w:rPr>
              <w:t>, Eurostat</w:t>
            </w:r>
          </w:p>
        </w:tc>
      </w:tr>
      <w:tr w:rsidR="007B5F59" w:rsidRPr="006E725C" w14:paraId="3DE88D74" w14:textId="77777777" w:rsidTr="00BA5125">
        <w:trPr>
          <w:trHeight w:val="170"/>
        </w:trPr>
        <w:tc>
          <w:tcPr>
            <w:tcW w:w="1814" w:type="dxa"/>
            <w:tcBorders>
              <w:top w:val="nil"/>
              <w:left w:val="nil"/>
              <w:bottom w:val="nil"/>
              <w:right w:val="nil"/>
            </w:tcBorders>
            <w:shd w:val="clear" w:color="auto" w:fill="auto"/>
            <w:tcMar>
              <w:left w:w="0" w:type="dxa"/>
            </w:tcMar>
          </w:tcPr>
          <w:p w14:paraId="6EE11856" w14:textId="357780F3" w:rsidR="007B5F59" w:rsidRPr="006E725C" w:rsidRDefault="00EE5D5C" w:rsidP="007B5F59">
            <w:pPr>
              <w:pStyle w:val="Marginlie"/>
              <w:rPr>
                <w:color w:val="0D0D0D" w:themeColor="text1" w:themeTint="F2"/>
                <w:spacing w:val="-4"/>
                <w:lang w:val="en-GB"/>
              </w:rPr>
            </w:pPr>
            <w:r>
              <w:rPr>
                <w:color w:val="0D0D0D" w:themeColor="text1" w:themeTint="F2"/>
                <w:spacing w:val="-4"/>
                <w:lang w:val="en-GB"/>
              </w:rPr>
              <w:t>The r</w:t>
            </w:r>
            <w:r w:rsidR="00C50ACF">
              <w:rPr>
                <w:color w:val="0D0D0D" w:themeColor="text1" w:themeTint="F2"/>
                <w:spacing w:val="-4"/>
                <w:lang w:val="en-GB"/>
              </w:rPr>
              <w:t>eduction</w:t>
            </w:r>
            <w:r w:rsidR="007B5F59" w:rsidRPr="006E725C">
              <w:rPr>
                <w:color w:val="0D0D0D" w:themeColor="text1" w:themeTint="F2"/>
                <w:spacing w:val="-4"/>
                <w:lang w:val="en-GB"/>
              </w:rPr>
              <w:t xml:space="preserve"> the non-essential as well as common household expenditures led to the decrease of the food, </w:t>
            </w:r>
            <w:r w:rsidR="007B5F59" w:rsidRPr="006E725C">
              <w:rPr>
                <w:color w:val="0D0D0D" w:themeColor="text1" w:themeTint="F2"/>
                <w:spacing w:val="-4"/>
                <w:lang w:val="en-GB"/>
              </w:rPr>
              <w:lastRenderedPageBreak/>
              <w:t xml:space="preserve">beverage or furniture industry. </w:t>
            </w:r>
          </w:p>
          <w:p w14:paraId="4C6F9C75" w14:textId="77777777" w:rsidR="007B5F59" w:rsidRPr="006E725C" w:rsidRDefault="007B5F59" w:rsidP="007B5F59">
            <w:pPr>
              <w:pStyle w:val="Marginlie"/>
              <w:rPr>
                <w:color w:val="0D0D0D" w:themeColor="text1" w:themeTint="F2"/>
                <w:spacing w:val="-4"/>
                <w:lang w:val="en-GB"/>
              </w:rPr>
            </w:pPr>
          </w:p>
          <w:p w14:paraId="70D20473" w14:textId="77777777" w:rsidR="007B5F59" w:rsidRPr="006E725C" w:rsidRDefault="007B5F59" w:rsidP="007B5F59">
            <w:pPr>
              <w:pStyle w:val="Marginlie"/>
              <w:rPr>
                <w:color w:val="0D0D0D" w:themeColor="text1" w:themeTint="F2"/>
                <w:spacing w:val="-4"/>
                <w:lang w:val="en-GB"/>
              </w:rPr>
            </w:pPr>
          </w:p>
          <w:p w14:paraId="4401A8B6" w14:textId="77777777" w:rsidR="007B5F59" w:rsidRPr="006E725C" w:rsidRDefault="007B5F59" w:rsidP="007B5F59">
            <w:pPr>
              <w:pStyle w:val="Marginlie"/>
              <w:rPr>
                <w:color w:val="0D0D0D" w:themeColor="text1" w:themeTint="F2"/>
                <w:spacing w:val="-4"/>
                <w:lang w:val="en-GB"/>
              </w:rPr>
            </w:pPr>
          </w:p>
          <w:p w14:paraId="0EB22E8E" w14:textId="77777777" w:rsidR="007B5F59" w:rsidRPr="006E725C" w:rsidRDefault="007B5F59" w:rsidP="007B5F59">
            <w:pPr>
              <w:pStyle w:val="Marginlie"/>
              <w:rPr>
                <w:color w:val="0D0D0D" w:themeColor="text1" w:themeTint="F2"/>
                <w:spacing w:val="-4"/>
                <w:lang w:val="en-GB"/>
              </w:rPr>
            </w:pPr>
          </w:p>
          <w:p w14:paraId="64B0A84B" w14:textId="77777777" w:rsidR="007B5F59" w:rsidRPr="006E725C" w:rsidRDefault="007B5F59" w:rsidP="007B5F59">
            <w:pPr>
              <w:pStyle w:val="Marginlie"/>
              <w:rPr>
                <w:color w:val="0D0D0D" w:themeColor="text1" w:themeTint="F2"/>
                <w:spacing w:val="-4"/>
                <w:lang w:val="en-GB"/>
              </w:rPr>
            </w:pPr>
          </w:p>
          <w:p w14:paraId="6835339D" w14:textId="77777777"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The external demand supported the ongoing growth of the pharmaceutical as well as leatherworking industries. </w:t>
            </w:r>
          </w:p>
          <w:p w14:paraId="3064218F"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0C6835BB"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14E2050D" w14:textId="63EA8E86" w:rsidR="007B5F59" w:rsidRPr="006E725C" w:rsidRDefault="00C50ACF" w:rsidP="00A8707C">
            <w:pPr>
              <w:spacing w:after="180"/>
              <w:rPr>
                <w:color w:val="0D0D0D" w:themeColor="text1" w:themeTint="F2"/>
                <w:spacing w:val="-4"/>
                <w:lang w:val="en-GB"/>
              </w:rPr>
            </w:pPr>
            <w:r>
              <w:rPr>
                <w:color w:val="0D0D0D" w:themeColor="text1" w:themeTint="F2"/>
                <w:spacing w:val="-4"/>
                <w:lang w:val="en-GB"/>
              </w:rPr>
              <w:t>Even the majority of typically</w:t>
            </w:r>
            <w:r w:rsidR="007B5F59" w:rsidRPr="006E725C">
              <w:rPr>
                <w:color w:val="0D0D0D" w:themeColor="text1" w:themeTint="F2"/>
                <w:spacing w:val="-4"/>
                <w:lang w:val="en-GB"/>
              </w:rPr>
              <w:t xml:space="preserve"> smaller manufacturing branches focused largely on non-durable products did not avoid the decrease of output last year. Output of food industry slightly lowered for the second year in a row, by 1.5% last year</w:t>
            </w:r>
            <w:r w:rsidR="007B5F59" w:rsidRPr="006E725C">
              <w:rPr>
                <w:rStyle w:val="Znakapoznpodarou"/>
                <w:color w:val="0D0D0D" w:themeColor="text1" w:themeTint="F2"/>
                <w:spacing w:val="-4"/>
                <w:lang w:val="en-GB"/>
              </w:rPr>
              <w:footnoteReference w:id="12"/>
            </w:r>
            <w:r w:rsidR="007B5F59" w:rsidRPr="006E725C">
              <w:rPr>
                <w:color w:val="0D0D0D" w:themeColor="text1" w:themeTint="F2"/>
                <w:spacing w:val="-4"/>
                <w:lang w:val="en-GB"/>
              </w:rPr>
              <w:t xml:space="preserve">. Manufactures of beverages also experienced similar decrease in year 2023. The production dropped even </w:t>
            </w:r>
            <w:r w:rsidR="007B5F59" w:rsidRPr="006E725C">
              <w:rPr>
                <w:color w:val="0D0D0D" w:themeColor="text1" w:themeTint="F2"/>
                <w:spacing w:val="-4"/>
                <w:lang w:val="en-GB"/>
              </w:rPr>
              <w:lastRenderedPageBreak/>
              <w:t xml:space="preserve">more markedly in the significantly export-oriented manufacturing of </w:t>
            </w:r>
            <w:r w:rsidR="007B5F59">
              <w:rPr>
                <w:color w:val="0D0D0D" w:themeColor="text1" w:themeTint="F2"/>
                <w:spacing w:val="-4"/>
                <w:lang w:val="en-GB"/>
              </w:rPr>
              <w:t>clothing</w:t>
            </w:r>
            <w:r w:rsidR="007B5F59" w:rsidRPr="006E725C">
              <w:rPr>
                <w:color w:val="0D0D0D" w:themeColor="text1" w:themeTint="F2"/>
                <w:spacing w:val="-4"/>
                <w:lang w:val="en-GB"/>
              </w:rPr>
              <w:t xml:space="preserve"> </w:t>
            </w:r>
            <w:r w:rsidR="00A8707C">
              <w:rPr>
                <w:color w:val="0D0D0D" w:themeColor="text1" w:themeTint="F2"/>
                <w:spacing w:val="-6"/>
                <w:lang w:val="en-GB"/>
              </w:rPr>
              <w:t xml:space="preserve">(−4.3%), which </w:t>
            </w:r>
            <w:r w:rsidR="00A8707C" w:rsidRPr="00A8707C">
              <w:rPr>
                <w:color w:val="0D0D0D" w:themeColor="text1" w:themeTint="F2"/>
                <w:spacing w:val="-6"/>
                <w:lang w:val="en-GB"/>
              </w:rPr>
              <w:t>did not follow up on the recovery from the previous year</w:t>
            </w:r>
            <w:r w:rsidR="00A8707C">
              <w:rPr>
                <w:color w:val="0D0D0D" w:themeColor="text1" w:themeTint="F2"/>
                <w:spacing w:val="-6"/>
                <w:lang w:val="en-GB"/>
              </w:rPr>
              <w:t>. The reduction</w:t>
            </w:r>
            <w:r w:rsidR="007B5F59" w:rsidRPr="006E725C">
              <w:rPr>
                <w:color w:val="0D0D0D" w:themeColor="text1" w:themeTint="F2"/>
                <w:spacing w:val="-6"/>
                <w:lang w:val="en-GB"/>
              </w:rPr>
              <w:t xml:space="preserve"> of “non-essential” expenditures of households in reaction to the slump of real earnings likely halted the long-term developing other manufacturing last year</w:t>
            </w:r>
            <w:r w:rsidR="007B5F59" w:rsidRPr="006E725C">
              <w:rPr>
                <w:rStyle w:val="Znakapoznpodarou"/>
                <w:color w:val="0D0D0D" w:themeColor="text1" w:themeTint="F2"/>
                <w:spacing w:val="-4"/>
                <w:lang w:val="en-GB"/>
              </w:rPr>
              <w:footnoteReference w:id="13"/>
            </w:r>
            <w:r w:rsidR="007B5F59" w:rsidRPr="006E725C">
              <w:rPr>
                <w:color w:val="0D0D0D" w:themeColor="text1" w:themeTint="F2"/>
                <w:spacing w:val="-4"/>
                <w:lang w:val="en-GB"/>
              </w:rPr>
              <w:t xml:space="preserve">. Its output dropped by 3.6% </w:t>
            </w:r>
            <w:r w:rsidR="007B5F59" w:rsidRPr="006E725C">
              <w:rPr>
                <w:color w:val="0D0D0D" w:themeColor="text1" w:themeTint="F2"/>
                <w:spacing w:val="-2"/>
                <w:lang w:val="en-GB"/>
              </w:rPr>
              <w:t xml:space="preserve">– the most after year </w:t>
            </w:r>
            <w:r w:rsidR="007B5F59" w:rsidRPr="006E725C">
              <w:rPr>
                <w:color w:val="0D0D0D" w:themeColor="text1" w:themeTint="F2"/>
                <w:spacing w:val="-4"/>
                <w:lang w:val="en-GB"/>
              </w:rPr>
              <w:t>2009. Similar factors also influenced manufacturing of furniture last year, its significant downturn (by 11.1%) is however first of all the result of weak external demand. Among smaller branches the long-time growing substantially pro-export oriented pharmaceutical industry diverged, where the output increased by 6.1% last year (by 42.9% in the last five years). Next to the stable external demand, it was also assisted by the last year’s growth of the domestic orders. Thanks to the external demand the leatherworking and footwear industries, which recorded higher output for the third year in a row, also prospered.</w:t>
            </w:r>
          </w:p>
        </w:tc>
      </w:tr>
      <w:tr w:rsidR="007B5F59" w:rsidRPr="006E725C" w14:paraId="7625DA87" w14:textId="77777777" w:rsidTr="00BA5125">
        <w:trPr>
          <w:trHeight w:val="170"/>
        </w:trPr>
        <w:tc>
          <w:tcPr>
            <w:tcW w:w="1814" w:type="dxa"/>
            <w:tcBorders>
              <w:top w:val="nil"/>
              <w:left w:val="nil"/>
              <w:bottom w:val="nil"/>
              <w:right w:val="nil"/>
            </w:tcBorders>
            <w:shd w:val="clear" w:color="auto" w:fill="auto"/>
            <w:tcMar>
              <w:left w:w="0" w:type="dxa"/>
            </w:tcMar>
          </w:tcPr>
          <w:p w14:paraId="0A6B4A81" w14:textId="77777777" w:rsidR="00A03306" w:rsidRDefault="007B5F59" w:rsidP="007B5F59">
            <w:pPr>
              <w:pStyle w:val="Marginlie"/>
              <w:rPr>
                <w:color w:val="0D0D0D" w:themeColor="text1" w:themeTint="F2"/>
                <w:spacing w:val="-4"/>
                <w:lang w:val="en-GB"/>
              </w:rPr>
            </w:pPr>
            <w:r w:rsidRPr="006E725C">
              <w:rPr>
                <w:color w:val="0D0D0D" w:themeColor="text1" w:themeTint="F2"/>
                <w:spacing w:val="-4"/>
                <w:lang w:val="en-GB"/>
              </w:rPr>
              <w:lastRenderedPageBreak/>
              <w:t xml:space="preserve">Energy industry mainly stood behind the lower output in industry. </w:t>
            </w:r>
          </w:p>
          <w:p w14:paraId="30B72A16" w14:textId="77777777" w:rsidR="00A03306" w:rsidRDefault="00A03306" w:rsidP="007B5F59">
            <w:pPr>
              <w:pStyle w:val="Marginlie"/>
              <w:rPr>
                <w:color w:val="0D0D0D" w:themeColor="text1" w:themeTint="F2"/>
                <w:spacing w:val="-4"/>
                <w:lang w:val="en-GB"/>
              </w:rPr>
            </w:pPr>
          </w:p>
          <w:p w14:paraId="7A47DD28" w14:textId="77777777" w:rsidR="00A03306" w:rsidRDefault="00A03306" w:rsidP="007B5F59">
            <w:pPr>
              <w:pStyle w:val="Marginlie"/>
              <w:rPr>
                <w:color w:val="0D0D0D" w:themeColor="text1" w:themeTint="F2"/>
                <w:spacing w:val="-4"/>
                <w:lang w:val="en-GB"/>
              </w:rPr>
            </w:pPr>
          </w:p>
          <w:p w14:paraId="67639CC5" w14:textId="77777777" w:rsidR="00A03306" w:rsidRDefault="00A03306" w:rsidP="007B5F59">
            <w:pPr>
              <w:pStyle w:val="Marginlie"/>
              <w:rPr>
                <w:color w:val="0D0D0D" w:themeColor="text1" w:themeTint="F2"/>
                <w:spacing w:val="-4"/>
                <w:lang w:val="en-GB"/>
              </w:rPr>
            </w:pPr>
          </w:p>
          <w:p w14:paraId="098E614F" w14:textId="578D6B8B" w:rsidR="00EE5D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Decrease of the electricity, gas and heat consumption in both businesses and households continued. </w:t>
            </w:r>
          </w:p>
          <w:p w14:paraId="0E7D4804" w14:textId="2784C491" w:rsidR="00EE5D5C" w:rsidRDefault="00EE5D5C" w:rsidP="007B5F59">
            <w:pPr>
              <w:pStyle w:val="Marginlie"/>
              <w:rPr>
                <w:color w:val="0D0D0D" w:themeColor="text1" w:themeTint="F2"/>
                <w:spacing w:val="-4"/>
                <w:lang w:val="en-GB"/>
              </w:rPr>
            </w:pPr>
          </w:p>
          <w:p w14:paraId="2B75B09D" w14:textId="77777777" w:rsidR="0005033D" w:rsidRDefault="0005033D" w:rsidP="007B5F59">
            <w:pPr>
              <w:pStyle w:val="Marginlie"/>
              <w:rPr>
                <w:color w:val="0D0D0D" w:themeColor="text1" w:themeTint="F2"/>
                <w:spacing w:val="-4"/>
                <w:lang w:val="en-GB"/>
              </w:rPr>
            </w:pPr>
          </w:p>
          <w:p w14:paraId="78EFAE1F" w14:textId="77777777" w:rsidR="00EE5D5C" w:rsidRDefault="00EE5D5C" w:rsidP="007B5F59">
            <w:pPr>
              <w:pStyle w:val="Marginlie"/>
              <w:rPr>
                <w:color w:val="0D0D0D" w:themeColor="text1" w:themeTint="F2"/>
                <w:spacing w:val="-4"/>
                <w:lang w:val="en-GB"/>
              </w:rPr>
            </w:pPr>
          </w:p>
          <w:p w14:paraId="563556A1" w14:textId="75904AEF"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Output in mining industry again slumped after two-year recovery. Less coal as well as buil</w:t>
            </w:r>
            <w:r w:rsidR="00007D73">
              <w:rPr>
                <w:color w:val="0D0D0D" w:themeColor="text1" w:themeTint="F2"/>
                <w:spacing w:val="-4"/>
                <w:lang w:val="en-GB"/>
              </w:rPr>
              <w:t>ding materials was extracted.</w:t>
            </w:r>
            <w:r w:rsidRPr="006E725C">
              <w:rPr>
                <w:color w:val="0D0D0D" w:themeColor="text1" w:themeTint="F2"/>
                <w:spacing w:val="-4"/>
                <w:lang w:val="en-GB"/>
              </w:rPr>
              <w:t xml:space="preserve"> </w:t>
            </w:r>
          </w:p>
          <w:p w14:paraId="57494032"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3030929C"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2753959" w14:textId="603088D1" w:rsidR="007B5F59" w:rsidRPr="006E725C" w:rsidRDefault="007B5F59" w:rsidP="007B5F59">
            <w:pPr>
              <w:spacing w:after="180"/>
              <w:rPr>
                <w:color w:val="0D0D0D" w:themeColor="text1" w:themeTint="F2"/>
                <w:spacing w:val="-4"/>
                <w:lang w:val="en-GB"/>
              </w:rPr>
            </w:pPr>
            <w:r w:rsidRPr="006E725C">
              <w:rPr>
                <w:color w:val="0D0D0D" w:themeColor="text1" w:themeTint="F2"/>
                <w:spacing w:val="-4"/>
                <w:lang w:val="en-GB"/>
              </w:rPr>
              <w:t xml:space="preserve">Energetics the most hindered the output of the whole industry last year, its production plunged by record 11.1% (“only” by 2.3% in year 2022) and contributed 1.1 p.p. to the </w:t>
            </w:r>
            <w:r w:rsidR="00EE5D5C">
              <w:rPr>
                <w:color w:val="0D0D0D" w:themeColor="text1" w:themeTint="F2"/>
                <w:spacing w:val="-4"/>
                <w:lang w:val="en-GB"/>
              </w:rPr>
              <w:t xml:space="preserve">total </w:t>
            </w:r>
            <w:r w:rsidRPr="006E725C">
              <w:rPr>
                <w:color w:val="0D0D0D" w:themeColor="text1" w:themeTint="F2"/>
                <w:spacing w:val="-4"/>
                <w:lang w:val="en-GB"/>
              </w:rPr>
              <w:t xml:space="preserve">industry decrease. </w:t>
            </w:r>
            <w:r w:rsidRPr="006E725C">
              <w:rPr>
                <w:color w:val="0D0D0D" w:themeColor="text1" w:themeTint="F2"/>
                <w:spacing w:val="-5"/>
                <w:lang w:val="en-GB"/>
              </w:rPr>
              <w:t xml:space="preserve">Deeper slump at the steam power plants and combined gas/steam plants (-18%) stood for the major part behind the lower electricity generation, the impact of the </w:t>
            </w:r>
            <w:r w:rsidR="00EE5D5C">
              <w:rPr>
                <w:color w:val="0D0D0D" w:themeColor="text1" w:themeTint="F2"/>
                <w:spacing w:val="-5"/>
                <w:lang w:val="en-GB"/>
              </w:rPr>
              <w:t xml:space="preserve">weaker </w:t>
            </w:r>
            <w:r w:rsidRPr="006E725C">
              <w:rPr>
                <w:color w:val="0D0D0D" w:themeColor="text1" w:themeTint="F2"/>
                <w:spacing w:val="-5"/>
                <w:lang w:val="en-GB"/>
              </w:rPr>
              <w:t>production of the nuclear power</w:t>
            </w:r>
            <w:r w:rsidR="00EE5D5C">
              <w:rPr>
                <w:color w:val="0D0D0D" w:themeColor="text1" w:themeTint="F2"/>
                <w:spacing w:val="-5"/>
                <w:lang w:val="en-GB"/>
              </w:rPr>
              <w:t xml:space="preserve"> plants was in the smaller</w:t>
            </w:r>
            <w:r w:rsidRPr="006E725C">
              <w:rPr>
                <w:color w:val="0D0D0D" w:themeColor="text1" w:themeTint="F2"/>
                <w:spacing w:val="-5"/>
                <w:lang w:val="en-GB"/>
              </w:rPr>
              <w:t xml:space="preserve"> (−2.0%). Next to the regular temporary shutdowns of the production facilities, the output of the whole energetics was connected to the further anticipated decrease of the internal demand</w:t>
            </w:r>
            <w:r w:rsidRPr="006E725C">
              <w:rPr>
                <w:rStyle w:val="Znakapoznpodarou"/>
                <w:color w:val="0D0D0D" w:themeColor="text1" w:themeTint="F2"/>
                <w:spacing w:val="-5"/>
                <w:lang w:val="en-GB"/>
              </w:rPr>
              <w:footnoteReference w:id="14"/>
            </w:r>
            <w:r w:rsidRPr="006E725C">
              <w:rPr>
                <w:color w:val="0D0D0D" w:themeColor="text1" w:themeTint="F2"/>
                <w:spacing w:val="-5"/>
                <w:lang w:val="en-GB"/>
              </w:rPr>
              <w:t>. There the impacts of the measures aimed at savings of electricity, natural ga</w:t>
            </w:r>
            <w:r w:rsidR="00A03306">
              <w:rPr>
                <w:color w:val="0D0D0D" w:themeColor="text1" w:themeTint="F2"/>
                <w:spacing w:val="-5"/>
                <w:lang w:val="en-GB"/>
              </w:rPr>
              <w:t>s as well as heat in</w:t>
            </w:r>
            <w:r w:rsidRPr="006E725C">
              <w:rPr>
                <w:color w:val="0D0D0D" w:themeColor="text1" w:themeTint="F2"/>
                <w:spacing w:val="-5"/>
                <w:lang w:val="en-GB"/>
              </w:rPr>
              <w:t xml:space="preserve"> both households and firms were evident last year </w:t>
            </w:r>
            <w:r w:rsidR="00A03306">
              <w:rPr>
                <w:color w:val="0D0D0D" w:themeColor="text1" w:themeTint="F2"/>
                <w:spacing w:val="-5"/>
                <w:lang w:val="en-GB"/>
              </w:rPr>
              <w:t>(</w:t>
            </w:r>
            <w:r w:rsidRPr="006E725C">
              <w:rPr>
                <w:color w:val="0D0D0D" w:themeColor="text1" w:themeTint="F2"/>
                <w:spacing w:val="-5"/>
                <w:lang w:val="en-GB"/>
              </w:rPr>
              <w:t>similarly to year 2022</w:t>
            </w:r>
            <w:r w:rsidR="00A03306">
              <w:rPr>
                <w:color w:val="0D0D0D" w:themeColor="text1" w:themeTint="F2"/>
                <w:spacing w:val="-5"/>
                <w:lang w:val="en-GB"/>
              </w:rPr>
              <w:t>)</w:t>
            </w:r>
            <w:r w:rsidRPr="006E725C">
              <w:rPr>
                <w:color w:val="0D0D0D" w:themeColor="text1" w:themeTint="F2"/>
                <w:spacing w:val="-5"/>
                <w:lang w:val="en-GB"/>
              </w:rPr>
              <w:t>. Additionally compared to year 2022, the effect of lower demand for energies in businesses due to the decrease of t</w:t>
            </w:r>
            <w:r w:rsidR="00A03306">
              <w:rPr>
                <w:color w:val="0D0D0D" w:themeColor="text1" w:themeTint="F2"/>
                <w:spacing w:val="-5"/>
                <w:lang w:val="en-GB"/>
              </w:rPr>
              <w:t>he production activity was more evident</w:t>
            </w:r>
            <w:r w:rsidRPr="006E725C">
              <w:rPr>
                <w:rStyle w:val="Znakapoznpodarou"/>
                <w:color w:val="0D0D0D" w:themeColor="text1" w:themeTint="F2"/>
                <w:spacing w:val="-5"/>
                <w:lang w:val="en-GB"/>
              </w:rPr>
              <w:footnoteReference w:id="15"/>
            </w:r>
            <w:r w:rsidR="00A03306">
              <w:rPr>
                <w:color w:val="0D0D0D" w:themeColor="text1" w:themeTint="F2"/>
                <w:spacing w:val="-5"/>
                <w:lang w:val="en-GB"/>
              </w:rPr>
              <w:t>, as well as the impact of</w:t>
            </w:r>
            <w:r w:rsidRPr="006E725C">
              <w:rPr>
                <w:color w:val="0D0D0D" w:themeColor="text1" w:themeTint="F2"/>
                <w:spacing w:val="-5"/>
                <w:lang w:val="en-GB"/>
              </w:rPr>
              <w:t xml:space="preserve"> favourable climatic conditions</w:t>
            </w:r>
            <w:r w:rsidR="00A03306">
              <w:rPr>
                <w:color w:val="0D0D0D" w:themeColor="text1" w:themeTint="F2"/>
                <w:spacing w:val="-5"/>
                <w:lang w:val="en-GB"/>
              </w:rPr>
              <w:t xml:space="preserve"> in winter season</w:t>
            </w:r>
            <w:r w:rsidRPr="006E725C">
              <w:rPr>
                <w:rStyle w:val="Znakapoznpodarou"/>
                <w:color w:val="0D0D0D" w:themeColor="text1" w:themeTint="F2"/>
                <w:spacing w:val="-5"/>
                <w:lang w:val="en-GB"/>
              </w:rPr>
              <w:footnoteReference w:id="16"/>
            </w:r>
            <w:r w:rsidRPr="006E725C">
              <w:rPr>
                <w:color w:val="0D0D0D" w:themeColor="text1" w:themeTint="F2"/>
                <w:spacing w:val="-5"/>
                <w:lang w:val="en-GB"/>
              </w:rPr>
              <w:t>. Following the temporary recovery in both years 2021 and 2022, the output in the very energy-intensive branch of mining a</w:t>
            </w:r>
            <w:r w:rsidR="0005033D">
              <w:rPr>
                <w:color w:val="0D0D0D" w:themeColor="text1" w:themeTint="F2"/>
                <w:spacing w:val="-5"/>
                <w:lang w:val="en-GB"/>
              </w:rPr>
              <w:t xml:space="preserve">nd quarrying plummeted by </w:t>
            </w:r>
            <w:r w:rsidRPr="006E725C">
              <w:rPr>
                <w:color w:val="0D0D0D" w:themeColor="text1" w:themeTint="F2"/>
                <w:spacing w:val="-5"/>
                <w:lang w:val="en-GB"/>
              </w:rPr>
              <w:t>one sixth last year. The long-term controlled downturn of still less profitable coal mining, only interrupted by mild growth in year 2022, especially contributed</w:t>
            </w:r>
            <w:r w:rsidR="0005033D">
              <w:rPr>
                <w:color w:val="0D0D0D" w:themeColor="text1" w:themeTint="F2"/>
                <w:spacing w:val="-5"/>
                <w:lang w:val="en-GB"/>
              </w:rPr>
              <w:t xml:space="preserve"> to it</w:t>
            </w:r>
            <w:r w:rsidRPr="006E725C">
              <w:rPr>
                <w:color w:val="0D0D0D" w:themeColor="text1" w:themeTint="F2"/>
                <w:spacing w:val="-5"/>
                <w:lang w:val="en-GB"/>
              </w:rPr>
              <w:t xml:space="preserve">. </w:t>
            </w:r>
            <w:r w:rsidR="0005033D">
              <w:rPr>
                <w:color w:val="0D0D0D" w:themeColor="text1" w:themeTint="F2"/>
                <w:spacing w:val="-5"/>
                <w:lang w:val="en-GB"/>
              </w:rPr>
              <w:t>In addition</w:t>
            </w:r>
            <w:r w:rsidR="00B33776">
              <w:rPr>
                <w:color w:val="0D0D0D" w:themeColor="text1" w:themeTint="F2"/>
                <w:spacing w:val="-5"/>
                <w:lang w:val="en-GB"/>
              </w:rPr>
              <w:t>,</w:t>
            </w:r>
            <w:r w:rsidR="0005033D">
              <w:rPr>
                <w:color w:val="0D0D0D" w:themeColor="text1" w:themeTint="F2"/>
                <w:spacing w:val="-5"/>
                <w:lang w:val="en-GB"/>
              </w:rPr>
              <w:t xml:space="preserve"> t</w:t>
            </w:r>
            <w:r w:rsidRPr="006E725C">
              <w:rPr>
                <w:color w:val="0D0D0D" w:themeColor="text1" w:themeTint="F2"/>
                <w:spacing w:val="-5"/>
                <w:lang w:val="en-GB"/>
              </w:rPr>
              <w:t>he decrease of output in the extraction of bu</w:t>
            </w:r>
            <w:r w:rsidR="0005033D">
              <w:rPr>
                <w:color w:val="0D0D0D" w:themeColor="text1" w:themeTint="F2"/>
                <w:spacing w:val="-5"/>
                <w:lang w:val="en-GB"/>
              </w:rPr>
              <w:t>ilding materials</w:t>
            </w:r>
            <w:r w:rsidRPr="006E725C">
              <w:rPr>
                <w:color w:val="0D0D0D" w:themeColor="text1" w:themeTint="F2"/>
                <w:spacing w:val="-5"/>
                <w:lang w:val="en-GB"/>
              </w:rPr>
              <w:t xml:space="preserve"> deepened </w:t>
            </w:r>
            <w:r w:rsidRPr="006E725C">
              <w:rPr>
                <w:color w:val="0D0D0D" w:themeColor="text1" w:themeTint="F2"/>
                <w:spacing w:val="-4"/>
                <w:lang w:val="en-GB"/>
              </w:rPr>
              <w:t>(to −16.4%) last year, even though it enjoyed a promising development before the onset of the energy crisi</w:t>
            </w:r>
            <w:r w:rsidR="0005033D">
              <w:rPr>
                <w:color w:val="0D0D0D" w:themeColor="text1" w:themeTint="F2"/>
                <w:spacing w:val="-4"/>
                <w:lang w:val="en-GB"/>
              </w:rPr>
              <w:t>s.</w:t>
            </w:r>
          </w:p>
        </w:tc>
      </w:tr>
      <w:tr w:rsidR="007B5F59" w:rsidRPr="006E725C" w14:paraId="0C301EF7" w14:textId="77777777" w:rsidTr="00BA5125">
        <w:trPr>
          <w:trHeight w:val="170"/>
        </w:trPr>
        <w:tc>
          <w:tcPr>
            <w:tcW w:w="1814" w:type="dxa"/>
            <w:tcBorders>
              <w:top w:val="nil"/>
              <w:left w:val="nil"/>
              <w:bottom w:val="nil"/>
              <w:right w:val="nil"/>
            </w:tcBorders>
            <w:shd w:val="clear" w:color="auto" w:fill="auto"/>
            <w:tcMar>
              <w:left w:w="0" w:type="dxa"/>
            </w:tcMar>
          </w:tcPr>
          <w:p w14:paraId="74AB1868" w14:textId="77777777" w:rsidR="007B5F59" w:rsidRPr="006E725C" w:rsidRDefault="007B5F59" w:rsidP="007B5F59">
            <w:pPr>
              <w:pStyle w:val="Marginlie"/>
              <w:rPr>
                <w:color w:val="0D0D0D" w:themeColor="text1" w:themeTint="F2"/>
                <w:lang w:val="en-GB"/>
              </w:rPr>
            </w:pPr>
            <w:r w:rsidRPr="006E725C">
              <w:rPr>
                <w:color w:val="0D0D0D" w:themeColor="text1" w:themeTint="F2"/>
                <w:lang w:val="en-GB"/>
              </w:rPr>
              <w:t xml:space="preserve">Value of new industrial orders was slightly falling for a major part of the last year. </w:t>
            </w:r>
          </w:p>
          <w:p w14:paraId="62D440A5" w14:textId="77777777" w:rsidR="007B5F59" w:rsidRPr="006E725C" w:rsidRDefault="007B5F59" w:rsidP="007B5F59">
            <w:pPr>
              <w:pStyle w:val="Marginlie"/>
              <w:rPr>
                <w:color w:val="0D0D0D" w:themeColor="text1" w:themeTint="F2"/>
                <w:sz w:val="20"/>
                <w:szCs w:val="20"/>
                <w:lang w:val="en-GB"/>
              </w:rPr>
            </w:pPr>
          </w:p>
          <w:p w14:paraId="03C0E551" w14:textId="77777777" w:rsidR="007B5F59" w:rsidRPr="006E725C" w:rsidRDefault="007B5F59" w:rsidP="007B5F59">
            <w:pPr>
              <w:pStyle w:val="Marginlie"/>
              <w:rPr>
                <w:color w:val="0D0D0D" w:themeColor="text1" w:themeTint="F2"/>
                <w:sz w:val="20"/>
                <w:szCs w:val="20"/>
                <w:lang w:val="en-GB"/>
              </w:rPr>
            </w:pPr>
          </w:p>
          <w:p w14:paraId="46F41E05" w14:textId="3867FDB9" w:rsidR="007B5F59" w:rsidRPr="006E725C" w:rsidRDefault="007B5F59" w:rsidP="007B5F59">
            <w:pPr>
              <w:pStyle w:val="Marginlie"/>
              <w:rPr>
                <w:color w:val="0D0D0D" w:themeColor="text1" w:themeTint="F2"/>
                <w:spacing w:val="-4"/>
                <w:lang w:val="en-GB"/>
              </w:rPr>
            </w:pPr>
            <w:r w:rsidRPr="006E725C">
              <w:rPr>
                <w:color w:val="0D0D0D" w:themeColor="text1" w:themeTint="F2"/>
                <w:spacing w:val="-5"/>
                <w:lang w:val="en-GB"/>
              </w:rPr>
              <w:t xml:space="preserve">Unfavourable outlook still concerned </w:t>
            </w:r>
            <w:r w:rsidR="00007D73">
              <w:rPr>
                <w:color w:val="0D0D0D" w:themeColor="text1" w:themeTint="F2"/>
                <w:spacing w:val="-5"/>
                <w:lang w:val="en-GB"/>
              </w:rPr>
              <w:t xml:space="preserve">mainly </w:t>
            </w:r>
            <w:r w:rsidRPr="006E725C">
              <w:rPr>
                <w:color w:val="0D0D0D" w:themeColor="text1" w:themeTint="F2"/>
                <w:spacing w:val="-5"/>
                <w:lang w:val="en-GB"/>
              </w:rPr>
              <w:t xml:space="preserve">the energy-intensive branches. </w:t>
            </w:r>
            <w:r w:rsidRPr="006E725C">
              <w:rPr>
                <w:color w:val="0D0D0D" w:themeColor="text1" w:themeTint="F2"/>
                <w:lang w:val="en-GB"/>
              </w:rPr>
              <w:t xml:space="preserve">Mild growth of demand prevailed in manufacturing of motor </w:t>
            </w:r>
            <w:r w:rsidRPr="006E725C">
              <w:rPr>
                <w:color w:val="0D0D0D" w:themeColor="text1" w:themeTint="F2"/>
                <w:lang w:val="en-GB"/>
              </w:rPr>
              <w:lastRenderedPageBreak/>
              <w:t xml:space="preserve">vehicles and electrical engineering. </w:t>
            </w:r>
          </w:p>
        </w:tc>
        <w:tc>
          <w:tcPr>
            <w:tcW w:w="229" w:type="dxa"/>
            <w:tcBorders>
              <w:top w:val="nil"/>
              <w:left w:val="nil"/>
              <w:bottom w:val="nil"/>
              <w:right w:val="nil"/>
            </w:tcBorders>
            <w:shd w:val="clear" w:color="auto" w:fill="auto"/>
            <w:tcMar>
              <w:left w:w="0" w:type="dxa"/>
            </w:tcMar>
          </w:tcPr>
          <w:p w14:paraId="1E306FC6"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33CBD1F" w14:textId="31DEFBB3" w:rsidR="007B5F59" w:rsidRPr="006E725C" w:rsidRDefault="007B5F59" w:rsidP="007B5F59">
            <w:pPr>
              <w:spacing w:after="180"/>
              <w:rPr>
                <w:color w:val="0D0D0D" w:themeColor="text1" w:themeTint="F2"/>
                <w:spacing w:val="-4"/>
                <w:lang w:val="en-GB"/>
              </w:rPr>
            </w:pPr>
            <w:r w:rsidRPr="006E725C">
              <w:rPr>
                <w:color w:val="0D0D0D" w:themeColor="text1" w:themeTint="F2"/>
                <w:spacing w:val="-5"/>
                <w:lang w:val="en-GB"/>
              </w:rPr>
              <w:t>The dynamics of the new industrial orders confirmed the persisting weak demand. The nominal value of orders in the monitored industrial branches</w:t>
            </w:r>
            <w:r w:rsidRPr="006E725C">
              <w:rPr>
                <w:rStyle w:val="Znakapoznpodarou"/>
                <w:color w:val="0D0D0D" w:themeColor="text1" w:themeTint="F2"/>
                <w:spacing w:val="-5"/>
                <w:lang w:val="en-GB"/>
              </w:rPr>
              <w:footnoteReference w:id="17"/>
            </w:r>
            <w:r w:rsidRPr="006E725C">
              <w:rPr>
                <w:color w:val="0D0D0D" w:themeColor="text1" w:themeTint="F2"/>
                <w:spacing w:val="-5"/>
                <w:lang w:val="en-GB"/>
              </w:rPr>
              <w:t xml:space="preserve"> was falling for a major part of the last year and in total decreased by 1.3% year-on-year. Non-domestic o</w:t>
            </w:r>
            <w:r w:rsidR="00007D73">
              <w:rPr>
                <w:color w:val="0D0D0D" w:themeColor="text1" w:themeTint="F2"/>
                <w:spacing w:val="-5"/>
                <w:lang w:val="en-GB"/>
              </w:rPr>
              <w:t xml:space="preserve">rders (in comparison to </w:t>
            </w:r>
            <w:r w:rsidRPr="006E725C">
              <w:rPr>
                <w:color w:val="0D0D0D" w:themeColor="text1" w:themeTint="F2"/>
                <w:spacing w:val="-5"/>
                <w:lang w:val="en-GB"/>
              </w:rPr>
              <w:t>domestic) indicated less favourable development for the second year in a row. The total orders dropped only by 1.0% in Q4 2023, the maj</w:t>
            </w:r>
            <w:r w:rsidR="00007D73">
              <w:rPr>
                <w:color w:val="0D0D0D" w:themeColor="text1" w:themeTint="F2"/>
                <w:spacing w:val="-5"/>
                <w:lang w:val="en-GB"/>
              </w:rPr>
              <w:t>ority of branches however indicated</w:t>
            </w:r>
            <w:r w:rsidRPr="006E725C">
              <w:rPr>
                <w:color w:val="0D0D0D" w:themeColor="text1" w:themeTint="F2"/>
                <w:spacing w:val="-5"/>
                <w:lang w:val="en-GB"/>
              </w:rPr>
              <w:t xml:space="preserve"> a lower demand – metallurgy (</w:t>
            </w:r>
            <w:r w:rsidRPr="006E725C">
              <w:rPr>
                <w:color w:val="0D0D0D" w:themeColor="text1" w:themeTint="F2"/>
                <w:spacing w:val="-2"/>
                <w:lang w:val="en-GB"/>
              </w:rPr>
              <w:t>−</w:t>
            </w:r>
            <w:r w:rsidRPr="006E725C">
              <w:rPr>
                <w:color w:val="0D0D0D" w:themeColor="text1" w:themeTint="F2"/>
                <w:spacing w:val="-5"/>
                <w:lang w:val="en-GB"/>
              </w:rPr>
              <w:t>21%) and chemical industry (</w:t>
            </w:r>
            <w:r w:rsidRPr="006E725C">
              <w:rPr>
                <w:color w:val="0D0D0D" w:themeColor="text1" w:themeTint="F2"/>
                <w:spacing w:val="-2"/>
                <w:lang w:val="en-GB"/>
              </w:rPr>
              <w:t>−</w:t>
            </w:r>
            <w:r w:rsidRPr="006E725C">
              <w:rPr>
                <w:color w:val="0D0D0D" w:themeColor="text1" w:themeTint="F2"/>
                <w:spacing w:val="-5"/>
                <w:lang w:val="en-GB"/>
              </w:rPr>
              <w:t>18%) the most, but also the electronic industry (</w:t>
            </w:r>
            <w:r w:rsidRPr="006E725C">
              <w:rPr>
                <w:color w:val="0D0D0D" w:themeColor="text1" w:themeTint="F2"/>
                <w:spacing w:val="-2"/>
                <w:lang w:val="en-GB"/>
              </w:rPr>
              <w:t>−</w:t>
            </w:r>
            <w:r w:rsidRPr="006E725C">
              <w:rPr>
                <w:color w:val="0D0D0D" w:themeColor="text1" w:themeTint="F2"/>
                <w:spacing w:val="-5"/>
                <w:lang w:val="en-GB"/>
              </w:rPr>
              <w:t>12%), although it belongs to the less energy-intensive industrial branches. Orders fell slower in machinery (</w:t>
            </w:r>
            <w:r w:rsidRPr="006E725C">
              <w:rPr>
                <w:color w:val="0D0D0D" w:themeColor="text1" w:themeTint="F2"/>
                <w:spacing w:val="-2"/>
                <w:lang w:val="en-GB"/>
              </w:rPr>
              <w:t>−</w:t>
            </w:r>
            <w:r w:rsidR="00007D73">
              <w:rPr>
                <w:color w:val="0D0D0D" w:themeColor="text1" w:themeTint="F2"/>
                <w:spacing w:val="-5"/>
                <w:lang w:val="en-GB"/>
              </w:rPr>
              <w:t>5%) and in fabricated metal products</w:t>
            </w:r>
            <w:r w:rsidRPr="006E725C">
              <w:rPr>
                <w:color w:val="0D0D0D" w:themeColor="text1" w:themeTint="F2"/>
                <w:spacing w:val="-5"/>
                <w:lang w:val="en-GB"/>
              </w:rPr>
              <w:t xml:space="preserve"> industry (</w:t>
            </w:r>
            <w:r w:rsidRPr="006E725C">
              <w:rPr>
                <w:color w:val="0D0D0D" w:themeColor="text1" w:themeTint="F2"/>
                <w:spacing w:val="-2"/>
                <w:lang w:val="en-GB"/>
              </w:rPr>
              <w:t>−</w:t>
            </w:r>
            <w:r w:rsidRPr="006E725C">
              <w:rPr>
                <w:color w:val="0D0D0D" w:themeColor="text1" w:themeTint="F2"/>
                <w:spacing w:val="-5"/>
                <w:lang w:val="en-GB"/>
              </w:rPr>
              <w:t xml:space="preserve">2%). </w:t>
            </w:r>
            <w:r w:rsidR="00007D73">
              <w:rPr>
                <w:color w:val="0D0D0D" w:themeColor="text1" w:themeTint="F2"/>
                <w:spacing w:val="-5"/>
                <w:lang w:val="en-GB"/>
              </w:rPr>
              <w:t>Contrary to it, o</w:t>
            </w:r>
            <w:r w:rsidRPr="006E725C">
              <w:rPr>
                <w:color w:val="0D0D0D" w:themeColor="text1" w:themeTint="F2"/>
                <w:spacing w:val="-5"/>
                <w:lang w:val="en-GB"/>
              </w:rPr>
              <w:t xml:space="preserve">rders grew throughout the whole year in manufacturing of motor vehicles, by 9% in Q4 (both internal and external demand was expanding). Mild growth of </w:t>
            </w:r>
            <w:r w:rsidR="00007D73">
              <w:rPr>
                <w:color w:val="0D0D0D" w:themeColor="text1" w:themeTint="F2"/>
                <w:spacing w:val="-5"/>
                <w:lang w:val="en-GB"/>
              </w:rPr>
              <w:lastRenderedPageBreak/>
              <w:t>the total demand also occurred</w:t>
            </w:r>
            <w:r w:rsidRPr="006E725C">
              <w:rPr>
                <w:color w:val="0D0D0D" w:themeColor="text1" w:themeTint="F2"/>
                <w:spacing w:val="-5"/>
                <w:lang w:val="en-GB"/>
              </w:rPr>
              <w:t xml:space="preserve"> the manufacturing of electrical appliances, among the small branches then </w:t>
            </w:r>
            <w:r w:rsidR="00007D73">
              <w:rPr>
                <w:color w:val="0D0D0D" w:themeColor="text1" w:themeTint="F2"/>
                <w:spacing w:val="-5"/>
                <w:lang w:val="en-GB"/>
              </w:rPr>
              <w:t xml:space="preserve">in </w:t>
            </w:r>
            <w:r w:rsidRPr="006E725C">
              <w:rPr>
                <w:color w:val="0D0D0D" w:themeColor="text1" w:themeTint="F2"/>
                <w:spacing w:val="-5"/>
                <w:lang w:val="en-GB"/>
              </w:rPr>
              <w:t xml:space="preserve">manufacturing of </w:t>
            </w:r>
            <w:r>
              <w:rPr>
                <w:color w:val="0D0D0D" w:themeColor="text1" w:themeTint="F2"/>
                <w:spacing w:val="-5"/>
                <w:lang w:val="en-GB"/>
              </w:rPr>
              <w:t>clothing</w:t>
            </w:r>
            <w:r w:rsidRPr="006E725C">
              <w:rPr>
                <w:color w:val="0D0D0D" w:themeColor="text1" w:themeTint="F2"/>
                <w:spacing w:val="-5"/>
                <w:lang w:val="en-GB"/>
              </w:rPr>
              <w:t xml:space="preserve">. </w:t>
            </w:r>
          </w:p>
        </w:tc>
      </w:tr>
      <w:tr w:rsidR="007B5F59" w:rsidRPr="006E725C" w14:paraId="02C1A53A" w14:textId="77777777" w:rsidTr="00BA5125">
        <w:trPr>
          <w:trHeight w:val="134"/>
        </w:trPr>
        <w:tc>
          <w:tcPr>
            <w:tcW w:w="1814" w:type="dxa"/>
            <w:vMerge w:val="restart"/>
            <w:tcBorders>
              <w:top w:val="nil"/>
              <w:left w:val="nil"/>
              <w:bottom w:val="nil"/>
              <w:right w:val="nil"/>
            </w:tcBorders>
            <w:shd w:val="clear" w:color="auto" w:fill="auto"/>
            <w:tcMar>
              <w:left w:w="0" w:type="dxa"/>
            </w:tcMar>
          </w:tcPr>
          <w:p w14:paraId="253D6D06" w14:textId="77777777" w:rsidR="007B5F59" w:rsidRPr="006E725C" w:rsidRDefault="007B5F59" w:rsidP="007B5F59">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408C3BF2"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EE498AA" w14:textId="388870DE" w:rsidR="007B5F59" w:rsidRPr="006E725C" w:rsidRDefault="007B5F59" w:rsidP="007B5F59">
            <w:pPr>
              <w:spacing w:after="0"/>
              <w:rPr>
                <w:color w:val="0D0D0D" w:themeColor="text1" w:themeTint="F2"/>
                <w:spacing w:val="-5"/>
                <w:lang w:val="en-GB"/>
              </w:rPr>
            </w:pPr>
            <w:r w:rsidRPr="006E725C">
              <w:rPr>
                <w:b/>
                <w:spacing w:val="-2"/>
                <w:lang w:val="en-GB"/>
              </w:rPr>
              <w:t xml:space="preserve">Chart 5  </w:t>
            </w:r>
            <w:r w:rsidRPr="006E725C">
              <w:rPr>
                <w:b/>
                <w:lang w:val="en-GB"/>
              </w:rPr>
              <w:t xml:space="preserve">New orders in industry </w:t>
            </w:r>
            <w:r w:rsidRPr="006E725C">
              <w:rPr>
                <w:bCs/>
                <w:lang w:val="en-GB"/>
              </w:rPr>
              <w:t xml:space="preserve">(nominal, year-on-year change in %), </w:t>
            </w:r>
            <w:r w:rsidRPr="006E725C">
              <w:rPr>
                <w:b/>
                <w:lang w:val="en-GB"/>
              </w:rPr>
              <w:t>utilisation of production capacities in industry, selected growth barriers*</w:t>
            </w:r>
            <w:r w:rsidRPr="006E725C">
              <w:rPr>
                <w:lang w:val="en-GB"/>
              </w:rPr>
              <w:t xml:space="preserve"> (in %, right axis) </w:t>
            </w:r>
            <w:r w:rsidRPr="006E725C">
              <w:rPr>
                <w:b/>
                <w:bCs/>
                <w:lang w:val="en-GB"/>
              </w:rPr>
              <w:t>and balance of business confidence indicator in industry*</w:t>
            </w:r>
            <w:r w:rsidRPr="006E725C">
              <w:rPr>
                <w:lang w:val="en-GB"/>
              </w:rPr>
              <w:t xml:space="preserve"> (in p.p., right axis)</w:t>
            </w:r>
          </w:p>
        </w:tc>
      </w:tr>
      <w:tr w:rsidR="007B5F59" w:rsidRPr="006E725C" w14:paraId="3574061A" w14:textId="77777777" w:rsidTr="0010343F">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59EC5206"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Pr>
          <w:p w14:paraId="5A13939C"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Pr>
          <w:p w14:paraId="3C12B9F0" w14:textId="5BFE8D6F" w:rsidR="007B5F59" w:rsidRPr="006E725C" w:rsidRDefault="0010343F" w:rsidP="007B5F59">
            <w:pPr>
              <w:spacing w:after="0"/>
              <w:rPr>
                <w:color w:val="0D0D0D" w:themeColor="text1" w:themeTint="F2"/>
                <w:spacing w:val="-5"/>
                <w:lang w:val="en-GB"/>
              </w:rPr>
            </w:pPr>
            <w:r>
              <w:rPr>
                <w:noProof/>
              </w:rPr>
              <w:drawing>
                <wp:inline distT="0" distB="0" distL="0" distR="0" wp14:anchorId="4F84C739" wp14:editId="0A320D3C">
                  <wp:extent cx="4734560" cy="3509645"/>
                  <wp:effectExtent l="0" t="0" r="889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B5F59" w:rsidRPr="006E725C" w14:paraId="657AE2C8" w14:textId="77777777" w:rsidTr="00BA5125">
        <w:trPr>
          <w:trHeight w:val="133"/>
        </w:trPr>
        <w:tc>
          <w:tcPr>
            <w:tcW w:w="1814" w:type="dxa"/>
            <w:vMerge/>
            <w:tcBorders>
              <w:top w:val="nil"/>
              <w:left w:val="nil"/>
              <w:bottom w:val="nil"/>
              <w:right w:val="nil"/>
            </w:tcBorders>
            <w:shd w:val="clear" w:color="auto" w:fill="auto"/>
            <w:tcMar>
              <w:left w:w="0" w:type="dxa"/>
            </w:tcMar>
          </w:tcPr>
          <w:p w14:paraId="3F1AEC16"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Mar>
              <w:left w:w="0" w:type="dxa"/>
            </w:tcMar>
          </w:tcPr>
          <w:p w14:paraId="06DFDD44"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0E867303" w14:textId="179B288D" w:rsidR="008054A3" w:rsidRDefault="007B5F59" w:rsidP="008054A3">
            <w:pPr>
              <w:spacing w:after="0" w:line="240" w:lineRule="auto"/>
              <w:rPr>
                <w:rFonts w:cs="Arial"/>
                <w:sz w:val="14"/>
                <w:szCs w:val="14"/>
                <w:lang w:val="en-GB"/>
              </w:rPr>
            </w:pPr>
            <w:r w:rsidRPr="006E725C">
              <w:rPr>
                <w:color w:val="0D0D0D" w:themeColor="text1" w:themeTint="F2"/>
                <w:spacing w:val="-5"/>
                <w:lang w:val="en-GB"/>
              </w:rPr>
              <w:t>*</w:t>
            </w:r>
            <w:r w:rsidRPr="006E725C">
              <w:rPr>
                <w:rFonts w:cs="Arial"/>
                <w:sz w:val="14"/>
                <w:szCs w:val="14"/>
                <w:lang w:val="en-GB"/>
              </w:rPr>
              <w:t>Both utilisation of production capacities and growth barriers express the level in the fi</w:t>
            </w:r>
            <w:r>
              <w:rPr>
                <w:rFonts w:cs="Arial"/>
                <w:sz w:val="14"/>
                <w:szCs w:val="14"/>
                <w:lang w:val="en-GB"/>
              </w:rPr>
              <w:t xml:space="preserve">rst month of the given quarter, </w:t>
            </w:r>
            <w:r w:rsidRPr="006E725C">
              <w:rPr>
                <w:rFonts w:cs="Arial"/>
                <w:sz w:val="14"/>
                <w:szCs w:val="14"/>
                <w:lang w:val="en-GB"/>
              </w:rPr>
              <w:t>business confidence balance relates to the second month in the quarter. Orders are adjusted for calendar effects; other indicators are seasonally adjusted. Businesses could have indicated more key growth barriers simult</w:t>
            </w:r>
            <w:r w:rsidR="008054A3">
              <w:rPr>
                <w:rFonts w:cs="Arial"/>
                <w:sz w:val="14"/>
                <w:szCs w:val="14"/>
                <w:lang w:val="en-GB"/>
              </w:rPr>
              <w:t>aneously.</w:t>
            </w:r>
          </w:p>
          <w:p w14:paraId="553821F0" w14:textId="3E9565C6" w:rsidR="007B5F59" w:rsidRPr="00512749" w:rsidRDefault="008054A3" w:rsidP="007B5F59">
            <w:pPr>
              <w:spacing w:after="200" w:line="240" w:lineRule="auto"/>
              <w:rPr>
                <w:rFonts w:cs="Arial"/>
                <w:sz w:val="14"/>
                <w:szCs w:val="14"/>
                <w:lang w:val="en-GB"/>
              </w:rPr>
            </w:pPr>
            <w:r w:rsidRPr="006E725C">
              <w:rPr>
                <w:rFonts w:cs="Arial"/>
                <w:sz w:val="14"/>
                <w:szCs w:val="14"/>
                <w:lang w:val="en-GB"/>
              </w:rPr>
              <w:t>Source: CZSO</w:t>
            </w:r>
            <w:r>
              <w:rPr>
                <w:rFonts w:cs="Arial"/>
                <w:sz w:val="14"/>
                <w:szCs w:val="14"/>
                <w:lang w:val="en-GB"/>
              </w:rPr>
              <w:t>, Eurostat</w:t>
            </w:r>
          </w:p>
        </w:tc>
      </w:tr>
      <w:tr w:rsidR="007B5F59" w:rsidRPr="006E725C" w14:paraId="602E8055" w14:textId="77777777" w:rsidTr="00BA5125">
        <w:trPr>
          <w:trHeight w:val="170"/>
        </w:trPr>
        <w:tc>
          <w:tcPr>
            <w:tcW w:w="1814" w:type="dxa"/>
            <w:tcBorders>
              <w:top w:val="nil"/>
              <w:left w:val="nil"/>
              <w:bottom w:val="nil"/>
              <w:right w:val="nil"/>
            </w:tcBorders>
            <w:shd w:val="clear" w:color="auto" w:fill="auto"/>
            <w:tcMar>
              <w:left w:w="0" w:type="dxa"/>
            </w:tcMar>
          </w:tcPr>
          <w:p w14:paraId="22564EB8" w14:textId="2EC8E5BB"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Business confidence in industry remained in slightly negative band for the whole year 2023. It </w:t>
            </w:r>
            <w:r w:rsidR="0075016F">
              <w:rPr>
                <w:color w:val="0D0D0D" w:themeColor="text1" w:themeTint="F2"/>
                <w:spacing w:val="-4"/>
                <w:lang w:val="en-GB"/>
              </w:rPr>
              <w:t xml:space="preserve">even </w:t>
            </w:r>
            <w:r w:rsidRPr="006E725C">
              <w:rPr>
                <w:color w:val="0D0D0D" w:themeColor="text1" w:themeTint="F2"/>
                <w:spacing w:val="-4"/>
                <w:lang w:val="en-GB"/>
              </w:rPr>
              <w:t>deteriorat</w:t>
            </w:r>
            <w:r w:rsidR="002D2380">
              <w:rPr>
                <w:color w:val="0D0D0D" w:themeColor="text1" w:themeTint="F2"/>
                <w:spacing w:val="-4"/>
                <w:lang w:val="en-GB"/>
              </w:rPr>
              <w:t>ed at the beginning of 2024</w:t>
            </w:r>
            <w:r w:rsidRPr="006E725C">
              <w:rPr>
                <w:color w:val="0D0D0D" w:themeColor="text1" w:themeTint="F2"/>
                <w:spacing w:val="-4"/>
                <w:lang w:val="en-GB"/>
              </w:rPr>
              <w:t xml:space="preserve">. </w:t>
            </w:r>
          </w:p>
          <w:p w14:paraId="6416A60F" w14:textId="77777777" w:rsidR="007B5F59" w:rsidRPr="006E725C" w:rsidRDefault="007B5F59" w:rsidP="007B5F59">
            <w:pPr>
              <w:pStyle w:val="Marginlie"/>
              <w:rPr>
                <w:color w:val="0D0D0D" w:themeColor="text1" w:themeTint="F2"/>
                <w:spacing w:val="-4"/>
                <w:lang w:val="en-GB"/>
              </w:rPr>
            </w:pPr>
          </w:p>
          <w:p w14:paraId="53ED76A6" w14:textId="77777777" w:rsidR="007B5F59" w:rsidRPr="006E725C" w:rsidRDefault="007B5F59" w:rsidP="007B5F59">
            <w:pPr>
              <w:pStyle w:val="Marginlie"/>
              <w:rPr>
                <w:color w:val="0D0D0D" w:themeColor="text1" w:themeTint="F2"/>
                <w:spacing w:val="-4"/>
                <w:lang w:val="en-GB"/>
              </w:rPr>
            </w:pPr>
          </w:p>
          <w:p w14:paraId="57ED990B" w14:textId="77777777" w:rsidR="007B5F59" w:rsidRPr="006E725C" w:rsidRDefault="007B5F59" w:rsidP="007B5F59">
            <w:pPr>
              <w:pStyle w:val="Marginlie"/>
              <w:rPr>
                <w:color w:val="0D0D0D" w:themeColor="text1" w:themeTint="F2"/>
                <w:spacing w:val="-4"/>
                <w:lang w:val="en-GB"/>
              </w:rPr>
            </w:pPr>
          </w:p>
          <w:p w14:paraId="51151390" w14:textId="68E99441"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Current assessment of the present demand is the worst in the last three and a half years. </w:t>
            </w:r>
          </w:p>
        </w:tc>
        <w:tc>
          <w:tcPr>
            <w:tcW w:w="229" w:type="dxa"/>
            <w:tcBorders>
              <w:top w:val="nil"/>
              <w:left w:val="nil"/>
              <w:bottom w:val="nil"/>
              <w:right w:val="nil"/>
            </w:tcBorders>
            <w:shd w:val="clear" w:color="auto" w:fill="auto"/>
            <w:tcMar>
              <w:left w:w="0" w:type="dxa"/>
            </w:tcMar>
          </w:tcPr>
          <w:p w14:paraId="309C499D"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6C0DEC1" w14:textId="79110125" w:rsidR="007B5F59" w:rsidRPr="006E725C" w:rsidRDefault="007B5F59" w:rsidP="007B5F59">
            <w:pPr>
              <w:spacing w:after="200"/>
              <w:rPr>
                <w:color w:val="0D0D0D" w:themeColor="text1" w:themeTint="F2"/>
                <w:spacing w:val="-3"/>
                <w:lang w:val="en-GB"/>
              </w:rPr>
            </w:pPr>
            <w:r w:rsidRPr="006E725C">
              <w:rPr>
                <w:color w:val="0D0D0D" w:themeColor="text1" w:themeTint="F2"/>
                <w:spacing w:val="-3"/>
                <w:lang w:val="en-GB"/>
              </w:rPr>
              <w:t>Business confidence in industry remained in the mildly negative band for the whole last year. It was falling due to the deteriorating economic outlooks in the key export territories mainly in H1 2023. It hit the three-year minimum in Septembe</w:t>
            </w:r>
            <w:r w:rsidR="002D2380">
              <w:rPr>
                <w:color w:val="0D0D0D" w:themeColor="text1" w:themeTint="F2"/>
                <w:spacing w:val="-3"/>
                <w:lang w:val="en-GB"/>
              </w:rPr>
              <w:t>r. More favourable development (</w:t>
            </w:r>
            <w:r w:rsidRPr="006E725C">
              <w:rPr>
                <w:color w:val="0D0D0D" w:themeColor="text1" w:themeTint="F2"/>
                <w:spacing w:val="-3"/>
                <w:lang w:val="en-GB"/>
              </w:rPr>
              <w:t>supported by the strengthening of optimism of motor vehicle manufacturers</w:t>
            </w:r>
            <w:r w:rsidR="002D2380">
              <w:rPr>
                <w:color w:val="0D0D0D" w:themeColor="text1" w:themeTint="F2"/>
                <w:spacing w:val="-3"/>
                <w:lang w:val="en-GB"/>
              </w:rPr>
              <w:t>)</w:t>
            </w:r>
            <w:r w:rsidRPr="006E725C">
              <w:rPr>
                <w:color w:val="0D0D0D" w:themeColor="text1" w:themeTint="F2"/>
                <w:spacing w:val="-3"/>
                <w:lang w:val="en-GB"/>
              </w:rPr>
              <w:t xml:space="preserve"> evident in Q4 </w:t>
            </w:r>
            <w:r w:rsidR="002D2380">
              <w:rPr>
                <w:color w:val="0D0D0D" w:themeColor="text1" w:themeTint="F2"/>
                <w:spacing w:val="-3"/>
                <w:lang w:val="en-GB"/>
              </w:rPr>
              <w:t>2023 ceased with the arrival of 2024. G</w:t>
            </w:r>
            <w:r w:rsidRPr="006E725C">
              <w:rPr>
                <w:color w:val="0D0D0D" w:themeColor="text1" w:themeTint="F2"/>
                <w:spacing w:val="-3"/>
                <w:lang w:val="en-GB"/>
              </w:rPr>
              <w:t xml:space="preserve">rowing pessimism </w:t>
            </w:r>
            <w:r w:rsidR="002D2380">
              <w:rPr>
                <w:color w:val="0D0D0D" w:themeColor="text1" w:themeTint="F2"/>
                <w:spacing w:val="-3"/>
                <w:lang w:val="en-GB"/>
              </w:rPr>
              <w:t xml:space="preserve">at the beginning of this year </w:t>
            </w:r>
            <w:r w:rsidRPr="006E725C">
              <w:rPr>
                <w:color w:val="0D0D0D" w:themeColor="text1" w:themeTint="F2"/>
                <w:spacing w:val="-3"/>
                <w:lang w:val="en-GB"/>
              </w:rPr>
              <w:t>is connected to the worse assessment of demand (mainly external), short-term expectations of own production, economic situation of businesses as well as the mild growth of inventories of finished products. Already nearly one half of businesses (the most in the last three and a half years) stated inadequate demand as one of the grow</w:t>
            </w:r>
            <w:r w:rsidR="0075016F">
              <w:rPr>
                <w:color w:val="0D0D0D" w:themeColor="text1" w:themeTint="F2"/>
                <w:spacing w:val="-3"/>
                <w:lang w:val="en-GB"/>
              </w:rPr>
              <w:t xml:space="preserve">th barriers </w:t>
            </w:r>
            <w:r w:rsidR="0075016F" w:rsidRPr="00A207DE">
              <w:rPr>
                <w:color w:val="0D0D0D" w:themeColor="text1" w:themeTint="F2"/>
                <w:spacing w:val="-5"/>
                <w:lang w:val="en-GB"/>
              </w:rPr>
              <w:t>in February 2024</w:t>
            </w:r>
            <w:r w:rsidRPr="00A207DE">
              <w:rPr>
                <w:rStyle w:val="Znakapoznpodarou"/>
                <w:color w:val="0D0D0D" w:themeColor="text1" w:themeTint="F2"/>
                <w:spacing w:val="-5"/>
                <w:lang w:val="en-GB"/>
              </w:rPr>
              <w:footnoteReference w:id="18"/>
            </w:r>
            <w:r w:rsidRPr="00A207DE">
              <w:rPr>
                <w:color w:val="0D0D0D" w:themeColor="text1" w:themeTint="F2"/>
                <w:spacing w:val="-5"/>
                <w:lang w:val="en-GB"/>
              </w:rPr>
              <w:t>. In contrast, the shortage of labour limited less than 15% of businesses</w:t>
            </w:r>
            <w:r w:rsidRPr="00A207DE">
              <w:rPr>
                <w:rStyle w:val="Znakapoznpodarou"/>
                <w:color w:val="0D0D0D" w:themeColor="text1" w:themeTint="F2"/>
                <w:spacing w:val="-5"/>
                <w:lang w:val="en-GB"/>
              </w:rPr>
              <w:footnoteReference w:id="19"/>
            </w:r>
            <w:r w:rsidRPr="00A207DE">
              <w:rPr>
                <w:color w:val="0D0D0D" w:themeColor="text1" w:themeTint="F2"/>
                <w:spacing w:val="-5"/>
                <w:lang w:val="en-GB"/>
              </w:rPr>
              <w:t>.</w:t>
            </w:r>
            <w:r w:rsidRPr="006E725C">
              <w:rPr>
                <w:color w:val="0D0D0D" w:themeColor="text1" w:themeTint="F2"/>
                <w:spacing w:val="-3"/>
                <w:lang w:val="en-GB"/>
              </w:rPr>
              <w:t xml:space="preserve"> Following the favourable development in H2 2023 the inaccessibility of material and equipment again becomes more acute currently, which restricts nearly one third of businesses</w:t>
            </w:r>
            <w:r w:rsidRPr="006E725C">
              <w:rPr>
                <w:rStyle w:val="Znakapoznpodarou"/>
                <w:color w:val="0D0D0D" w:themeColor="text1" w:themeTint="F2"/>
                <w:spacing w:val="-3"/>
                <w:lang w:val="en-GB"/>
              </w:rPr>
              <w:footnoteReference w:id="20"/>
            </w:r>
            <w:r w:rsidR="0075016F">
              <w:rPr>
                <w:color w:val="0D0D0D" w:themeColor="text1" w:themeTint="F2"/>
                <w:spacing w:val="-3"/>
                <w:lang w:val="en-GB"/>
              </w:rPr>
              <w:t>. That</w:t>
            </w:r>
            <w:r w:rsidRPr="006E725C">
              <w:rPr>
                <w:color w:val="0D0D0D" w:themeColor="text1" w:themeTint="F2"/>
                <w:spacing w:val="-3"/>
                <w:lang w:val="en-GB"/>
              </w:rPr>
              <w:t xml:space="preserve"> is however still less than </w:t>
            </w:r>
            <w:r w:rsidR="0075016F">
              <w:rPr>
                <w:color w:val="0D0D0D" w:themeColor="text1" w:themeTint="F2"/>
                <w:spacing w:val="-3"/>
                <w:lang w:val="en-GB"/>
              </w:rPr>
              <w:t>at the beginning of the year 2023</w:t>
            </w:r>
            <w:r w:rsidRPr="006E725C">
              <w:rPr>
                <w:color w:val="0D0D0D" w:themeColor="text1" w:themeTint="F2"/>
                <w:spacing w:val="-3"/>
                <w:lang w:val="en-GB"/>
              </w:rPr>
              <w:t xml:space="preserve">. </w:t>
            </w:r>
          </w:p>
        </w:tc>
      </w:tr>
      <w:tr w:rsidR="007B5F59" w:rsidRPr="006E725C" w14:paraId="3A608136" w14:textId="77777777" w:rsidTr="00BA5125">
        <w:trPr>
          <w:trHeight w:val="170"/>
        </w:trPr>
        <w:tc>
          <w:tcPr>
            <w:tcW w:w="1814" w:type="dxa"/>
            <w:tcBorders>
              <w:top w:val="nil"/>
              <w:left w:val="nil"/>
              <w:bottom w:val="nil"/>
              <w:right w:val="nil"/>
            </w:tcBorders>
            <w:shd w:val="clear" w:color="auto" w:fill="auto"/>
            <w:tcMar>
              <w:left w:w="0" w:type="dxa"/>
            </w:tcMar>
          </w:tcPr>
          <w:p w14:paraId="72FE1E35" w14:textId="7071C5B5" w:rsidR="007B5F59" w:rsidRPr="006E725C" w:rsidRDefault="00C654A5" w:rsidP="007B5F59">
            <w:pPr>
              <w:pStyle w:val="Marginlie"/>
              <w:rPr>
                <w:color w:val="0D0D0D" w:themeColor="text1" w:themeTint="F2"/>
                <w:spacing w:val="-4"/>
                <w:lang w:val="en-GB"/>
              </w:rPr>
            </w:pPr>
            <w:r>
              <w:rPr>
                <w:color w:val="0D0D0D" w:themeColor="text1" w:themeTint="F2"/>
                <w:spacing w:val="-4"/>
                <w:lang w:val="en-GB"/>
              </w:rPr>
              <w:t xml:space="preserve">Construction output was </w:t>
            </w:r>
            <w:r w:rsidR="007B5F59" w:rsidRPr="006E725C">
              <w:rPr>
                <w:color w:val="0D0D0D" w:themeColor="text1" w:themeTint="F2"/>
                <w:spacing w:val="-4"/>
                <w:lang w:val="en-GB"/>
              </w:rPr>
              <w:t xml:space="preserve">still affected by significant cost pressures as well as </w:t>
            </w:r>
            <w:r w:rsidR="007B5F59" w:rsidRPr="006E725C">
              <w:rPr>
                <w:color w:val="0D0D0D" w:themeColor="text1" w:themeTint="F2"/>
                <w:spacing w:val="-4"/>
                <w:lang w:val="en-GB"/>
              </w:rPr>
              <w:lastRenderedPageBreak/>
              <w:t xml:space="preserve">weakening private investment activity.  </w:t>
            </w:r>
          </w:p>
        </w:tc>
        <w:tc>
          <w:tcPr>
            <w:tcW w:w="229" w:type="dxa"/>
            <w:tcBorders>
              <w:top w:val="nil"/>
              <w:left w:val="nil"/>
              <w:bottom w:val="nil"/>
              <w:right w:val="nil"/>
            </w:tcBorders>
            <w:shd w:val="clear" w:color="auto" w:fill="auto"/>
            <w:tcMar>
              <w:left w:w="0" w:type="dxa"/>
            </w:tcMar>
          </w:tcPr>
          <w:p w14:paraId="19D9D596"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54E3988F" w14:textId="074A3039" w:rsidR="007B5F59" w:rsidRPr="006E725C" w:rsidRDefault="007B5F59" w:rsidP="007B5F59">
            <w:pPr>
              <w:spacing w:after="200"/>
              <w:rPr>
                <w:color w:val="0D0D0D" w:themeColor="text1" w:themeTint="F2"/>
                <w:spacing w:val="-6"/>
                <w:lang w:val="en-GB"/>
              </w:rPr>
            </w:pPr>
            <w:r w:rsidRPr="006E725C">
              <w:rPr>
                <w:color w:val="0D0D0D" w:themeColor="text1" w:themeTint="F2"/>
                <w:spacing w:val="-6"/>
                <w:lang w:val="en-GB"/>
              </w:rPr>
              <w:t xml:space="preserve">Persisting cost pressures as well as weak demand activity in the private sphere affected construction last year. Even though the year-on-year growth of prices of building materials slowed down (the prices went even slightly down in September after more than three years), </w:t>
            </w:r>
            <w:r w:rsidRPr="006E725C">
              <w:rPr>
                <w:color w:val="0D0D0D" w:themeColor="text1" w:themeTint="F2"/>
                <w:spacing w:val="-6"/>
                <w:lang w:val="en-GB"/>
              </w:rPr>
              <w:lastRenderedPageBreak/>
              <w:t>brisk growth of labour costs influenced by chronic shortage of (especially qualified) labour force prevented more pronounced decrease of both realised and expected prices of construction output</w:t>
            </w:r>
            <w:r w:rsidRPr="006E725C">
              <w:rPr>
                <w:rStyle w:val="Znakapoznpodarou"/>
                <w:color w:val="0D0D0D" w:themeColor="text1" w:themeTint="F2"/>
                <w:spacing w:val="-6"/>
                <w:lang w:val="en-GB"/>
              </w:rPr>
              <w:footnoteReference w:id="21"/>
            </w:r>
            <w:r w:rsidRPr="006E725C">
              <w:rPr>
                <w:color w:val="0D0D0D" w:themeColor="text1" w:themeTint="F2"/>
                <w:spacing w:val="-4"/>
                <w:lang w:val="en-GB"/>
              </w:rPr>
              <w:t>. Deteriorated financial situation of households together with decreased accessibility of mortgages</w:t>
            </w:r>
            <w:r w:rsidRPr="006E725C">
              <w:rPr>
                <w:rStyle w:val="Znakapoznpodarou"/>
                <w:rFonts w:eastAsia="MS Gothic"/>
                <w:szCs w:val="20"/>
                <w:lang w:val="en-GB"/>
              </w:rPr>
              <w:footnoteReference w:id="22"/>
            </w:r>
            <w:r w:rsidRPr="006E725C">
              <w:rPr>
                <w:rStyle w:val="normaltextrun"/>
                <w:rFonts w:eastAsia="MS Gothic" w:cs="Arial"/>
                <w:szCs w:val="20"/>
                <w:lang w:val="en-GB"/>
              </w:rPr>
              <w:t xml:space="preserve"> essentially cooled down the last year’s boom of the real estate market. Public investment</w:t>
            </w:r>
            <w:r w:rsidRPr="006E725C">
              <w:rPr>
                <w:rStyle w:val="Znakapoznpodarou"/>
                <w:rFonts w:eastAsia="MS Gothic"/>
                <w:szCs w:val="20"/>
                <w:lang w:val="en-GB"/>
              </w:rPr>
              <w:footnoteReference w:id="23"/>
            </w:r>
            <w:r w:rsidRPr="006E725C">
              <w:rPr>
                <w:rStyle w:val="normaltextrun"/>
                <w:rFonts w:eastAsia="MS Gothic" w:cs="Arial"/>
                <w:szCs w:val="20"/>
                <w:lang w:val="en-GB"/>
              </w:rPr>
              <w:t>, i.e. strengthening inflow of funds from the EU budget designed on the construction as well as upgrading of the transport infrastructure or reduction of the energy-intensity in the area of housing on the other hand worked against the deeper downturn of the construction output.</w:t>
            </w:r>
          </w:p>
        </w:tc>
      </w:tr>
      <w:tr w:rsidR="007B5F59" w:rsidRPr="006E725C" w14:paraId="4B6D923C" w14:textId="77777777" w:rsidTr="00BA5125">
        <w:trPr>
          <w:trHeight w:val="170"/>
        </w:trPr>
        <w:tc>
          <w:tcPr>
            <w:tcW w:w="1814" w:type="dxa"/>
            <w:tcBorders>
              <w:top w:val="nil"/>
              <w:left w:val="nil"/>
              <w:bottom w:val="nil"/>
              <w:right w:val="nil"/>
            </w:tcBorders>
            <w:shd w:val="clear" w:color="auto" w:fill="auto"/>
            <w:tcMar>
              <w:left w:w="0" w:type="dxa"/>
            </w:tcMar>
          </w:tcPr>
          <w:p w14:paraId="2349D799" w14:textId="5C2CBB3D"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lastRenderedPageBreak/>
              <w:t>Construction output lowered last year after mild recovery in years 2021 and 2022</w:t>
            </w:r>
            <w:r>
              <w:rPr>
                <w:color w:val="0D0D0D" w:themeColor="text1" w:themeTint="F2"/>
                <w:spacing w:val="-4"/>
                <w:lang w:val="en-GB"/>
              </w:rPr>
              <w:t>,</w:t>
            </w:r>
            <w:r w:rsidRPr="006E725C">
              <w:rPr>
                <w:color w:val="0D0D0D" w:themeColor="text1" w:themeTint="F2"/>
                <w:spacing w:val="-4"/>
                <w:lang w:val="en-GB"/>
              </w:rPr>
              <w:t xml:space="preserve"> both building construction and civil engineering construction decreased. </w:t>
            </w:r>
          </w:p>
        </w:tc>
        <w:tc>
          <w:tcPr>
            <w:tcW w:w="229" w:type="dxa"/>
            <w:tcBorders>
              <w:top w:val="nil"/>
              <w:left w:val="nil"/>
              <w:bottom w:val="nil"/>
              <w:right w:val="nil"/>
            </w:tcBorders>
            <w:shd w:val="clear" w:color="auto" w:fill="auto"/>
            <w:tcMar>
              <w:left w:w="0" w:type="dxa"/>
            </w:tcMar>
          </w:tcPr>
          <w:p w14:paraId="62E0E065"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680D7E65" w14:textId="1DDA5475" w:rsidR="007B5F59" w:rsidRPr="006E725C" w:rsidRDefault="007B5F59" w:rsidP="007B5F59">
            <w:pPr>
              <w:spacing w:after="0"/>
              <w:rPr>
                <w:color w:val="0D0D0D" w:themeColor="text1" w:themeTint="F2"/>
                <w:spacing w:val="-6"/>
                <w:lang w:val="en-GB"/>
              </w:rPr>
            </w:pPr>
            <w:r w:rsidRPr="006E725C">
              <w:rPr>
                <w:color w:val="0D0D0D" w:themeColor="text1" w:themeTint="F2"/>
                <w:spacing w:val="-6"/>
                <w:lang w:val="en-GB"/>
              </w:rPr>
              <w:t>Construction output</w:t>
            </w:r>
            <w:r w:rsidRPr="006E725C">
              <w:rPr>
                <w:rStyle w:val="Znakapoznpodarou"/>
                <w:color w:val="0D0D0D" w:themeColor="text1" w:themeTint="F2"/>
                <w:spacing w:val="-6"/>
                <w:lang w:val="en-GB"/>
              </w:rPr>
              <w:footnoteReference w:id="24"/>
            </w:r>
            <w:r w:rsidRPr="006E725C">
              <w:rPr>
                <w:color w:val="0D0D0D" w:themeColor="text1" w:themeTint="F2"/>
                <w:spacing w:val="-6"/>
                <w:lang w:val="en-GB"/>
              </w:rPr>
              <w:t xml:space="preserve"> increased by 1.8% quarter-on-quarter at the beginning of year 2023 (partially thanks to very mild winter, which mainly assisted the building construction), however it decreased more significantly in the subsequent quarter (by 2.8%). The downward trend of production continued in H2, although at slower pace. Thus, the output of the whole branch lagged behind the peak of the last expansion (Q3 2019) by nearly 6% towards the end of the year (in that building construction by 8.3%). In comparison to the same period of the preceding year, the construction output fell in all last year’s quarters and by 2.4% then for the whole year 2023, with contribution mainly from the building construction (</w:t>
            </w:r>
            <w:r w:rsidRPr="006E725C">
              <w:rPr>
                <w:color w:val="0D0D0D" w:themeColor="text1" w:themeTint="F2"/>
                <w:spacing w:val="-2"/>
                <w:lang w:val="en-GB"/>
              </w:rPr>
              <w:t>−</w:t>
            </w:r>
            <w:r w:rsidRPr="006E725C">
              <w:rPr>
                <w:color w:val="0D0D0D" w:themeColor="text1" w:themeTint="F2"/>
                <w:spacing w:val="-6"/>
                <w:lang w:val="en-GB"/>
              </w:rPr>
              <w:t>0.9 p.p.).</w:t>
            </w:r>
          </w:p>
          <w:p w14:paraId="68B6E49F" w14:textId="77777777" w:rsidR="007B5F59" w:rsidRPr="006E725C" w:rsidRDefault="007B5F59" w:rsidP="007B5F59">
            <w:pPr>
              <w:spacing w:after="0"/>
              <w:rPr>
                <w:color w:val="0D0D0D" w:themeColor="text1" w:themeTint="F2"/>
                <w:spacing w:val="-6"/>
                <w:lang w:val="en-GB"/>
              </w:rPr>
            </w:pPr>
          </w:p>
        </w:tc>
      </w:tr>
      <w:tr w:rsidR="007B5F59" w:rsidRPr="006E725C" w14:paraId="185C7D66" w14:textId="77777777" w:rsidTr="00BA5125">
        <w:trPr>
          <w:trHeight w:val="170"/>
        </w:trPr>
        <w:tc>
          <w:tcPr>
            <w:tcW w:w="1814" w:type="dxa"/>
            <w:tcBorders>
              <w:top w:val="nil"/>
              <w:left w:val="nil"/>
              <w:bottom w:val="nil"/>
              <w:right w:val="nil"/>
            </w:tcBorders>
            <w:shd w:val="clear" w:color="auto" w:fill="auto"/>
            <w:tcMar>
              <w:left w:w="0" w:type="dxa"/>
            </w:tcMar>
          </w:tcPr>
          <w:p w14:paraId="458FE5E8" w14:textId="1974202A"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Decrease of demand was distinctly imprinted in the started residential construction, where the number of dwellings in the family houses considerably slumped. </w:t>
            </w:r>
          </w:p>
          <w:p w14:paraId="3C73D484" w14:textId="77777777" w:rsidR="007B5F59" w:rsidRPr="006E725C" w:rsidRDefault="007B5F59" w:rsidP="007B5F59">
            <w:pPr>
              <w:pStyle w:val="Marginlie"/>
              <w:rPr>
                <w:color w:val="0D0D0D" w:themeColor="text1" w:themeTint="F2"/>
                <w:spacing w:val="-4"/>
                <w:lang w:val="en-GB"/>
              </w:rPr>
            </w:pPr>
          </w:p>
          <w:p w14:paraId="42ACA09F" w14:textId="77777777" w:rsidR="007B5F59" w:rsidRPr="006E725C" w:rsidRDefault="007B5F59" w:rsidP="007B5F59">
            <w:pPr>
              <w:pStyle w:val="Marginlie"/>
              <w:rPr>
                <w:color w:val="0D0D0D" w:themeColor="text1" w:themeTint="F2"/>
                <w:spacing w:val="-4"/>
                <w:lang w:val="en-GB"/>
              </w:rPr>
            </w:pPr>
          </w:p>
          <w:p w14:paraId="739AD757" w14:textId="634CF0E0"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Number of completed dwellings in residential buildings still competed with the extent of construction from the expansion years of the zero decade. </w:t>
            </w:r>
          </w:p>
          <w:p w14:paraId="16440DCF"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4BD27293"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638249F7" w14:textId="294CB76A" w:rsidR="007B5F59" w:rsidRPr="006E725C" w:rsidRDefault="007B5F59" w:rsidP="007B5F59">
            <w:pPr>
              <w:spacing w:after="200"/>
              <w:rPr>
                <w:rFonts w:eastAsia="MS Gothic" w:cs="Arial"/>
                <w:spacing w:val="-2"/>
                <w:szCs w:val="20"/>
                <w:lang w:val="en-GB"/>
              </w:rPr>
            </w:pPr>
            <w:r w:rsidRPr="006E725C">
              <w:rPr>
                <w:lang w:val="en-GB"/>
              </w:rPr>
              <w:t>“Freezing” of the real estate market was still more distinctly reflected in the low intensity of started construction, mainly of family houses. Decrease of construction commenced in year 2022 deepened last year (to 15.5% year-on-year). Construction of family houses decreased the most</w:t>
            </w:r>
            <w:r w:rsidRPr="006E725C">
              <w:rPr>
                <w:color w:val="0D0D0D" w:themeColor="text1" w:themeTint="F2"/>
                <w:spacing w:val="-6"/>
                <w:lang w:val="en-GB"/>
              </w:rPr>
              <w:t xml:space="preserve">, the number of started dwellings was due to high financial costs as well as shortage of labour </w:t>
            </w:r>
            <w:r w:rsidRPr="006E725C">
              <w:rPr>
                <w:rStyle w:val="normaltextrun"/>
                <w:rFonts w:eastAsia="MS Gothic" w:cs="Arial"/>
                <w:szCs w:val="20"/>
                <w:lang w:val="en-GB"/>
              </w:rPr>
              <w:t xml:space="preserve">(mainly in smaller building companies) the lowest in the last eight years </w:t>
            </w:r>
            <w:r w:rsidRPr="006E725C">
              <w:rPr>
                <w:color w:val="0D0D0D" w:themeColor="text1" w:themeTint="F2"/>
                <w:spacing w:val="-6"/>
                <w:lang w:val="en-GB"/>
              </w:rPr>
              <w:t>(14.6 thousand), decrease however occurred also in all other construction segments (apart from reconstructions of existing residential houses).</w:t>
            </w:r>
            <w:r w:rsidRPr="006E725C">
              <w:rPr>
                <w:rStyle w:val="normaltextrun"/>
                <w:rFonts w:eastAsia="MS Gothic" w:cs="Arial"/>
                <w:szCs w:val="20"/>
                <w:lang w:val="en-GB"/>
              </w:rPr>
              <w:t xml:space="preserve"> Number of completed dwellings fell only slightly (by 3.4%) due to large number of unfinished works from the previous years, again contributed by weaker construction of family houses. On the contrary, the number of dwellings in the category of residential buildings increased year-on-year for the third time in a row and arrived at </w:t>
            </w:r>
            <w:r w:rsidRPr="006E725C">
              <w:rPr>
                <w:rStyle w:val="normaltextrun"/>
                <w:rFonts w:eastAsia="MS Gothic" w:cs="Arial"/>
                <w:spacing w:val="-2"/>
                <w:szCs w:val="20"/>
                <w:lang w:val="en-GB"/>
              </w:rPr>
              <w:t xml:space="preserve">14.2 thousand (larger construction was in the era of independent CR achieved only in year 2007, specifically 18.2 thousand). More than one third of the total number of all completed dwellings in the CR is in Prague and the Central Bohemia in the long-term. </w:t>
            </w:r>
          </w:p>
        </w:tc>
      </w:tr>
      <w:tr w:rsidR="0010343F" w:rsidRPr="006E725C" w14:paraId="7A01587C" w14:textId="77777777" w:rsidTr="00BA5125">
        <w:trPr>
          <w:trHeight w:val="170"/>
        </w:trPr>
        <w:tc>
          <w:tcPr>
            <w:tcW w:w="1814" w:type="dxa"/>
            <w:tcBorders>
              <w:top w:val="nil"/>
              <w:left w:val="nil"/>
              <w:bottom w:val="nil"/>
              <w:right w:val="nil"/>
            </w:tcBorders>
            <w:shd w:val="clear" w:color="auto" w:fill="auto"/>
            <w:tcMar>
              <w:left w:w="0" w:type="dxa"/>
            </w:tcMar>
          </w:tcPr>
          <w:p w14:paraId="39BB8BAA" w14:textId="77777777" w:rsidR="0010343F" w:rsidRPr="006E725C" w:rsidRDefault="0010343F" w:rsidP="0010343F">
            <w:pPr>
              <w:pStyle w:val="Marginlie"/>
              <w:rPr>
                <w:rFonts w:cs="Arial"/>
                <w:color w:val="0D0D0D" w:themeColor="text1" w:themeTint="F2"/>
                <w:spacing w:val="-4"/>
                <w:lang w:val="en-GB"/>
              </w:rPr>
            </w:pPr>
            <w:r w:rsidRPr="006E725C">
              <w:rPr>
                <w:rFonts w:cs="Arial"/>
                <w:color w:val="0D0D0D" w:themeColor="text1" w:themeTint="F2"/>
                <w:spacing w:val="-4"/>
                <w:lang w:val="en-GB"/>
              </w:rPr>
              <w:t>The approximate value of one granted building permit grew more notably in Q4. The volume of orders also increased more slowly, however the private demand still slackened.</w:t>
            </w:r>
          </w:p>
          <w:p w14:paraId="6AE9C110" w14:textId="77777777" w:rsidR="0010343F" w:rsidRPr="006E725C" w:rsidRDefault="0010343F" w:rsidP="0010343F">
            <w:pPr>
              <w:pStyle w:val="Marginlie"/>
              <w:rPr>
                <w:rFonts w:cs="Arial"/>
                <w:color w:val="0D0D0D" w:themeColor="text1" w:themeTint="F2"/>
                <w:spacing w:val="-4"/>
                <w:lang w:val="en-GB"/>
              </w:rPr>
            </w:pPr>
          </w:p>
          <w:p w14:paraId="24A06785" w14:textId="77777777" w:rsidR="0010343F" w:rsidRPr="006E725C" w:rsidRDefault="0010343F" w:rsidP="0010343F">
            <w:pPr>
              <w:pStyle w:val="Marginlie"/>
              <w:rPr>
                <w:rFonts w:cs="Arial"/>
                <w:color w:val="0D0D0D" w:themeColor="text1" w:themeTint="F2"/>
                <w:spacing w:val="-4"/>
                <w:lang w:val="en-GB"/>
              </w:rPr>
            </w:pPr>
          </w:p>
          <w:p w14:paraId="38B01197" w14:textId="77777777" w:rsidR="0010343F" w:rsidRPr="006E725C" w:rsidRDefault="0010343F" w:rsidP="0010343F">
            <w:pPr>
              <w:pStyle w:val="Marginlie"/>
              <w:rPr>
                <w:rFonts w:cs="Arial"/>
                <w:color w:val="0D0D0D" w:themeColor="text1" w:themeTint="F2"/>
                <w:spacing w:val="-4"/>
                <w:lang w:val="en-GB"/>
              </w:rPr>
            </w:pPr>
          </w:p>
          <w:p w14:paraId="559F9124" w14:textId="77777777" w:rsidR="0010343F" w:rsidRPr="006E725C" w:rsidRDefault="0010343F" w:rsidP="0010343F">
            <w:pPr>
              <w:pStyle w:val="Marginlie"/>
              <w:rPr>
                <w:rFonts w:cs="Arial"/>
                <w:color w:val="0D0D0D" w:themeColor="text1" w:themeTint="F2"/>
                <w:spacing w:val="-4"/>
                <w:lang w:val="en-GB"/>
              </w:rPr>
            </w:pPr>
          </w:p>
          <w:p w14:paraId="658FF043" w14:textId="77777777" w:rsidR="0010343F" w:rsidRPr="006E725C" w:rsidRDefault="0010343F" w:rsidP="0010343F">
            <w:pPr>
              <w:pStyle w:val="Marginlie"/>
              <w:rPr>
                <w:rFonts w:cs="Arial"/>
                <w:color w:val="0D0D0D" w:themeColor="text1" w:themeTint="F2"/>
                <w:spacing w:val="-4"/>
                <w:lang w:val="en-GB"/>
              </w:rPr>
            </w:pPr>
            <w:r w:rsidRPr="006E725C">
              <w:rPr>
                <w:spacing w:val="-4"/>
                <w:lang w:val="en-GB"/>
              </w:rPr>
              <w:t xml:space="preserve">Pessimism of businesses in construction lowered at the beginning of this year. </w:t>
            </w:r>
          </w:p>
          <w:p w14:paraId="61258638" w14:textId="77777777" w:rsidR="0010343F" w:rsidRPr="006E725C" w:rsidRDefault="0010343F" w:rsidP="0010343F">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779AEC7B"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0D6F183B" w14:textId="16ACB418" w:rsidR="0010343F" w:rsidRPr="006E725C" w:rsidRDefault="0010343F" w:rsidP="0010343F">
            <w:pPr>
              <w:spacing w:after="200"/>
              <w:rPr>
                <w:lang w:val="en-GB"/>
              </w:rPr>
            </w:pPr>
            <w:r w:rsidRPr="006E725C">
              <w:rPr>
                <w:color w:val="0D0D0D" w:themeColor="text1" w:themeTint="F2"/>
                <w:spacing w:val="-6"/>
                <w:lang w:val="en-GB"/>
              </w:rPr>
              <w:t xml:space="preserve">Some leading indicators can evoke a mild optimism in construction. The </w:t>
            </w:r>
            <w:r w:rsidRPr="006E725C">
              <w:rPr>
                <w:rFonts w:cs="Arial"/>
                <w:szCs w:val="20"/>
                <w:lang w:val="en-GB"/>
              </w:rPr>
              <w:t>approximate value of one granted building</w:t>
            </w:r>
            <w:r w:rsidRPr="006E725C">
              <w:rPr>
                <w:spacing w:val="-4"/>
                <w:lang w:val="en-GB"/>
              </w:rPr>
              <w:t xml:space="preserve"> </w:t>
            </w:r>
            <w:r w:rsidRPr="006E725C">
              <w:rPr>
                <w:rFonts w:cs="Arial"/>
                <w:szCs w:val="20"/>
                <w:lang w:val="en-GB"/>
              </w:rPr>
              <w:t>permit increased by 35% year-on-year in Q</w:t>
            </w:r>
            <w:r w:rsidRPr="006E725C">
              <w:rPr>
                <w:color w:val="0D0D0D" w:themeColor="text1" w:themeTint="F2"/>
                <w:spacing w:val="-6"/>
                <w:lang w:val="en-GB"/>
              </w:rPr>
              <w:t xml:space="preserve">4, by 62% in December itself – i.e., to 84 </w:t>
            </w:r>
            <w:r>
              <w:rPr>
                <w:color w:val="0D0D0D" w:themeColor="text1" w:themeTint="F2"/>
                <w:spacing w:val="-6"/>
                <w:lang w:val="en-GB"/>
              </w:rPr>
              <w:t>CZK bn</w:t>
            </w:r>
            <w:r w:rsidRPr="006E725C">
              <w:rPr>
                <w:color w:val="0D0D0D" w:themeColor="text1" w:themeTint="F2"/>
                <w:spacing w:val="-6"/>
                <w:lang w:val="en-GB"/>
              </w:rPr>
              <w:t xml:space="preserve"> (the second largest value in history – behind July 2021, when the construction of the underground line D was permitted in Prague). The December growth had nearly an across-the-board character, after deduction of large structures (above 1 </w:t>
            </w:r>
            <w:r>
              <w:rPr>
                <w:color w:val="0D0D0D" w:themeColor="text1" w:themeTint="F2"/>
                <w:spacing w:val="-6"/>
                <w:lang w:val="en-GB"/>
              </w:rPr>
              <w:t>CZK bn</w:t>
            </w:r>
            <w:r w:rsidRPr="006E725C">
              <w:rPr>
                <w:color w:val="0D0D0D" w:themeColor="text1" w:themeTint="F2"/>
                <w:spacing w:val="-6"/>
                <w:lang w:val="en-GB"/>
              </w:rPr>
              <w:t xml:space="preserve">) it was 20% in nominal terms (17% in real terms). Value of new orders was by 9.3% higher year-on-year in Q4 (it grew for the second quarter in a row), it reflected the revival of building construction. Total stock of work (balance of orders to be realised) was by even 7% higher year-on-year at the end of December, but only thanks to higher demand from public contracting authority for now. According to the business cycle survey (January 2024), construction businesses also anticipate a mild growth of demand, construction activity as well </w:t>
            </w:r>
            <w:r w:rsidRPr="006E725C">
              <w:rPr>
                <w:color w:val="0D0D0D" w:themeColor="text1" w:themeTint="F2"/>
                <w:spacing w:val="-6"/>
                <w:lang w:val="en-GB"/>
              </w:rPr>
              <w:lastRenderedPageBreak/>
              <w:t>as employment. Their confidence balance was the highest this year in F</w:t>
            </w:r>
            <w:r w:rsidR="002D2380">
              <w:rPr>
                <w:color w:val="0D0D0D" w:themeColor="text1" w:themeTint="F2"/>
                <w:spacing w:val="-6"/>
                <w:lang w:val="en-GB"/>
              </w:rPr>
              <w:t>ebruary in the last 15 months.</w:t>
            </w:r>
          </w:p>
        </w:tc>
      </w:tr>
      <w:tr w:rsidR="0010343F" w:rsidRPr="006E725C" w14:paraId="3F96B3FE"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2F435E6A" w14:textId="77777777" w:rsidR="0010343F" w:rsidRPr="006E725C" w:rsidRDefault="0010343F" w:rsidP="0010343F">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4689D05D"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300B610B" w14:textId="5500236D" w:rsidR="0010343F" w:rsidRPr="006E725C" w:rsidRDefault="0010343F" w:rsidP="0010343F">
            <w:pPr>
              <w:spacing w:after="20"/>
              <w:rPr>
                <w:rFonts w:cs="Arial"/>
                <w:bCs/>
                <w:lang w:val="en-GB"/>
              </w:rPr>
            </w:pPr>
            <w:r w:rsidRPr="006E725C">
              <w:rPr>
                <w:b/>
                <w:spacing w:val="-5"/>
                <w:lang w:val="en-GB"/>
              </w:rPr>
              <w:t xml:space="preserve">Chart 6 </w:t>
            </w:r>
            <w:r w:rsidRPr="006E725C">
              <w:rPr>
                <w:b/>
                <w:spacing w:val="-4"/>
                <w:lang w:val="en-GB"/>
              </w:rPr>
              <w:t xml:space="preserve">Contributions of sub-branches to year-on-year change of the total construction output </w:t>
            </w:r>
            <w:r w:rsidRPr="006E725C">
              <w:rPr>
                <w:spacing w:val="-4"/>
                <w:lang w:val="en-GB"/>
              </w:rPr>
              <w:t>(real, in p.p.)</w:t>
            </w:r>
            <w:r w:rsidRPr="006E725C">
              <w:rPr>
                <w:b/>
                <w:bCs/>
                <w:spacing w:val="-4"/>
                <w:lang w:val="en-GB"/>
              </w:rPr>
              <w:t>, new construction orders</w:t>
            </w:r>
            <w:r w:rsidRPr="006E725C">
              <w:rPr>
                <w:b/>
                <w:spacing w:val="-4"/>
                <w:lang w:val="en-GB"/>
              </w:rPr>
              <w:t xml:space="preserve"> </w:t>
            </w:r>
            <w:r w:rsidR="004D4452">
              <w:rPr>
                <w:bCs/>
                <w:spacing w:val="-4"/>
                <w:lang w:val="en-GB"/>
              </w:rPr>
              <w:t>(nominal, year-on-year in</w:t>
            </w:r>
            <w:r w:rsidR="004D4452" w:rsidRPr="006E725C">
              <w:rPr>
                <w:spacing w:val="-4"/>
                <w:lang w:val="en-GB"/>
              </w:rPr>
              <w:t> </w:t>
            </w:r>
            <w:r w:rsidRPr="006E725C">
              <w:rPr>
                <w:bCs/>
                <w:spacing w:val="-4"/>
                <w:lang w:val="en-GB"/>
              </w:rPr>
              <w:t>%)</w:t>
            </w:r>
            <w:r w:rsidRPr="006E725C">
              <w:rPr>
                <w:b/>
                <w:spacing w:val="-4"/>
                <w:lang w:val="en-GB"/>
              </w:rPr>
              <w:t>, balance of business confidence indicator in construction*</w:t>
            </w:r>
            <w:r w:rsidRPr="006E725C">
              <w:rPr>
                <w:spacing w:val="-4"/>
                <w:lang w:val="en-GB"/>
              </w:rPr>
              <w:t xml:space="preserve"> (in p.p., right axis) </w:t>
            </w:r>
            <w:r w:rsidRPr="006E725C">
              <w:rPr>
                <w:b/>
                <w:spacing w:val="-4"/>
                <w:lang w:val="en-GB"/>
              </w:rPr>
              <w:t>and selected barriers to growth</w:t>
            </w:r>
            <w:r w:rsidRPr="006E725C">
              <w:rPr>
                <w:spacing w:val="-4"/>
                <w:lang w:val="en-GB"/>
              </w:rPr>
              <w:t>*</w:t>
            </w:r>
            <w:r w:rsidR="004D4452">
              <w:rPr>
                <w:spacing w:val="-4"/>
                <w:lang w:val="en-GB"/>
              </w:rPr>
              <w:t xml:space="preserve"> (in %, right axis)</w:t>
            </w:r>
          </w:p>
        </w:tc>
      </w:tr>
      <w:tr w:rsidR="0010343F" w:rsidRPr="006E725C" w14:paraId="37FB4DDE" w14:textId="77777777" w:rsidTr="00480E30">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1383FEAD" w14:textId="77777777" w:rsidR="0010343F" w:rsidRPr="006E725C" w:rsidRDefault="0010343F" w:rsidP="0010343F">
            <w:pPr>
              <w:pStyle w:val="Marginlie"/>
              <w:rPr>
                <w:lang w:val="en-GB"/>
              </w:rPr>
            </w:pPr>
          </w:p>
        </w:tc>
        <w:tc>
          <w:tcPr>
            <w:tcW w:w="229" w:type="dxa"/>
            <w:vMerge/>
            <w:tcBorders>
              <w:top w:val="nil"/>
              <w:left w:val="nil"/>
              <w:bottom w:val="nil"/>
              <w:right w:val="nil"/>
            </w:tcBorders>
            <w:shd w:val="clear" w:color="auto" w:fill="auto"/>
          </w:tcPr>
          <w:p w14:paraId="49CDFFCC"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7EDB23DA" w14:textId="1EE55509" w:rsidR="0010343F" w:rsidRPr="006E725C" w:rsidRDefault="00480E30" w:rsidP="0010343F">
            <w:pPr>
              <w:spacing w:after="0"/>
              <w:rPr>
                <w:spacing w:val="-6"/>
                <w:lang w:val="en-GB"/>
              </w:rPr>
            </w:pPr>
            <w:r>
              <w:rPr>
                <w:noProof/>
              </w:rPr>
              <w:drawing>
                <wp:inline distT="0" distB="0" distL="0" distR="0" wp14:anchorId="5EFC0280" wp14:editId="371CF2D2">
                  <wp:extent cx="4734560" cy="3453130"/>
                  <wp:effectExtent l="0" t="0" r="889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0343F" w:rsidRPr="006E725C" w14:paraId="56811CDE" w14:textId="77777777" w:rsidTr="00BA5125">
        <w:trPr>
          <w:trHeight w:val="170"/>
        </w:trPr>
        <w:tc>
          <w:tcPr>
            <w:tcW w:w="1814" w:type="dxa"/>
            <w:vMerge/>
            <w:tcBorders>
              <w:top w:val="nil"/>
              <w:left w:val="nil"/>
              <w:bottom w:val="nil"/>
              <w:right w:val="nil"/>
            </w:tcBorders>
            <w:shd w:val="clear" w:color="auto" w:fill="auto"/>
            <w:tcMar>
              <w:left w:w="0" w:type="dxa"/>
            </w:tcMar>
          </w:tcPr>
          <w:p w14:paraId="3EE7183D" w14:textId="77777777" w:rsidR="0010343F" w:rsidRPr="006E725C" w:rsidRDefault="0010343F" w:rsidP="0010343F">
            <w:pPr>
              <w:pStyle w:val="Marginlie"/>
              <w:rPr>
                <w:lang w:val="en-GB"/>
              </w:rPr>
            </w:pPr>
          </w:p>
        </w:tc>
        <w:tc>
          <w:tcPr>
            <w:tcW w:w="229" w:type="dxa"/>
            <w:vMerge/>
            <w:tcBorders>
              <w:top w:val="nil"/>
              <w:left w:val="nil"/>
              <w:bottom w:val="nil"/>
              <w:right w:val="nil"/>
            </w:tcBorders>
            <w:shd w:val="clear" w:color="auto" w:fill="auto"/>
            <w:tcMar>
              <w:left w:w="0" w:type="dxa"/>
            </w:tcMar>
          </w:tcPr>
          <w:p w14:paraId="4299A6CA"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D923758" w14:textId="77777777" w:rsidR="0010343F" w:rsidRPr="006E725C" w:rsidRDefault="0010343F" w:rsidP="0010343F">
            <w:pPr>
              <w:spacing w:after="0"/>
              <w:rPr>
                <w:rFonts w:cs="Arial"/>
                <w:sz w:val="14"/>
                <w:szCs w:val="14"/>
                <w:lang w:val="en-GB"/>
              </w:rPr>
            </w:pPr>
            <w:r w:rsidRPr="006E725C">
              <w:rPr>
                <w:rFonts w:cs="Arial"/>
                <w:sz w:val="14"/>
                <w:szCs w:val="14"/>
                <w:lang w:val="en-GB"/>
              </w:rPr>
              <w:t xml:space="preserve">Note: </w:t>
            </w:r>
            <w:r w:rsidRPr="006E725C">
              <w:rPr>
                <w:rFonts w:cs="Arial"/>
                <w:spacing w:val="-7"/>
                <w:sz w:val="14"/>
                <w:szCs w:val="14"/>
                <w:lang w:val="en-GB"/>
              </w:rPr>
              <w:t>Data related to construction output are adjusted for calendar effects.</w:t>
            </w:r>
          </w:p>
          <w:p w14:paraId="14840793" w14:textId="77777777" w:rsidR="0010343F" w:rsidRDefault="0010343F" w:rsidP="0010343F">
            <w:pPr>
              <w:spacing w:after="0"/>
              <w:rPr>
                <w:rFonts w:cs="Arial"/>
                <w:sz w:val="14"/>
                <w:szCs w:val="14"/>
                <w:lang w:val="en-GB"/>
              </w:rPr>
            </w:pPr>
            <w:r w:rsidRPr="006E725C">
              <w:rPr>
                <w:rFonts w:cs="Arial"/>
                <w:sz w:val="14"/>
                <w:szCs w:val="14"/>
                <w:lang w:val="en-GB"/>
              </w:rPr>
              <w:t>* Balance of business confidence as well as barriers to growth are seasonally adjusted and express the level in the second month of the given quarter. Businesses could have indicated more main barriers simultaneously.</w:t>
            </w:r>
          </w:p>
          <w:p w14:paraId="0DFF4BAB" w14:textId="77777777" w:rsidR="0010343F" w:rsidRDefault="0010343F" w:rsidP="0010343F">
            <w:pPr>
              <w:spacing w:after="0"/>
              <w:rPr>
                <w:rFonts w:cs="Arial"/>
                <w:sz w:val="14"/>
                <w:szCs w:val="14"/>
                <w:lang w:val="en-GB"/>
              </w:rPr>
            </w:pPr>
            <w:r>
              <w:rPr>
                <w:rFonts w:cs="Arial"/>
                <w:sz w:val="14"/>
                <w:szCs w:val="14"/>
                <w:lang w:val="en-GB"/>
              </w:rPr>
              <w:t>Source: CZSO, Eurostat</w:t>
            </w:r>
          </w:p>
          <w:p w14:paraId="1DDA3071" w14:textId="2C67323E" w:rsidR="0010343F" w:rsidRPr="0010343F" w:rsidRDefault="0010343F" w:rsidP="0010343F">
            <w:pPr>
              <w:spacing w:after="0"/>
              <w:rPr>
                <w:rFonts w:cs="Arial"/>
                <w:sz w:val="14"/>
                <w:szCs w:val="14"/>
                <w:lang w:val="en-GB"/>
              </w:rPr>
            </w:pPr>
          </w:p>
        </w:tc>
      </w:tr>
      <w:tr w:rsidR="0010343F" w:rsidRPr="006E725C" w14:paraId="639218E8" w14:textId="77777777" w:rsidTr="00BA5125">
        <w:trPr>
          <w:trHeight w:val="170"/>
        </w:trPr>
        <w:tc>
          <w:tcPr>
            <w:tcW w:w="1814" w:type="dxa"/>
            <w:tcBorders>
              <w:top w:val="nil"/>
              <w:left w:val="nil"/>
              <w:bottom w:val="nil"/>
              <w:right w:val="nil"/>
            </w:tcBorders>
            <w:shd w:val="clear" w:color="auto" w:fill="auto"/>
            <w:tcMar>
              <w:left w:w="0" w:type="dxa"/>
            </w:tcMar>
          </w:tcPr>
          <w:p w14:paraId="65944B4D" w14:textId="675951EF" w:rsidR="0010343F" w:rsidRPr="006E725C" w:rsidRDefault="0010343F" w:rsidP="0010343F">
            <w:pPr>
              <w:pStyle w:val="Marginlie"/>
              <w:rPr>
                <w:color w:val="0D0D0D" w:themeColor="text1" w:themeTint="F2"/>
                <w:spacing w:val="-4"/>
                <w:lang w:val="en-GB"/>
              </w:rPr>
            </w:pPr>
            <w:r w:rsidRPr="006E725C">
              <w:rPr>
                <w:color w:val="0D0D0D" w:themeColor="text1" w:themeTint="F2"/>
                <w:spacing w:val="-4"/>
                <w:lang w:val="en-GB"/>
              </w:rPr>
              <w:t>Quarter-on-quarter decrease of sales in services prevailed for the most part of the year. The size of sales again dropped below the pre-crisis level.</w:t>
            </w:r>
          </w:p>
        </w:tc>
        <w:tc>
          <w:tcPr>
            <w:tcW w:w="229" w:type="dxa"/>
            <w:tcBorders>
              <w:top w:val="nil"/>
              <w:left w:val="nil"/>
              <w:bottom w:val="nil"/>
              <w:right w:val="nil"/>
            </w:tcBorders>
            <w:shd w:val="clear" w:color="auto" w:fill="auto"/>
            <w:tcMar>
              <w:left w:w="0" w:type="dxa"/>
            </w:tcMar>
          </w:tcPr>
          <w:p w14:paraId="0519C788"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49086EDE" w14:textId="2379922F" w:rsidR="0010343F" w:rsidRPr="006E725C" w:rsidRDefault="0010343F" w:rsidP="0010343F">
            <w:pPr>
              <w:rPr>
                <w:lang w:val="en-GB"/>
              </w:rPr>
            </w:pPr>
            <w:r w:rsidRPr="006E725C">
              <w:rPr>
                <w:color w:val="0D0D0D" w:themeColor="text1" w:themeTint="F2"/>
                <w:spacing w:val="-4"/>
                <w:lang w:val="en-GB"/>
              </w:rPr>
              <w:t xml:space="preserve">Demand for services was subdued throughout the whole last year. Although the potential of its revival after subsiding of the pandemics has not got completely exhausted in some segment of services </w:t>
            </w:r>
            <w:r w:rsidRPr="006E725C">
              <w:rPr>
                <w:rFonts w:cs="Arial"/>
                <w:color w:val="0D0D0D" w:themeColor="text1" w:themeTint="F2"/>
                <w:spacing w:val="-4"/>
                <w:lang w:val="en-GB"/>
              </w:rPr>
              <w:t>(e.g. in tourism) yet, more significant factor was, that for a number of areas the tendency of domestic households to restrict “non-essential” expenditures became evident. Impacts of the high growth of prices as well as the economic stagnation also hit the business sphere, which led to the heightened need for production cost optimisation (e.g., at administrative and support service activities). Sales in services</w:t>
            </w:r>
            <w:r w:rsidRPr="006E725C">
              <w:rPr>
                <w:color w:val="0D0D0D" w:themeColor="text1" w:themeTint="F2"/>
                <w:spacing w:val="-4"/>
                <w:vertAlign w:val="superscript"/>
                <w:lang w:val="en-GB"/>
              </w:rPr>
              <w:footnoteReference w:id="25"/>
            </w:r>
            <w:r w:rsidRPr="006E725C">
              <w:rPr>
                <w:rFonts w:cs="Arial"/>
                <w:color w:val="0D0D0D" w:themeColor="text1" w:themeTint="F2"/>
                <w:spacing w:val="-4"/>
                <w:lang w:val="en-GB"/>
              </w:rPr>
              <w:t xml:space="preserve"> grew by 0.3% quarter-on-quarter at the beginning of the last year, subsequently they decreased by further 1.5% in both Q2 and Q3, i.e. 1.1%. Transporting and storage had a major effect on the decrease of sales, which started already in Q4 2022 and ended in Q4 2023. Demand was however also shrinking in the majority of other services activities. Stabilisation manifested at the end of year 2023, when the quarter-on-quarter fall halted (+0.4%), nevertheless in the transportation and storage alone, the demand further weakened. Total sales in services slightly lagged behind their peak from the period of the pre-pandemic expansion (Q2 2019) for the most part of the last year, by near 1% in Q4</w:t>
            </w:r>
            <w:r w:rsidRPr="006E725C">
              <w:rPr>
                <w:rStyle w:val="Znakapoznpodarou"/>
                <w:color w:val="0D0D0D" w:themeColor="text1" w:themeTint="F2"/>
                <w:spacing w:val="-4"/>
                <w:lang w:val="en-GB"/>
              </w:rPr>
              <w:footnoteReference w:id="26"/>
            </w:r>
            <w:r w:rsidRPr="006E725C">
              <w:rPr>
                <w:rFonts w:cs="Arial"/>
                <w:color w:val="0D0D0D" w:themeColor="text1" w:themeTint="F2"/>
                <w:spacing w:val="-4"/>
                <w:lang w:val="en-GB"/>
              </w:rPr>
              <w:t>.</w:t>
            </w:r>
          </w:p>
        </w:tc>
      </w:tr>
      <w:tr w:rsidR="0010343F" w:rsidRPr="006E725C" w14:paraId="302BD928" w14:textId="77777777" w:rsidTr="00BA5125">
        <w:trPr>
          <w:trHeight w:val="170"/>
        </w:trPr>
        <w:tc>
          <w:tcPr>
            <w:tcW w:w="1814" w:type="dxa"/>
            <w:tcBorders>
              <w:top w:val="nil"/>
              <w:left w:val="nil"/>
              <w:bottom w:val="nil"/>
              <w:right w:val="nil"/>
            </w:tcBorders>
            <w:shd w:val="clear" w:color="auto" w:fill="auto"/>
            <w:tcMar>
              <w:left w:w="0" w:type="dxa"/>
            </w:tcMar>
          </w:tcPr>
          <w:p w14:paraId="76D26973" w14:textId="740C8B12" w:rsidR="0010343F" w:rsidRPr="006E725C" w:rsidRDefault="0010343F" w:rsidP="0010343F">
            <w:pPr>
              <w:pStyle w:val="Marginlie"/>
              <w:rPr>
                <w:lang w:val="en-GB"/>
              </w:rPr>
            </w:pPr>
            <w:r w:rsidRPr="006E725C">
              <w:rPr>
                <w:lang w:val="en-GB"/>
              </w:rPr>
              <w:t xml:space="preserve">Transportation and storage mainly stood behind the year-round </w:t>
            </w:r>
            <w:r w:rsidRPr="006E725C">
              <w:rPr>
                <w:lang w:val="en-GB"/>
              </w:rPr>
              <w:lastRenderedPageBreak/>
              <w:t xml:space="preserve">decrease of sales in services.  </w:t>
            </w:r>
          </w:p>
          <w:p w14:paraId="01245392" w14:textId="77777777" w:rsidR="0010343F" w:rsidRPr="006E725C" w:rsidRDefault="0010343F" w:rsidP="0010343F">
            <w:pPr>
              <w:pStyle w:val="Marginlie"/>
              <w:rPr>
                <w:lang w:val="en-GB"/>
              </w:rPr>
            </w:pPr>
          </w:p>
          <w:p w14:paraId="69A6C601" w14:textId="77777777" w:rsidR="0010343F" w:rsidRPr="006E725C" w:rsidRDefault="0010343F" w:rsidP="0010343F">
            <w:pPr>
              <w:pStyle w:val="Marginlie"/>
              <w:rPr>
                <w:lang w:val="en-GB"/>
              </w:rPr>
            </w:pPr>
          </w:p>
          <w:p w14:paraId="3E06F685" w14:textId="77777777" w:rsidR="0010343F" w:rsidRPr="006E725C" w:rsidRDefault="0010343F" w:rsidP="0010343F">
            <w:pPr>
              <w:pStyle w:val="Marginlie"/>
              <w:rPr>
                <w:lang w:val="en-GB"/>
              </w:rPr>
            </w:pPr>
          </w:p>
          <w:p w14:paraId="2C2C2FAC" w14:textId="77777777" w:rsidR="0010343F" w:rsidRPr="006E725C" w:rsidRDefault="0010343F" w:rsidP="0010343F">
            <w:pPr>
              <w:pStyle w:val="Marginlie"/>
              <w:rPr>
                <w:lang w:val="en-GB"/>
              </w:rPr>
            </w:pPr>
          </w:p>
          <w:p w14:paraId="362DADC8" w14:textId="77777777" w:rsidR="0010343F" w:rsidRPr="006E725C" w:rsidRDefault="0010343F" w:rsidP="0010343F">
            <w:pPr>
              <w:pStyle w:val="Marginlie"/>
              <w:rPr>
                <w:lang w:val="en-GB"/>
              </w:rPr>
            </w:pPr>
          </w:p>
          <w:p w14:paraId="11709266" w14:textId="0132314E" w:rsidR="0010343F" w:rsidRPr="006E725C" w:rsidRDefault="0010343F" w:rsidP="0010343F">
            <w:pPr>
              <w:pStyle w:val="Marginlie"/>
              <w:rPr>
                <w:lang w:val="en-GB"/>
              </w:rPr>
            </w:pPr>
            <w:r w:rsidRPr="006E725C">
              <w:rPr>
                <w:lang w:val="en-GB"/>
              </w:rPr>
              <w:t xml:space="preserve">Transport works of passenger transport grew; it fell in the freight transport. </w:t>
            </w:r>
          </w:p>
        </w:tc>
        <w:tc>
          <w:tcPr>
            <w:tcW w:w="229" w:type="dxa"/>
            <w:tcBorders>
              <w:top w:val="nil"/>
              <w:left w:val="nil"/>
              <w:bottom w:val="nil"/>
              <w:right w:val="nil"/>
            </w:tcBorders>
            <w:shd w:val="clear" w:color="auto" w:fill="auto"/>
            <w:tcMar>
              <w:left w:w="0" w:type="dxa"/>
            </w:tcMar>
          </w:tcPr>
          <w:p w14:paraId="26AD0422"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6846537" w14:textId="07EC9841" w:rsidR="0010343F" w:rsidRPr="006E725C" w:rsidRDefault="0010343F" w:rsidP="0010343F">
            <w:pPr>
              <w:rPr>
                <w:lang w:val="en-GB"/>
              </w:rPr>
            </w:pPr>
            <w:r w:rsidRPr="006E725C">
              <w:rPr>
                <w:rFonts w:cs="Arial"/>
                <w:color w:val="0D0D0D" w:themeColor="text1" w:themeTint="F2"/>
                <w:spacing w:val="-4"/>
                <w:lang w:val="en-GB"/>
              </w:rPr>
              <w:t xml:space="preserve">Sales in services decreased (following the swift growth in the two preceding years) by 1.6% in year 2023 </w:t>
            </w:r>
            <w:r w:rsidRPr="006E725C">
              <w:rPr>
                <w:rFonts w:cs="Arial"/>
                <w:color w:val="0D0D0D" w:themeColor="text1" w:themeTint="F2"/>
                <w:spacing w:val="-6"/>
                <w:lang w:val="en-GB"/>
              </w:rPr>
              <w:t xml:space="preserve">(they were falling since Q2 2023 year-on-year). The weak demand in the key </w:t>
            </w:r>
            <w:r w:rsidRPr="006E725C">
              <w:rPr>
                <w:rFonts w:cs="Arial"/>
                <w:color w:val="0D0D0D" w:themeColor="text1" w:themeTint="F2"/>
                <w:spacing w:val="-6"/>
                <w:lang w:val="en-GB"/>
              </w:rPr>
              <w:lastRenderedPageBreak/>
              <w:t xml:space="preserve">transportation and storage played an essential role in this result (year-round decrease of 8.4%, contribution to the development of services </w:t>
            </w:r>
            <w:r w:rsidRPr="006E725C">
              <w:rPr>
                <w:color w:val="0D0D0D" w:themeColor="text1" w:themeTint="F2"/>
                <w:spacing w:val="-6"/>
                <w:lang w:val="en-GB"/>
              </w:rPr>
              <w:t>−</w:t>
            </w:r>
            <w:r w:rsidRPr="006E725C">
              <w:rPr>
                <w:rFonts w:cs="Arial"/>
                <w:color w:val="0D0D0D" w:themeColor="text1" w:themeTint="F2"/>
                <w:spacing w:val="-6"/>
                <w:lang w:val="en-GB"/>
              </w:rPr>
              <w:t>2.6 p.p.). In that in storage (incl. the sub activities in transportation</w:t>
            </w:r>
            <w:r w:rsidRPr="006E725C">
              <w:rPr>
                <w:color w:val="0D0D0D" w:themeColor="text1" w:themeTint="F2"/>
                <w:spacing w:val="-6"/>
                <w:lang w:val="en-GB"/>
              </w:rPr>
              <w:t xml:space="preserve">), the sales slumped by record </w:t>
            </w:r>
            <w:r w:rsidRPr="006E725C">
              <w:rPr>
                <w:rFonts w:cs="Arial"/>
                <w:color w:val="0D0D0D" w:themeColor="text1" w:themeTint="F2"/>
                <w:spacing w:val="-6"/>
                <w:lang w:val="en-GB"/>
              </w:rPr>
              <w:t>11.4%</w:t>
            </w:r>
            <w:r w:rsidRPr="006E725C">
              <w:rPr>
                <w:rStyle w:val="Znakapoznpodarou"/>
                <w:color w:val="0D0D0D" w:themeColor="text1" w:themeTint="F2"/>
                <w:spacing w:val="-6"/>
                <w:lang w:val="en-GB"/>
              </w:rPr>
              <w:footnoteReference w:id="27"/>
            </w:r>
            <w:r w:rsidRPr="006E725C">
              <w:rPr>
                <w:rFonts w:cs="Arial"/>
                <w:color w:val="0D0D0D" w:themeColor="text1" w:themeTint="F2"/>
                <w:spacing w:val="-6"/>
                <w:lang w:val="en-GB"/>
              </w:rPr>
              <w:t>. Deep decrease also occurred in the land transport and transport via pipelines (</w:t>
            </w:r>
            <w:r w:rsidRPr="006E725C">
              <w:rPr>
                <w:color w:val="0D0D0D" w:themeColor="text1" w:themeTint="F2"/>
                <w:spacing w:val="-6"/>
                <w:lang w:val="en-GB"/>
              </w:rPr>
              <w:t>−</w:t>
            </w:r>
            <w:r w:rsidRPr="006E725C">
              <w:rPr>
                <w:rFonts w:cs="Arial"/>
                <w:color w:val="0D0D0D" w:themeColor="text1" w:themeTint="F2"/>
                <w:spacing w:val="-6"/>
                <w:lang w:val="en-GB"/>
              </w:rPr>
              <w:t>8.0%). Recession in industry, construction as well as trade accompanied by the fall of the international trade turnover</w:t>
            </w:r>
            <w:r w:rsidRPr="006E725C">
              <w:rPr>
                <w:rStyle w:val="Znakapoznpodarou"/>
                <w:color w:val="0D0D0D" w:themeColor="text1" w:themeTint="F2"/>
                <w:spacing w:val="-4"/>
                <w:lang w:val="en-GB"/>
              </w:rPr>
              <w:footnoteReference w:id="28"/>
            </w:r>
            <w:r w:rsidRPr="006E725C">
              <w:rPr>
                <w:rFonts w:cs="Arial"/>
                <w:color w:val="0D0D0D" w:themeColor="text1" w:themeTint="F2"/>
                <w:spacing w:val="-4"/>
                <w:lang w:val="en-GB"/>
              </w:rPr>
              <w:t xml:space="preserve"> was reflected in lower transport work of both land and rail freight transport</w:t>
            </w:r>
            <w:r w:rsidRPr="006E725C">
              <w:rPr>
                <w:rStyle w:val="Znakapoznpodarou"/>
                <w:color w:val="0D0D0D" w:themeColor="text1" w:themeTint="F2"/>
                <w:spacing w:val="-4"/>
                <w:lang w:val="en-GB"/>
              </w:rPr>
              <w:footnoteReference w:id="29"/>
            </w:r>
            <w:r w:rsidRPr="006E725C">
              <w:rPr>
                <w:rFonts w:cs="Arial"/>
                <w:color w:val="0D0D0D" w:themeColor="text1" w:themeTint="F2"/>
                <w:spacing w:val="-4"/>
                <w:lang w:val="en-GB"/>
              </w:rPr>
              <w:t>.</w:t>
            </w:r>
            <w:r w:rsidRPr="006E725C">
              <w:rPr>
                <w:rFonts w:cs="Arial"/>
                <w:color w:val="0D0D0D" w:themeColor="text1" w:themeTint="F2"/>
                <w:spacing w:val="-6"/>
                <w:lang w:val="en-GB"/>
              </w:rPr>
              <w:t xml:space="preserve"> The mild growth of the transport works of the passenger rail transport, associated with the more pronounced strengthening of the cross-border transport, but also the development of the regional transport (upgrade of railways, including new areas into the integrated transport system) had on the contrary a positive effect on the sales in land transport. Transport works of the regular public bus transportation also increased year-on-year (the same as in other types of passenger transport they however stayed behind the “pre-covid” level). Ongoing recovery of the arrival tourism supported the sales in air transportation (+5.1%). Sales in the water transportation also slightly increased. On the contrary, the postal and courier activities earned by 3.3% less year-on-year. The output lowered here partially also due to the weaker demand for sales via internet for the second time in a year</w:t>
            </w:r>
            <w:r w:rsidRPr="006E725C">
              <w:rPr>
                <w:rFonts w:cs="Arial"/>
                <w:color w:val="0D0D0D" w:themeColor="text1" w:themeTint="F2"/>
                <w:spacing w:val="-7"/>
                <w:lang w:val="en-GB"/>
              </w:rPr>
              <w:t>, it was however by nearly one eighth higher compared to year 2019.</w:t>
            </w:r>
          </w:p>
        </w:tc>
      </w:tr>
      <w:tr w:rsidR="0010343F" w:rsidRPr="006E725C" w14:paraId="15301107" w14:textId="77777777" w:rsidTr="00BA5125">
        <w:trPr>
          <w:trHeight w:val="170"/>
        </w:trPr>
        <w:tc>
          <w:tcPr>
            <w:tcW w:w="1814" w:type="dxa"/>
            <w:tcBorders>
              <w:top w:val="nil"/>
              <w:left w:val="nil"/>
              <w:bottom w:val="nil"/>
              <w:right w:val="nil"/>
            </w:tcBorders>
            <w:shd w:val="clear" w:color="auto" w:fill="auto"/>
            <w:tcMar>
              <w:left w:w="0" w:type="dxa"/>
            </w:tcMar>
          </w:tcPr>
          <w:p w14:paraId="1D3695C5" w14:textId="2ED39461" w:rsidR="0010343F" w:rsidRPr="006E725C" w:rsidRDefault="0010343F" w:rsidP="0010343F">
            <w:pPr>
              <w:pStyle w:val="Marginlie"/>
              <w:rPr>
                <w:color w:val="0D0D0D" w:themeColor="text1" w:themeTint="F2"/>
                <w:lang w:val="en-GB"/>
              </w:rPr>
            </w:pPr>
            <w:r w:rsidRPr="006E725C">
              <w:rPr>
                <w:color w:val="0D0D0D" w:themeColor="text1" w:themeTint="F2"/>
                <w:lang w:val="en-GB"/>
              </w:rPr>
              <w:lastRenderedPageBreak/>
              <w:t xml:space="preserve">Slump of sales of employment placement agencies continued, the cyclical downturn also occurred in the majority of other business services. </w:t>
            </w:r>
          </w:p>
          <w:p w14:paraId="521C6FEC" w14:textId="77777777" w:rsidR="0010343F" w:rsidRPr="006E725C" w:rsidRDefault="0010343F" w:rsidP="0010343F">
            <w:pPr>
              <w:pStyle w:val="Marginlie"/>
              <w:rPr>
                <w:lang w:val="en-GB"/>
              </w:rPr>
            </w:pPr>
            <w:r w:rsidRPr="006E725C">
              <w:rPr>
                <w:lang w:val="en-GB"/>
              </w:rPr>
              <w:t xml:space="preserve"> </w:t>
            </w:r>
          </w:p>
        </w:tc>
        <w:tc>
          <w:tcPr>
            <w:tcW w:w="229" w:type="dxa"/>
            <w:tcBorders>
              <w:top w:val="nil"/>
              <w:left w:val="nil"/>
              <w:bottom w:val="nil"/>
              <w:right w:val="nil"/>
            </w:tcBorders>
            <w:shd w:val="clear" w:color="auto" w:fill="auto"/>
            <w:tcMar>
              <w:left w:w="0" w:type="dxa"/>
            </w:tcMar>
          </w:tcPr>
          <w:p w14:paraId="27FE83E8"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A172695" w14:textId="174CB38A" w:rsidR="0010343F" w:rsidRPr="006E725C" w:rsidRDefault="0010343F" w:rsidP="0010343F">
            <w:pPr>
              <w:spacing w:after="200"/>
              <w:rPr>
                <w:color w:val="0D0D0D" w:themeColor="text1" w:themeTint="F2"/>
                <w:spacing w:val="-4"/>
                <w:lang w:val="en-GB"/>
              </w:rPr>
            </w:pPr>
            <w:r w:rsidRPr="006E725C">
              <w:rPr>
                <w:color w:val="0D0D0D" w:themeColor="text1" w:themeTint="F2"/>
                <w:spacing w:val="-4"/>
                <w:lang w:val="en-GB"/>
              </w:rPr>
              <w:t xml:space="preserve">Sales very mildly grew in the administrative and support service activities for the last year (+0.8%). Travel agencies whose sales expanded by even 16% (and for the first time without difficulty overtook the level from year 2019) for the last year, played a key role here and thus offset the falling sales in other sub-branches </w:t>
            </w:r>
            <w:r w:rsidRPr="006E725C">
              <w:rPr>
                <w:rFonts w:cs="Arial"/>
                <w:color w:val="0D0D0D" w:themeColor="text1" w:themeTint="F2"/>
                <w:spacing w:val="-2"/>
                <w:lang w:val="en-GB"/>
              </w:rPr>
              <w:t xml:space="preserve">(primarily tied to the demand on the part of businesses). There mainly the lower output of the employment placement agencies was evident </w:t>
            </w:r>
            <w:r w:rsidRPr="006E725C">
              <w:rPr>
                <w:color w:val="0D0D0D" w:themeColor="text1" w:themeTint="F2"/>
                <w:spacing w:val="-4"/>
                <w:lang w:val="en-GB"/>
              </w:rPr>
              <w:t>(</w:t>
            </w:r>
            <w:r w:rsidRPr="006E725C">
              <w:rPr>
                <w:color w:val="0D0D0D" w:themeColor="text1" w:themeTint="F2"/>
                <w:spacing w:val="-6"/>
                <w:lang w:val="en-GB"/>
              </w:rPr>
              <w:t>−</w:t>
            </w:r>
            <w:r w:rsidRPr="006E725C">
              <w:rPr>
                <w:color w:val="0D0D0D" w:themeColor="text1" w:themeTint="F2"/>
                <w:spacing w:val="-4"/>
                <w:lang w:val="en-GB"/>
              </w:rPr>
              <w:t xml:space="preserve">13.8%, </w:t>
            </w:r>
            <w:r w:rsidRPr="006E725C">
              <w:rPr>
                <w:color w:val="0D0D0D" w:themeColor="text1" w:themeTint="F2"/>
                <w:spacing w:val="-2"/>
                <w:lang w:val="en-GB"/>
              </w:rPr>
              <w:t>−22.4% for two years)</w:t>
            </w:r>
            <w:r w:rsidRPr="006E725C">
              <w:rPr>
                <w:rStyle w:val="Znakapoznpodarou"/>
                <w:color w:val="0D0D0D" w:themeColor="text1" w:themeTint="F2"/>
                <w:spacing w:val="-2"/>
                <w:lang w:val="en-GB"/>
              </w:rPr>
              <w:footnoteReference w:id="30"/>
            </w:r>
            <w:r w:rsidRPr="006E725C">
              <w:rPr>
                <w:color w:val="0D0D0D" w:themeColor="text1" w:themeTint="F2"/>
                <w:spacing w:val="-2"/>
                <w:lang w:val="en-GB"/>
              </w:rPr>
              <w:t xml:space="preserve">. Milder cyclical downturn of demand then occurred in the area of rental and leasing activities </w:t>
            </w:r>
            <w:r w:rsidRPr="006E725C">
              <w:rPr>
                <w:color w:val="0D0D0D" w:themeColor="text1" w:themeTint="F2"/>
                <w:spacing w:val="-4"/>
                <w:lang w:val="en-GB"/>
              </w:rPr>
              <w:t>(</w:t>
            </w:r>
            <w:r w:rsidRPr="006E725C">
              <w:rPr>
                <w:color w:val="0D0D0D" w:themeColor="text1" w:themeTint="F2"/>
                <w:spacing w:val="-6"/>
                <w:lang w:val="en-GB"/>
              </w:rPr>
              <w:t>−</w:t>
            </w:r>
            <w:r w:rsidRPr="006E725C">
              <w:rPr>
                <w:color w:val="0D0D0D" w:themeColor="text1" w:themeTint="F2"/>
                <w:spacing w:val="-4"/>
                <w:lang w:val="en-GB"/>
              </w:rPr>
              <w:t xml:space="preserve">3.5%), where the sales shrank the most for machinery, equipment and trucks, but also goods for personal need and mainly for households. Pressure to reduce costs as well as the advancement of digitization resulted in weaker demand for cleaning activities or for security and investigation activities. </w:t>
            </w:r>
          </w:p>
        </w:tc>
      </w:tr>
      <w:tr w:rsidR="0010343F" w:rsidRPr="006E725C" w14:paraId="3C73F299" w14:textId="77777777" w:rsidTr="00BA5125">
        <w:trPr>
          <w:trHeight w:val="170"/>
        </w:trPr>
        <w:tc>
          <w:tcPr>
            <w:tcW w:w="1814" w:type="dxa"/>
            <w:tcBorders>
              <w:top w:val="nil"/>
              <w:left w:val="nil"/>
              <w:bottom w:val="nil"/>
              <w:right w:val="nil"/>
            </w:tcBorders>
            <w:shd w:val="clear" w:color="auto" w:fill="auto"/>
            <w:tcMar>
              <w:left w:w="0" w:type="dxa"/>
            </w:tcMar>
          </w:tcPr>
          <w:p w14:paraId="7009E66C" w14:textId="4D52021A" w:rsidR="0010343F" w:rsidRPr="006E725C" w:rsidRDefault="0010343F" w:rsidP="0010343F">
            <w:pPr>
              <w:pStyle w:val="Marginlie"/>
              <w:rPr>
                <w:lang w:val="en-GB"/>
              </w:rPr>
            </w:pPr>
            <w:r w:rsidRPr="006E725C">
              <w:rPr>
                <w:lang w:val="en-GB"/>
              </w:rPr>
              <w:t>Sales further grew in accommodation last year; the yearly demand in the domestic tourism still has not fully attained the level from year 2019.</w:t>
            </w:r>
          </w:p>
        </w:tc>
        <w:tc>
          <w:tcPr>
            <w:tcW w:w="229" w:type="dxa"/>
            <w:tcBorders>
              <w:top w:val="nil"/>
              <w:left w:val="nil"/>
              <w:bottom w:val="nil"/>
              <w:right w:val="nil"/>
            </w:tcBorders>
            <w:shd w:val="clear" w:color="auto" w:fill="auto"/>
            <w:tcMar>
              <w:left w:w="0" w:type="dxa"/>
            </w:tcMar>
          </w:tcPr>
          <w:p w14:paraId="46D9B5DE"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2922F093" w14:textId="696EAE47" w:rsidR="0010343F" w:rsidRPr="006E725C" w:rsidRDefault="0010343F" w:rsidP="0010343F">
            <w:pPr>
              <w:spacing w:after="200"/>
              <w:rPr>
                <w:rFonts w:cs="Arial"/>
                <w:color w:val="0D0D0D" w:themeColor="text1" w:themeTint="F2"/>
                <w:szCs w:val="20"/>
                <w:lang w:val="en-GB"/>
              </w:rPr>
            </w:pPr>
            <w:r w:rsidRPr="006E725C">
              <w:rPr>
                <w:rFonts w:cs="Arial"/>
                <w:color w:val="0D0D0D" w:themeColor="text1" w:themeTint="F2"/>
                <w:szCs w:val="20"/>
                <w:lang w:val="en-GB"/>
              </w:rPr>
              <w:t xml:space="preserve">Developing tourism was also mirrored in the performance of accommodation, food service and restaurants, where the sales increased by 2.5% last year. Similarly, to year </w:t>
            </w:r>
            <w:r w:rsidRPr="006E725C">
              <w:rPr>
                <w:color w:val="0D0D0D" w:themeColor="text1" w:themeTint="F2"/>
                <w:spacing w:val="-6"/>
                <w:lang w:val="en-GB"/>
              </w:rPr>
              <w:t>2022, the demand for accommodation (+3.0%), where it benefited from the more frequent arrivals of foreign guests also grew faster last year. Mainly thanks to them, the total demand in domestic tourism dynamically grew for the second year in a row. The year-round number of all overnight stays in mass accommodation facilities in the CR however still has not fully restored the record level from year 2019 even last year (by 1.8%, in that for non-residents it lagged by even 14%)</w:t>
            </w:r>
            <w:r w:rsidRPr="006E725C">
              <w:rPr>
                <w:rStyle w:val="Znakapoznpodarou"/>
                <w:color w:val="0D0D0D" w:themeColor="text1" w:themeTint="F2"/>
                <w:spacing w:val="-6"/>
                <w:lang w:val="en-GB"/>
              </w:rPr>
              <w:footnoteReference w:id="31"/>
            </w:r>
            <w:r w:rsidRPr="006E725C">
              <w:rPr>
                <w:color w:val="0D0D0D" w:themeColor="text1" w:themeTint="F2"/>
                <w:spacing w:val="-6"/>
                <w:lang w:val="en-GB"/>
              </w:rPr>
              <w:t xml:space="preserve">, partially also due to the shortening length of stays. </w:t>
            </w:r>
            <w:r w:rsidRPr="006E725C">
              <w:rPr>
                <w:color w:val="0D0D0D" w:themeColor="text1" w:themeTint="F2"/>
                <w:spacing w:val="-4"/>
                <w:lang w:val="en-GB"/>
              </w:rPr>
              <w:t>Segment food service and restaurants was more affected by the still weakening purchasing power of domestic households and sales strengthened only by 2.3% year-on-year here last year.</w:t>
            </w:r>
          </w:p>
        </w:tc>
      </w:tr>
      <w:tr w:rsidR="0010343F" w:rsidRPr="006E725C" w14:paraId="2DCE3E66" w14:textId="77777777" w:rsidTr="00BA5125">
        <w:trPr>
          <w:trHeight w:val="170"/>
        </w:trPr>
        <w:tc>
          <w:tcPr>
            <w:tcW w:w="1814" w:type="dxa"/>
            <w:tcBorders>
              <w:top w:val="nil"/>
              <w:left w:val="nil"/>
              <w:bottom w:val="nil"/>
              <w:right w:val="nil"/>
            </w:tcBorders>
            <w:shd w:val="clear" w:color="auto" w:fill="auto"/>
            <w:tcMar>
              <w:left w:w="0" w:type="dxa"/>
            </w:tcMar>
          </w:tcPr>
          <w:p w14:paraId="472E9E17"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6273AF45"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0B17DEE2" w14:textId="56987243" w:rsidR="0010343F" w:rsidRPr="008054A3" w:rsidRDefault="0010343F" w:rsidP="0010343F">
            <w:pPr>
              <w:spacing w:after="40"/>
              <w:rPr>
                <w:b/>
                <w:spacing w:val="-2"/>
                <w:lang w:val="en-GB"/>
              </w:rPr>
            </w:pPr>
            <w:r w:rsidRPr="008054A3">
              <w:rPr>
                <w:b/>
                <w:spacing w:val="-2"/>
                <w:lang w:val="en-GB"/>
              </w:rPr>
              <w:t>Chart 7 Contributions of branches to year-on-year change of sales in services</w:t>
            </w:r>
            <w:r w:rsidRPr="008054A3">
              <w:rPr>
                <w:b/>
                <w:bCs/>
                <w:spacing w:val="-2"/>
                <w:lang w:val="en-GB"/>
              </w:rPr>
              <w:t>*</w:t>
            </w:r>
            <w:r w:rsidRPr="008054A3">
              <w:rPr>
                <w:b/>
                <w:spacing w:val="-2"/>
                <w:lang w:val="en-GB"/>
              </w:rPr>
              <w:br/>
            </w:r>
            <w:r w:rsidRPr="008054A3">
              <w:rPr>
                <w:spacing w:val="-2"/>
                <w:lang w:val="en-GB"/>
              </w:rPr>
              <w:t>(real, in p. p),</w:t>
            </w:r>
            <w:r w:rsidRPr="008054A3">
              <w:rPr>
                <w:b/>
                <w:spacing w:val="-2"/>
                <w:lang w:val="en-GB"/>
              </w:rPr>
              <w:t xml:space="preserve"> total sales in services</w:t>
            </w:r>
            <w:r w:rsidRPr="008054A3">
              <w:rPr>
                <w:b/>
                <w:bCs/>
                <w:spacing w:val="-2"/>
                <w:lang w:val="en-GB"/>
              </w:rPr>
              <w:t xml:space="preserve">* </w:t>
            </w:r>
            <w:r w:rsidRPr="008054A3">
              <w:rPr>
                <w:spacing w:val="-2"/>
                <w:lang w:val="en-GB"/>
              </w:rPr>
              <w:t>(2021=100, right axis),</w:t>
            </w:r>
            <w:r w:rsidRPr="008054A3">
              <w:rPr>
                <w:b/>
                <w:spacing w:val="-2"/>
                <w:lang w:val="en-GB"/>
              </w:rPr>
              <w:t xml:space="preserve"> balance of business confidence indicator in services</w:t>
            </w:r>
            <w:r w:rsidRPr="008054A3">
              <w:rPr>
                <w:b/>
                <w:bCs/>
                <w:spacing w:val="-2"/>
                <w:lang w:val="en-GB"/>
              </w:rPr>
              <w:t>**</w:t>
            </w:r>
            <w:r w:rsidRPr="008054A3">
              <w:rPr>
                <w:b/>
                <w:spacing w:val="-2"/>
                <w:lang w:val="en-GB"/>
              </w:rPr>
              <w:t xml:space="preserve"> </w:t>
            </w:r>
            <w:r w:rsidRPr="008054A3">
              <w:rPr>
                <w:spacing w:val="-2"/>
                <w:lang w:val="en-GB"/>
              </w:rPr>
              <w:t>(in p. p., right axis)</w:t>
            </w:r>
            <w:r w:rsidRPr="008054A3">
              <w:rPr>
                <w:b/>
                <w:bCs/>
                <w:spacing w:val="-2"/>
                <w:lang w:val="en-GB"/>
              </w:rPr>
              <w:t xml:space="preserve">, </w:t>
            </w:r>
            <w:r w:rsidRPr="008054A3">
              <w:rPr>
                <w:b/>
                <w:spacing w:val="-2"/>
                <w:lang w:val="en-GB"/>
              </w:rPr>
              <w:t>barriers to growth</w:t>
            </w:r>
            <w:r w:rsidRPr="008054A3">
              <w:rPr>
                <w:b/>
                <w:bCs/>
                <w:spacing w:val="-2"/>
                <w:lang w:val="en-GB"/>
              </w:rPr>
              <w:t>**</w:t>
            </w:r>
            <w:r w:rsidRPr="008054A3">
              <w:rPr>
                <w:b/>
                <w:spacing w:val="-2"/>
                <w:lang w:val="en-GB"/>
              </w:rPr>
              <w:t xml:space="preserve"> </w:t>
            </w:r>
            <w:r w:rsidRPr="008054A3">
              <w:rPr>
                <w:spacing w:val="-2"/>
                <w:lang w:val="en-GB"/>
              </w:rPr>
              <w:t xml:space="preserve">(in %, right axis) </w:t>
            </w:r>
          </w:p>
        </w:tc>
      </w:tr>
      <w:tr w:rsidR="0010343F" w:rsidRPr="006E725C" w14:paraId="75B8C91A" w14:textId="77777777" w:rsidTr="008054A3">
        <w:tblPrEx>
          <w:tblCellMar>
            <w:left w:w="70" w:type="dxa"/>
            <w:right w:w="70" w:type="dxa"/>
          </w:tblCellMar>
        </w:tblPrEx>
        <w:trPr>
          <w:trHeight w:val="170"/>
        </w:trPr>
        <w:tc>
          <w:tcPr>
            <w:tcW w:w="1814" w:type="dxa"/>
            <w:tcBorders>
              <w:top w:val="nil"/>
              <w:left w:val="nil"/>
              <w:bottom w:val="nil"/>
              <w:right w:val="nil"/>
            </w:tcBorders>
            <w:shd w:val="clear" w:color="auto" w:fill="auto"/>
          </w:tcPr>
          <w:p w14:paraId="5C3C8EAB"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Pr>
          <w:p w14:paraId="1A3A1821"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41BC73F1" w14:textId="1A69E25D" w:rsidR="0010343F" w:rsidRPr="006E725C" w:rsidRDefault="008054A3" w:rsidP="0010343F">
            <w:pPr>
              <w:spacing w:after="0"/>
              <w:rPr>
                <w:rFonts w:cs="Arial"/>
                <w:sz w:val="14"/>
                <w:szCs w:val="14"/>
                <w:lang w:val="en-GB"/>
              </w:rPr>
            </w:pPr>
            <w:r>
              <w:rPr>
                <w:noProof/>
              </w:rPr>
              <w:drawing>
                <wp:inline distT="0" distB="0" distL="0" distR="0" wp14:anchorId="6B1DC474" wp14:editId="269ACD1E">
                  <wp:extent cx="4734560" cy="3453130"/>
                  <wp:effectExtent l="0" t="0" r="889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0343F" w:rsidRPr="006E725C" w14:paraId="26BDED57" w14:textId="77777777" w:rsidTr="00BA5125">
        <w:trPr>
          <w:trHeight w:val="170"/>
        </w:trPr>
        <w:tc>
          <w:tcPr>
            <w:tcW w:w="1814" w:type="dxa"/>
            <w:tcBorders>
              <w:top w:val="nil"/>
              <w:left w:val="nil"/>
              <w:bottom w:val="nil"/>
              <w:right w:val="nil"/>
            </w:tcBorders>
            <w:shd w:val="clear" w:color="auto" w:fill="auto"/>
            <w:tcMar>
              <w:left w:w="0" w:type="dxa"/>
            </w:tcMar>
          </w:tcPr>
          <w:p w14:paraId="4D07E182"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426303D4"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2BFC611" w14:textId="676B129B" w:rsidR="0010343F" w:rsidRPr="008054A3" w:rsidRDefault="006A5F27" w:rsidP="0010343F">
            <w:pPr>
              <w:spacing w:after="0" w:line="240" w:lineRule="auto"/>
              <w:rPr>
                <w:rFonts w:cs="Arial"/>
                <w:spacing w:val="-6"/>
                <w:sz w:val="14"/>
                <w:szCs w:val="14"/>
                <w:lang w:val="en-GB"/>
              </w:rPr>
            </w:pPr>
            <w:r>
              <w:rPr>
                <w:rFonts w:cs="Arial"/>
                <w:spacing w:val="-6"/>
                <w:sz w:val="14"/>
                <w:szCs w:val="14"/>
                <w:lang w:val="en-GB"/>
              </w:rPr>
              <w:t>Note: A</w:t>
            </w:r>
            <w:r w:rsidR="0010343F" w:rsidRPr="008054A3">
              <w:rPr>
                <w:rFonts w:cs="Arial"/>
                <w:spacing w:val="-6"/>
                <w:sz w:val="14"/>
                <w:szCs w:val="14"/>
                <w:lang w:val="en-GB"/>
              </w:rPr>
              <w:t xml:space="preserve">ll data are seasonally adjusted, only contributions of sub-branches to the growth of sales are adjusted solely for calendar effects. </w:t>
            </w:r>
          </w:p>
          <w:p w14:paraId="721E5B35" w14:textId="77777777" w:rsidR="0010343F" w:rsidRPr="006E725C" w:rsidRDefault="0010343F" w:rsidP="0010343F">
            <w:pPr>
              <w:spacing w:after="0" w:line="240" w:lineRule="auto"/>
              <w:rPr>
                <w:rFonts w:cs="Arial"/>
                <w:sz w:val="14"/>
                <w:szCs w:val="14"/>
                <w:lang w:val="en-GB"/>
              </w:rPr>
            </w:pPr>
            <w:r w:rsidRPr="006E725C">
              <w:rPr>
                <w:rFonts w:cs="Arial"/>
                <w:sz w:val="14"/>
                <w:szCs w:val="14"/>
                <w:lang w:val="en-GB"/>
              </w:rPr>
              <w:t xml:space="preserve">*Without branches trade, </w:t>
            </w:r>
            <w:r w:rsidRPr="006E725C">
              <w:rPr>
                <w:color w:val="0D0D0D" w:themeColor="text1" w:themeTint="F2"/>
                <w:sz w:val="14"/>
                <w:szCs w:val="14"/>
                <w:lang w:val="en-GB"/>
              </w:rPr>
              <w:t xml:space="preserve">financial activities, insurance activities, science, research and public services. </w:t>
            </w:r>
          </w:p>
          <w:p w14:paraId="1CCD73D9" w14:textId="77777777" w:rsidR="008054A3" w:rsidRDefault="0010343F" w:rsidP="008054A3">
            <w:pPr>
              <w:spacing w:after="0" w:line="240" w:lineRule="auto"/>
              <w:rPr>
                <w:rFonts w:cs="Arial"/>
                <w:sz w:val="14"/>
                <w:szCs w:val="14"/>
                <w:lang w:val="en-GB"/>
              </w:rPr>
            </w:pPr>
            <w:r w:rsidRPr="006E725C">
              <w:rPr>
                <w:rFonts w:cs="Arial"/>
                <w:sz w:val="14"/>
                <w:szCs w:val="14"/>
                <w:lang w:val="en-GB"/>
              </w:rPr>
              <w:t>.**Also involves the financial sector. Balance of business confidence as well as the barrier to growth express the level in the first and in the second month of the given quarter (growth barriers and balance of confidence, respectively</w:t>
            </w:r>
            <w:r w:rsidRPr="006E725C">
              <w:rPr>
                <w:rFonts w:cs="Arial"/>
                <w:spacing w:val="-2"/>
                <w:sz w:val="14"/>
                <w:szCs w:val="14"/>
                <w:lang w:val="en-GB"/>
              </w:rPr>
              <w:t>). Businesses could have indicated more key barriers simultaneously</w:t>
            </w:r>
            <w:r w:rsidR="008054A3">
              <w:rPr>
                <w:rFonts w:cs="Arial"/>
                <w:sz w:val="14"/>
                <w:szCs w:val="14"/>
                <w:lang w:val="en-GB"/>
              </w:rPr>
              <w:t xml:space="preserve">. </w:t>
            </w:r>
          </w:p>
          <w:p w14:paraId="4599577B" w14:textId="6A74C599" w:rsidR="0010343F" w:rsidRPr="006E725C" w:rsidRDefault="008054A3" w:rsidP="008054A3">
            <w:pPr>
              <w:spacing w:after="200" w:line="240" w:lineRule="auto"/>
              <w:rPr>
                <w:rFonts w:cs="Arial"/>
                <w:sz w:val="14"/>
                <w:szCs w:val="14"/>
                <w:lang w:val="en-GB"/>
              </w:rPr>
            </w:pPr>
            <w:r>
              <w:rPr>
                <w:rFonts w:cs="Arial"/>
                <w:sz w:val="14"/>
                <w:szCs w:val="14"/>
                <w:lang w:val="en-GB"/>
              </w:rPr>
              <w:t>Source: CZSO, Eurostat</w:t>
            </w:r>
          </w:p>
        </w:tc>
      </w:tr>
      <w:tr w:rsidR="0010343F" w:rsidRPr="006E725C" w14:paraId="4FF42E6F" w14:textId="77777777" w:rsidTr="00BA5125">
        <w:trPr>
          <w:trHeight w:val="170"/>
        </w:trPr>
        <w:tc>
          <w:tcPr>
            <w:tcW w:w="1814" w:type="dxa"/>
            <w:tcBorders>
              <w:top w:val="nil"/>
              <w:left w:val="nil"/>
              <w:bottom w:val="nil"/>
              <w:right w:val="nil"/>
            </w:tcBorders>
            <w:shd w:val="clear" w:color="auto" w:fill="auto"/>
            <w:tcMar>
              <w:left w:w="0" w:type="dxa"/>
            </w:tcMar>
          </w:tcPr>
          <w:p w14:paraId="5F46EC69" w14:textId="51FC5A0C" w:rsidR="0010343F" w:rsidRPr="006E725C" w:rsidRDefault="0010343F" w:rsidP="0010343F">
            <w:pPr>
              <w:pStyle w:val="Marginlie"/>
              <w:rPr>
                <w:color w:val="0D0D0D" w:themeColor="text1" w:themeTint="F2"/>
                <w:spacing w:val="-6"/>
                <w:lang w:val="en-GB"/>
              </w:rPr>
            </w:pPr>
            <w:r w:rsidRPr="006E725C">
              <w:rPr>
                <w:color w:val="0D0D0D" w:themeColor="text1" w:themeTint="F2"/>
                <w:spacing w:val="-6"/>
                <w:lang w:val="en-GB"/>
              </w:rPr>
              <w:t xml:space="preserve">Mainly architectural and engineering services still drove the rising demand for professional, technical and scientific activities. </w:t>
            </w:r>
          </w:p>
        </w:tc>
        <w:tc>
          <w:tcPr>
            <w:tcW w:w="229" w:type="dxa"/>
            <w:tcBorders>
              <w:top w:val="nil"/>
              <w:left w:val="nil"/>
              <w:bottom w:val="nil"/>
              <w:right w:val="nil"/>
            </w:tcBorders>
            <w:shd w:val="clear" w:color="auto" w:fill="auto"/>
            <w:tcMar>
              <w:left w:w="0" w:type="dxa"/>
            </w:tcMar>
          </w:tcPr>
          <w:p w14:paraId="3EE84EC3"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12267C7" w14:textId="64721252" w:rsidR="0010343F" w:rsidRPr="006E725C" w:rsidRDefault="0010343F" w:rsidP="0010343F">
            <w:pPr>
              <w:spacing w:after="200"/>
              <w:rPr>
                <w:rFonts w:cs="Arial"/>
                <w:color w:val="0D0D0D" w:themeColor="text1" w:themeTint="F2"/>
                <w:spacing w:val="-4"/>
                <w:lang w:val="en-GB"/>
              </w:rPr>
            </w:pPr>
            <w:r w:rsidRPr="006E725C">
              <w:rPr>
                <w:rFonts w:cs="Arial"/>
                <w:color w:val="0D0D0D" w:themeColor="text1" w:themeTint="F2"/>
                <w:spacing w:val="-4"/>
                <w:lang w:val="en-GB"/>
              </w:rPr>
              <w:t xml:space="preserve">Even though the year-on-year growth of sales in professional, scientific and technical activities slowed down last year for the second year </w:t>
            </w:r>
            <w:r w:rsidRPr="006E725C">
              <w:rPr>
                <w:color w:val="0D0D0D" w:themeColor="text1" w:themeTint="F2"/>
                <w:spacing w:val="-4"/>
                <w:lang w:val="en-GB"/>
              </w:rPr>
              <w:t>(to 3.1%), it worked the most against the decrease of total sales in services among all branches (+0.7 p.p.). Despite difficulties in construction, the architectural and engineering activities contributed the most to the growth of sales of the whole branch (with growth of 2.8%). Other more sophisticated services for businesses also registered a moderate growth of sales (legal and accounting activities, activities of head offices and management consultancy activities). Following weaker year 2022, demand in the area of advertising slightly revived last year (+4%), in contrast the decrease in the area of market research and public opinion polling continued (−4%). Other professional, scientific and technical activities</w:t>
            </w:r>
            <w:r w:rsidRPr="006E725C">
              <w:rPr>
                <w:rStyle w:val="Znakapoznpodarou"/>
                <w:spacing w:val="-4"/>
                <w:lang w:val="en-GB"/>
              </w:rPr>
              <w:footnoteReference w:id="32"/>
            </w:r>
            <w:r w:rsidRPr="006E725C">
              <w:rPr>
                <w:spacing w:val="-4"/>
                <w:lang w:val="en-GB"/>
              </w:rPr>
              <w:t xml:space="preserve"> (</w:t>
            </w:r>
            <w:r w:rsidRPr="006E725C">
              <w:rPr>
                <w:color w:val="0D0D0D" w:themeColor="text1" w:themeTint="F2"/>
                <w:spacing w:val="-4"/>
                <w:lang w:val="en-GB"/>
              </w:rPr>
              <w:t>+1.</w:t>
            </w:r>
            <w:r w:rsidRPr="006E725C">
              <w:rPr>
                <w:spacing w:val="-4"/>
                <w:lang w:val="en-GB"/>
              </w:rPr>
              <w:t xml:space="preserve">5%) recorded a very mild growth of sales last year, nevertheless they lagged behind the year 2019 by 5.8%. </w:t>
            </w:r>
          </w:p>
        </w:tc>
      </w:tr>
      <w:tr w:rsidR="0010343F" w:rsidRPr="006E725C" w14:paraId="7FEB4E1E" w14:textId="77777777" w:rsidTr="00BA5125">
        <w:trPr>
          <w:trHeight w:val="170"/>
        </w:trPr>
        <w:tc>
          <w:tcPr>
            <w:tcW w:w="1814" w:type="dxa"/>
            <w:tcBorders>
              <w:top w:val="nil"/>
              <w:left w:val="nil"/>
              <w:bottom w:val="nil"/>
              <w:right w:val="nil"/>
            </w:tcBorders>
            <w:shd w:val="clear" w:color="auto" w:fill="auto"/>
            <w:tcMar>
              <w:left w:w="0" w:type="dxa"/>
            </w:tcMar>
          </w:tcPr>
          <w:p w14:paraId="65A63CF3" w14:textId="1C9988BB" w:rsidR="0010343F" w:rsidRPr="006E725C" w:rsidRDefault="0010343F" w:rsidP="0010343F">
            <w:pPr>
              <w:pStyle w:val="Marginlie"/>
              <w:rPr>
                <w:color w:val="0D0D0D" w:themeColor="text1" w:themeTint="F2"/>
                <w:lang w:val="en-GB"/>
              </w:rPr>
            </w:pPr>
            <w:r w:rsidRPr="006E725C">
              <w:rPr>
                <w:color w:val="0D0D0D" w:themeColor="text1" w:themeTint="F2"/>
                <w:spacing w:val="-6"/>
                <w:lang w:val="en-GB"/>
              </w:rPr>
              <w:t xml:space="preserve">Sales growth in the long time prospering information and communication halted. </w:t>
            </w:r>
          </w:p>
          <w:p w14:paraId="357D344F" w14:textId="77777777" w:rsidR="0010343F" w:rsidRPr="006E725C" w:rsidRDefault="0010343F" w:rsidP="0010343F">
            <w:pPr>
              <w:pStyle w:val="Marginlie"/>
              <w:rPr>
                <w:color w:val="0D0D0D" w:themeColor="text1" w:themeTint="F2"/>
                <w:lang w:val="en-GB"/>
              </w:rPr>
            </w:pPr>
          </w:p>
        </w:tc>
        <w:tc>
          <w:tcPr>
            <w:tcW w:w="229" w:type="dxa"/>
            <w:tcBorders>
              <w:top w:val="nil"/>
              <w:left w:val="nil"/>
              <w:bottom w:val="nil"/>
              <w:right w:val="nil"/>
            </w:tcBorders>
            <w:shd w:val="clear" w:color="auto" w:fill="auto"/>
            <w:tcMar>
              <w:left w:w="0" w:type="dxa"/>
            </w:tcMar>
          </w:tcPr>
          <w:p w14:paraId="1F4C821C"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5528239E" w14:textId="59AD84D7" w:rsidR="0010343F" w:rsidRPr="006E725C" w:rsidRDefault="0010343F" w:rsidP="0010343F">
            <w:pPr>
              <w:spacing w:after="200"/>
              <w:rPr>
                <w:rFonts w:cs="Arial"/>
                <w:color w:val="0D0D0D" w:themeColor="text1" w:themeTint="F2"/>
                <w:spacing w:val="-6"/>
                <w:lang w:val="en-GB"/>
              </w:rPr>
            </w:pPr>
            <w:r w:rsidRPr="006E725C">
              <w:rPr>
                <w:rFonts w:cs="Arial"/>
                <w:color w:val="0D0D0D" w:themeColor="text1" w:themeTint="F2"/>
                <w:spacing w:val="-6"/>
                <w:lang w:val="en-GB"/>
              </w:rPr>
              <w:t>Sales lowered by 1.2% year-on-year in the traditionally dynamic information and communication last year (the most since year 2</w:t>
            </w:r>
            <w:r w:rsidRPr="006E725C">
              <w:rPr>
                <w:rFonts w:cs="Arial"/>
                <w:color w:val="0D0D0D" w:themeColor="text1" w:themeTint="F2"/>
                <w:spacing w:val="-2"/>
                <w:lang w:val="en-GB"/>
              </w:rPr>
              <w:t>009). Especially lower sales for publishing activities contributed to the growth (</w:t>
            </w:r>
            <w:r w:rsidRPr="006E725C">
              <w:rPr>
                <w:color w:val="0D0D0D" w:themeColor="text1" w:themeTint="F2"/>
                <w:spacing w:val="-2"/>
                <w:lang w:val="en-GB"/>
              </w:rPr>
              <w:t>−</w:t>
            </w:r>
            <w:r w:rsidRPr="006E725C">
              <w:rPr>
                <w:rFonts w:cs="Arial"/>
                <w:color w:val="0D0D0D" w:themeColor="text1" w:themeTint="F2"/>
                <w:spacing w:val="-2"/>
                <w:lang w:val="en-GB"/>
              </w:rPr>
              <w:t>5.0%),</w:t>
            </w:r>
            <w:r w:rsidRPr="006E725C">
              <w:rPr>
                <w:rFonts w:cs="Arial"/>
                <w:color w:val="0D0D0D" w:themeColor="text1" w:themeTint="F2"/>
                <w:spacing w:val="-6"/>
                <w:lang w:val="en-GB"/>
              </w:rPr>
              <w:t xml:space="preserve"> however the performance of the so-called motion picture and music industries dropped the most (</w:t>
            </w:r>
            <w:r w:rsidRPr="006E725C">
              <w:rPr>
                <w:color w:val="0D0D0D" w:themeColor="text1" w:themeTint="F2"/>
                <w:spacing w:val="-2"/>
                <w:lang w:val="en-GB"/>
              </w:rPr>
              <w:t>−</w:t>
            </w:r>
            <w:r w:rsidRPr="006E725C">
              <w:rPr>
                <w:rFonts w:cs="Arial"/>
                <w:color w:val="0D0D0D" w:themeColor="text1" w:themeTint="F2"/>
                <w:spacing w:val="-6"/>
                <w:lang w:val="en-GB"/>
              </w:rPr>
              <w:t>9.4%)</w:t>
            </w:r>
            <w:r w:rsidRPr="006E725C">
              <w:rPr>
                <w:rStyle w:val="Znakapoznpodarou"/>
                <w:color w:val="0D0D0D" w:themeColor="text1" w:themeTint="F2"/>
                <w:spacing w:val="-8"/>
                <w:lang w:val="en-GB"/>
              </w:rPr>
              <w:footnoteReference w:id="33"/>
            </w:r>
            <w:r w:rsidRPr="006E725C">
              <w:rPr>
                <w:rFonts w:cs="Arial"/>
                <w:color w:val="0D0D0D" w:themeColor="text1" w:themeTint="F2"/>
                <w:spacing w:val="-6"/>
                <w:lang w:val="en-GB"/>
              </w:rPr>
              <w:t xml:space="preserve">. Sales in the IT area </w:t>
            </w:r>
            <w:r w:rsidRPr="006E725C">
              <w:rPr>
                <w:color w:val="0D0D0D" w:themeColor="text1" w:themeTint="F2"/>
                <w:spacing w:val="-6"/>
                <w:lang w:val="en-GB"/>
              </w:rPr>
              <w:t>(including e.g. programming or computer facilities management activities) unusually decreased for the last year, specifically by 0.1%, and mainly then in information and communication</w:t>
            </w:r>
            <w:r w:rsidRPr="006E725C">
              <w:rPr>
                <w:rStyle w:val="Znakapoznpodarou"/>
                <w:color w:val="0D0D0D" w:themeColor="text1" w:themeTint="F2"/>
                <w:spacing w:val="-4"/>
                <w:lang w:val="en-GB"/>
              </w:rPr>
              <w:footnoteReference w:id="34"/>
            </w:r>
            <w:r w:rsidRPr="006E725C">
              <w:rPr>
                <w:color w:val="0D0D0D" w:themeColor="text1" w:themeTint="F2"/>
                <w:spacing w:val="-4"/>
                <w:lang w:val="en-GB"/>
              </w:rPr>
              <w:t xml:space="preserve"> (by 6.8%). Sales grew by mere 1% in the long-time growing </w:t>
            </w:r>
            <w:r w:rsidRPr="006E725C">
              <w:rPr>
                <w:color w:val="0D0D0D" w:themeColor="text1" w:themeTint="F2"/>
                <w:spacing w:val="-4"/>
                <w:lang w:val="en-GB"/>
              </w:rPr>
              <w:lastRenderedPageBreak/>
              <w:t>telecommunications, which was the least in the last nine years. After weaker year 2022 sales recovered in programming and broadcasting activities (+4.9%) last year and were by more than one tenth higher against year 2019.</w:t>
            </w:r>
          </w:p>
        </w:tc>
      </w:tr>
      <w:tr w:rsidR="0010343F" w:rsidRPr="006E725C" w14:paraId="09C73C3F" w14:textId="77777777" w:rsidTr="00BA5125">
        <w:trPr>
          <w:trHeight w:val="170"/>
        </w:trPr>
        <w:tc>
          <w:tcPr>
            <w:tcW w:w="1814" w:type="dxa"/>
            <w:tcBorders>
              <w:top w:val="nil"/>
              <w:left w:val="nil"/>
              <w:bottom w:val="nil"/>
              <w:right w:val="nil"/>
            </w:tcBorders>
            <w:shd w:val="clear" w:color="auto" w:fill="auto"/>
            <w:tcMar>
              <w:left w:w="0" w:type="dxa"/>
            </w:tcMar>
          </w:tcPr>
          <w:p w14:paraId="0120E06B" w14:textId="73DE20B5" w:rsidR="0010343F" w:rsidRPr="006E725C" w:rsidRDefault="0010343F" w:rsidP="0010343F">
            <w:pPr>
              <w:pStyle w:val="Marginlie"/>
              <w:rPr>
                <w:lang w:val="en-GB"/>
              </w:rPr>
            </w:pPr>
            <w:r w:rsidRPr="006E725C">
              <w:rPr>
                <w:lang w:val="en-GB"/>
              </w:rPr>
              <w:lastRenderedPageBreak/>
              <w:t xml:space="preserve">Slump of the retail sales culminated in the half of the last year. Subsequently the sales already slightly grew quarter-on-quarter. </w:t>
            </w:r>
          </w:p>
          <w:p w14:paraId="654E24BD" w14:textId="77777777" w:rsidR="0010343F" w:rsidRPr="006E725C" w:rsidRDefault="0010343F" w:rsidP="0010343F">
            <w:pPr>
              <w:pStyle w:val="Marginlie"/>
              <w:rPr>
                <w:lang w:val="en-GB"/>
              </w:rPr>
            </w:pPr>
          </w:p>
          <w:p w14:paraId="01E44586" w14:textId="77777777" w:rsidR="0010343F" w:rsidRPr="006E725C" w:rsidRDefault="0010343F" w:rsidP="0010343F">
            <w:pPr>
              <w:pStyle w:val="Marginlie"/>
              <w:rPr>
                <w:lang w:val="en-GB"/>
              </w:rPr>
            </w:pPr>
          </w:p>
          <w:p w14:paraId="2D4BE2F9" w14:textId="247B38FB" w:rsidR="0010343F" w:rsidRPr="006E725C" w:rsidRDefault="0010343F" w:rsidP="0010343F">
            <w:pPr>
              <w:pStyle w:val="Marginlie"/>
              <w:rPr>
                <w:lang w:val="en-GB"/>
              </w:rPr>
            </w:pPr>
            <w:r w:rsidRPr="006E725C">
              <w:rPr>
                <w:lang w:val="en-GB"/>
              </w:rPr>
              <w:t xml:space="preserve">Household consumption remained subdued and their confidence in the economy low. </w:t>
            </w:r>
          </w:p>
        </w:tc>
        <w:tc>
          <w:tcPr>
            <w:tcW w:w="229" w:type="dxa"/>
            <w:tcBorders>
              <w:top w:val="nil"/>
              <w:left w:val="nil"/>
              <w:bottom w:val="nil"/>
              <w:right w:val="nil"/>
            </w:tcBorders>
            <w:shd w:val="clear" w:color="auto" w:fill="auto"/>
            <w:tcMar>
              <w:left w:w="0" w:type="dxa"/>
            </w:tcMar>
          </w:tcPr>
          <w:p w14:paraId="534F3443"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2094DBF6" w14:textId="2E9AEACC" w:rsidR="0010343F" w:rsidRPr="006E725C" w:rsidRDefault="0010343F" w:rsidP="0010343F">
            <w:pPr>
              <w:spacing w:after="200"/>
              <w:rPr>
                <w:rFonts w:cs="Arial"/>
                <w:color w:val="0D0D0D" w:themeColor="text1" w:themeTint="F2"/>
                <w:szCs w:val="20"/>
                <w:lang w:val="en-GB"/>
              </w:rPr>
            </w:pPr>
            <w:r w:rsidRPr="006E725C">
              <w:rPr>
                <w:rFonts w:cs="Arial"/>
                <w:color w:val="0D0D0D" w:themeColor="text1" w:themeTint="F2"/>
                <w:szCs w:val="20"/>
                <w:lang w:val="en-GB"/>
              </w:rPr>
              <w:t>Retail faced a subdued demand throughout the whole last year, which stemmed from the continuing year-on-year decrease of real household income as well as weak consumer confidence in the economy</w:t>
            </w:r>
            <w:r w:rsidRPr="006E725C">
              <w:rPr>
                <w:rStyle w:val="Znakapoznpodarou"/>
                <w:color w:val="0D0D0D" w:themeColor="text1" w:themeTint="F2"/>
                <w:szCs w:val="20"/>
                <w:lang w:val="en-GB"/>
              </w:rPr>
              <w:footnoteReference w:id="35"/>
            </w:r>
            <w:r w:rsidRPr="006E725C">
              <w:rPr>
                <w:rFonts w:cs="Arial"/>
                <w:color w:val="0D0D0D" w:themeColor="text1" w:themeTint="F2"/>
                <w:szCs w:val="20"/>
                <w:lang w:val="en-GB"/>
              </w:rPr>
              <w:t xml:space="preserve">. Rising number of consumers </w:t>
            </w:r>
            <w:r w:rsidRPr="006E725C">
              <w:rPr>
                <w:rFonts w:cs="Arial"/>
                <w:color w:val="0D0D0D" w:themeColor="text1" w:themeTint="F2"/>
                <w:spacing w:val="-6"/>
                <w:szCs w:val="20"/>
                <w:lang w:val="en-GB"/>
              </w:rPr>
              <w:t>(due to the arrival of refugees from Ukraine as well as gradual recovery of tourism</w:t>
            </w:r>
            <w:r w:rsidRPr="006E725C">
              <w:rPr>
                <w:rFonts w:cs="Arial"/>
                <w:color w:val="0D0D0D" w:themeColor="text1" w:themeTint="F2"/>
                <w:szCs w:val="20"/>
                <w:lang w:val="en-GB"/>
              </w:rPr>
              <w:t>) had a partial positive effect; on the contrary, the more frequent purchases of the domestic households abroad influenced it negatively</w:t>
            </w:r>
            <w:r w:rsidRPr="006E725C">
              <w:rPr>
                <w:rStyle w:val="Znakapoznpodarou"/>
                <w:color w:val="0D0D0D" w:themeColor="text1" w:themeTint="F2"/>
                <w:szCs w:val="20"/>
                <w:lang w:val="en-GB"/>
              </w:rPr>
              <w:footnoteReference w:id="36"/>
            </w:r>
            <w:r w:rsidRPr="006E725C">
              <w:rPr>
                <w:rFonts w:cs="Arial"/>
                <w:color w:val="0D0D0D" w:themeColor="text1" w:themeTint="F2"/>
                <w:szCs w:val="20"/>
                <w:lang w:val="en-GB"/>
              </w:rPr>
              <w:t>. Retail sales</w:t>
            </w:r>
            <w:r w:rsidRPr="006E725C">
              <w:rPr>
                <w:rStyle w:val="Znakapoznpodarou"/>
                <w:color w:val="0D0D0D" w:themeColor="text1" w:themeTint="F2"/>
                <w:lang w:val="en-GB"/>
              </w:rPr>
              <w:footnoteReference w:id="37"/>
            </w:r>
            <w:r w:rsidRPr="006E725C">
              <w:rPr>
                <w:rFonts w:cs="Arial"/>
                <w:color w:val="0D0D0D" w:themeColor="text1" w:themeTint="F2"/>
                <w:szCs w:val="20"/>
                <w:lang w:val="en-GB"/>
              </w:rPr>
              <w:t xml:space="preserve"> decreased by 0.4% quarter-on-quarter in Q2 2023 and thus continued in the decrease for the seventh time in a row (they largely copied the trend of total final consumption expenditure of households). Length as well as depth of the sales slump</w:t>
            </w:r>
            <w:r w:rsidRPr="006E725C">
              <w:rPr>
                <w:rStyle w:val="Znakapoznpodarou"/>
                <w:color w:val="0D0D0D" w:themeColor="text1" w:themeTint="F2"/>
                <w:szCs w:val="20"/>
                <w:lang w:val="en-GB"/>
              </w:rPr>
              <w:footnoteReference w:id="38"/>
            </w:r>
            <w:r w:rsidRPr="006E725C">
              <w:rPr>
                <w:rFonts w:cs="Arial"/>
                <w:color w:val="0D0D0D" w:themeColor="text1" w:themeTint="F2"/>
                <w:szCs w:val="20"/>
                <w:lang w:val="en-GB"/>
              </w:rPr>
              <w:t xml:space="preserve"> were unprecedented in the comparable time series (after year 2000). The quarter-on-quarter fall of sales did not continue in Q2 anymore, consumers partially adjusted to the raised price level of goods, their total demand however remained weak (also as a result of persisting enhanced household saving rate). Retail sales were in real terms approximately at the level of Q4 2018 at the end of the last year (in that for food even at the level of year 2014).</w:t>
            </w:r>
          </w:p>
        </w:tc>
      </w:tr>
      <w:tr w:rsidR="0010343F" w:rsidRPr="006E725C" w14:paraId="524C1D83" w14:textId="77777777" w:rsidTr="00BA5125">
        <w:trPr>
          <w:trHeight w:val="170"/>
        </w:trPr>
        <w:tc>
          <w:tcPr>
            <w:tcW w:w="1814" w:type="dxa"/>
            <w:tcBorders>
              <w:top w:val="nil"/>
              <w:left w:val="nil"/>
              <w:bottom w:val="nil"/>
              <w:right w:val="nil"/>
            </w:tcBorders>
            <w:shd w:val="clear" w:color="auto" w:fill="auto"/>
            <w:tcMar>
              <w:left w:w="0" w:type="dxa"/>
            </w:tcMar>
          </w:tcPr>
          <w:p w14:paraId="3B5EE220" w14:textId="6BB02C39" w:rsidR="0010343F" w:rsidRPr="006E725C" w:rsidRDefault="0010343F" w:rsidP="0010343F">
            <w:pPr>
              <w:pStyle w:val="Marginlie"/>
              <w:rPr>
                <w:lang w:val="en-GB"/>
              </w:rPr>
            </w:pPr>
            <w:r w:rsidRPr="006E725C">
              <w:rPr>
                <w:lang w:val="en-GB"/>
              </w:rPr>
              <w:t>Demand for food and non-food products displayed a record decline for the whole last year.</w:t>
            </w:r>
          </w:p>
          <w:p w14:paraId="4215CA07"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58F457AB"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30D40EE4" w14:textId="35C3C838" w:rsidR="0010343F" w:rsidRPr="006E725C" w:rsidRDefault="0010343F" w:rsidP="0010343F">
            <w:pPr>
              <w:spacing w:after="200"/>
              <w:rPr>
                <w:rFonts w:cs="Arial"/>
                <w:color w:val="0D0D0D" w:themeColor="text1" w:themeTint="F2"/>
                <w:spacing w:val="-4"/>
                <w:szCs w:val="20"/>
                <w:lang w:val="en-GB"/>
              </w:rPr>
            </w:pPr>
            <w:r w:rsidRPr="006E725C">
              <w:rPr>
                <w:rFonts w:cs="Arial"/>
                <w:color w:val="0D0D0D" w:themeColor="text1" w:themeTint="F2"/>
                <w:spacing w:val="-4"/>
                <w:szCs w:val="20"/>
                <w:lang w:val="en-GB"/>
              </w:rPr>
              <w:t>Retail sales decreased by 4.2% year-on-year for the whole last year and thus negligibly deepened the fall from the previous year. Non-food goods, where the sales shrank by unparalle</w:t>
            </w:r>
            <w:r>
              <w:rPr>
                <w:rFonts w:cs="Arial"/>
                <w:color w:val="0D0D0D" w:themeColor="text1" w:themeTint="F2"/>
                <w:spacing w:val="-4"/>
                <w:szCs w:val="20"/>
                <w:lang w:val="en-GB"/>
              </w:rPr>
              <w:t>le</w:t>
            </w:r>
            <w:r w:rsidRPr="006E725C">
              <w:rPr>
                <w:rFonts w:cs="Arial"/>
                <w:color w:val="0D0D0D" w:themeColor="text1" w:themeTint="F2"/>
                <w:spacing w:val="-4"/>
                <w:szCs w:val="20"/>
                <w:lang w:val="en-GB"/>
              </w:rPr>
              <w:t xml:space="preserve">d 5.1% the most participated on the demand downturn (contribution to the decrease of entire retail </w:t>
            </w:r>
            <w:r w:rsidRPr="006E725C">
              <w:rPr>
                <w:color w:val="0D0D0D" w:themeColor="text1" w:themeTint="F2"/>
                <w:spacing w:val="-4"/>
                <w:lang w:val="en-GB"/>
              </w:rPr>
              <w:t>−</w:t>
            </w:r>
            <w:r w:rsidRPr="006E725C">
              <w:rPr>
                <w:rFonts w:cs="Arial"/>
                <w:color w:val="0D0D0D" w:themeColor="text1" w:themeTint="F2"/>
                <w:spacing w:val="-4"/>
                <w:szCs w:val="20"/>
                <w:lang w:val="en-GB"/>
              </w:rPr>
              <w:t>2.6 p.p.). Sellers of food also experienced comparable and also deepest fall in the contemporary history (</w:t>
            </w:r>
            <w:r w:rsidRPr="006E725C">
              <w:rPr>
                <w:color w:val="0D0D0D" w:themeColor="text1" w:themeTint="F2"/>
                <w:spacing w:val="-4"/>
                <w:lang w:val="en-GB"/>
              </w:rPr>
              <w:t>−</w:t>
            </w:r>
            <w:r w:rsidRPr="006E725C">
              <w:rPr>
                <w:rFonts w:cs="Arial"/>
                <w:color w:val="0D0D0D" w:themeColor="text1" w:themeTint="F2"/>
                <w:spacing w:val="-4"/>
                <w:szCs w:val="20"/>
                <w:lang w:val="en-GB"/>
              </w:rPr>
              <w:t>5.8%). Among more significant retail segments, only sales for fuels were rising (+5.4%, contribution +0.6 p.p.).</w:t>
            </w:r>
          </w:p>
        </w:tc>
      </w:tr>
      <w:tr w:rsidR="0010343F" w:rsidRPr="006E725C" w14:paraId="185BFC0E" w14:textId="77777777" w:rsidTr="00BA5125">
        <w:trPr>
          <w:trHeight w:val="170"/>
        </w:trPr>
        <w:tc>
          <w:tcPr>
            <w:tcW w:w="1814" w:type="dxa"/>
            <w:tcBorders>
              <w:top w:val="nil"/>
              <w:left w:val="nil"/>
              <w:bottom w:val="nil"/>
              <w:right w:val="nil"/>
            </w:tcBorders>
            <w:shd w:val="clear" w:color="auto" w:fill="auto"/>
            <w:tcMar>
              <w:left w:w="0" w:type="dxa"/>
            </w:tcMar>
          </w:tcPr>
          <w:p w14:paraId="4D151EE1" w14:textId="3870F088" w:rsidR="0010343F" w:rsidRPr="006E725C" w:rsidRDefault="0010343F" w:rsidP="0010343F">
            <w:pPr>
              <w:pStyle w:val="Marginlie"/>
              <w:rPr>
                <w:spacing w:val="-4"/>
                <w:lang w:val="en-GB"/>
              </w:rPr>
            </w:pPr>
            <w:r w:rsidRPr="006E725C">
              <w:rPr>
                <w:spacing w:val="-4"/>
                <w:lang w:val="en-GB"/>
              </w:rPr>
              <w:t>Year-on-year decrease of retail sales nearly stopped in Q4.</w:t>
            </w:r>
            <w:r w:rsidRPr="006E725C">
              <w:rPr>
                <w:lang w:val="en-GB"/>
              </w:rPr>
              <w:t> Higher demand of non-food goods, especially within the sale via internet, had a favourable effect.</w:t>
            </w:r>
          </w:p>
          <w:p w14:paraId="3E4E73FB" w14:textId="77777777" w:rsidR="0010343F" w:rsidRPr="006E725C" w:rsidRDefault="0010343F" w:rsidP="0010343F">
            <w:pPr>
              <w:pStyle w:val="Marginlie"/>
              <w:rPr>
                <w:spacing w:val="-4"/>
                <w:lang w:val="en-GB"/>
              </w:rPr>
            </w:pPr>
          </w:p>
          <w:p w14:paraId="62C440A5" w14:textId="77777777" w:rsidR="0010343F" w:rsidRPr="006E725C" w:rsidRDefault="0010343F" w:rsidP="0010343F">
            <w:pPr>
              <w:pStyle w:val="Marginlie"/>
              <w:rPr>
                <w:spacing w:val="-4"/>
                <w:lang w:val="en-GB"/>
              </w:rPr>
            </w:pPr>
          </w:p>
          <w:p w14:paraId="1DF0D954" w14:textId="77777777" w:rsidR="0010343F" w:rsidRPr="006E725C" w:rsidRDefault="0010343F" w:rsidP="0010343F">
            <w:pPr>
              <w:pStyle w:val="Marginlie"/>
              <w:rPr>
                <w:spacing w:val="-4"/>
                <w:lang w:val="en-GB"/>
              </w:rPr>
            </w:pPr>
          </w:p>
          <w:p w14:paraId="3BCE27C2" w14:textId="77777777" w:rsidR="0010343F" w:rsidRPr="006E725C" w:rsidRDefault="0010343F" w:rsidP="0010343F">
            <w:pPr>
              <w:pStyle w:val="Marginlie"/>
              <w:rPr>
                <w:spacing w:val="-4"/>
                <w:lang w:val="en-GB"/>
              </w:rPr>
            </w:pPr>
          </w:p>
          <w:p w14:paraId="6ED818D0" w14:textId="53B6F421" w:rsidR="0010343F" w:rsidRPr="006E725C" w:rsidRDefault="0010343F" w:rsidP="0010343F">
            <w:pPr>
              <w:pStyle w:val="Marginlie"/>
              <w:rPr>
                <w:spacing w:val="-4"/>
                <w:lang w:val="en-GB"/>
              </w:rPr>
            </w:pPr>
            <w:r w:rsidRPr="006E725C">
              <w:rPr>
                <w:spacing w:val="-4"/>
                <w:lang w:val="en-GB"/>
              </w:rPr>
              <w:t xml:space="preserve">Decrease of sales for food continued for the eight quarter in a row. </w:t>
            </w:r>
          </w:p>
        </w:tc>
        <w:tc>
          <w:tcPr>
            <w:tcW w:w="229" w:type="dxa"/>
            <w:tcBorders>
              <w:top w:val="nil"/>
              <w:left w:val="nil"/>
              <w:bottom w:val="nil"/>
              <w:right w:val="nil"/>
            </w:tcBorders>
            <w:shd w:val="clear" w:color="auto" w:fill="auto"/>
            <w:tcMar>
              <w:left w:w="0" w:type="dxa"/>
            </w:tcMar>
          </w:tcPr>
          <w:p w14:paraId="733CCD82"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EA4EE6E" w14:textId="58D0287B" w:rsidR="0010343F" w:rsidRPr="006E725C" w:rsidRDefault="0010343F" w:rsidP="0010343F">
            <w:pPr>
              <w:spacing w:after="200"/>
              <w:rPr>
                <w:rFonts w:cs="Arial"/>
                <w:color w:val="0D0D0D" w:themeColor="text1" w:themeTint="F2"/>
                <w:spacing w:val="-3"/>
                <w:szCs w:val="20"/>
                <w:lang w:val="en-GB"/>
              </w:rPr>
            </w:pPr>
            <w:r w:rsidRPr="006E725C">
              <w:rPr>
                <w:rFonts w:cs="Arial"/>
                <w:color w:val="0D0D0D" w:themeColor="text1" w:themeTint="F2"/>
                <w:spacing w:val="-3"/>
                <w:szCs w:val="20"/>
                <w:lang w:val="en-GB"/>
              </w:rPr>
              <w:t xml:space="preserve">Q4 2023, when the retail sales in fact stagnated year-on-year </w:t>
            </w:r>
            <w:r w:rsidRPr="006E725C">
              <w:rPr>
                <w:rFonts w:cs="Arial"/>
                <w:color w:val="0D0D0D" w:themeColor="text1" w:themeTint="F2"/>
                <w:spacing w:val="-2"/>
                <w:szCs w:val="20"/>
                <w:lang w:val="en-GB"/>
              </w:rPr>
              <w:t>(</w:t>
            </w:r>
            <w:r w:rsidRPr="006E725C">
              <w:rPr>
                <w:color w:val="0D0D0D" w:themeColor="text1" w:themeTint="F2"/>
                <w:spacing w:val="-4"/>
                <w:lang w:val="en-GB"/>
              </w:rPr>
              <w:t>−</w:t>
            </w:r>
            <w:r w:rsidRPr="006E725C">
              <w:rPr>
                <w:rFonts w:cs="Arial"/>
                <w:color w:val="0D0D0D" w:themeColor="text1" w:themeTint="F2"/>
                <w:spacing w:val="-2"/>
                <w:szCs w:val="20"/>
                <w:lang w:val="en-GB"/>
              </w:rPr>
              <w:t>0.1%), provides more optimistic view. Growth for non-food goods was a positive factor (+0.8%),</w:t>
            </w:r>
            <w:r w:rsidRPr="006E725C">
              <w:rPr>
                <w:rFonts w:cs="Arial"/>
                <w:color w:val="0D0D0D" w:themeColor="text1" w:themeTint="F2"/>
                <w:spacing w:val="-3"/>
                <w:szCs w:val="20"/>
                <w:lang w:val="en-GB"/>
              </w:rPr>
              <w:t xml:space="preserve"> appearing for the first time in the last seven quarters. It was driven by more distinct revival of sales via internet (+6.4%)</w:t>
            </w:r>
            <w:r w:rsidRPr="006E725C">
              <w:rPr>
                <w:rStyle w:val="Znakapoznpodarou"/>
                <w:color w:val="0D0D0D" w:themeColor="text1" w:themeTint="F2"/>
                <w:spacing w:val="-3"/>
                <w:szCs w:val="20"/>
                <w:lang w:val="en-GB"/>
              </w:rPr>
              <w:footnoteReference w:id="39"/>
            </w:r>
            <w:r w:rsidRPr="006E725C">
              <w:rPr>
                <w:rFonts w:cs="Arial"/>
                <w:color w:val="0D0D0D" w:themeColor="text1" w:themeTint="F2"/>
                <w:spacing w:val="-3"/>
                <w:szCs w:val="20"/>
                <w:lang w:val="en-GB"/>
              </w:rPr>
              <w:t>. Within specialised stores</w:t>
            </w:r>
            <w:r w:rsidRPr="006E725C">
              <w:rPr>
                <w:rStyle w:val="Znakapoznpodarou"/>
                <w:color w:val="0D0D0D" w:themeColor="text1" w:themeTint="F2"/>
                <w:spacing w:val="-3"/>
                <w:szCs w:val="20"/>
                <w:lang w:val="en-GB"/>
              </w:rPr>
              <w:footnoteReference w:id="40"/>
            </w:r>
            <w:r w:rsidRPr="006E725C">
              <w:rPr>
                <w:rFonts w:cs="Arial"/>
                <w:color w:val="0D0D0D" w:themeColor="text1" w:themeTint="F2"/>
                <w:spacing w:val="-3"/>
                <w:szCs w:val="20"/>
                <w:lang w:val="en-GB"/>
              </w:rPr>
              <w:t>, demand for cosmetic and toilet articles (+10.0%) and for pharmaceutical and medical products (+5.1%)</w:t>
            </w:r>
            <w:r w:rsidRPr="006E725C">
              <w:rPr>
                <w:rStyle w:val="Znakapoznpodarou"/>
                <w:color w:val="0D0D0D" w:themeColor="text1" w:themeTint="F2"/>
                <w:spacing w:val="-3"/>
                <w:szCs w:val="20"/>
                <w:lang w:val="en-GB"/>
              </w:rPr>
              <w:footnoteReference w:id="41"/>
            </w:r>
            <w:r w:rsidRPr="006E725C">
              <w:rPr>
                <w:rFonts w:cs="Arial"/>
                <w:color w:val="0D0D0D" w:themeColor="text1" w:themeTint="F2"/>
                <w:spacing w:val="-3"/>
                <w:szCs w:val="20"/>
                <w:lang w:val="en-GB"/>
              </w:rPr>
              <w:t xml:space="preserve"> grew the most. Mild growth of sales also manifested in stores with computer and communication equipment (+1.9%), demand increased here year-on-year for the first time in the last seven quarters. On the contrary, people still postpone purchases of a number of “non-essential</w:t>
            </w:r>
            <w:r>
              <w:rPr>
                <w:rFonts w:cs="Arial"/>
                <w:color w:val="0D0D0D" w:themeColor="text1" w:themeTint="F2"/>
                <w:spacing w:val="-3"/>
                <w:szCs w:val="20"/>
                <w:lang w:val="en-GB"/>
              </w:rPr>
              <w:t>”</w:t>
            </w:r>
            <w:r w:rsidRPr="006E725C">
              <w:rPr>
                <w:rFonts w:cs="Arial"/>
                <w:color w:val="0D0D0D" w:themeColor="text1" w:themeTint="F2"/>
                <w:spacing w:val="-3"/>
                <w:szCs w:val="20"/>
                <w:lang w:val="en-GB"/>
              </w:rPr>
              <w:t xml:space="preserve"> goods. Sellers of goods mostly for households </w:t>
            </w:r>
            <w:r w:rsidRPr="006E725C">
              <w:rPr>
                <w:rStyle w:val="normaltextrun"/>
                <w:rFonts w:eastAsia="MS Gothic" w:cs="Arial"/>
                <w:szCs w:val="20"/>
                <w:lang w:val="en-GB"/>
              </w:rPr>
              <w:t>(containing mainly metal hardware, building materials, paints, glass, DIY supplies, electro supplies, furniture and lighti</w:t>
            </w:r>
            <w:r w:rsidRPr="006E725C">
              <w:rPr>
                <w:rStyle w:val="normaltextrun"/>
                <w:rFonts w:eastAsia="MS Gothic"/>
                <w:lang w:val="en-GB"/>
              </w:rPr>
              <w:t>ng equipment</w:t>
            </w:r>
            <w:r w:rsidRPr="006E725C">
              <w:rPr>
                <w:rStyle w:val="normaltextrun"/>
                <w:rFonts w:eastAsia="MS Gothic" w:cs="Arial"/>
                <w:szCs w:val="20"/>
                <w:lang w:val="en-GB"/>
              </w:rPr>
              <w:t xml:space="preserve">) thus earned by 5.3% less year-on-year, </w:t>
            </w:r>
            <w:r>
              <w:rPr>
                <w:rStyle w:val="normaltextrun"/>
                <w:rFonts w:eastAsia="MS Gothic" w:cs="Arial"/>
                <w:szCs w:val="20"/>
                <w:lang w:val="en-GB"/>
              </w:rPr>
              <w:t>clothing</w:t>
            </w:r>
            <w:r w:rsidRPr="006E725C">
              <w:rPr>
                <w:rStyle w:val="normaltextrun"/>
                <w:rFonts w:eastAsia="MS Gothic" w:cs="Arial"/>
                <w:szCs w:val="20"/>
                <w:lang w:val="en-GB"/>
              </w:rPr>
              <w:t xml:space="preserve">, footwear and leather goods recorded decrease of </w:t>
            </w:r>
            <w:r w:rsidRPr="006E725C">
              <w:rPr>
                <w:rFonts w:cs="Arial"/>
                <w:color w:val="0D0D0D" w:themeColor="text1" w:themeTint="F2"/>
                <w:spacing w:val="-3"/>
                <w:szCs w:val="20"/>
                <w:lang w:val="en-GB"/>
              </w:rPr>
              <w:t>4.7%</w:t>
            </w:r>
            <w:r w:rsidRPr="006E725C">
              <w:rPr>
                <w:rStyle w:val="Znakapoznpodarou"/>
                <w:color w:val="0D0D0D" w:themeColor="text1" w:themeTint="F2"/>
                <w:spacing w:val="-3"/>
                <w:szCs w:val="20"/>
                <w:lang w:val="en-GB"/>
              </w:rPr>
              <w:footnoteReference w:id="42"/>
            </w:r>
            <w:r w:rsidRPr="006E725C">
              <w:rPr>
                <w:rFonts w:cs="Arial"/>
                <w:color w:val="0D0D0D" w:themeColor="text1" w:themeTint="F2"/>
                <w:spacing w:val="-3"/>
                <w:szCs w:val="20"/>
                <w:lang w:val="en-GB"/>
              </w:rPr>
              <w:t xml:space="preserve">, for products for culture and recreation the decrease was 0.3%. Retail trade of food was by 2.2% lower year-on-year (decrease lasted already </w:t>
            </w:r>
            <w:r w:rsidRPr="006E725C">
              <w:rPr>
                <w:rFonts w:cs="Arial"/>
                <w:color w:val="0D0D0D" w:themeColor="text1" w:themeTint="F2"/>
                <w:spacing w:val="-3"/>
                <w:szCs w:val="20"/>
                <w:lang w:val="en-GB"/>
              </w:rPr>
              <w:lastRenderedPageBreak/>
              <w:t>two years). Demand was shrinking comparably for both large chains and small specialised stores (where the largest share among the range of products is held by the tobacco products). The same as for the whole last year, sales for automotive fuel (+2.0%) contributed positively to the retail development also in its Q4. More keenly priced automotive fuels likely partially stimulated their higher consumption, their price has been falling year-on-year since March 2023.</w:t>
            </w:r>
          </w:p>
        </w:tc>
      </w:tr>
      <w:tr w:rsidR="0010343F" w:rsidRPr="006E725C" w14:paraId="3A4F45E6" w14:textId="77777777" w:rsidTr="00BA5125">
        <w:trPr>
          <w:trHeight w:val="170"/>
        </w:trPr>
        <w:tc>
          <w:tcPr>
            <w:tcW w:w="1814" w:type="dxa"/>
            <w:tcBorders>
              <w:top w:val="nil"/>
              <w:left w:val="nil"/>
              <w:bottom w:val="nil"/>
              <w:right w:val="nil"/>
            </w:tcBorders>
            <w:shd w:val="clear" w:color="auto" w:fill="auto"/>
            <w:tcMar>
              <w:left w:w="0" w:type="dxa"/>
            </w:tcMar>
          </w:tcPr>
          <w:p w14:paraId="1BE175F0" w14:textId="6E1C0C75" w:rsidR="0010343F" w:rsidRPr="006E725C" w:rsidRDefault="0010343F" w:rsidP="0010343F">
            <w:pPr>
              <w:pStyle w:val="Marginlie"/>
              <w:rPr>
                <w:lang w:val="en-GB"/>
              </w:rPr>
            </w:pPr>
            <w:r w:rsidRPr="006E725C">
              <w:rPr>
                <w:lang w:val="en-GB"/>
              </w:rPr>
              <w:lastRenderedPageBreak/>
              <w:t xml:space="preserve">Growth of sales in the motorist segment of trade was mainly driven by higher demand for motor vehicles. </w:t>
            </w:r>
          </w:p>
        </w:tc>
        <w:tc>
          <w:tcPr>
            <w:tcW w:w="229" w:type="dxa"/>
            <w:tcBorders>
              <w:top w:val="nil"/>
              <w:left w:val="nil"/>
              <w:bottom w:val="nil"/>
              <w:right w:val="nil"/>
            </w:tcBorders>
            <w:shd w:val="clear" w:color="auto" w:fill="auto"/>
            <w:tcMar>
              <w:left w:w="0" w:type="dxa"/>
            </w:tcMar>
          </w:tcPr>
          <w:p w14:paraId="33762B4A"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7678B13" w14:textId="105B3625" w:rsidR="0010343F" w:rsidRPr="006E725C" w:rsidRDefault="0010343F" w:rsidP="0010343F">
            <w:pPr>
              <w:spacing w:after="200"/>
              <w:rPr>
                <w:rFonts w:cs="Arial"/>
                <w:color w:val="0D0D0D" w:themeColor="text1" w:themeTint="F2"/>
                <w:spacing w:val="-6"/>
                <w:szCs w:val="20"/>
                <w:lang w:val="en-GB"/>
              </w:rPr>
            </w:pPr>
            <w:r w:rsidRPr="006E725C">
              <w:rPr>
                <w:rFonts w:cs="Arial"/>
                <w:color w:val="0D0D0D" w:themeColor="text1" w:themeTint="F2"/>
                <w:szCs w:val="20"/>
                <w:lang w:val="en-GB"/>
              </w:rPr>
              <w:t>Especially higher demand for motor vehicles</w:t>
            </w:r>
            <w:r w:rsidRPr="006E725C">
              <w:rPr>
                <w:rFonts w:cs="Arial"/>
                <w:color w:val="0D0D0D" w:themeColor="text1" w:themeTint="F2"/>
                <w:spacing w:val="-6"/>
                <w:szCs w:val="20"/>
                <w:lang w:val="en-GB"/>
              </w:rPr>
              <w:t>, which was connected to the relatively favourable situation of the whole motor vehicle industry in the CR as well as the EU, participated on the year-on-year growth of sales in the motorist segment in Q4 by 7.4% (by 5.6% for the whole last year). Sales for trade with motor vehicle parts and accessories in contrast grew only slowly (they even lowered by 4.5% for the whole year 2023) and for trade, repair and maintenance of motorcycles dropped nearly by 7% (they were falling for the seventh quarter in a row). Sales were still by nearly one tenth lower in the whole motorist segment of trade last year against the end of year 2019 and lagged in all its sub-branches (the most in the trade with motor vehicle parts and accessories).</w:t>
            </w:r>
          </w:p>
        </w:tc>
      </w:tr>
      <w:tr w:rsidR="0010343F" w:rsidRPr="006E725C" w14:paraId="75C1AB12" w14:textId="77777777" w:rsidTr="00BA5125">
        <w:trPr>
          <w:trHeight w:val="170"/>
        </w:trPr>
        <w:tc>
          <w:tcPr>
            <w:tcW w:w="1814" w:type="dxa"/>
            <w:tcBorders>
              <w:top w:val="nil"/>
              <w:left w:val="nil"/>
              <w:bottom w:val="nil"/>
              <w:right w:val="nil"/>
            </w:tcBorders>
            <w:shd w:val="clear" w:color="auto" w:fill="auto"/>
            <w:tcMar>
              <w:left w:w="0" w:type="dxa"/>
            </w:tcMar>
          </w:tcPr>
          <w:p w14:paraId="0E3954E9" w14:textId="77777777" w:rsidR="0010343F" w:rsidRPr="006E725C" w:rsidRDefault="0010343F" w:rsidP="0010343F">
            <w:pPr>
              <w:pStyle w:val="Marginlie"/>
              <w:rPr>
                <w:color w:val="0D0D0D" w:themeColor="text1" w:themeTint="F2"/>
                <w:lang w:val="en-GB"/>
              </w:rPr>
            </w:pPr>
          </w:p>
        </w:tc>
        <w:tc>
          <w:tcPr>
            <w:tcW w:w="229" w:type="dxa"/>
            <w:tcBorders>
              <w:top w:val="nil"/>
              <w:left w:val="nil"/>
              <w:bottom w:val="nil"/>
              <w:right w:val="nil"/>
            </w:tcBorders>
            <w:shd w:val="clear" w:color="auto" w:fill="auto"/>
            <w:tcMar>
              <w:left w:w="0" w:type="dxa"/>
            </w:tcMar>
          </w:tcPr>
          <w:p w14:paraId="487B25A4"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375FEADB" w14:textId="3F1C9658" w:rsidR="0010343F" w:rsidRPr="006E725C" w:rsidRDefault="0010343F" w:rsidP="0010343F">
            <w:pPr>
              <w:spacing w:after="40"/>
              <w:rPr>
                <w:rFonts w:cs="Arial"/>
                <w:color w:val="0D0D0D" w:themeColor="text1" w:themeTint="F2"/>
                <w:spacing w:val="-4"/>
                <w:szCs w:val="20"/>
                <w:lang w:val="en-GB"/>
              </w:rPr>
            </w:pPr>
            <w:r w:rsidRPr="006E725C">
              <w:rPr>
                <w:b/>
                <w:lang w:val="en-GB"/>
              </w:rPr>
              <w:t xml:space="preserve">Chart 8 </w:t>
            </w:r>
            <w:r w:rsidRPr="006E725C">
              <w:rPr>
                <w:b/>
                <w:spacing w:val="-4"/>
                <w:lang w:val="en-GB"/>
              </w:rPr>
              <w:t>Contributions of sub-branches to year-on-year change of sales in retail trade</w:t>
            </w:r>
            <w:r w:rsidRPr="006E725C">
              <w:rPr>
                <w:rFonts w:cs="Arial"/>
                <w:b/>
                <w:bCs/>
                <w:color w:val="0D0D0D" w:themeColor="text1" w:themeTint="F2"/>
                <w:spacing w:val="-4"/>
                <w:lang w:val="en-GB"/>
              </w:rPr>
              <w:t xml:space="preserve">* </w:t>
            </w:r>
            <w:r w:rsidRPr="006E725C">
              <w:rPr>
                <w:rFonts w:cs="Arial"/>
                <w:color w:val="0D0D0D" w:themeColor="text1" w:themeTint="F2"/>
                <w:spacing w:val="-4"/>
                <w:lang w:val="en-GB"/>
              </w:rPr>
              <w:t xml:space="preserve">(real, in p.p.), </w:t>
            </w:r>
            <w:r w:rsidRPr="006E725C">
              <w:rPr>
                <w:rFonts w:cs="Arial"/>
                <w:b/>
                <w:bCs/>
                <w:color w:val="0D0D0D" w:themeColor="text1" w:themeTint="F2"/>
                <w:spacing w:val="-4"/>
                <w:szCs w:val="20"/>
                <w:lang w:val="en-GB"/>
              </w:rPr>
              <w:t xml:space="preserve">sales in retail trade and motorist segment of trade** </w:t>
            </w:r>
            <w:r w:rsidRPr="006E725C">
              <w:rPr>
                <w:rFonts w:cs="Arial"/>
                <w:color w:val="0D0D0D" w:themeColor="text1" w:themeTint="F2"/>
                <w:spacing w:val="-4"/>
                <w:szCs w:val="20"/>
                <w:lang w:val="en-GB"/>
              </w:rPr>
              <w:t>(real, level from year 2021=100, right axis),</w:t>
            </w:r>
            <w:r w:rsidRPr="006E725C">
              <w:rPr>
                <w:rFonts w:cs="Arial"/>
                <w:b/>
                <w:color w:val="0D0D0D" w:themeColor="text1" w:themeTint="F2"/>
                <w:spacing w:val="-4"/>
                <w:szCs w:val="20"/>
                <w:lang w:val="en-GB"/>
              </w:rPr>
              <w:t xml:space="preserve"> balance of business and consumer confidence indicator</w:t>
            </w:r>
            <w:r w:rsidRPr="006E725C">
              <w:rPr>
                <w:rFonts w:cs="Arial"/>
                <w:b/>
                <w:bCs/>
                <w:color w:val="0D0D0D" w:themeColor="text1" w:themeTint="F2"/>
                <w:spacing w:val="-4"/>
                <w:lang w:val="en-GB"/>
              </w:rPr>
              <w:t xml:space="preserve">*** </w:t>
            </w:r>
            <w:r w:rsidRPr="006E725C">
              <w:rPr>
                <w:rFonts w:cs="Arial"/>
                <w:color w:val="0D0D0D" w:themeColor="text1" w:themeTint="F2"/>
                <w:spacing w:val="-4"/>
                <w:lang w:val="en-GB"/>
              </w:rPr>
              <w:t>(in p. p, right axis.)</w:t>
            </w:r>
          </w:p>
        </w:tc>
      </w:tr>
      <w:tr w:rsidR="0010343F" w:rsidRPr="006E725C" w14:paraId="40C33E6C" w14:textId="77777777" w:rsidTr="006A5F27">
        <w:tblPrEx>
          <w:tblCellMar>
            <w:left w:w="70" w:type="dxa"/>
            <w:right w:w="70" w:type="dxa"/>
          </w:tblCellMar>
        </w:tblPrEx>
        <w:trPr>
          <w:trHeight w:val="170"/>
        </w:trPr>
        <w:tc>
          <w:tcPr>
            <w:tcW w:w="1814" w:type="dxa"/>
            <w:tcBorders>
              <w:top w:val="nil"/>
              <w:left w:val="nil"/>
              <w:bottom w:val="nil"/>
              <w:right w:val="nil"/>
            </w:tcBorders>
            <w:shd w:val="clear" w:color="auto" w:fill="auto"/>
          </w:tcPr>
          <w:p w14:paraId="21CCD7BD"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Pr>
          <w:p w14:paraId="4A7D2D6C"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3F44782D" w14:textId="7F267FE8" w:rsidR="0010343F" w:rsidRPr="006E725C" w:rsidRDefault="006A5F27" w:rsidP="0010343F">
            <w:pPr>
              <w:spacing w:after="0"/>
              <w:rPr>
                <w:rFonts w:cs="Arial"/>
                <w:sz w:val="14"/>
                <w:szCs w:val="14"/>
                <w:lang w:val="en-GB"/>
              </w:rPr>
            </w:pPr>
            <w:r>
              <w:rPr>
                <w:noProof/>
              </w:rPr>
              <w:drawing>
                <wp:inline distT="0" distB="0" distL="0" distR="0" wp14:anchorId="0305E098" wp14:editId="17C82E2D">
                  <wp:extent cx="4734560" cy="3547110"/>
                  <wp:effectExtent l="0" t="0" r="889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0343F" w:rsidRPr="006E725C" w14:paraId="55F879AB" w14:textId="77777777" w:rsidTr="00BA5125">
        <w:trPr>
          <w:trHeight w:val="170"/>
        </w:trPr>
        <w:tc>
          <w:tcPr>
            <w:tcW w:w="1814" w:type="dxa"/>
            <w:tcBorders>
              <w:top w:val="nil"/>
              <w:left w:val="nil"/>
              <w:bottom w:val="nil"/>
              <w:right w:val="nil"/>
            </w:tcBorders>
            <w:shd w:val="clear" w:color="auto" w:fill="auto"/>
            <w:tcMar>
              <w:left w:w="0" w:type="dxa"/>
            </w:tcMar>
          </w:tcPr>
          <w:p w14:paraId="1D3E9A8A"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05BB69CB"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CCAF57F" w14:textId="06A845C7" w:rsidR="006A5F27" w:rsidRPr="00D34E1C" w:rsidRDefault="006A5F27" w:rsidP="0010343F">
            <w:pPr>
              <w:spacing w:after="0" w:line="240" w:lineRule="auto"/>
              <w:rPr>
                <w:rFonts w:cs="Arial"/>
                <w:color w:val="0D0D0D" w:themeColor="text1" w:themeTint="F2"/>
                <w:spacing w:val="-6"/>
                <w:sz w:val="14"/>
                <w:szCs w:val="14"/>
                <w:lang w:val="en-GB"/>
              </w:rPr>
            </w:pPr>
            <w:r w:rsidRPr="00D34E1C">
              <w:rPr>
                <w:rFonts w:cs="Arial"/>
                <w:color w:val="0D0D0D" w:themeColor="text1" w:themeTint="F2"/>
                <w:spacing w:val="-6"/>
                <w:sz w:val="14"/>
                <w:szCs w:val="14"/>
                <w:lang w:val="en-GB"/>
              </w:rPr>
              <w:t xml:space="preserve">Note: </w:t>
            </w:r>
            <w:r w:rsidR="00D34E1C">
              <w:rPr>
                <w:rFonts w:cs="Arial"/>
                <w:color w:val="0D0D0D" w:themeColor="text1" w:themeTint="F2"/>
                <w:spacing w:val="-6"/>
                <w:sz w:val="14"/>
                <w:szCs w:val="14"/>
                <w:lang w:val="en-GB"/>
              </w:rPr>
              <w:t>Motorist</w:t>
            </w:r>
            <w:r w:rsidRPr="00D34E1C">
              <w:rPr>
                <w:rFonts w:cs="Arial"/>
                <w:color w:val="0D0D0D" w:themeColor="text1" w:themeTint="F2"/>
                <w:spacing w:val="-6"/>
                <w:sz w:val="14"/>
                <w:szCs w:val="14"/>
                <w:lang w:val="en-GB"/>
              </w:rPr>
              <w:t xml:space="preserve"> segment of trade include branch: </w:t>
            </w:r>
            <w:r w:rsidR="00D34E1C" w:rsidRPr="00D34E1C">
              <w:rPr>
                <w:rFonts w:cs="Arial"/>
                <w:color w:val="0D0D0D" w:themeColor="text1" w:themeTint="F2"/>
                <w:spacing w:val="-6"/>
                <w:sz w:val="14"/>
                <w:szCs w:val="14"/>
                <w:lang w:val="en-GB"/>
              </w:rPr>
              <w:t>Wholesale and retail trade</w:t>
            </w:r>
            <w:r w:rsidRPr="00D34E1C">
              <w:rPr>
                <w:rFonts w:cs="Arial"/>
                <w:color w:val="0D0D0D" w:themeColor="text1" w:themeTint="F2"/>
                <w:spacing w:val="-6"/>
                <w:sz w:val="14"/>
                <w:szCs w:val="14"/>
                <w:lang w:val="en-GB"/>
              </w:rPr>
              <w:t xml:space="preserve"> and repair of motor vehicles</w:t>
            </w:r>
            <w:r w:rsidR="00D34E1C">
              <w:rPr>
                <w:rFonts w:cs="Arial"/>
                <w:color w:val="0D0D0D" w:themeColor="text1" w:themeTint="F2"/>
                <w:spacing w:val="-6"/>
                <w:sz w:val="14"/>
                <w:szCs w:val="14"/>
                <w:lang w:val="en-GB"/>
              </w:rPr>
              <w:t xml:space="preserve"> (incl. </w:t>
            </w:r>
            <w:r w:rsidR="00D34E1C" w:rsidRPr="00D34E1C">
              <w:rPr>
                <w:rFonts w:cs="Arial"/>
                <w:color w:val="0D0D0D" w:themeColor="text1" w:themeTint="F2"/>
                <w:spacing w:val="-6"/>
                <w:sz w:val="14"/>
                <w:szCs w:val="14"/>
                <w:lang w:val="en-GB"/>
              </w:rPr>
              <w:t>motorcycles</w:t>
            </w:r>
            <w:r w:rsidR="00D34E1C">
              <w:rPr>
                <w:rFonts w:cs="Arial"/>
                <w:color w:val="0D0D0D" w:themeColor="text1" w:themeTint="F2"/>
                <w:spacing w:val="-6"/>
                <w:sz w:val="14"/>
                <w:szCs w:val="14"/>
                <w:lang w:val="en-GB"/>
              </w:rPr>
              <w:t>).</w:t>
            </w:r>
          </w:p>
          <w:p w14:paraId="6CF5429C" w14:textId="77C8C8C4" w:rsidR="008054A3" w:rsidRDefault="0010343F" w:rsidP="0010343F">
            <w:pPr>
              <w:spacing w:after="0" w:line="240" w:lineRule="auto"/>
              <w:rPr>
                <w:rFonts w:cs="Arial"/>
                <w:sz w:val="14"/>
                <w:szCs w:val="14"/>
                <w:lang w:val="en-GB"/>
              </w:rPr>
            </w:pPr>
            <w:r w:rsidRPr="00D34E1C">
              <w:rPr>
                <w:rFonts w:cs="Arial"/>
                <w:color w:val="0D0D0D" w:themeColor="text1" w:themeTint="F2"/>
                <w:spacing w:val="-6"/>
                <w:sz w:val="14"/>
                <w:szCs w:val="14"/>
                <w:lang w:val="en-GB"/>
              </w:rPr>
              <w:t>*</w:t>
            </w:r>
            <w:r w:rsidRPr="00D34E1C">
              <w:rPr>
                <w:rFonts w:cs="Arial"/>
                <w:sz w:val="14"/>
                <w:szCs w:val="14"/>
                <w:lang w:val="en-GB"/>
              </w:rPr>
              <w:t xml:space="preserve"> Sales</w:t>
            </w:r>
            <w:r w:rsidRPr="006E725C">
              <w:rPr>
                <w:rFonts w:cs="Arial"/>
                <w:sz w:val="14"/>
                <w:szCs w:val="14"/>
                <w:lang w:val="en-GB"/>
              </w:rPr>
              <w:t xml:space="preserve"> are ad</w:t>
            </w:r>
            <w:r w:rsidR="008054A3">
              <w:rPr>
                <w:rFonts w:cs="Arial"/>
                <w:sz w:val="14"/>
                <w:szCs w:val="14"/>
                <w:lang w:val="en-GB"/>
              </w:rPr>
              <w:t>justed for calendar effects.</w:t>
            </w:r>
          </w:p>
          <w:p w14:paraId="60CE4F94" w14:textId="713DDA86" w:rsidR="0010343F" w:rsidRPr="006E725C" w:rsidRDefault="0010343F" w:rsidP="0010343F">
            <w:pPr>
              <w:spacing w:after="0" w:line="240" w:lineRule="auto"/>
              <w:rPr>
                <w:rFonts w:cs="Arial"/>
                <w:sz w:val="14"/>
                <w:szCs w:val="14"/>
                <w:lang w:val="en-GB"/>
              </w:rPr>
            </w:pPr>
            <w:r w:rsidRPr="006E725C">
              <w:rPr>
                <w:rFonts w:cs="Arial"/>
                <w:sz w:val="14"/>
                <w:szCs w:val="14"/>
                <w:lang w:val="en-GB"/>
              </w:rPr>
              <w:t xml:space="preserve">** Sales are adjusted for both seasonal and calendar effects. </w:t>
            </w:r>
          </w:p>
          <w:p w14:paraId="1171CDFF" w14:textId="3917A5C3" w:rsidR="0010343F" w:rsidRPr="00465862" w:rsidRDefault="0010343F" w:rsidP="00934C3C">
            <w:pPr>
              <w:spacing w:after="0" w:line="240" w:lineRule="auto"/>
              <w:rPr>
                <w:rFonts w:cs="Arial"/>
                <w:color w:val="0D0D0D" w:themeColor="text1" w:themeTint="F2"/>
                <w:spacing w:val="-4"/>
                <w:sz w:val="14"/>
                <w:szCs w:val="14"/>
                <w:lang w:val="en-GB"/>
              </w:rPr>
            </w:pPr>
            <w:r w:rsidRPr="008054A3">
              <w:rPr>
                <w:rFonts w:cs="Arial"/>
                <w:color w:val="0D0D0D" w:themeColor="text1" w:themeTint="F2"/>
                <w:spacing w:val="-5"/>
                <w:sz w:val="14"/>
                <w:szCs w:val="14"/>
                <w:lang w:val="en-GB"/>
              </w:rPr>
              <w:t>*** Consumer confidence indicator balance is seasonally adjusted and expresses the position in the sec</w:t>
            </w:r>
            <w:r w:rsidR="008054A3" w:rsidRPr="008054A3">
              <w:rPr>
                <w:rFonts w:cs="Arial"/>
                <w:color w:val="0D0D0D" w:themeColor="text1" w:themeTint="F2"/>
                <w:spacing w:val="-5"/>
                <w:sz w:val="14"/>
                <w:szCs w:val="14"/>
                <w:lang w:val="en-GB"/>
              </w:rPr>
              <w:t>ond month of the given quarter</w:t>
            </w:r>
            <w:r w:rsidR="008054A3">
              <w:rPr>
                <w:rFonts w:cs="Arial"/>
                <w:color w:val="0D0D0D" w:themeColor="text1" w:themeTint="F2"/>
                <w:spacing w:val="-4"/>
                <w:sz w:val="14"/>
                <w:szCs w:val="14"/>
                <w:lang w:val="en-GB"/>
              </w:rPr>
              <w:t>.</w:t>
            </w:r>
            <w:r w:rsidRPr="006E725C">
              <w:rPr>
                <w:rFonts w:cs="Arial"/>
                <w:color w:val="0D0D0D" w:themeColor="text1" w:themeTint="F2"/>
                <w:spacing w:val="-4"/>
                <w:sz w:val="14"/>
                <w:szCs w:val="14"/>
                <w:lang w:val="en-GB"/>
              </w:rPr>
              <w:t xml:space="preserve">                                                                                                                                                         </w:t>
            </w:r>
            <w:r w:rsidR="00465862">
              <w:rPr>
                <w:rFonts w:cs="Arial"/>
                <w:color w:val="0D0D0D" w:themeColor="text1" w:themeTint="F2"/>
                <w:spacing w:val="-4"/>
                <w:sz w:val="14"/>
                <w:szCs w:val="14"/>
                <w:lang w:val="en-GB"/>
              </w:rPr>
              <w:t xml:space="preserve">                   Source: CZSO</w:t>
            </w:r>
          </w:p>
        </w:tc>
      </w:tr>
    </w:tbl>
    <w:p w14:paraId="6FD91E5A" w14:textId="1416C17B" w:rsidR="00106BCC" w:rsidRPr="006E725C" w:rsidRDefault="00106BCC" w:rsidP="00DD6D0C">
      <w:pPr>
        <w:pStyle w:val="Nadpis11"/>
        <w:rPr>
          <w:sz w:val="2"/>
          <w:szCs w:val="2"/>
          <w:lang w:val="en-GB"/>
        </w:rPr>
      </w:pPr>
      <w:bookmarkStart w:id="3" w:name="_GoBack"/>
      <w:bookmarkEnd w:id="2"/>
      <w:bookmarkEnd w:id="0"/>
      <w:bookmarkEnd w:id="3"/>
    </w:p>
    <w:sectPr w:rsidR="00106BCC" w:rsidRPr="006E725C" w:rsidSect="00DD6D0C">
      <w:headerReference w:type="even" r:id="rId17"/>
      <w:headerReference w:type="default" r:id="rId18"/>
      <w:footerReference w:type="even" r:id="rId19"/>
      <w:footerReference w:type="default" r:id="rId20"/>
      <w:pgSz w:w="11906" w:h="16838" w:code="9"/>
      <w:pgMar w:top="1134" w:right="1134" w:bottom="1418" w:left="1134" w:header="680" w:footer="73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8A0A471"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D6D0C">
      <w:rPr>
        <w:szCs w:val="16"/>
      </w:rPr>
      <w:t>22</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A45502F"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D6D0C">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309857BE" w14:textId="39028D34" w:rsidR="003B4260" w:rsidRPr="008E7039" w:rsidRDefault="003B4260" w:rsidP="008E7039">
      <w:pPr>
        <w:pStyle w:val="Textpoznpodarou"/>
        <w:jc w:val="both"/>
        <w:rPr>
          <w:rFonts w:cs="Arial"/>
          <w:color w:val="0D0D0D" w:themeColor="text1" w:themeTint="F2"/>
          <w:spacing w:val="-2"/>
          <w:sz w:val="16"/>
          <w:szCs w:val="16"/>
          <w:lang w:val="en-GB"/>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w:t>
      </w:r>
      <w:r w:rsidRPr="008E7039">
        <w:rPr>
          <w:rFonts w:cs="Arial"/>
          <w:color w:val="0D0D0D" w:themeColor="text1" w:themeTint="F2"/>
          <w:spacing w:val="-2"/>
          <w:sz w:val="16"/>
          <w:szCs w:val="16"/>
          <w:lang w:val="en-GB"/>
        </w:rPr>
        <w:t xml:space="preserve">Data regarding GVA are expressed in constant prices and adjusted for both seasonal and calendar effects. </w:t>
      </w:r>
    </w:p>
  </w:footnote>
  <w:footnote w:id="2">
    <w:p w14:paraId="5F6ADF1A" w14:textId="068F86EF" w:rsidR="003B4260" w:rsidRPr="008E7039" w:rsidRDefault="003B4260" w:rsidP="008E7039">
      <w:pPr>
        <w:pStyle w:val="Textpoznpodarou"/>
        <w:jc w:val="both"/>
        <w:rPr>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Include p</w:t>
      </w:r>
      <w:r w:rsidRPr="00DB4BF1">
        <w:rPr>
          <w:sz w:val="16"/>
          <w:szCs w:val="16"/>
          <w:lang w:val="en-GB"/>
        </w:rPr>
        <w:t>ublic administration, education, health and social work</w:t>
      </w:r>
      <w:r>
        <w:rPr>
          <w:sz w:val="16"/>
          <w:szCs w:val="16"/>
          <w:lang w:val="en-GB"/>
        </w:rPr>
        <w:t xml:space="preserve">. </w:t>
      </w:r>
    </w:p>
  </w:footnote>
  <w:footnote w:id="3">
    <w:p w14:paraId="21FDCDF0" w14:textId="2D936466" w:rsidR="003B4260" w:rsidRPr="008E7039" w:rsidRDefault="003B4260" w:rsidP="00C04DD9">
      <w:pPr>
        <w:pStyle w:val="Textpoznpodarou"/>
        <w:jc w:val="both"/>
        <w:rPr>
          <w:sz w:val="16"/>
          <w:szCs w:val="16"/>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 xml:space="preserve">At the same time, mining and energy industry were crimping the GVA growth in the whole economy the most among all main branches already in year </w:t>
      </w:r>
      <w:r w:rsidRPr="008E7039">
        <w:rPr>
          <w:sz w:val="16"/>
          <w:szCs w:val="16"/>
          <w:lang w:val="en-GB"/>
        </w:rPr>
        <w:t>2022 (−1</w:t>
      </w:r>
      <w:r>
        <w:rPr>
          <w:sz w:val="16"/>
          <w:szCs w:val="16"/>
          <w:lang w:val="en-GB"/>
        </w:rPr>
        <w:t>.</w:t>
      </w:r>
      <w:r w:rsidRPr="008E7039">
        <w:rPr>
          <w:sz w:val="16"/>
          <w:szCs w:val="16"/>
          <w:lang w:val="en-GB"/>
        </w:rPr>
        <w:t>2 p.</w:t>
      </w:r>
      <w:r>
        <w:rPr>
          <w:sz w:val="16"/>
          <w:szCs w:val="16"/>
          <w:lang w:val="en-GB"/>
        </w:rPr>
        <w:t>p</w:t>
      </w:r>
      <w:r w:rsidRPr="008E7039">
        <w:rPr>
          <w:sz w:val="16"/>
          <w:szCs w:val="16"/>
          <w:lang w:val="en-GB"/>
        </w:rPr>
        <w:t xml:space="preserve">.). </w:t>
      </w:r>
      <w:r>
        <w:rPr>
          <w:sz w:val="16"/>
          <w:szCs w:val="16"/>
          <w:lang w:val="en-GB"/>
        </w:rPr>
        <w:t xml:space="preserve">Value added created achieved in this industry last year only one half of the level from year </w:t>
      </w:r>
      <w:r w:rsidRPr="008E7039">
        <w:rPr>
          <w:sz w:val="16"/>
          <w:szCs w:val="16"/>
          <w:lang w:val="en-GB"/>
        </w:rPr>
        <w:t>2019.</w:t>
      </w:r>
    </w:p>
  </w:footnote>
  <w:footnote w:id="4">
    <w:p w14:paraId="20D2381F" w14:textId="5FD085DF" w:rsidR="003B4260" w:rsidRPr="008E7039" w:rsidRDefault="003B4260" w:rsidP="008E7039">
      <w:pPr>
        <w:pStyle w:val="Textpoznpodarou"/>
        <w:jc w:val="both"/>
        <w:rPr>
          <w:sz w:val="16"/>
          <w:szCs w:val="16"/>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 xml:space="preserve">Direct purchase of milk from the producers expanded </w:t>
      </w:r>
      <w:r w:rsidRPr="008E7039">
        <w:rPr>
          <w:sz w:val="16"/>
          <w:szCs w:val="16"/>
          <w:lang w:val="en-GB"/>
        </w:rPr>
        <w:t>(</w:t>
      </w:r>
      <w:r>
        <w:rPr>
          <w:sz w:val="16"/>
          <w:szCs w:val="16"/>
          <w:lang w:val="en-GB"/>
        </w:rPr>
        <w:t xml:space="preserve">in the </w:t>
      </w:r>
      <w:r w:rsidRPr="00622EFA">
        <w:rPr>
          <w:sz w:val="16"/>
          <w:szCs w:val="16"/>
          <w:lang w:val="en-GB"/>
        </w:rPr>
        <w:t>physical quantity</w:t>
      </w:r>
      <w:r>
        <w:rPr>
          <w:sz w:val="16"/>
          <w:szCs w:val="16"/>
          <w:lang w:val="en-GB"/>
        </w:rPr>
        <w:t xml:space="preserve"> - </w:t>
      </w:r>
      <w:r w:rsidRPr="00622EFA">
        <w:rPr>
          <w:sz w:val="16"/>
          <w:szCs w:val="16"/>
          <w:lang w:val="en-GB"/>
        </w:rPr>
        <w:t>litres</w:t>
      </w:r>
      <w:r w:rsidRPr="008E7039">
        <w:rPr>
          <w:sz w:val="16"/>
          <w:szCs w:val="16"/>
          <w:lang w:val="en-GB"/>
        </w:rPr>
        <w:t>)</w:t>
      </w:r>
      <w:r>
        <w:rPr>
          <w:sz w:val="16"/>
          <w:szCs w:val="16"/>
          <w:lang w:val="en-GB"/>
        </w:rPr>
        <w:t xml:space="preserve"> by 1.6% year-on-year last year. Last year</w:t>
      </w:r>
      <w:r>
        <w:rPr>
          <w:sz w:val="16"/>
          <w:szCs w:val="16"/>
          <w:lang w:val="en-US"/>
        </w:rPr>
        <w:t>’</w:t>
      </w:r>
      <w:r w:rsidRPr="007601AE">
        <w:rPr>
          <w:sz w:val="16"/>
          <w:szCs w:val="16"/>
          <w:lang w:val="en-US"/>
        </w:rPr>
        <w:t xml:space="preserve">s production of meat in slaughterhouses reached </w:t>
      </w:r>
      <w:r w:rsidRPr="008E7039">
        <w:rPr>
          <w:sz w:val="16"/>
          <w:szCs w:val="16"/>
          <w:lang w:val="en-GB"/>
        </w:rPr>
        <w:t>435</w:t>
      </w:r>
      <w:r>
        <w:rPr>
          <w:sz w:val="16"/>
          <w:szCs w:val="16"/>
          <w:lang w:val="en-GB"/>
        </w:rPr>
        <w:t>.</w:t>
      </w:r>
      <w:r w:rsidRPr="008E7039">
        <w:rPr>
          <w:sz w:val="16"/>
          <w:szCs w:val="16"/>
          <w:lang w:val="en-GB"/>
        </w:rPr>
        <w:t>9</w:t>
      </w:r>
      <w:r>
        <w:rPr>
          <w:sz w:val="16"/>
          <w:szCs w:val="16"/>
          <w:lang w:val="en-GB"/>
        </w:rPr>
        <w:t xml:space="preserve"> thousand tons </w:t>
      </w:r>
      <w:r w:rsidRPr="008E7039">
        <w:rPr>
          <w:sz w:val="16"/>
          <w:szCs w:val="16"/>
          <w:lang w:val="en-GB"/>
        </w:rPr>
        <w:t>(</w:t>
      </w:r>
      <w:r>
        <w:rPr>
          <w:sz w:val="16"/>
          <w:szCs w:val="16"/>
          <w:lang w:val="en-GB"/>
        </w:rPr>
        <w:t>the least in the history of the independent CR</w:t>
      </w:r>
      <w:r w:rsidRPr="008E7039">
        <w:rPr>
          <w:sz w:val="16"/>
          <w:szCs w:val="16"/>
          <w:lang w:val="en-GB"/>
        </w:rPr>
        <w:t xml:space="preserve">). </w:t>
      </w:r>
      <w:r>
        <w:rPr>
          <w:sz w:val="16"/>
          <w:szCs w:val="16"/>
          <w:lang w:val="en-GB"/>
        </w:rPr>
        <w:t xml:space="preserve">The decline was driven mainly by the lower production of the pork meat last year (similarly to year </w:t>
      </w:r>
      <w:r w:rsidRPr="008E7039">
        <w:rPr>
          <w:sz w:val="16"/>
          <w:szCs w:val="16"/>
          <w:lang w:val="en-GB"/>
        </w:rPr>
        <w:t>2022</w:t>
      </w:r>
      <w:r>
        <w:rPr>
          <w:sz w:val="16"/>
          <w:szCs w:val="16"/>
          <w:lang w:val="en-GB"/>
        </w:rPr>
        <w:t xml:space="preserve">), on the contrary a mild increase occurred for the beef meat in year </w:t>
      </w:r>
      <w:r w:rsidRPr="008E7039">
        <w:rPr>
          <w:sz w:val="16"/>
          <w:szCs w:val="16"/>
          <w:lang w:val="en-GB"/>
        </w:rPr>
        <w:t xml:space="preserve">2023. </w:t>
      </w:r>
      <w:r>
        <w:rPr>
          <w:sz w:val="16"/>
          <w:szCs w:val="16"/>
          <w:lang w:val="en-GB"/>
        </w:rPr>
        <w:t>Gross domestic production (i.e. the total supplies from the Czech farms to slaughterhouses - both local and abroad</w:t>
      </w:r>
      <w:r w:rsidRPr="008E7039">
        <w:rPr>
          <w:sz w:val="16"/>
          <w:szCs w:val="16"/>
          <w:lang w:val="en-GB"/>
        </w:rPr>
        <w:t>)</w:t>
      </w:r>
      <w:r>
        <w:rPr>
          <w:sz w:val="16"/>
          <w:szCs w:val="16"/>
          <w:lang w:val="en-GB"/>
        </w:rPr>
        <w:t xml:space="preserve"> plunged by </w:t>
      </w:r>
      <w:r w:rsidRPr="008E7039">
        <w:rPr>
          <w:sz w:val="16"/>
          <w:szCs w:val="16"/>
          <w:lang w:val="en-GB"/>
        </w:rPr>
        <w:t>7</w:t>
      </w:r>
      <w:r>
        <w:rPr>
          <w:sz w:val="16"/>
          <w:szCs w:val="16"/>
          <w:lang w:val="en-GB"/>
        </w:rPr>
        <w:t>.</w:t>
      </w:r>
      <w:r w:rsidRPr="008E7039">
        <w:rPr>
          <w:sz w:val="16"/>
          <w:szCs w:val="16"/>
          <w:lang w:val="en-GB"/>
        </w:rPr>
        <w:t>6%</w:t>
      </w:r>
      <w:r>
        <w:rPr>
          <w:sz w:val="16"/>
          <w:szCs w:val="16"/>
          <w:lang w:val="en-GB"/>
        </w:rPr>
        <w:t xml:space="preserve"> for the pork meat year-on-year last year</w:t>
      </w:r>
      <w:r w:rsidRPr="008E7039">
        <w:rPr>
          <w:sz w:val="16"/>
          <w:szCs w:val="16"/>
          <w:lang w:val="en-GB"/>
        </w:rPr>
        <w:t xml:space="preserve"> (</w:t>
      </w:r>
      <w:r>
        <w:rPr>
          <w:sz w:val="16"/>
          <w:szCs w:val="16"/>
          <w:lang w:val="en-GB"/>
        </w:rPr>
        <w:t xml:space="preserve">it fell by 5.6% in year </w:t>
      </w:r>
      <w:r w:rsidRPr="008E7039">
        <w:rPr>
          <w:sz w:val="16"/>
          <w:szCs w:val="16"/>
          <w:lang w:val="en-GB"/>
        </w:rPr>
        <w:t>202</w:t>
      </w:r>
      <w:r>
        <w:rPr>
          <w:sz w:val="16"/>
          <w:szCs w:val="16"/>
          <w:lang w:val="en-GB"/>
        </w:rPr>
        <w:t>2).</w:t>
      </w:r>
      <w:r w:rsidRPr="008E7039">
        <w:rPr>
          <w:sz w:val="16"/>
          <w:szCs w:val="16"/>
          <w:lang w:val="en-GB"/>
        </w:rPr>
        <w:t xml:space="preserve"> </w:t>
      </w:r>
      <w:r>
        <w:rPr>
          <w:sz w:val="16"/>
          <w:szCs w:val="16"/>
          <w:lang w:val="en-GB"/>
        </w:rPr>
        <w:t xml:space="preserve">On the contrary for the beef meat it increased by </w:t>
      </w:r>
      <w:r w:rsidRPr="008E7039">
        <w:rPr>
          <w:sz w:val="16"/>
          <w:szCs w:val="16"/>
          <w:lang w:val="en-GB"/>
        </w:rPr>
        <w:t>3</w:t>
      </w:r>
      <w:r>
        <w:rPr>
          <w:sz w:val="16"/>
          <w:szCs w:val="16"/>
          <w:lang w:val="en-GB"/>
        </w:rPr>
        <w:t>.</w:t>
      </w:r>
      <w:r w:rsidRPr="008E7039">
        <w:rPr>
          <w:sz w:val="16"/>
          <w:szCs w:val="16"/>
          <w:lang w:val="en-GB"/>
        </w:rPr>
        <w:t>2% (</w:t>
      </w:r>
      <w:r>
        <w:rPr>
          <w:sz w:val="16"/>
          <w:szCs w:val="16"/>
          <w:lang w:val="en-GB"/>
        </w:rPr>
        <w:t xml:space="preserve">it however fell by </w:t>
      </w:r>
      <w:r w:rsidRPr="008E7039">
        <w:rPr>
          <w:sz w:val="16"/>
          <w:szCs w:val="16"/>
          <w:lang w:val="en-GB"/>
        </w:rPr>
        <w:t>1</w:t>
      </w:r>
      <w:r>
        <w:rPr>
          <w:sz w:val="16"/>
          <w:szCs w:val="16"/>
          <w:lang w:val="en-GB"/>
        </w:rPr>
        <w:t>.</w:t>
      </w:r>
      <w:r w:rsidRPr="008E7039">
        <w:rPr>
          <w:sz w:val="16"/>
          <w:szCs w:val="16"/>
          <w:lang w:val="en-GB"/>
        </w:rPr>
        <w:t>6%</w:t>
      </w:r>
      <w:r>
        <w:rPr>
          <w:sz w:val="16"/>
          <w:szCs w:val="16"/>
          <w:lang w:val="en-GB"/>
        </w:rPr>
        <w:t xml:space="preserve"> the year before last</w:t>
      </w:r>
      <w:r w:rsidRPr="008E7039">
        <w:rPr>
          <w:sz w:val="16"/>
          <w:szCs w:val="16"/>
          <w:lang w:val="en-GB"/>
        </w:rPr>
        <w:t>) a</w:t>
      </w:r>
      <w:r>
        <w:rPr>
          <w:sz w:val="16"/>
          <w:szCs w:val="16"/>
          <w:lang w:val="en-GB"/>
        </w:rPr>
        <w:t xml:space="preserve">nd for the poultry it stagnated </w:t>
      </w:r>
      <w:r w:rsidRPr="008E7039">
        <w:rPr>
          <w:sz w:val="16"/>
          <w:szCs w:val="16"/>
          <w:lang w:val="en-GB"/>
        </w:rPr>
        <w:t>(</w:t>
      </w:r>
      <w:r>
        <w:rPr>
          <w:sz w:val="16"/>
          <w:szCs w:val="16"/>
          <w:lang w:val="en-GB"/>
        </w:rPr>
        <w:t xml:space="preserve">the same in year </w:t>
      </w:r>
      <w:r w:rsidRPr="008E7039">
        <w:rPr>
          <w:sz w:val="16"/>
          <w:szCs w:val="16"/>
          <w:lang w:val="en-GB"/>
        </w:rPr>
        <w:t>2022).</w:t>
      </w:r>
    </w:p>
  </w:footnote>
  <w:footnote w:id="5">
    <w:p w14:paraId="3BBFBF20" w14:textId="40C2200F" w:rsidR="003B4260" w:rsidRPr="008E7039" w:rsidRDefault="003B4260" w:rsidP="008E7039">
      <w:pPr>
        <w:pStyle w:val="Textpoznpodarou"/>
        <w:jc w:val="both"/>
        <w:rPr>
          <w:sz w:val="16"/>
          <w:szCs w:val="16"/>
          <w:lang w:val="en-GB"/>
        </w:rPr>
      </w:pPr>
      <w:r w:rsidRPr="008E7039">
        <w:rPr>
          <w:rStyle w:val="Znakapoznpodarou"/>
          <w:sz w:val="16"/>
          <w:szCs w:val="16"/>
          <w:lang w:val="en-GB"/>
        </w:rPr>
        <w:footnoteRef/>
      </w:r>
      <w:r w:rsidRPr="008E7039">
        <w:rPr>
          <w:rStyle w:val="Znakapoznpodarou"/>
          <w:sz w:val="16"/>
          <w:szCs w:val="16"/>
          <w:lang w:val="en-GB"/>
        </w:rPr>
        <w:t xml:space="preserve"> </w:t>
      </w:r>
      <w:r>
        <w:rPr>
          <w:sz w:val="16"/>
          <w:szCs w:val="16"/>
          <w:lang w:val="en-GB"/>
        </w:rPr>
        <w:t xml:space="preserve">The harvest of all cereals attained </w:t>
      </w:r>
      <w:r w:rsidRPr="008E7039">
        <w:rPr>
          <w:sz w:val="16"/>
          <w:szCs w:val="16"/>
          <w:lang w:val="en-GB"/>
        </w:rPr>
        <w:t>7</w:t>
      </w:r>
      <w:r>
        <w:rPr>
          <w:sz w:val="16"/>
          <w:szCs w:val="16"/>
          <w:lang w:val="en-GB"/>
        </w:rPr>
        <w:t>.</w:t>
      </w:r>
      <w:r w:rsidRPr="008E7039">
        <w:rPr>
          <w:sz w:val="16"/>
          <w:szCs w:val="16"/>
          <w:lang w:val="en-GB"/>
        </w:rPr>
        <w:t>996</w:t>
      </w:r>
      <w:r>
        <w:rPr>
          <w:sz w:val="16"/>
          <w:szCs w:val="16"/>
          <w:lang w:val="en-GB"/>
        </w:rPr>
        <w:t xml:space="preserve"> mil tons last year </w:t>
      </w:r>
      <w:r w:rsidRPr="008E7039">
        <w:rPr>
          <w:sz w:val="16"/>
          <w:szCs w:val="16"/>
          <w:lang w:val="en-GB"/>
        </w:rPr>
        <w:t>(</w:t>
      </w:r>
      <w:r>
        <w:rPr>
          <w:sz w:val="16"/>
          <w:szCs w:val="16"/>
          <w:lang w:val="en-GB"/>
        </w:rPr>
        <w:t xml:space="preserve">with yield per hectare </w:t>
      </w:r>
      <w:r w:rsidRPr="008E7039">
        <w:rPr>
          <w:sz w:val="16"/>
          <w:szCs w:val="16"/>
          <w:lang w:val="en-GB"/>
        </w:rPr>
        <w:t>6</w:t>
      </w:r>
      <w:r>
        <w:rPr>
          <w:sz w:val="16"/>
          <w:szCs w:val="16"/>
          <w:lang w:val="en-GB"/>
        </w:rPr>
        <w:t>.</w:t>
      </w:r>
      <w:r w:rsidRPr="008E7039">
        <w:rPr>
          <w:sz w:val="16"/>
          <w:szCs w:val="16"/>
          <w:lang w:val="en-GB"/>
        </w:rPr>
        <w:t xml:space="preserve">07 t/ha). </w:t>
      </w:r>
      <w:r>
        <w:rPr>
          <w:sz w:val="16"/>
          <w:szCs w:val="16"/>
          <w:lang w:val="en-GB"/>
        </w:rPr>
        <w:t xml:space="preserve">The harvest is lower year-on-year by </w:t>
      </w:r>
      <w:r w:rsidRPr="008E7039">
        <w:rPr>
          <w:sz w:val="16"/>
          <w:szCs w:val="16"/>
          <w:lang w:val="en-GB"/>
        </w:rPr>
        <w:t>2</w:t>
      </w:r>
      <w:r>
        <w:rPr>
          <w:sz w:val="16"/>
          <w:szCs w:val="16"/>
          <w:lang w:val="en-GB"/>
        </w:rPr>
        <w:t>.</w:t>
      </w:r>
      <w:r w:rsidRPr="008E7039">
        <w:rPr>
          <w:sz w:val="16"/>
          <w:szCs w:val="16"/>
          <w:lang w:val="en-GB"/>
        </w:rPr>
        <w:t>7%,</w:t>
      </w:r>
      <w:r>
        <w:rPr>
          <w:sz w:val="16"/>
          <w:szCs w:val="16"/>
          <w:lang w:val="en-GB"/>
        </w:rPr>
        <w:t xml:space="preserve"> it however exceeds the 5-year average </w:t>
      </w:r>
      <w:r w:rsidRPr="008E7039">
        <w:rPr>
          <w:sz w:val="16"/>
          <w:szCs w:val="16"/>
          <w:lang w:val="en-GB"/>
        </w:rPr>
        <w:t>(+2</w:t>
      </w:r>
      <w:r>
        <w:rPr>
          <w:sz w:val="16"/>
          <w:szCs w:val="16"/>
          <w:lang w:val="en-GB"/>
        </w:rPr>
        <w:t>.</w:t>
      </w:r>
      <w:r w:rsidRPr="008E7039">
        <w:rPr>
          <w:sz w:val="16"/>
          <w:szCs w:val="16"/>
          <w:lang w:val="en-GB"/>
        </w:rPr>
        <w:t>0%,</w:t>
      </w:r>
      <w:r>
        <w:rPr>
          <w:sz w:val="16"/>
          <w:szCs w:val="16"/>
          <w:lang w:val="en-GB"/>
        </w:rPr>
        <w:t xml:space="preserve"> in that wheat </w:t>
      </w:r>
      <w:r w:rsidRPr="008E7039">
        <w:rPr>
          <w:sz w:val="16"/>
          <w:szCs w:val="16"/>
          <w:lang w:val="en-GB"/>
        </w:rPr>
        <w:t>+8</w:t>
      </w:r>
      <w:r>
        <w:rPr>
          <w:sz w:val="16"/>
          <w:szCs w:val="16"/>
          <w:lang w:val="en-GB"/>
        </w:rPr>
        <w:t>.</w:t>
      </w:r>
      <w:r w:rsidRPr="008E7039">
        <w:rPr>
          <w:sz w:val="16"/>
          <w:szCs w:val="16"/>
          <w:lang w:val="en-GB"/>
        </w:rPr>
        <w:t xml:space="preserve">4%). </w:t>
      </w:r>
      <w:r>
        <w:rPr>
          <w:sz w:val="16"/>
          <w:szCs w:val="16"/>
          <w:lang w:val="en-GB"/>
        </w:rPr>
        <w:t xml:space="preserve">The year-on-year decrease of harvest was also recorded for the grain legumes </w:t>
      </w:r>
      <w:r w:rsidRPr="008E7039">
        <w:rPr>
          <w:sz w:val="16"/>
          <w:szCs w:val="16"/>
          <w:lang w:val="en-GB"/>
        </w:rPr>
        <w:t>(−9</w:t>
      </w:r>
      <w:r>
        <w:rPr>
          <w:sz w:val="16"/>
          <w:szCs w:val="16"/>
          <w:lang w:val="en-GB"/>
        </w:rPr>
        <w:t>.</w:t>
      </w:r>
      <w:r w:rsidRPr="008E7039">
        <w:rPr>
          <w:sz w:val="16"/>
          <w:szCs w:val="16"/>
          <w:lang w:val="en-GB"/>
        </w:rPr>
        <w:t xml:space="preserve">9%), </w:t>
      </w:r>
      <w:r>
        <w:rPr>
          <w:sz w:val="16"/>
          <w:szCs w:val="16"/>
          <w:lang w:val="en-GB"/>
        </w:rPr>
        <w:t xml:space="preserve">potatoes </w:t>
      </w:r>
      <w:r w:rsidRPr="008E7039">
        <w:rPr>
          <w:sz w:val="16"/>
          <w:szCs w:val="16"/>
          <w:lang w:val="en-GB"/>
        </w:rPr>
        <w:t>(−12</w:t>
      </w:r>
      <w:r>
        <w:rPr>
          <w:sz w:val="16"/>
          <w:szCs w:val="16"/>
          <w:lang w:val="en-GB"/>
        </w:rPr>
        <w:t>.</w:t>
      </w:r>
      <w:r w:rsidRPr="008E7039">
        <w:rPr>
          <w:sz w:val="16"/>
          <w:szCs w:val="16"/>
          <w:lang w:val="en-GB"/>
        </w:rPr>
        <w:t xml:space="preserve">4%), </w:t>
      </w:r>
      <w:r>
        <w:rPr>
          <w:sz w:val="16"/>
          <w:szCs w:val="16"/>
          <w:lang w:val="en-GB"/>
        </w:rPr>
        <w:t xml:space="preserve">sugar beet </w:t>
      </w:r>
      <w:r w:rsidRPr="008E7039">
        <w:rPr>
          <w:sz w:val="16"/>
          <w:szCs w:val="16"/>
          <w:lang w:val="en-GB"/>
        </w:rPr>
        <w:t>(−5</w:t>
      </w:r>
      <w:r>
        <w:rPr>
          <w:sz w:val="16"/>
          <w:szCs w:val="16"/>
          <w:lang w:val="en-GB"/>
        </w:rPr>
        <w:t>.</w:t>
      </w:r>
      <w:r w:rsidRPr="008E7039">
        <w:rPr>
          <w:sz w:val="16"/>
          <w:szCs w:val="16"/>
          <w:lang w:val="en-GB"/>
        </w:rPr>
        <w:t xml:space="preserve">5%), </w:t>
      </w:r>
      <w:r>
        <w:rPr>
          <w:sz w:val="16"/>
          <w:szCs w:val="16"/>
          <w:lang w:val="en-GB"/>
        </w:rPr>
        <w:t xml:space="preserve">forage crops </w:t>
      </w:r>
      <w:r w:rsidRPr="008E7039">
        <w:rPr>
          <w:sz w:val="16"/>
          <w:szCs w:val="16"/>
          <w:lang w:val="en-GB"/>
        </w:rPr>
        <w:t>(−6</w:t>
      </w:r>
      <w:r>
        <w:rPr>
          <w:sz w:val="16"/>
          <w:szCs w:val="16"/>
          <w:lang w:val="en-GB"/>
        </w:rPr>
        <w:t>.</w:t>
      </w:r>
      <w:r w:rsidRPr="008E7039">
        <w:rPr>
          <w:sz w:val="16"/>
          <w:szCs w:val="16"/>
          <w:lang w:val="en-GB"/>
        </w:rPr>
        <w:t xml:space="preserve">3%), </w:t>
      </w:r>
      <w:r>
        <w:rPr>
          <w:sz w:val="16"/>
          <w:szCs w:val="16"/>
          <w:lang w:val="en-GB"/>
        </w:rPr>
        <w:t xml:space="preserve">grape </w:t>
      </w:r>
      <w:r w:rsidRPr="008E7039">
        <w:rPr>
          <w:sz w:val="16"/>
          <w:szCs w:val="16"/>
          <w:lang w:val="en-GB"/>
        </w:rPr>
        <w:t>(−16</w:t>
      </w:r>
      <w:r>
        <w:rPr>
          <w:sz w:val="16"/>
          <w:szCs w:val="16"/>
          <w:lang w:val="en-GB"/>
        </w:rPr>
        <w:t>.</w:t>
      </w:r>
      <w:r w:rsidRPr="008E7039">
        <w:rPr>
          <w:sz w:val="16"/>
          <w:szCs w:val="16"/>
          <w:lang w:val="en-GB"/>
        </w:rPr>
        <w:t xml:space="preserve">1%) </w:t>
      </w:r>
      <w:r>
        <w:rPr>
          <w:sz w:val="16"/>
          <w:szCs w:val="16"/>
          <w:lang w:val="en-GB"/>
        </w:rPr>
        <w:t xml:space="preserve">as well as fruit </w:t>
      </w:r>
      <w:r w:rsidRPr="008E7039">
        <w:rPr>
          <w:sz w:val="16"/>
          <w:szCs w:val="16"/>
          <w:lang w:val="en-GB"/>
        </w:rPr>
        <w:t>(−22</w:t>
      </w:r>
      <w:r>
        <w:rPr>
          <w:sz w:val="16"/>
          <w:szCs w:val="16"/>
          <w:lang w:val="en-GB"/>
        </w:rPr>
        <w:t>.</w:t>
      </w:r>
      <w:r w:rsidRPr="008E7039">
        <w:rPr>
          <w:sz w:val="16"/>
          <w:szCs w:val="16"/>
          <w:lang w:val="en-GB"/>
        </w:rPr>
        <w:t xml:space="preserve">7%). </w:t>
      </w:r>
      <w:r>
        <w:rPr>
          <w:sz w:val="16"/>
          <w:szCs w:val="16"/>
          <w:lang w:val="en-GB"/>
        </w:rPr>
        <w:t xml:space="preserve">The harvest of oil plants </w:t>
      </w:r>
      <w:r w:rsidRPr="008E7039">
        <w:rPr>
          <w:sz w:val="16"/>
          <w:szCs w:val="16"/>
          <w:lang w:val="en-GB"/>
        </w:rPr>
        <w:t>(+9</w:t>
      </w:r>
      <w:r>
        <w:rPr>
          <w:sz w:val="16"/>
          <w:szCs w:val="16"/>
          <w:lang w:val="en-GB"/>
        </w:rPr>
        <w:t>.</w:t>
      </w:r>
      <w:r w:rsidRPr="008E7039">
        <w:rPr>
          <w:sz w:val="16"/>
          <w:szCs w:val="16"/>
          <w:lang w:val="en-GB"/>
        </w:rPr>
        <w:t xml:space="preserve">4%), </w:t>
      </w:r>
      <w:r>
        <w:rPr>
          <w:sz w:val="16"/>
          <w:szCs w:val="16"/>
          <w:lang w:val="en-GB"/>
        </w:rPr>
        <w:t xml:space="preserve">vegetable </w:t>
      </w:r>
      <w:r w:rsidRPr="008E7039">
        <w:rPr>
          <w:sz w:val="16"/>
          <w:szCs w:val="16"/>
          <w:lang w:val="en-GB"/>
        </w:rPr>
        <w:t>(+15</w:t>
      </w:r>
      <w:r>
        <w:rPr>
          <w:sz w:val="16"/>
          <w:szCs w:val="16"/>
          <w:lang w:val="en-GB"/>
        </w:rPr>
        <w:t>.</w:t>
      </w:r>
      <w:r w:rsidRPr="008E7039">
        <w:rPr>
          <w:sz w:val="16"/>
          <w:szCs w:val="16"/>
          <w:lang w:val="en-GB"/>
        </w:rPr>
        <w:t>4%) a</w:t>
      </w:r>
      <w:r>
        <w:rPr>
          <w:sz w:val="16"/>
          <w:szCs w:val="16"/>
          <w:lang w:val="en-GB"/>
        </w:rPr>
        <w:t xml:space="preserve">nd hops </w:t>
      </w:r>
      <w:r w:rsidRPr="008E7039">
        <w:rPr>
          <w:sz w:val="16"/>
          <w:szCs w:val="16"/>
          <w:lang w:val="en-GB"/>
        </w:rPr>
        <w:t>(+57</w:t>
      </w:r>
      <w:r>
        <w:rPr>
          <w:sz w:val="16"/>
          <w:szCs w:val="16"/>
          <w:lang w:val="en-GB"/>
        </w:rPr>
        <w:t>.</w:t>
      </w:r>
      <w:r w:rsidRPr="008E7039">
        <w:rPr>
          <w:sz w:val="16"/>
          <w:szCs w:val="16"/>
          <w:lang w:val="en-GB"/>
        </w:rPr>
        <w:t xml:space="preserve">2%). </w:t>
      </w:r>
      <w:r>
        <w:rPr>
          <w:sz w:val="16"/>
          <w:szCs w:val="16"/>
          <w:lang w:val="en-GB"/>
        </w:rPr>
        <w:t>In comparison to the 2018-2022 average, the last year</w:t>
      </w:r>
      <w:r>
        <w:rPr>
          <w:sz w:val="16"/>
          <w:szCs w:val="16"/>
          <w:lang w:val="en-US"/>
        </w:rPr>
        <w:t>’</w:t>
      </w:r>
      <w:r w:rsidRPr="00572FDF">
        <w:rPr>
          <w:sz w:val="16"/>
          <w:szCs w:val="16"/>
          <w:lang w:val="en-GB"/>
        </w:rPr>
        <w:t>s</w:t>
      </w:r>
      <w:r>
        <w:rPr>
          <w:sz w:val="16"/>
          <w:szCs w:val="16"/>
          <w:lang w:val="en-GB"/>
        </w:rPr>
        <w:t xml:space="preserve"> harvest can be assessed good for oil plants, legumes, </w:t>
      </w:r>
      <w:r>
        <w:rPr>
          <w:sz w:val="16"/>
          <w:szCs w:val="16"/>
        </w:rPr>
        <w:t xml:space="preserve">oilseed rape or hops. On the contrary, it was below-average for forage crops, grape and also potatoes </w:t>
      </w:r>
      <w:r w:rsidRPr="008E7039">
        <w:rPr>
          <w:sz w:val="16"/>
          <w:szCs w:val="16"/>
          <w:lang w:val="en-GB"/>
        </w:rPr>
        <w:t>(</w:t>
      </w:r>
      <w:r>
        <w:rPr>
          <w:sz w:val="16"/>
          <w:szCs w:val="16"/>
          <w:lang w:val="en-GB"/>
        </w:rPr>
        <w:t>first of all as a result of historically the smallest area planted</w:t>
      </w:r>
      <w:r w:rsidRPr="008E7039">
        <w:rPr>
          <w:sz w:val="16"/>
          <w:szCs w:val="16"/>
          <w:lang w:val="en-GB"/>
        </w:rPr>
        <w:t>).</w:t>
      </w:r>
    </w:p>
  </w:footnote>
  <w:footnote w:id="6">
    <w:p w14:paraId="4613FB80" w14:textId="0717B730" w:rsidR="003B4260" w:rsidRPr="00A26F8F" w:rsidRDefault="003B4260" w:rsidP="00057EC1">
      <w:pPr>
        <w:spacing w:after="0" w:line="240" w:lineRule="auto"/>
        <w:rPr>
          <w:rFonts w:cs="Arial"/>
          <w:color w:val="0D0D0D" w:themeColor="text1" w:themeTint="F2"/>
          <w:spacing w:val="-4"/>
          <w:sz w:val="16"/>
          <w:szCs w:val="16"/>
          <w:lang w:val="en-GB"/>
        </w:rPr>
      </w:pPr>
      <w:r w:rsidRPr="008C2F46">
        <w:rPr>
          <w:rStyle w:val="Znakapoznpodarou"/>
          <w:spacing w:val="-4"/>
          <w:sz w:val="16"/>
          <w:szCs w:val="16"/>
        </w:rPr>
        <w:footnoteRef/>
      </w:r>
      <w:r w:rsidRPr="008C2F46">
        <w:rPr>
          <w:spacing w:val="-4"/>
          <w:sz w:val="16"/>
          <w:szCs w:val="16"/>
        </w:rPr>
        <w:t xml:space="preserve"> </w:t>
      </w:r>
      <w:r w:rsidRPr="00B73D35">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are adjusted for calendar effects, quarter-on-quarter rates then also for seasonal effects.</w:t>
      </w:r>
    </w:p>
  </w:footnote>
  <w:footnote w:id="7">
    <w:p w14:paraId="07A44548" w14:textId="49CEF262" w:rsidR="003B4260" w:rsidRPr="00A26F8F" w:rsidRDefault="003B4260" w:rsidP="00A26F8F">
      <w:pPr>
        <w:pStyle w:val="Textpoznpodarou"/>
        <w:jc w:val="both"/>
        <w:rPr>
          <w:sz w:val="16"/>
          <w:szCs w:val="16"/>
          <w:lang w:val="en-GB"/>
        </w:rPr>
      </w:pPr>
      <w:r w:rsidRPr="00A26F8F">
        <w:rPr>
          <w:rStyle w:val="Znakapoznpodarou"/>
          <w:sz w:val="16"/>
          <w:szCs w:val="16"/>
          <w:lang w:val="en-GB"/>
        </w:rPr>
        <w:footnoteRef/>
      </w:r>
      <w:r w:rsidRPr="00A26F8F">
        <w:rPr>
          <w:sz w:val="16"/>
          <w:szCs w:val="16"/>
          <w:lang w:val="en-GB"/>
        </w:rPr>
        <w:t xml:space="preserve"> </w:t>
      </w:r>
      <w:r>
        <w:rPr>
          <w:sz w:val="16"/>
          <w:szCs w:val="16"/>
          <w:lang w:val="en-GB"/>
        </w:rPr>
        <w:t>Two thirds of industrial branches stayed behind their peak from the period of years 2</w:t>
      </w:r>
      <w:r w:rsidRPr="00A26F8F">
        <w:rPr>
          <w:sz w:val="16"/>
          <w:szCs w:val="16"/>
          <w:lang w:val="en-GB"/>
        </w:rPr>
        <w:t xml:space="preserve">015–2019 </w:t>
      </w:r>
      <w:r>
        <w:rPr>
          <w:sz w:val="16"/>
          <w:szCs w:val="16"/>
          <w:lang w:val="en-GB"/>
        </w:rPr>
        <w:t xml:space="preserve">in Q4 last year </w:t>
      </w:r>
      <w:r w:rsidRPr="00A26F8F">
        <w:rPr>
          <w:sz w:val="16"/>
          <w:szCs w:val="16"/>
          <w:lang w:val="en-GB"/>
        </w:rPr>
        <w:t xml:space="preserve">– </w:t>
      </w:r>
      <w:r>
        <w:rPr>
          <w:sz w:val="16"/>
          <w:szCs w:val="16"/>
          <w:lang w:val="en-GB"/>
        </w:rPr>
        <w:t xml:space="preserve">coal mining </w:t>
      </w:r>
      <w:r w:rsidRPr="00A26F8F">
        <w:rPr>
          <w:sz w:val="16"/>
          <w:szCs w:val="16"/>
          <w:lang w:val="en-GB"/>
        </w:rPr>
        <w:t>(</w:t>
      </w:r>
      <w:r>
        <w:rPr>
          <w:sz w:val="16"/>
          <w:szCs w:val="16"/>
          <w:lang w:val="en-GB"/>
        </w:rPr>
        <w:t xml:space="preserve">by </w:t>
      </w:r>
      <w:r w:rsidRPr="00A26F8F">
        <w:rPr>
          <w:sz w:val="16"/>
          <w:szCs w:val="16"/>
          <w:lang w:val="en-GB"/>
        </w:rPr>
        <w:t>59%),</w:t>
      </w:r>
      <w:r>
        <w:rPr>
          <w:sz w:val="16"/>
          <w:szCs w:val="16"/>
          <w:lang w:val="en-GB"/>
        </w:rPr>
        <w:t xml:space="preserve"> leatherworking </w:t>
      </w:r>
      <w:r w:rsidRPr="00A26F8F">
        <w:rPr>
          <w:sz w:val="16"/>
          <w:szCs w:val="16"/>
          <w:lang w:val="en-GB"/>
        </w:rPr>
        <w:t xml:space="preserve">(–29%), </w:t>
      </w:r>
      <w:r>
        <w:rPr>
          <w:sz w:val="16"/>
          <w:szCs w:val="16"/>
          <w:lang w:val="en-GB"/>
        </w:rPr>
        <w:t xml:space="preserve">metallurgy </w:t>
      </w:r>
      <w:r w:rsidRPr="00A26F8F">
        <w:rPr>
          <w:sz w:val="16"/>
          <w:szCs w:val="16"/>
          <w:lang w:val="en-GB"/>
        </w:rPr>
        <w:t xml:space="preserve">(–28%), </w:t>
      </w:r>
      <w:r>
        <w:rPr>
          <w:sz w:val="16"/>
          <w:szCs w:val="16"/>
          <w:lang w:val="en-GB"/>
        </w:rPr>
        <w:t xml:space="preserve">textile industry </w:t>
      </w:r>
      <w:r w:rsidRPr="00A26F8F">
        <w:rPr>
          <w:sz w:val="16"/>
          <w:szCs w:val="16"/>
          <w:lang w:val="en-GB"/>
        </w:rPr>
        <w:t xml:space="preserve">(–24%), </w:t>
      </w:r>
      <w:r>
        <w:rPr>
          <w:sz w:val="16"/>
          <w:szCs w:val="16"/>
          <w:lang w:val="en-GB"/>
        </w:rPr>
        <w:t xml:space="preserve">printing industry </w:t>
      </w:r>
      <w:r w:rsidRPr="00A26F8F">
        <w:rPr>
          <w:sz w:val="16"/>
          <w:szCs w:val="16"/>
          <w:lang w:val="en-GB"/>
        </w:rPr>
        <w:t>(–22%) a</w:t>
      </w:r>
      <w:r>
        <w:rPr>
          <w:sz w:val="16"/>
          <w:szCs w:val="16"/>
          <w:lang w:val="en-GB"/>
        </w:rPr>
        <w:t xml:space="preserve">nd energy industry </w:t>
      </w:r>
      <w:r w:rsidRPr="00A26F8F">
        <w:rPr>
          <w:sz w:val="16"/>
          <w:szCs w:val="16"/>
          <w:lang w:val="en-GB"/>
        </w:rPr>
        <w:t>(–19%)</w:t>
      </w:r>
      <w:r>
        <w:rPr>
          <w:sz w:val="16"/>
          <w:szCs w:val="16"/>
          <w:lang w:val="en-GB"/>
        </w:rPr>
        <w:t xml:space="preserve"> the most</w:t>
      </w:r>
      <w:r w:rsidRPr="00A26F8F">
        <w:rPr>
          <w:sz w:val="16"/>
          <w:szCs w:val="16"/>
          <w:lang w:val="en-GB"/>
        </w:rPr>
        <w:t xml:space="preserve">. </w:t>
      </w:r>
    </w:p>
  </w:footnote>
  <w:footnote w:id="8">
    <w:p w14:paraId="207B3A1D" w14:textId="77777777" w:rsidR="003B4260" w:rsidRPr="00A26F8F" w:rsidRDefault="003B4260" w:rsidP="00D66C85">
      <w:pPr>
        <w:pStyle w:val="Textpoznpodarou"/>
        <w:jc w:val="both"/>
        <w:rPr>
          <w:color w:val="0D0D0D" w:themeColor="text1" w:themeTint="F2"/>
          <w:sz w:val="16"/>
          <w:szCs w:val="16"/>
          <w:lang w:val="en-GB"/>
        </w:rPr>
      </w:pPr>
      <w:r w:rsidRPr="00A26F8F">
        <w:rPr>
          <w:rStyle w:val="Znakapoznpodarou"/>
          <w:color w:val="0D0D0D" w:themeColor="text1" w:themeTint="F2"/>
          <w:sz w:val="16"/>
          <w:szCs w:val="16"/>
          <w:lang w:val="en-GB"/>
        </w:rPr>
        <w:footnoteRef/>
      </w:r>
      <w:r w:rsidRPr="00A26F8F">
        <w:rPr>
          <w:color w:val="0D0D0D" w:themeColor="text1" w:themeTint="F2"/>
          <w:sz w:val="16"/>
          <w:szCs w:val="16"/>
          <w:lang w:val="en-GB"/>
        </w:rPr>
        <w:t xml:space="preserve"> </w:t>
      </w:r>
      <w:r>
        <w:rPr>
          <w:color w:val="0D0D0D" w:themeColor="text1" w:themeTint="F2"/>
          <w:sz w:val="16"/>
          <w:szCs w:val="16"/>
          <w:lang w:val="en-GB"/>
        </w:rPr>
        <w:t xml:space="preserve">Excluding contribution of this branch, the year-on-year industry decline in 2023 would approach </w:t>
      </w:r>
      <w:r w:rsidRPr="00A26F8F">
        <w:rPr>
          <w:color w:val="0D0D0D" w:themeColor="text1" w:themeTint="F2"/>
          <w:sz w:val="16"/>
          <w:szCs w:val="16"/>
          <w:lang w:val="en-GB"/>
        </w:rPr>
        <w:t>4%.</w:t>
      </w:r>
    </w:p>
  </w:footnote>
  <w:footnote w:id="9">
    <w:p w14:paraId="2EB12AD9" w14:textId="2EA8CAA8" w:rsidR="003B4260" w:rsidRPr="00A26F8F" w:rsidRDefault="003B4260" w:rsidP="00373FFC">
      <w:pPr>
        <w:pStyle w:val="Textpoznpodarou"/>
        <w:jc w:val="both"/>
        <w:rPr>
          <w:color w:val="0D0D0D" w:themeColor="text1" w:themeTint="F2"/>
          <w:sz w:val="16"/>
          <w:szCs w:val="16"/>
          <w:lang w:val="en-GB"/>
        </w:rPr>
      </w:pPr>
      <w:r w:rsidRPr="00A26F8F">
        <w:rPr>
          <w:rStyle w:val="Znakapoznpodarou"/>
          <w:color w:val="0D0D0D" w:themeColor="text1" w:themeTint="F2"/>
          <w:sz w:val="16"/>
          <w:szCs w:val="16"/>
          <w:lang w:val="en-GB"/>
        </w:rPr>
        <w:footnoteRef/>
      </w:r>
      <w:r w:rsidRPr="00A26F8F">
        <w:rPr>
          <w:color w:val="0D0D0D" w:themeColor="text1" w:themeTint="F2"/>
          <w:sz w:val="16"/>
          <w:szCs w:val="16"/>
          <w:lang w:val="en-GB"/>
        </w:rPr>
        <w:t xml:space="preserve"> </w:t>
      </w:r>
      <w:r>
        <w:rPr>
          <w:spacing w:val="-3"/>
          <w:sz w:val="16"/>
          <w:szCs w:val="16"/>
          <w:lang w:val="en-GB"/>
        </w:rPr>
        <w:t xml:space="preserve">Based on the </w:t>
      </w:r>
      <w:r>
        <w:rPr>
          <w:spacing w:val="-6"/>
          <w:sz w:val="16"/>
          <w:szCs w:val="16"/>
          <w:lang w:val="en-GB"/>
        </w:rPr>
        <w:t xml:space="preserve">Automotive Industry Association, there were 1.398 mil personal vehicles manufactured in the CR in 2023 (the most in the last four years and only by near 3% less than in the record year 2018). Production </w:t>
      </w:r>
      <w:r w:rsidRPr="009B584D">
        <w:rPr>
          <w:spacing w:val="-6"/>
          <w:sz w:val="16"/>
          <w:szCs w:val="16"/>
          <w:lang w:val="en-GB"/>
        </w:rPr>
        <w:t>increased</w:t>
      </w:r>
      <w:r>
        <w:rPr>
          <w:spacing w:val="-6"/>
          <w:sz w:val="16"/>
          <w:szCs w:val="16"/>
          <w:lang w:val="en-GB"/>
        </w:rPr>
        <w:t xml:space="preserve"> by 14.8% year-on-year. The March, June, July and October production were within the same months even the largest in history. Electrical vehicles (incl. vehicles hybrid cars) constituted so far already 12.9% of all domestically manufactured personal vehicles last year. Producers of most other types of road motor vehicles on the contrary recorded lower output year-on-year. </w:t>
      </w:r>
    </w:p>
  </w:footnote>
  <w:footnote w:id="10">
    <w:p w14:paraId="5DC58E03" w14:textId="3EE3BB74" w:rsidR="003B4260" w:rsidRPr="00A26F8F" w:rsidRDefault="003B4260" w:rsidP="001B7FAD">
      <w:pPr>
        <w:pStyle w:val="Textpoznpodarou"/>
        <w:jc w:val="both"/>
        <w:rPr>
          <w:lang w:val="en-GB"/>
        </w:rPr>
      </w:pPr>
      <w:r w:rsidRPr="00A26F8F">
        <w:rPr>
          <w:rStyle w:val="Znakapoznpodarou"/>
          <w:color w:val="0D0D0D" w:themeColor="text1" w:themeTint="F2"/>
          <w:sz w:val="16"/>
          <w:szCs w:val="16"/>
          <w:lang w:val="en-GB"/>
        </w:rPr>
        <w:footnoteRef/>
      </w:r>
      <w:r>
        <w:rPr>
          <w:spacing w:val="-3"/>
          <w:sz w:val="16"/>
          <w:szCs w:val="16"/>
          <w:lang w:val="en-GB"/>
        </w:rPr>
        <w:t xml:space="preserve"> According to the European Automobile Manufacturers</w:t>
      </w:r>
      <w:r>
        <w:rPr>
          <w:spacing w:val="-3"/>
          <w:sz w:val="16"/>
          <w:szCs w:val="16"/>
          <w:lang w:val="en-US"/>
        </w:rPr>
        <w:t>’</w:t>
      </w:r>
      <w:r w:rsidRPr="008C451F">
        <w:rPr>
          <w:spacing w:val="-3"/>
          <w:sz w:val="16"/>
          <w:szCs w:val="16"/>
          <w:lang w:val="en-GB"/>
        </w:rPr>
        <w:t xml:space="preserve">s </w:t>
      </w:r>
      <w:r>
        <w:rPr>
          <w:spacing w:val="-3"/>
          <w:sz w:val="16"/>
          <w:szCs w:val="16"/>
          <w:lang w:val="en-GB"/>
        </w:rPr>
        <w:t xml:space="preserve">Association, the numbers of registrations of new personal vehicles increased year-on-year by 13.9% in the EU in year </w:t>
      </w:r>
      <w:r w:rsidRPr="00A26F8F">
        <w:rPr>
          <w:rFonts w:eastAsia="Times New Roman" w:cs="Arial"/>
          <w:color w:val="0D0D0D" w:themeColor="text1" w:themeTint="F2"/>
          <w:spacing w:val="-4"/>
          <w:sz w:val="16"/>
          <w:szCs w:val="16"/>
          <w:lang w:val="en-GB"/>
        </w:rPr>
        <w:t>2023</w:t>
      </w:r>
      <w:r>
        <w:rPr>
          <w:rFonts w:eastAsia="Times New Roman" w:cs="Arial"/>
          <w:color w:val="0D0D0D" w:themeColor="text1" w:themeTint="F2"/>
          <w:spacing w:val="-4"/>
          <w:sz w:val="16"/>
          <w:szCs w:val="16"/>
          <w:lang w:val="en-GB"/>
        </w:rPr>
        <w:t xml:space="preserve">. They were growing continually </w:t>
      </w:r>
      <w:r>
        <w:rPr>
          <w:rFonts w:eastAsia="Times New Roman" w:cs="Arial"/>
          <w:color w:val="0D0D0D" w:themeColor="text1" w:themeTint="F2"/>
          <w:spacing w:val="-4"/>
          <w:sz w:val="16"/>
          <w:szCs w:val="16"/>
        </w:rPr>
        <w:t>16</w:t>
      </w:r>
      <w:r>
        <w:rPr>
          <w:rFonts w:eastAsia="Times New Roman" w:cs="Arial"/>
          <w:color w:val="0D0D0D" w:themeColor="text1" w:themeTint="F2"/>
          <w:spacing w:val="-4"/>
          <w:sz w:val="16"/>
          <w:szCs w:val="16"/>
          <w:lang w:val="en-GB"/>
        </w:rPr>
        <w:t xml:space="preserve"> months in a row until the last year’s </w:t>
      </w:r>
      <w:r w:rsidRPr="008C451F">
        <w:rPr>
          <w:rFonts w:eastAsia="Times New Roman" w:cs="Arial"/>
          <w:color w:val="0D0D0D" w:themeColor="text1" w:themeTint="F2"/>
          <w:spacing w:val="-4"/>
          <w:sz w:val="16"/>
          <w:szCs w:val="16"/>
          <w:lang w:val="en-GB"/>
        </w:rPr>
        <w:t>De</w:t>
      </w:r>
      <w:r>
        <w:rPr>
          <w:rFonts w:eastAsia="Times New Roman" w:cs="Arial"/>
          <w:color w:val="0D0D0D" w:themeColor="text1" w:themeTint="F2"/>
          <w:spacing w:val="-4"/>
          <w:sz w:val="16"/>
          <w:szCs w:val="16"/>
          <w:lang w:val="en-GB"/>
        </w:rPr>
        <w:t>cember, when a mild year-on-year decrease occurred mainly as a result of weaker demand on the German market. Also thanks to the growing imports of more affordable models form Asia, the demand for electrical vehicles (incl. vehicles hybrid cars) was swiftly expanding</w:t>
      </w:r>
      <w:r w:rsidRPr="00A26F8F">
        <w:rPr>
          <w:color w:val="0D0D0D" w:themeColor="text1" w:themeTint="F2"/>
          <w:sz w:val="16"/>
          <w:szCs w:val="16"/>
          <w:lang w:val="en-GB"/>
        </w:rPr>
        <w:t>, t</w:t>
      </w:r>
      <w:r>
        <w:rPr>
          <w:color w:val="0D0D0D" w:themeColor="text1" w:themeTint="F2"/>
          <w:sz w:val="16"/>
          <w:szCs w:val="16"/>
          <w:lang w:val="en-GB"/>
        </w:rPr>
        <w:t xml:space="preserve">hese thus comprised already 48% of all new motor vehicle registrations in the EU last year. </w:t>
      </w:r>
    </w:p>
  </w:footnote>
  <w:footnote w:id="11">
    <w:p w14:paraId="7EE5F85B" w14:textId="3929EB0A" w:rsidR="003B4260" w:rsidRPr="00A26F8F" w:rsidRDefault="003B4260" w:rsidP="00A26F8F">
      <w:pPr>
        <w:pStyle w:val="Textpoznpodarou"/>
        <w:jc w:val="both"/>
        <w:rPr>
          <w:sz w:val="16"/>
          <w:szCs w:val="16"/>
          <w:lang w:val="en-GB"/>
        </w:rPr>
      </w:pPr>
      <w:r w:rsidRPr="00A26F8F">
        <w:rPr>
          <w:rStyle w:val="Znakapoznpodarou"/>
          <w:sz w:val="16"/>
          <w:szCs w:val="16"/>
          <w:lang w:val="en-GB"/>
        </w:rPr>
        <w:footnoteRef/>
      </w:r>
      <w:r w:rsidRPr="00A26F8F">
        <w:rPr>
          <w:sz w:val="16"/>
          <w:szCs w:val="16"/>
          <w:lang w:val="en-GB"/>
        </w:rPr>
        <w:t xml:space="preserve"> </w:t>
      </w:r>
      <w:r>
        <w:rPr>
          <w:sz w:val="16"/>
          <w:szCs w:val="16"/>
          <w:lang w:val="en-GB"/>
        </w:rPr>
        <w:t>Manufacturing of other transport equipment, petrochemical, pharmaceutical, textile</w:t>
      </w:r>
      <w:r w:rsidRPr="00A26F8F">
        <w:rPr>
          <w:sz w:val="16"/>
          <w:szCs w:val="16"/>
          <w:lang w:val="en-GB"/>
        </w:rPr>
        <w:t xml:space="preserve">, </w:t>
      </w:r>
      <w:r>
        <w:rPr>
          <w:sz w:val="16"/>
          <w:szCs w:val="16"/>
          <w:lang w:val="en-GB"/>
        </w:rPr>
        <w:t>leatherworking, footwear industries and repairs of machinery and equipment also recorded high utilisation of capacities (above 85%) last year</w:t>
      </w:r>
      <w:r w:rsidRPr="00A26F8F">
        <w:rPr>
          <w:sz w:val="16"/>
          <w:szCs w:val="16"/>
          <w:lang w:val="en-GB"/>
        </w:rPr>
        <w:t>.</w:t>
      </w:r>
    </w:p>
  </w:footnote>
  <w:footnote w:id="12">
    <w:p w14:paraId="06448931" w14:textId="5C7D9D3F" w:rsidR="003B4260" w:rsidRPr="0080621E" w:rsidRDefault="003B4260" w:rsidP="0080621E">
      <w:pPr>
        <w:pStyle w:val="Textpoznpodarou"/>
        <w:jc w:val="both"/>
        <w:rPr>
          <w:sz w:val="16"/>
          <w:szCs w:val="16"/>
          <w:lang w:val="en-GB"/>
        </w:rPr>
      </w:pPr>
      <w:r w:rsidRPr="00725626">
        <w:rPr>
          <w:rStyle w:val="Znakapoznpodarou"/>
          <w:sz w:val="16"/>
          <w:szCs w:val="16"/>
        </w:rPr>
        <w:footnoteRef/>
      </w:r>
      <w:r w:rsidRPr="00725626">
        <w:rPr>
          <w:sz w:val="16"/>
          <w:szCs w:val="16"/>
        </w:rPr>
        <w:t xml:space="preserve"> </w:t>
      </w:r>
      <w:r w:rsidRPr="0080621E">
        <w:rPr>
          <w:sz w:val="16"/>
          <w:szCs w:val="16"/>
          <w:lang w:val="en-GB"/>
        </w:rPr>
        <w:t>Even this shallow de</w:t>
      </w:r>
      <w:r>
        <w:rPr>
          <w:sz w:val="16"/>
          <w:szCs w:val="16"/>
          <w:lang w:val="en-GB"/>
        </w:rPr>
        <w:t>crease of output in 2023 resulted in the worst performance</w:t>
      </w:r>
      <w:r w:rsidRPr="0080621E">
        <w:rPr>
          <w:sz w:val="16"/>
          <w:szCs w:val="16"/>
          <w:lang w:val="en-GB"/>
        </w:rPr>
        <w:t xml:space="preserve"> in the last 12 years in this tradit</w:t>
      </w:r>
      <w:r>
        <w:rPr>
          <w:sz w:val="16"/>
          <w:szCs w:val="16"/>
          <w:lang w:val="en-GB"/>
        </w:rPr>
        <w:t>ionally stable branch.</w:t>
      </w:r>
      <w:r w:rsidRPr="0080621E">
        <w:rPr>
          <w:sz w:val="16"/>
          <w:szCs w:val="16"/>
          <w:lang w:val="en-GB"/>
        </w:rPr>
        <w:t xml:space="preserve">  </w:t>
      </w:r>
    </w:p>
  </w:footnote>
  <w:footnote w:id="13">
    <w:p w14:paraId="0E4FDE97" w14:textId="77777777" w:rsidR="003B4260" w:rsidRPr="0080621E" w:rsidRDefault="003B4260" w:rsidP="0080621E">
      <w:pPr>
        <w:pStyle w:val="Textpoznpodarou"/>
        <w:jc w:val="both"/>
        <w:rPr>
          <w:sz w:val="16"/>
          <w:szCs w:val="16"/>
          <w:lang w:val="en-GB"/>
        </w:rPr>
      </w:pPr>
      <w:r w:rsidRPr="0080621E">
        <w:rPr>
          <w:rStyle w:val="Znakapoznpodarou"/>
          <w:sz w:val="16"/>
          <w:szCs w:val="16"/>
          <w:lang w:val="en-GB"/>
        </w:rPr>
        <w:footnoteRef/>
      </w:r>
      <w:r w:rsidRPr="0080621E">
        <w:rPr>
          <w:sz w:val="16"/>
          <w:szCs w:val="16"/>
          <w:lang w:val="en-GB"/>
        </w:rPr>
        <w:t xml:space="preserve"> T</w:t>
      </w:r>
      <w:r>
        <w:rPr>
          <w:sz w:val="16"/>
          <w:szCs w:val="16"/>
          <w:lang w:val="en-GB"/>
        </w:rPr>
        <w:t xml:space="preserve">his branch consists of </w:t>
      </w:r>
      <w:r w:rsidRPr="0080621E">
        <w:rPr>
          <w:sz w:val="16"/>
          <w:szCs w:val="16"/>
          <w:lang w:val="en-GB"/>
        </w:rPr>
        <w:t>(</w:t>
      </w:r>
      <w:r>
        <w:rPr>
          <w:sz w:val="16"/>
          <w:szCs w:val="16"/>
          <w:lang w:val="en-GB"/>
        </w:rPr>
        <w:t>next to the weight dominant group of manufacturing of medical and dental instruments and supplies</w:t>
      </w:r>
      <w:r w:rsidRPr="0080621E">
        <w:rPr>
          <w:sz w:val="16"/>
          <w:szCs w:val="16"/>
          <w:lang w:val="en-GB"/>
        </w:rPr>
        <w:t xml:space="preserve">) </w:t>
      </w:r>
      <w:r>
        <w:rPr>
          <w:sz w:val="16"/>
          <w:szCs w:val="16"/>
          <w:lang w:val="en-GB"/>
        </w:rPr>
        <w:t xml:space="preserve">also the manufacturing of games, toys, musical instruments, sports goods or jewellery and bijouterie. </w:t>
      </w:r>
    </w:p>
  </w:footnote>
  <w:footnote w:id="14">
    <w:p w14:paraId="43DC74EC" w14:textId="6D271C8D" w:rsidR="003B4260" w:rsidRDefault="003B4260" w:rsidP="0057789F">
      <w:pPr>
        <w:pStyle w:val="Textpoznpodarou"/>
        <w:jc w:val="both"/>
        <w:rPr>
          <w:color w:val="0D0D0D" w:themeColor="text1" w:themeTint="F2"/>
          <w:spacing w:val="-3"/>
          <w:sz w:val="16"/>
          <w:szCs w:val="16"/>
          <w:lang w:val="en-GB"/>
        </w:rPr>
      </w:pPr>
      <w:r w:rsidRPr="00BF5830">
        <w:rPr>
          <w:rStyle w:val="Znakapoznpodarou"/>
          <w:spacing w:val="-4"/>
          <w:sz w:val="16"/>
          <w:szCs w:val="16"/>
        </w:rPr>
        <w:footnoteRef/>
      </w:r>
      <w:r w:rsidRPr="00BF5830">
        <w:rPr>
          <w:spacing w:val="-4"/>
          <w:sz w:val="16"/>
          <w:szCs w:val="16"/>
        </w:rPr>
        <w:t xml:space="preserve"> </w:t>
      </w:r>
      <w:r w:rsidRPr="00AA7871">
        <w:rPr>
          <w:rFonts w:cs="Arial"/>
          <w:color w:val="0D0D0D" w:themeColor="text1" w:themeTint="F2"/>
          <w:spacing w:val="-3"/>
          <w:sz w:val="16"/>
          <w:szCs w:val="16"/>
          <w:lang w:val="en-GB"/>
        </w:rPr>
        <w:t>According to the data of the Energy Regulatory Office</w:t>
      </w:r>
      <w:r>
        <w:rPr>
          <w:rFonts w:cs="Arial"/>
          <w:color w:val="0D0D0D" w:themeColor="text1" w:themeTint="F2"/>
          <w:spacing w:val="-3"/>
          <w:sz w:val="16"/>
          <w:szCs w:val="16"/>
          <w:lang w:val="en-GB"/>
        </w:rPr>
        <w:t xml:space="preserve">, the gross domestic electricity consumption shrank by </w:t>
      </w:r>
      <w:r w:rsidRPr="0097768D">
        <w:rPr>
          <w:color w:val="0D0D0D" w:themeColor="text1" w:themeTint="F2"/>
          <w:spacing w:val="-4"/>
          <w:sz w:val="16"/>
          <w:szCs w:val="16"/>
          <w:lang w:val="en-GB"/>
        </w:rPr>
        <w:t>4</w:t>
      </w:r>
      <w:r>
        <w:rPr>
          <w:color w:val="0D0D0D" w:themeColor="text1" w:themeTint="F2"/>
          <w:spacing w:val="-4"/>
          <w:sz w:val="16"/>
          <w:szCs w:val="16"/>
          <w:lang w:val="en-GB"/>
        </w:rPr>
        <w:t>.</w:t>
      </w:r>
      <w:r w:rsidRPr="0097768D">
        <w:rPr>
          <w:color w:val="0D0D0D" w:themeColor="text1" w:themeTint="F2"/>
          <w:spacing w:val="-4"/>
          <w:sz w:val="16"/>
          <w:szCs w:val="16"/>
          <w:lang w:val="en-GB"/>
        </w:rPr>
        <w:t>2%</w:t>
      </w:r>
      <w:r>
        <w:rPr>
          <w:color w:val="0D0D0D" w:themeColor="text1" w:themeTint="F2"/>
          <w:spacing w:val="-4"/>
          <w:sz w:val="16"/>
          <w:szCs w:val="16"/>
          <w:lang w:val="en-GB"/>
        </w:rPr>
        <w:t xml:space="preserve"> year-on-year</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2023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similar decline </w:t>
      </w:r>
      <w:r w:rsidRPr="0005033D">
        <w:rPr>
          <w:color w:val="0D0D0D" w:themeColor="text1" w:themeTint="F2"/>
          <w:spacing w:val="-4"/>
          <w:sz w:val="16"/>
          <w:szCs w:val="16"/>
          <w:lang w:val="en-GB"/>
        </w:rPr>
        <w:t>occurred in the year</w:t>
      </w:r>
      <w:r>
        <w:rPr>
          <w:color w:val="0D0D0D" w:themeColor="text1" w:themeTint="F2"/>
          <w:spacing w:val="-4"/>
          <w:sz w:val="16"/>
          <w:szCs w:val="16"/>
          <w:lang w:val="en-GB"/>
        </w:rPr>
        <w:t xml:space="preserve"> of </w:t>
      </w:r>
      <w:r w:rsidRPr="0097768D">
        <w:rPr>
          <w:color w:val="0D0D0D" w:themeColor="text1" w:themeTint="F2"/>
          <w:spacing w:val="-4"/>
          <w:sz w:val="16"/>
          <w:szCs w:val="16"/>
          <w:lang w:val="en-GB"/>
        </w:rPr>
        <w:t xml:space="preserve">2022). </w:t>
      </w:r>
      <w:r>
        <w:rPr>
          <w:color w:val="0D0D0D" w:themeColor="text1" w:themeTint="F2"/>
          <w:spacing w:val="-4"/>
          <w:sz w:val="16"/>
          <w:szCs w:val="16"/>
          <w:lang w:val="en-GB"/>
        </w:rPr>
        <w:t xml:space="preserve">Savings eventuated for all main consumption categories last year </w:t>
      </w:r>
      <w:r w:rsidRPr="0097768D">
        <w:rPr>
          <w:color w:val="0D0D0D" w:themeColor="text1" w:themeTint="F2"/>
          <w:spacing w:val="-3"/>
          <w:sz w:val="16"/>
          <w:szCs w:val="16"/>
          <w:lang w:val="en-GB"/>
        </w:rPr>
        <w:t xml:space="preserve">– </w:t>
      </w:r>
      <w:r>
        <w:rPr>
          <w:color w:val="0D0D0D" w:themeColor="text1" w:themeTint="F2"/>
          <w:spacing w:val="-3"/>
          <w:sz w:val="16"/>
          <w:szCs w:val="16"/>
          <w:lang w:val="en-GB"/>
        </w:rPr>
        <w:t xml:space="preserve">the most in households </w:t>
      </w:r>
      <w:r w:rsidRPr="0097768D">
        <w:rPr>
          <w:color w:val="0D0D0D" w:themeColor="text1" w:themeTint="F2"/>
          <w:spacing w:val="-3"/>
          <w:sz w:val="16"/>
          <w:szCs w:val="16"/>
          <w:lang w:val="en-GB"/>
        </w:rPr>
        <w:t>(</w:t>
      </w:r>
      <w:r>
        <w:rPr>
          <w:color w:val="0D0D0D" w:themeColor="text1" w:themeTint="F2"/>
          <w:spacing w:val="-3"/>
          <w:sz w:val="16"/>
          <w:szCs w:val="16"/>
          <w:lang w:val="en-GB"/>
        </w:rPr>
        <w:t xml:space="preserve">by </w:t>
      </w:r>
      <w:r w:rsidRPr="0097768D">
        <w:rPr>
          <w:color w:val="0D0D0D" w:themeColor="text1" w:themeTint="F2"/>
          <w:spacing w:val="-3"/>
          <w:sz w:val="16"/>
          <w:szCs w:val="16"/>
          <w:lang w:val="en-GB"/>
        </w:rPr>
        <w:t>4</w:t>
      </w:r>
      <w:r>
        <w:rPr>
          <w:color w:val="0D0D0D" w:themeColor="text1" w:themeTint="F2"/>
          <w:spacing w:val="-3"/>
          <w:sz w:val="16"/>
          <w:szCs w:val="16"/>
          <w:lang w:val="en-GB"/>
        </w:rPr>
        <w:t>.</w:t>
      </w:r>
      <w:r w:rsidRPr="0097768D">
        <w:rPr>
          <w:color w:val="0D0D0D" w:themeColor="text1" w:themeTint="F2"/>
          <w:spacing w:val="-3"/>
          <w:sz w:val="16"/>
          <w:szCs w:val="16"/>
          <w:lang w:val="en-GB"/>
        </w:rPr>
        <w:t>0%,</w:t>
      </w:r>
      <w:r>
        <w:rPr>
          <w:color w:val="0D0D0D" w:themeColor="text1" w:themeTint="F2"/>
          <w:spacing w:val="-3"/>
          <w:sz w:val="16"/>
          <w:szCs w:val="16"/>
          <w:lang w:val="en-GB"/>
        </w:rPr>
        <w:t xml:space="preserve"> even by </w:t>
      </w:r>
      <w:r w:rsidRPr="0097768D">
        <w:rPr>
          <w:color w:val="0D0D0D" w:themeColor="text1" w:themeTint="F2"/>
          <w:spacing w:val="-4"/>
          <w:sz w:val="16"/>
          <w:szCs w:val="16"/>
          <w:lang w:val="en-GB"/>
        </w:rPr>
        <w:t>12</w:t>
      </w:r>
      <w:r>
        <w:rPr>
          <w:color w:val="0D0D0D" w:themeColor="text1" w:themeTint="F2"/>
          <w:spacing w:val="-4"/>
          <w:sz w:val="16"/>
          <w:szCs w:val="16"/>
          <w:lang w:val="en-GB"/>
        </w:rPr>
        <w:t>.</w:t>
      </w:r>
      <w:r w:rsidRPr="0097768D">
        <w:rPr>
          <w:color w:val="0D0D0D" w:themeColor="text1" w:themeTint="F2"/>
          <w:spacing w:val="-4"/>
          <w:sz w:val="16"/>
          <w:szCs w:val="16"/>
          <w:lang w:val="en-GB"/>
        </w:rPr>
        <w:t>7%</w:t>
      </w:r>
      <w:r>
        <w:rPr>
          <w:color w:val="0D0D0D" w:themeColor="text1" w:themeTint="F2"/>
          <w:spacing w:val="-4"/>
          <w:sz w:val="16"/>
          <w:szCs w:val="16"/>
          <w:lang w:val="en-GB"/>
        </w:rPr>
        <w:t xml:space="preserve"> for the last two years</w:t>
      </w:r>
      <w:r w:rsidRPr="0097768D">
        <w:rPr>
          <w:color w:val="0D0D0D" w:themeColor="text1" w:themeTint="F2"/>
          <w:spacing w:val="-3"/>
          <w:sz w:val="16"/>
          <w:szCs w:val="16"/>
          <w:lang w:val="en-GB"/>
        </w:rPr>
        <w:t xml:space="preserve">), </w:t>
      </w:r>
      <w:r>
        <w:rPr>
          <w:color w:val="0D0D0D" w:themeColor="text1" w:themeTint="F2"/>
          <w:spacing w:val="-3"/>
          <w:sz w:val="16"/>
          <w:szCs w:val="16"/>
          <w:lang w:val="en-GB"/>
        </w:rPr>
        <w:t xml:space="preserve">the least in wholesale customers </w:t>
      </w:r>
      <w:r w:rsidRPr="003B4260">
        <w:rPr>
          <w:color w:val="0D0D0D" w:themeColor="text1" w:themeTint="F2"/>
          <w:spacing w:val="-3"/>
          <w:sz w:val="16"/>
          <w:szCs w:val="16"/>
          <w:lang w:val="en-GB"/>
        </w:rPr>
        <w:t xml:space="preserve">with electricity consumption at the level of very high electrical voltage </w:t>
      </w:r>
      <w:r>
        <w:rPr>
          <w:color w:val="0D0D0D" w:themeColor="text1" w:themeTint="F2"/>
          <w:spacing w:val="-3"/>
          <w:sz w:val="16"/>
          <w:szCs w:val="16"/>
          <w:lang w:val="en-GB"/>
        </w:rPr>
        <w:t xml:space="preserve"> </w:t>
      </w:r>
      <w:r w:rsidRPr="0097768D">
        <w:rPr>
          <w:color w:val="0D0D0D" w:themeColor="text1" w:themeTint="F2"/>
          <w:spacing w:val="-4"/>
          <w:sz w:val="16"/>
          <w:szCs w:val="16"/>
          <w:lang w:val="en-GB"/>
        </w:rPr>
        <w:t>(–1</w:t>
      </w:r>
      <w:r>
        <w:rPr>
          <w:color w:val="0D0D0D" w:themeColor="text1" w:themeTint="F2"/>
          <w:spacing w:val="-4"/>
          <w:sz w:val="16"/>
          <w:szCs w:val="16"/>
          <w:lang w:val="en-GB"/>
        </w:rPr>
        <w:t>.</w:t>
      </w:r>
      <w:r w:rsidRPr="0097768D">
        <w:rPr>
          <w:color w:val="0D0D0D" w:themeColor="text1" w:themeTint="F2"/>
          <w:spacing w:val="-4"/>
          <w:sz w:val="16"/>
          <w:szCs w:val="16"/>
          <w:lang w:val="en-GB"/>
        </w:rPr>
        <w:t>4%).</w:t>
      </w:r>
      <w:r w:rsidRPr="0097768D">
        <w:rPr>
          <w:color w:val="0D0D0D" w:themeColor="text1" w:themeTint="F2"/>
          <w:spacing w:val="-3"/>
          <w:sz w:val="16"/>
          <w:szCs w:val="16"/>
          <w:lang w:val="en-GB"/>
        </w:rPr>
        <w:t xml:space="preserve"> </w:t>
      </w:r>
    </w:p>
    <w:p w14:paraId="39EB0533" w14:textId="77777777" w:rsidR="003B4260" w:rsidRDefault="003B4260" w:rsidP="0057789F">
      <w:pPr>
        <w:pStyle w:val="Textpoznpodarou"/>
        <w:jc w:val="both"/>
        <w:rPr>
          <w:color w:val="0D0D0D" w:themeColor="text1" w:themeTint="F2"/>
          <w:spacing w:val="-4"/>
          <w:sz w:val="16"/>
          <w:szCs w:val="16"/>
          <w:lang w:val="en-GB"/>
        </w:rPr>
      </w:pPr>
      <w:r>
        <w:rPr>
          <w:color w:val="0D0D0D" w:themeColor="text1" w:themeTint="F2"/>
          <w:spacing w:val="-3"/>
          <w:sz w:val="16"/>
          <w:szCs w:val="16"/>
          <w:lang w:val="en-GB"/>
        </w:rPr>
        <w:t xml:space="preserve">Substantially, even though by half the pace of year </w:t>
      </w:r>
      <w:r w:rsidRPr="0097768D">
        <w:rPr>
          <w:color w:val="0D0D0D" w:themeColor="text1" w:themeTint="F2"/>
          <w:spacing w:val="-4"/>
          <w:sz w:val="16"/>
          <w:szCs w:val="16"/>
          <w:lang w:val="en-GB"/>
        </w:rPr>
        <w:t xml:space="preserve">2022, </w:t>
      </w:r>
      <w:r>
        <w:rPr>
          <w:color w:val="0D0D0D" w:themeColor="text1" w:themeTint="F2"/>
          <w:spacing w:val="-4"/>
          <w:sz w:val="16"/>
          <w:szCs w:val="16"/>
          <w:lang w:val="en-GB"/>
        </w:rPr>
        <w:t xml:space="preserve">the total gas consumption also fell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expressed in </w:t>
      </w:r>
      <w:r w:rsidRPr="0097768D">
        <w:rPr>
          <w:color w:val="0D0D0D" w:themeColor="text1" w:themeTint="F2"/>
          <w:spacing w:val="-4"/>
          <w:sz w:val="16"/>
          <w:szCs w:val="16"/>
          <w:lang w:val="en-GB"/>
        </w:rPr>
        <w:t>m</w:t>
      </w:r>
      <w:r w:rsidRPr="0097768D">
        <w:rPr>
          <w:color w:val="0D0D0D" w:themeColor="text1" w:themeTint="F2"/>
          <w:spacing w:val="-4"/>
          <w:sz w:val="16"/>
          <w:szCs w:val="16"/>
          <w:vertAlign w:val="superscript"/>
          <w:lang w:val="en-GB"/>
        </w:rPr>
        <w:t>3</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the CR last year </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12</w:t>
      </w:r>
      <w:r>
        <w:rPr>
          <w:color w:val="0D0D0D" w:themeColor="text1" w:themeTint="F2"/>
          <w:spacing w:val="-4"/>
          <w:sz w:val="16"/>
          <w:szCs w:val="16"/>
          <w:lang w:val="en-GB"/>
        </w:rPr>
        <w:t>.</w:t>
      </w:r>
      <w:r w:rsidRPr="0097768D">
        <w:rPr>
          <w:color w:val="0D0D0D" w:themeColor="text1" w:themeTint="F2"/>
          <w:spacing w:val="-4"/>
          <w:sz w:val="16"/>
          <w:szCs w:val="16"/>
          <w:lang w:val="en-GB"/>
        </w:rPr>
        <w:t>4%</w:t>
      </w:r>
      <w:r>
        <w:rPr>
          <w:color w:val="0D0D0D" w:themeColor="text1" w:themeTint="F2"/>
          <w:spacing w:val="-4"/>
          <w:sz w:val="16"/>
          <w:szCs w:val="16"/>
          <w:lang w:val="en-GB"/>
        </w:rPr>
        <w:t xml:space="preserve"> year-on-year</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after adjustment for long-term thermal standard by </w:t>
      </w:r>
      <w:r w:rsidRPr="0097768D">
        <w:rPr>
          <w:color w:val="0D0D0D" w:themeColor="text1" w:themeTint="F2"/>
          <w:spacing w:val="-4"/>
          <w:sz w:val="16"/>
          <w:szCs w:val="16"/>
          <w:lang w:val="en-GB"/>
        </w:rPr>
        <w:t>8</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1%). </w:t>
      </w:r>
      <w:r>
        <w:rPr>
          <w:color w:val="0D0D0D" w:themeColor="text1" w:themeTint="F2"/>
          <w:spacing w:val="-4"/>
          <w:sz w:val="16"/>
          <w:szCs w:val="16"/>
          <w:lang w:val="en-GB"/>
        </w:rPr>
        <w:t xml:space="preserve">Considerable decrease of consumption occurred for all main categories of customers, it was the highest for households, which took by </w:t>
      </w:r>
      <w:r w:rsidRPr="0097768D">
        <w:rPr>
          <w:color w:val="0D0D0D" w:themeColor="text1" w:themeTint="F2"/>
          <w:spacing w:val="-4"/>
          <w:sz w:val="16"/>
          <w:szCs w:val="16"/>
          <w:lang w:val="en-GB"/>
        </w:rPr>
        <w:t>11</w:t>
      </w:r>
      <w:r>
        <w:rPr>
          <w:color w:val="0D0D0D" w:themeColor="text1" w:themeTint="F2"/>
          <w:spacing w:val="-4"/>
          <w:sz w:val="16"/>
          <w:szCs w:val="16"/>
          <w:lang w:val="en-GB"/>
        </w:rPr>
        <w:t>.</w:t>
      </w:r>
      <w:r w:rsidRPr="0097768D">
        <w:rPr>
          <w:color w:val="0D0D0D" w:themeColor="text1" w:themeTint="F2"/>
          <w:spacing w:val="-4"/>
          <w:sz w:val="16"/>
          <w:szCs w:val="16"/>
          <w:lang w:val="en-GB"/>
        </w:rPr>
        <w:t>6%</w:t>
      </w:r>
      <w:r>
        <w:rPr>
          <w:color w:val="0D0D0D" w:themeColor="text1" w:themeTint="F2"/>
          <w:spacing w:val="-4"/>
          <w:sz w:val="16"/>
          <w:szCs w:val="16"/>
          <w:lang w:val="en-GB"/>
        </w:rPr>
        <w:t xml:space="preserve"> gas less year-on-year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by even </w:t>
      </w:r>
      <w:r w:rsidRPr="0097768D">
        <w:rPr>
          <w:color w:val="0D0D0D" w:themeColor="text1" w:themeTint="F2"/>
          <w:spacing w:val="-4"/>
          <w:sz w:val="16"/>
          <w:szCs w:val="16"/>
          <w:lang w:val="en-GB"/>
        </w:rPr>
        <w:t>30%</w:t>
      </w:r>
      <w:r>
        <w:rPr>
          <w:color w:val="0D0D0D" w:themeColor="text1" w:themeTint="F2"/>
          <w:spacing w:val="-4"/>
          <w:sz w:val="16"/>
          <w:szCs w:val="16"/>
          <w:lang w:val="en-GB"/>
        </w:rPr>
        <w:t xml:space="preserve"> less for the two years</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the smallest decrease then for wholesale customers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9</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6%). </w:t>
      </w:r>
    </w:p>
    <w:p w14:paraId="4B60343D" w14:textId="2E7B8EA2" w:rsidR="003B4260" w:rsidRPr="0097768D" w:rsidRDefault="003B4260" w:rsidP="0057789F">
      <w:pPr>
        <w:pStyle w:val="Textpoznpodarou"/>
        <w:jc w:val="both"/>
        <w:rPr>
          <w:color w:val="0D0D0D" w:themeColor="text1" w:themeTint="F2"/>
          <w:spacing w:val="-4"/>
          <w:sz w:val="16"/>
          <w:szCs w:val="16"/>
          <w:lang w:val="en-GB"/>
        </w:rPr>
      </w:pPr>
      <w:r>
        <w:rPr>
          <w:color w:val="0D0D0D" w:themeColor="text1" w:themeTint="F2"/>
          <w:spacing w:val="-4"/>
          <w:sz w:val="16"/>
          <w:szCs w:val="16"/>
          <w:lang w:val="en-GB"/>
        </w:rPr>
        <w:t>Up-to-date data for Q1 to Q</w:t>
      </w:r>
      <w:r w:rsidRPr="0097768D">
        <w:rPr>
          <w:color w:val="0D0D0D" w:themeColor="text1" w:themeTint="F2"/>
          <w:spacing w:val="-4"/>
          <w:sz w:val="16"/>
          <w:szCs w:val="16"/>
          <w:lang w:val="en-GB"/>
        </w:rPr>
        <w:t>3</w:t>
      </w:r>
      <w:r>
        <w:rPr>
          <w:color w:val="0D0D0D" w:themeColor="text1" w:themeTint="F2"/>
          <w:spacing w:val="-4"/>
          <w:sz w:val="16"/>
          <w:szCs w:val="16"/>
          <w:lang w:val="en-GB"/>
        </w:rPr>
        <w:t xml:space="preserve"> </w:t>
      </w:r>
      <w:r w:rsidRPr="0097768D">
        <w:rPr>
          <w:color w:val="0D0D0D" w:themeColor="text1" w:themeTint="F2"/>
          <w:spacing w:val="-4"/>
          <w:sz w:val="16"/>
          <w:szCs w:val="16"/>
          <w:lang w:val="en-GB"/>
        </w:rPr>
        <w:t>2023</w:t>
      </w:r>
      <w:r>
        <w:rPr>
          <w:color w:val="0D0D0D" w:themeColor="text1" w:themeTint="F2"/>
          <w:spacing w:val="-4"/>
          <w:sz w:val="16"/>
          <w:szCs w:val="16"/>
          <w:lang w:val="en-GB"/>
        </w:rPr>
        <w:t xml:space="preserve"> also show the all-encompassing year-on-year decrease of heat consumption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expressed in </w:t>
      </w:r>
      <w:r w:rsidRPr="0097768D">
        <w:rPr>
          <w:color w:val="0D0D0D" w:themeColor="text1" w:themeTint="F2"/>
          <w:spacing w:val="-4"/>
          <w:sz w:val="16"/>
          <w:szCs w:val="16"/>
          <w:lang w:val="en-GB"/>
        </w:rPr>
        <w:t xml:space="preserve">TJ) – </w:t>
      </w:r>
      <w:r>
        <w:rPr>
          <w:color w:val="0D0D0D" w:themeColor="text1" w:themeTint="F2"/>
          <w:spacing w:val="-4"/>
          <w:sz w:val="16"/>
          <w:szCs w:val="16"/>
          <w:lang w:val="en-GB"/>
        </w:rPr>
        <w:t xml:space="preserve">by even </w:t>
      </w:r>
      <w:r w:rsidRPr="0097768D">
        <w:rPr>
          <w:color w:val="0D0D0D" w:themeColor="text1" w:themeTint="F2"/>
          <w:spacing w:val="-4"/>
          <w:sz w:val="16"/>
          <w:szCs w:val="16"/>
          <w:lang w:val="en-GB"/>
        </w:rPr>
        <w:t>9% (</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10</w:t>
      </w:r>
      <w:r>
        <w:rPr>
          <w:color w:val="0D0D0D" w:themeColor="text1" w:themeTint="F2"/>
          <w:spacing w:val="-4"/>
          <w:sz w:val="16"/>
          <w:szCs w:val="16"/>
          <w:lang w:val="en-GB"/>
        </w:rPr>
        <w:t>.</w:t>
      </w:r>
      <w:r w:rsidRPr="0097768D">
        <w:rPr>
          <w:color w:val="0D0D0D" w:themeColor="text1" w:themeTint="F2"/>
          <w:spacing w:val="-4"/>
          <w:sz w:val="16"/>
          <w:szCs w:val="16"/>
          <w:lang w:val="en-GB"/>
        </w:rPr>
        <w:t>3%</w:t>
      </w:r>
      <w:r>
        <w:rPr>
          <w:color w:val="0D0D0D" w:themeColor="text1" w:themeTint="F2"/>
          <w:spacing w:val="-4"/>
          <w:sz w:val="16"/>
          <w:szCs w:val="16"/>
          <w:lang w:val="en-GB"/>
        </w:rPr>
        <w:t xml:space="preserve"> in 2022</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in that by 4.9% in households,</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trade, services, education, health care in total by </w:t>
      </w:r>
      <w:r w:rsidRPr="0097768D">
        <w:rPr>
          <w:color w:val="0D0D0D" w:themeColor="text1" w:themeTint="F2"/>
          <w:spacing w:val="-4"/>
          <w:sz w:val="16"/>
          <w:szCs w:val="16"/>
          <w:lang w:val="en-GB"/>
        </w:rPr>
        <w:t>8</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3%, </w:t>
      </w:r>
      <w:r>
        <w:rPr>
          <w:color w:val="0D0D0D" w:themeColor="text1" w:themeTint="F2"/>
          <w:spacing w:val="-4"/>
          <w:sz w:val="16"/>
          <w:szCs w:val="16"/>
          <w:lang w:val="en-GB"/>
        </w:rPr>
        <w:t xml:space="preserve">in industry by </w:t>
      </w:r>
      <w:r w:rsidRPr="0097768D">
        <w:rPr>
          <w:color w:val="0D0D0D" w:themeColor="text1" w:themeTint="F2"/>
          <w:spacing w:val="-4"/>
          <w:sz w:val="16"/>
          <w:szCs w:val="16"/>
          <w:lang w:val="en-GB"/>
        </w:rPr>
        <w:t>13</w:t>
      </w:r>
      <w:r>
        <w:rPr>
          <w:color w:val="0D0D0D" w:themeColor="text1" w:themeTint="F2"/>
          <w:spacing w:val="-4"/>
          <w:sz w:val="16"/>
          <w:szCs w:val="16"/>
          <w:lang w:val="en-GB"/>
        </w:rPr>
        <w:t>.</w:t>
      </w:r>
      <w:r w:rsidRPr="0097768D">
        <w:rPr>
          <w:color w:val="0D0D0D" w:themeColor="text1" w:themeTint="F2"/>
          <w:spacing w:val="-4"/>
          <w:sz w:val="16"/>
          <w:szCs w:val="16"/>
          <w:lang w:val="en-GB"/>
        </w:rPr>
        <w:t>7%.</w:t>
      </w:r>
      <w:r>
        <w:rPr>
          <w:color w:val="0D0D0D" w:themeColor="text1" w:themeTint="F2"/>
          <w:spacing w:val="-4"/>
          <w:sz w:val="16"/>
          <w:szCs w:val="16"/>
          <w:lang w:val="en-GB"/>
        </w:rPr>
        <w:t xml:space="preserve"> </w:t>
      </w:r>
    </w:p>
  </w:footnote>
  <w:footnote w:id="15">
    <w:p w14:paraId="44C0F089" w14:textId="42D4D456" w:rsidR="003B4260" w:rsidRPr="00946415" w:rsidRDefault="003B4260" w:rsidP="00946415">
      <w:pPr>
        <w:pStyle w:val="Textpoznpodarou"/>
        <w:jc w:val="both"/>
        <w:rPr>
          <w:sz w:val="16"/>
          <w:szCs w:val="16"/>
          <w:lang w:val="en-GB"/>
        </w:rPr>
      </w:pPr>
      <w:r w:rsidRPr="00E5704D">
        <w:rPr>
          <w:rStyle w:val="Znakapoznpodarou"/>
          <w:sz w:val="16"/>
          <w:szCs w:val="16"/>
        </w:rPr>
        <w:footnoteRef/>
      </w:r>
      <w:r w:rsidRPr="00E5704D">
        <w:rPr>
          <w:sz w:val="16"/>
          <w:szCs w:val="16"/>
        </w:rPr>
        <w:t xml:space="preserve"> </w:t>
      </w:r>
      <w:r>
        <w:rPr>
          <w:sz w:val="16"/>
          <w:szCs w:val="16"/>
        </w:rPr>
        <w:t xml:space="preserve">The year-on-year output reduction afflicted nearly three quarters of all industrial branches in 2023. </w:t>
      </w:r>
    </w:p>
  </w:footnote>
  <w:footnote w:id="16">
    <w:p w14:paraId="38D89295" w14:textId="2229B45F" w:rsidR="003B4260" w:rsidRPr="00946415" w:rsidRDefault="003B4260" w:rsidP="00946415">
      <w:pPr>
        <w:pStyle w:val="Textpoznpodarou"/>
        <w:jc w:val="both"/>
        <w:rPr>
          <w:color w:val="0D0D0D" w:themeColor="text1" w:themeTint="F2"/>
          <w:sz w:val="16"/>
          <w:szCs w:val="16"/>
          <w:lang w:val="en-GB"/>
        </w:rPr>
      </w:pPr>
      <w:r w:rsidRPr="00946415">
        <w:rPr>
          <w:rStyle w:val="Znakapoznpodarou"/>
          <w:color w:val="0D0D0D" w:themeColor="text1" w:themeTint="F2"/>
          <w:sz w:val="16"/>
          <w:szCs w:val="16"/>
          <w:lang w:val="en-GB"/>
        </w:rPr>
        <w:footnoteRef/>
      </w:r>
      <w:r w:rsidRPr="00946415">
        <w:rPr>
          <w:color w:val="0D0D0D" w:themeColor="text1" w:themeTint="F2"/>
          <w:sz w:val="16"/>
          <w:szCs w:val="16"/>
          <w:lang w:val="en-GB"/>
        </w:rPr>
        <w:t xml:space="preserve"> </w:t>
      </w:r>
      <w:r>
        <w:rPr>
          <w:color w:val="0D0D0D" w:themeColor="text1" w:themeTint="F2"/>
          <w:sz w:val="16"/>
          <w:szCs w:val="16"/>
          <w:lang w:val="en-GB"/>
        </w:rPr>
        <w:t xml:space="preserve">The average air temperature in the CR climbed up above the long-term thermal standard by 3.4 degrees Celsius in both January and September last year, by </w:t>
      </w:r>
      <w:r w:rsidRPr="00946415">
        <w:rPr>
          <w:color w:val="0D0D0D" w:themeColor="text1" w:themeTint="F2"/>
          <w:sz w:val="16"/>
          <w:szCs w:val="16"/>
          <w:lang w:val="en-GB"/>
        </w:rPr>
        <w:t>2</w:t>
      </w:r>
      <w:r>
        <w:rPr>
          <w:color w:val="0D0D0D" w:themeColor="text1" w:themeTint="F2"/>
          <w:sz w:val="16"/>
          <w:szCs w:val="16"/>
          <w:lang w:val="en-GB"/>
        </w:rPr>
        <w:t>.</w:t>
      </w:r>
      <w:r w:rsidRPr="00946415">
        <w:rPr>
          <w:color w:val="0D0D0D" w:themeColor="text1" w:themeTint="F2"/>
          <w:sz w:val="16"/>
          <w:szCs w:val="16"/>
          <w:lang w:val="en-GB"/>
        </w:rPr>
        <w:t>9</w:t>
      </w:r>
      <w:r>
        <w:rPr>
          <w:color w:val="0D0D0D" w:themeColor="text1" w:themeTint="F2"/>
          <w:sz w:val="16"/>
          <w:szCs w:val="16"/>
          <w:lang w:val="en-GB"/>
        </w:rPr>
        <w:t xml:space="preserve"> degrees in October, by 2.6 degrees in December, in February and March by </w:t>
      </w:r>
      <w:r w:rsidRPr="00946415">
        <w:rPr>
          <w:color w:val="0D0D0D" w:themeColor="text1" w:themeTint="F2"/>
          <w:sz w:val="16"/>
          <w:szCs w:val="16"/>
          <w:lang w:val="en-GB"/>
        </w:rPr>
        <w:t>1</w:t>
      </w:r>
      <w:r>
        <w:rPr>
          <w:color w:val="0D0D0D" w:themeColor="text1" w:themeTint="F2"/>
          <w:sz w:val="16"/>
          <w:szCs w:val="16"/>
          <w:lang w:val="en-GB"/>
        </w:rPr>
        <w:t>.</w:t>
      </w:r>
      <w:r w:rsidRPr="00946415">
        <w:rPr>
          <w:color w:val="0D0D0D" w:themeColor="text1" w:themeTint="F2"/>
          <w:sz w:val="16"/>
          <w:szCs w:val="16"/>
          <w:lang w:val="en-GB"/>
        </w:rPr>
        <w:t>5</w:t>
      </w:r>
      <w:r>
        <w:rPr>
          <w:color w:val="0D0D0D" w:themeColor="text1" w:themeTint="F2"/>
          <w:sz w:val="16"/>
          <w:szCs w:val="16"/>
          <w:lang w:val="en-GB"/>
        </w:rPr>
        <w:t xml:space="preserve"> degrees. In contrast, only April with temperature by two degrees below the standard can be considered colder. The average air temperature attained 9.9 degrees in the CR for the whole last year, </w:t>
      </w:r>
      <w:r w:rsidRPr="00946415">
        <w:rPr>
          <w:color w:val="0D0D0D" w:themeColor="text1" w:themeTint="F2"/>
          <w:sz w:val="16"/>
          <w:szCs w:val="16"/>
          <w:lang w:val="en-GB"/>
        </w:rPr>
        <w:t>9</w:t>
      </w:r>
      <w:r>
        <w:rPr>
          <w:color w:val="0D0D0D" w:themeColor="text1" w:themeTint="F2"/>
          <w:sz w:val="16"/>
          <w:szCs w:val="16"/>
          <w:lang w:val="en-GB"/>
        </w:rPr>
        <w:t>.</w:t>
      </w:r>
      <w:r w:rsidRPr="00946415">
        <w:rPr>
          <w:color w:val="0D0D0D" w:themeColor="text1" w:themeTint="F2"/>
          <w:sz w:val="16"/>
          <w:szCs w:val="16"/>
          <w:lang w:val="en-GB"/>
        </w:rPr>
        <w:t>4</w:t>
      </w:r>
      <w:r>
        <w:rPr>
          <w:color w:val="0D0D0D" w:themeColor="text1" w:themeTint="F2"/>
          <w:sz w:val="16"/>
          <w:szCs w:val="16"/>
          <w:lang w:val="en-GB"/>
        </w:rPr>
        <w:t xml:space="preserve"> degrees in the previous year. </w:t>
      </w:r>
    </w:p>
  </w:footnote>
  <w:footnote w:id="17">
    <w:p w14:paraId="7FFEEDF3" w14:textId="77777777" w:rsidR="003B4260" w:rsidRPr="004C583F" w:rsidRDefault="003B4260" w:rsidP="004C583F">
      <w:pPr>
        <w:pStyle w:val="Textpoznpodarou"/>
        <w:jc w:val="both"/>
        <w:rPr>
          <w:rFonts w:cs="Arial"/>
          <w:color w:val="0D0D0D" w:themeColor="text1" w:themeTint="F2"/>
          <w:spacing w:val="-2"/>
          <w:sz w:val="16"/>
          <w:szCs w:val="16"/>
          <w:lang w:val="en-GB"/>
        </w:rPr>
      </w:pPr>
      <w:r w:rsidRPr="004C583F">
        <w:rPr>
          <w:rStyle w:val="Znakapoznpodarou"/>
          <w:rFonts w:cs="Arial"/>
          <w:color w:val="0D0D0D" w:themeColor="text1" w:themeTint="F2"/>
          <w:spacing w:val="-2"/>
          <w:sz w:val="16"/>
          <w:szCs w:val="16"/>
          <w:lang w:val="en-GB"/>
        </w:rPr>
        <w:footnoteRef/>
      </w:r>
      <w:r w:rsidRPr="004C583F">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of orders is performed only in twelve manufacturing branches </w:t>
      </w:r>
      <w:r>
        <w:rPr>
          <w:rFonts w:cs="Arial"/>
          <w:color w:val="0D0D0D" w:themeColor="text1" w:themeTint="F2"/>
          <w:sz w:val="16"/>
          <w:szCs w:val="16"/>
          <w:lang w:val="en-GB"/>
        </w:rPr>
        <w:t xml:space="preserve">producing mostly custom-made products, with longer production cycle and larger stocks of orders. Year-on-year growth rates of orders are adjusted for calendar effects, quarter-on-quarter rates also for seasonal effects. </w:t>
      </w:r>
    </w:p>
  </w:footnote>
  <w:footnote w:id="18">
    <w:p w14:paraId="24566CF0" w14:textId="05CD61ED"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sidRPr="00BE4071">
        <w:rPr>
          <w:spacing w:val="-6"/>
          <w:sz w:val="16"/>
          <w:szCs w:val="16"/>
          <w:lang w:val="en-GB"/>
        </w:rPr>
        <w:t xml:space="preserve">Businesses could have indicated more barriers simultaneously. Barriers are adjusted for the seasonality effects. </w:t>
      </w:r>
      <w:r>
        <w:rPr>
          <w:spacing w:val="-6"/>
          <w:sz w:val="16"/>
          <w:szCs w:val="16"/>
          <w:lang w:val="en-GB"/>
        </w:rPr>
        <w:t xml:space="preserve">Weak demand represented a substantial growth limit especially for most energy-intensive industrial branches </w:t>
      </w:r>
      <w:r w:rsidRPr="004C583F">
        <w:rPr>
          <w:sz w:val="16"/>
          <w:szCs w:val="16"/>
          <w:lang w:val="en-GB"/>
        </w:rPr>
        <w:t>(</w:t>
      </w:r>
      <w:r>
        <w:rPr>
          <w:sz w:val="16"/>
          <w:szCs w:val="16"/>
          <w:lang w:val="en-GB"/>
        </w:rPr>
        <w:t>metallurgy, manufacturing of building materials, rubber and plastic industry, wood and paper industry</w:t>
      </w:r>
      <w:r w:rsidRPr="004C583F">
        <w:rPr>
          <w:sz w:val="16"/>
          <w:szCs w:val="16"/>
          <w:lang w:val="en-GB"/>
        </w:rPr>
        <w:t xml:space="preserve">), </w:t>
      </w:r>
      <w:r>
        <w:rPr>
          <w:sz w:val="16"/>
          <w:szCs w:val="16"/>
          <w:lang w:val="en-GB"/>
        </w:rPr>
        <w:t>further for print, textile or beverage industry</w:t>
      </w:r>
      <w:r w:rsidRPr="004C583F">
        <w:rPr>
          <w:sz w:val="16"/>
          <w:szCs w:val="16"/>
          <w:lang w:val="en-GB"/>
        </w:rPr>
        <w:t xml:space="preserve">. </w:t>
      </w:r>
      <w:r>
        <w:rPr>
          <w:sz w:val="16"/>
          <w:szCs w:val="16"/>
          <w:lang w:val="en-GB"/>
        </w:rPr>
        <w:t xml:space="preserve">Surprising high proportion of businesses in manufacturing of electrical appliances (above 70%) also mentioned this barrier. The inadequate demand represented main growth barrier for two thirds of all manufacturing branches. </w:t>
      </w:r>
    </w:p>
  </w:footnote>
  <w:footnote w:id="19">
    <w:p w14:paraId="229E0649" w14:textId="0BEC037E" w:rsidR="003B4260" w:rsidRPr="004C583F" w:rsidRDefault="003B4260" w:rsidP="004C583F">
      <w:pPr>
        <w:pStyle w:val="Textpoznpodarou"/>
        <w:jc w:val="both"/>
        <w:rPr>
          <w:spacing w:val="-2"/>
          <w:sz w:val="16"/>
          <w:szCs w:val="16"/>
          <w:lang w:val="en-GB"/>
        </w:rPr>
      </w:pPr>
      <w:r w:rsidRPr="004C583F">
        <w:rPr>
          <w:rStyle w:val="Znakapoznpodarou"/>
          <w:spacing w:val="-2"/>
          <w:sz w:val="16"/>
          <w:szCs w:val="16"/>
          <w:lang w:val="en-GB"/>
        </w:rPr>
        <w:footnoteRef/>
      </w:r>
      <w:r>
        <w:rPr>
          <w:spacing w:val="-2"/>
          <w:sz w:val="16"/>
          <w:szCs w:val="16"/>
          <w:lang w:val="en-GB"/>
        </w:rPr>
        <w:t xml:space="preserve"> It substantiated bigger problem especially in rubber and plastic industry, in transport equipment manufacturing </w:t>
      </w:r>
      <w:r w:rsidRPr="004C583F">
        <w:rPr>
          <w:spacing w:val="-2"/>
          <w:sz w:val="16"/>
          <w:szCs w:val="16"/>
          <w:lang w:val="en-GB"/>
        </w:rPr>
        <w:t>(</w:t>
      </w:r>
      <w:r>
        <w:rPr>
          <w:spacing w:val="-2"/>
          <w:sz w:val="16"/>
          <w:szCs w:val="16"/>
          <w:lang w:val="en-GB"/>
        </w:rPr>
        <w:t>except for motor vehicles</w:t>
      </w:r>
      <w:r w:rsidRPr="004C583F">
        <w:rPr>
          <w:spacing w:val="-2"/>
          <w:sz w:val="16"/>
          <w:szCs w:val="16"/>
          <w:lang w:val="en-GB"/>
        </w:rPr>
        <w:t>)</w:t>
      </w:r>
      <w:r>
        <w:rPr>
          <w:spacing w:val="-2"/>
          <w:sz w:val="16"/>
          <w:szCs w:val="16"/>
          <w:lang w:val="en-GB"/>
        </w:rPr>
        <w:t xml:space="preserve">, in </w:t>
      </w:r>
      <w:r w:rsidRPr="00A207DE">
        <w:rPr>
          <w:spacing w:val="-2"/>
          <w:sz w:val="16"/>
          <w:szCs w:val="16"/>
          <w:lang w:val="en-GB"/>
        </w:rPr>
        <w:t>manufacturing of electrical appliances</w:t>
      </w:r>
      <w:r>
        <w:rPr>
          <w:spacing w:val="-2"/>
          <w:sz w:val="16"/>
          <w:szCs w:val="16"/>
          <w:lang w:val="en-GB"/>
        </w:rPr>
        <w:t xml:space="preserve"> and then in clothing and leather industry. </w:t>
      </w:r>
    </w:p>
  </w:footnote>
  <w:footnote w:id="20">
    <w:p w14:paraId="2363E2DB" w14:textId="6AFDBC91"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T</w:t>
      </w:r>
      <w:r>
        <w:rPr>
          <w:sz w:val="16"/>
          <w:szCs w:val="16"/>
          <w:lang w:val="en-GB"/>
        </w:rPr>
        <w:t xml:space="preserve">his barrier limited especially businesses in motor vehicle and electronic industry. </w:t>
      </w:r>
    </w:p>
  </w:footnote>
  <w:footnote w:id="21">
    <w:p w14:paraId="4A02B836" w14:textId="71F6F25D" w:rsidR="003B4260" w:rsidRPr="001150CE"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Pr>
          <w:sz w:val="16"/>
          <w:szCs w:val="16"/>
          <w:lang w:val="en-GB"/>
        </w:rPr>
        <w:t>Based on the business cycle surveys from last year</w:t>
      </w:r>
      <w:r w:rsidRPr="00F32921">
        <w:rPr>
          <w:sz w:val="16"/>
          <w:szCs w:val="16"/>
          <w:lang w:val="en-US"/>
        </w:rPr>
        <w:t>‘</w:t>
      </w:r>
      <w:r w:rsidRPr="00FE18A8">
        <w:rPr>
          <w:sz w:val="16"/>
          <w:szCs w:val="16"/>
          <w:lang w:val="en-GB"/>
        </w:rPr>
        <w:t xml:space="preserve">s </w:t>
      </w:r>
      <w:r>
        <w:rPr>
          <w:sz w:val="16"/>
          <w:szCs w:val="16"/>
          <w:lang w:val="en-GB"/>
        </w:rPr>
        <w:t xml:space="preserve">November, still nearly </w:t>
      </w:r>
      <w:r>
        <w:rPr>
          <w:sz w:val="16"/>
          <w:szCs w:val="16"/>
        </w:rPr>
        <w:t xml:space="preserve">40% of domestic construction buinesses expected the growth of prices </w:t>
      </w:r>
      <w:r w:rsidRPr="001150CE">
        <w:rPr>
          <w:sz w:val="16"/>
          <w:szCs w:val="16"/>
          <w:lang w:val="en-GB"/>
        </w:rPr>
        <w:t xml:space="preserve">of own production (within a period of the next three months). </w:t>
      </w:r>
      <w:r>
        <w:rPr>
          <w:sz w:val="16"/>
          <w:szCs w:val="16"/>
          <w:lang w:val="en-GB"/>
        </w:rPr>
        <w:t xml:space="preserve">Even despite a gradual descend, which is however slower compared to industry, it presented the largest share among all main branches. </w:t>
      </w:r>
    </w:p>
  </w:footnote>
  <w:footnote w:id="22">
    <w:p w14:paraId="6561C27C" w14:textId="1063CA66" w:rsidR="003B4260" w:rsidRPr="004C583F" w:rsidRDefault="003B4260" w:rsidP="004C583F">
      <w:pPr>
        <w:pStyle w:val="Textpoznpodarou"/>
        <w:jc w:val="both"/>
        <w:rPr>
          <w:sz w:val="16"/>
          <w:szCs w:val="16"/>
          <w:lang w:val="en-GB"/>
        </w:rPr>
      </w:pPr>
      <w:r w:rsidRPr="001150CE">
        <w:rPr>
          <w:rStyle w:val="Znakapoznpodarou"/>
          <w:sz w:val="16"/>
          <w:szCs w:val="16"/>
          <w:lang w:val="en-GB"/>
        </w:rPr>
        <w:footnoteRef/>
      </w:r>
      <w:r w:rsidRPr="001150CE">
        <w:rPr>
          <w:sz w:val="16"/>
          <w:szCs w:val="16"/>
          <w:lang w:val="en-GB"/>
        </w:rPr>
        <w:t xml:space="preserve"> </w:t>
      </w:r>
      <w:r>
        <w:rPr>
          <w:sz w:val="16"/>
          <w:szCs w:val="16"/>
          <w:lang w:val="en-GB"/>
        </w:rPr>
        <w:t xml:space="preserve">It was connected to the decrease of real household incomes as well as high interest rates on mortgages </w:t>
      </w:r>
      <w:r w:rsidRPr="004C583F">
        <w:rPr>
          <w:sz w:val="16"/>
          <w:szCs w:val="16"/>
          <w:lang w:val="en-GB"/>
        </w:rPr>
        <w:t>(</w:t>
      </w:r>
      <w:r>
        <w:rPr>
          <w:sz w:val="16"/>
          <w:szCs w:val="16"/>
          <w:lang w:val="en-GB"/>
        </w:rPr>
        <w:t>whose level did not change much during the last year</w:t>
      </w:r>
      <w:r w:rsidRPr="004C583F">
        <w:rPr>
          <w:sz w:val="16"/>
          <w:szCs w:val="16"/>
          <w:lang w:val="en-GB"/>
        </w:rPr>
        <w:t>). Situa</w:t>
      </w:r>
      <w:r>
        <w:rPr>
          <w:sz w:val="16"/>
          <w:szCs w:val="16"/>
          <w:lang w:val="en-GB"/>
        </w:rPr>
        <w:t xml:space="preserve">tion could be improved by reduction of regulation in the nearest time. As of January </w:t>
      </w:r>
      <w:r w:rsidRPr="004C583F">
        <w:rPr>
          <w:sz w:val="16"/>
          <w:szCs w:val="16"/>
          <w:lang w:val="en-GB"/>
        </w:rPr>
        <w:t>2024</w:t>
      </w:r>
      <w:r>
        <w:rPr>
          <w:sz w:val="16"/>
          <w:szCs w:val="16"/>
          <w:lang w:val="en-GB"/>
        </w:rPr>
        <w:t xml:space="preserve">, the CNB proceeded to the deactivation of some limits for the provision of mortgages </w:t>
      </w:r>
      <w:r w:rsidRPr="004C583F">
        <w:rPr>
          <w:sz w:val="16"/>
          <w:szCs w:val="16"/>
          <w:lang w:val="en-GB"/>
        </w:rPr>
        <w:t>(</w:t>
      </w:r>
      <w:r>
        <w:rPr>
          <w:sz w:val="16"/>
          <w:szCs w:val="16"/>
          <w:lang w:val="en-GB"/>
        </w:rPr>
        <w:t xml:space="preserve">relation of the total </w:t>
      </w:r>
      <w:r w:rsidRPr="00170F1A">
        <w:rPr>
          <w:sz w:val="16"/>
          <w:szCs w:val="16"/>
          <w:lang w:val="en-GB"/>
        </w:rPr>
        <w:t>size of debt, i.e. the size of the</w:t>
      </w:r>
      <w:r>
        <w:rPr>
          <w:sz w:val="16"/>
          <w:szCs w:val="16"/>
          <w:lang w:val="en-GB"/>
        </w:rPr>
        <w:t xml:space="preserve"> debt service to the annual net household income</w:t>
      </w:r>
      <w:r w:rsidRPr="004C583F">
        <w:rPr>
          <w:sz w:val="16"/>
          <w:szCs w:val="16"/>
          <w:lang w:val="en-GB"/>
        </w:rPr>
        <w:t>).</w:t>
      </w:r>
    </w:p>
  </w:footnote>
  <w:footnote w:id="23">
    <w:p w14:paraId="726F0B33" w14:textId="781BF514"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Pr>
          <w:sz w:val="16"/>
          <w:szCs w:val="16"/>
          <w:lang w:val="en-GB"/>
        </w:rPr>
        <w:t xml:space="preserve">E.g. capital outlays of the CR state budget increased by 14% </w:t>
      </w:r>
      <w:r w:rsidRPr="00170F1A">
        <w:rPr>
          <w:sz w:val="16"/>
          <w:szCs w:val="16"/>
          <w:lang w:val="en-GB"/>
        </w:rPr>
        <w:t>year-on-year, or 25.4 bn CZK from</w:t>
      </w:r>
      <w:r>
        <w:rPr>
          <w:sz w:val="16"/>
          <w:szCs w:val="16"/>
          <w:lang w:val="en-GB"/>
        </w:rPr>
        <w:t xml:space="preserve"> January till December last year. </w:t>
      </w:r>
    </w:p>
  </w:footnote>
  <w:footnote w:id="24">
    <w:p w14:paraId="290DA2E8" w14:textId="363AF4D7" w:rsidR="003B4260" w:rsidRPr="004C583F" w:rsidRDefault="003B4260" w:rsidP="00C80E36">
      <w:pPr>
        <w:pStyle w:val="Textpoznpodarou"/>
        <w:jc w:val="both"/>
        <w:rPr>
          <w:sz w:val="16"/>
          <w:szCs w:val="16"/>
          <w:lang w:val="en-GB"/>
        </w:rPr>
      </w:pPr>
      <w:r w:rsidRPr="004C583F">
        <w:rPr>
          <w:rStyle w:val="Znakapoznpodarou"/>
          <w:rFonts w:cs="Arial"/>
          <w:color w:val="0D0D0D" w:themeColor="text1" w:themeTint="F2"/>
          <w:sz w:val="16"/>
          <w:szCs w:val="16"/>
          <w:lang w:val="en-GB"/>
        </w:rPr>
        <w:footnoteRef/>
      </w:r>
      <w:r w:rsidRPr="004C583F">
        <w:rPr>
          <w:rFonts w:cs="Arial"/>
          <w:color w:val="0D0D0D" w:themeColor="text1" w:themeTint="F2"/>
          <w:sz w:val="16"/>
          <w:szCs w:val="16"/>
          <w:lang w:val="en-GB"/>
        </w:rPr>
        <w:t xml:space="preserve"> </w:t>
      </w:r>
      <w:r>
        <w:rPr>
          <w:rFonts w:cs="Arial"/>
          <w:color w:val="0D0D0D" w:themeColor="text1" w:themeTint="F2"/>
          <w:sz w:val="16"/>
          <w:szCs w:val="16"/>
          <w:lang w:val="en-GB"/>
        </w:rPr>
        <w:t xml:space="preserve">Data regarding the construction output are in constant prices, year-on-year rates of growth are adjusted for calendar effects, quarter-on-quarter rates also for seasonality effects. </w:t>
      </w:r>
    </w:p>
  </w:footnote>
  <w:footnote w:id="25">
    <w:p w14:paraId="0B2F7008" w14:textId="5236270D" w:rsidR="003B4260" w:rsidRPr="00797D3C" w:rsidRDefault="003B4260" w:rsidP="000B75A7">
      <w:pPr>
        <w:spacing w:after="0" w:line="240" w:lineRule="auto"/>
        <w:rPr>
          <w:spacing w:val="-2"/>
          <w:lang w:val="en-GB"/>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26">
    <w:p w14:paraId="35E99CE7" w14:textId="62090B51" w:rsidR="003B4260" w:rsidRPr="00797D3C" w:rsidRDefault="003B4260" w:rsidP="00797D3C">
      <w:pPr>
        <w:pStyle w:val="Textpoznpodarou"/>
        <w:jc w:val="both"/>
        <w:rPr>
          <w:spacing w:val="-4"/>
          <w:sz w:val="16"/>
          <w:szCs w:val="16"/>
          <w:lang w:val="en-GB"/>
        </w:rPr>
      </w:pPr>
      <w:r w:rsidRPr="00797D3C">
        <w:rPr>
          <w:rStyle w:val="Znakapoznpodarou"/>
          <w:spacing w:val="-4"/>
          <w:sz w:val="16"/>
          <w:szCs w:val="16"/>
          <w:lang w:val="en-GB"/>
        </w:rPr>
        <w:footnoteRef/>
      </w:r>
      <w:r w:rsidRPr="00797D3C">
        <w:rPr>
          <w:spacing w:val="-4"/>
          <w:sz w:val="16"/>
          <w:szCs w:val="16"/>
          <w:lang w:val="en-GB"/>
        </w:rPr>
        <w:t xml:space="preserve"> </w:t>
      </w:r>
      <w:r>
        <w:rPr>
          <w:spacing w:val="-4"/>
          <w:sz w:val="16"/>
          <w:szCs w:val="16"/>
          <w:lang w:val="en-GB"/>
        </w:rPr>
        <w:t xml:space="preserve">Among the main branches, the sales lagged behind their pre-crisis maximum the most in accommodation, food service and restaurants </w:t>
      </w:r>
      <w:r w:rsidRPr="00797D3C">
        <w:rPr>
          <w:spacing w:val="-6"/>
          <w:sz w:val="16"/>
          <w:szCs w:val="16"/>
          <w:lang w:val="en-GB"/>
        </w:rPr>
        <w:t>(</w:t>
      </w:r>
      <w:r w:rsidRPr="00797D3C">
        <w:rPr>
          <w:color w:val="0D0D0D" w:themeColor="text1" w:themeTint="F2"/>
          <w:spacing w:val="-6"/>
          <w:sz w:val="16"/>
          <w:szCs w:val="16"/>
          <w:lang w:val="en-GB"/>
        </w:rPr>
        <w:t>–</w:t>
      </w:r>
      <w:r w:rsidRPr="00797D3C">
        <w:rPr>
          <w:spacing w:val="-6"/>
          <w:sz w:val="16"/>
          <w:szCs w:val="16"/>
          <w:lang w:val="en-GB"/>
        </w:rPr>
        <w:t>9</w:t>
      </w:r>
      <w:r>
        <w:rPr>
          <w:spacing w:val="-6"/>
          <w:sz w:val="16"/>
          <w:szCs w:val="16"/>
          <w:lang w:val="en-GB"/>
        </w:rPr>
        <w:t>.</w:t>
      </w:r>
      <w:r w:rsidRPr="00797D3C">
        <w:rPr>
          <w:spacing w:val="-6"/>
          <w:sz w:val="16"/>
          <w:szCs w:val="16"/>
          <w:lang w:val="en-GB"/>
        </w:rPr>
        <w:t>4%)</w:t>
      </w:r>
      <w:r>
        <w:rPr>
          <w:spacing w:val="-6"/>
          <w:sz w:val="16"/>
          <w:szCs w:val="16"/>
          <w:lang w:val="en-GB"/>
        </w:rPr>
        <w:t xml:space="preserve"> </w:t>
      </w:r>
      <w:r w:rsidRPr="00797D3C">
        <w:rPr>
          <w:spacing w:val="-4"/>
          <w:sz w:val="16"/>
          <w:szCs w:val="16"/>
          <w:lang w:val="en-GB"/>
        </w:rPr>
        <w:t>a</w:t>
      </w:r>
      <w:r>
        <w:rPr>
          <w:spacing w:val="-4"/>
          <w:sz w:val="16"/>
          <w:szCs w:val="16"/>
          <w:lang w:val="en-GB"/>
        </w:rPr>
        <w:t>nd in a</w:t>
      </w:r>
      <w:r w:rsidRPr="00B31D2C">
        <w:rPr>
          <w:spacing w:val="-4"/>
          <w:sz w:val="16"/>
          <w:szCs w:val="16"/>
          <w:lang w:val="en-GB"/>
        </w:rPr>
        <w:t>dministrative and support service activities</w:t>
      </w:r>
      <w:r w:rsidRPr="00797D3C">
        <w:rPr>
          <w:color w:val="0D0D0D" w:themeColor="text1" w:themeTint="F2"/>
          <w:spacing w:val="-2"/>
          <w:sz w:val="16"/>
          <w:szCs w:val="16"/>
          <w:lang w:val="en-GB"/>
        </w:rPr>
        <w:t> </w:t>
      </w:r>
      <w:r w:rsidRPr="00797D3C">
        <w:rPr>
          <w:rFonts w:cs="Arial"/>
          <w:color w:val="0D0D0D" w:themeColor="text1" w:themeTint="F2"/>
          <w:spacing w:val="-4"/>
          <w:sz w:val="16"/>
          <w:szCs w:val="16"/>
          <w:lang w:val="en-GB"/>
        </w:rPr>
        <w:t>(</w:t>
      </w:r>
      <w:r w:rsidRPr="00797D3C">
        <w:rPr>
          <w:color w:val="0D0D0D" w:themeColor="text1" w:themeTint="F2"/>
          <w:spacing w:val="-4"/>
          <w:sz w:val="16"/>
          <w:szCs w:val="16"/>
          <w:lang w:val="en-GB"/>
        </w:rPr>
        <w:t>–</w:t>
      </w:r>
      <w:r w:rsidRPr="00797D3C">
        <w:rPr>
          <w:rFonts w:cs="Arial"/>
          <w:color w:val="0D0D0D" w:themeColor="text1" w:themeTint="F2"/>
          <w:spacing w:val="-4"/>
          <w:sz w:val="16"/>
          <w:szCs w:val="16"/>
          <w:lang w:val="en-GB"/>
        </w:rPr>
        <w:t>12</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3%)</w:t>
      </w:r>
      <w:r>
        <w:rPr>
          <w:rFonts w:cs="Arial"/>
          <w:color w:val="0D0D0D" w:themeColor="text1" w:themeTint="F2"/>
          <w:spacing w:val="-4"/>
          <w:sz w:val="16"/>
          <w:szCs w:val="16"/>
          <w:lang w:val="en-GB"/>
        </w:rPr>
        <w:t xml:space="preserve"> in Q4 2023</w:t>
      </w:r>
      <w:r w:rsidRPr="00797D3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In contrast mainly information and communication </w:t>
      </w:r>
      <w:r w:rsidRPr="00797D3C">
        <w:rPr>
          <w:rFonts w:cs="Arial"/>
          <w:color w:val="0D0D0D" w:themeColor="text1" w:themeTint="F2"/>
          <w:spacing w:val="-4"/>
          <w:sz w:val="16"/>
          <w:szCs w:val="16"/>
          <w:lang w:val="en-GB"/>
        </w:rPr>
        <w:t>(+5</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5%)</w:t>
      </w:r>
      <w:r>
        <w:rPr>
          <w:rFonts w:cs="Arial"/>
          <w:color w:val="0D0D0D" w:themeColor="text1" w:themeTint="F2"/>
          <w:spacing w:val="-4"/>
          <w:sz w:val="16"/>
          <w:szCs w:val="16"/>
          <w:lang w:val="en-GB"/>
        </w:rPr>
        <w:t xml:space="preserve"> and professional, scientific and technical activities </w:t>
      </w:r>
      <w:r w:rsidRPr="00797D3C">
        <w:rPr>
          <w:rFonts w:cs="Arial"/>
          <w:color w:val="0D0D0D" w:themeColor="text1" w:themeTint="F2"/>
          <w:spacing w:val="-4"/>
          <w:sz w:val="16"/>
          <w:szCs w:val="16"/>
          <w:lang w:val="en-GB"/>
        </w:rPr>
        <w:t>(+1</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8%)</w:t>
      </w:r>
      <w:r>
        <w:rPr>
          <w:rFonts w:cs="Arial"/>
          <w:color w:val="0D0D0D" w:themeColor="text1" w:themeTint="F2"/>
          <w:spacing w:val="-4"/>
          <w:sz w:val="16"/>
          <w:szCs w:val="16"/>
          <w:lang w:val="en-GB"/>
        </w:rPr>
        <w:t xml:space="preserve"> exceeded this level</w:t>
      </w:r>
      <w:r w:rsidRPr="00797D3C">
        <w:rPr>
          <w:rFonts w:cs="Arial"/>
          <w:color w:val="0D0D0D" w:themeColor="text1" w:themeTint="F2"/>
          <w:spacing w:val="-4"/>
          <w:sz w:val="16"/>
          <w:szCs w:val="16"/>
          <w:lang w:val="en-GB"/>
        </w:rPr>
        <w:t>.</w:t>
      </w:r>
    </w:p>
  </w:footnote>
  <w:footnote w:id="27">
    <w:p w14:paraId="5E351405" w14:textId="5D76E852" w:rsidR="003B4260" w:rsidRPr="00797D3C" w:rsidRDefault="003B4260" w:rsidP="00797D3C">
      <w:pPr>
        <w:pStyle w:val="Textpoznpodarou"/>
        <w:jc w:val="both"/>
        <w:rPr>
          <w:sz w:val="16"/>
          <w:szCs w:val="16"/>
          <w:lang w:val="en-GB"/>
        </w:rPr>
      </w:pPr>
      <w:r w:rsidRPr="00797D3C">
        <w:rPr>
          <w:rStyle w:val="Znakapoznpodarou"/>
          <w:sz w:val="16"/>
          <w:szCs w:val="16"/>
          <w:lang w:val="en-GB"/>
        </w:rPr>
        <w:footnoteRef/>
      </w:r>
      <w:r w:rsidRPr="00797D3C">
        <w:rPr>
          <w:sz w:val="16"/>
          <w:szCs w:val="16"/>
          <w:lang w:val="en-GB"/>
        </w:rPr>
        <w:t xml:space="preserve"> </w:t>
      </w:r>
      <w:r>
        <w:rPr>
          <w:sz w:val="16"/>
          <w:szCs w:val="16"/>
          <w:lang w:val="en-GB"/>
        </w:rPr>
        <w:t>Sales were still considerably higher here (by 8.3%) compared to year 2</w:t>
      </w:r>
      <w:r w:rsidRPr="00797D3C">
        <w:rPr>
          <w:sz w:val="16"/>
          <w:szCs w:val="16"/>
          <w:lang w:val="en-GB"/>
        </w:rPr>
        <w:t>019</w:t>
      </w:r>
      <w:r>
        <w:rPr>
          <w:sz w:val="16"/>
          <w:szCs w:val="16"/>
          <w:lang w:val="en-GB"/>
        </w:rPr>
        <w:t xml:space="preserve">. </w:t>
      </w:r>
    </w:p>
  </w:footnote>
  <w:footnote w:id="28">
    <w:p w14:paraId="354DF64F" w14:textId="497E4992" w:rsidR="003B4260" w:rsidRPr="00797D3C" w:rsidRDefault="003B4260" w:rsidP="00797D3C">
      <w:pPr>
        <w:pStyle w:val="Textpoznpodarou"/>
        <w:jc w:val="both"/>
        <w:rPr>
          <w:sz w:val="16"/>
          <w:szCs w:val="16"/>
          <w:lang w:val="en-GB"/>
        </w:rPr>
      </w:pPr>
      <w:r w:rsidRPr="00797D3C">
        <w:rPr>
          <w:rStyle w:val="Znakapoznpodarou"/>
          <w:sz w:val="16"/>
          <w:szCs w:val="16"/>
          <w:lang w:val="en-GB"/>
        </w:rPr>
        <w:footnoteRef/>
      </w:r>
      <w:r w:rsidRPr="00797D3C">
        <w:rPr>
          <w:sz w:val="16"/>
          <w:szCs w:val="16"/>
          <w:lang w:val="en-GB"/>
        </w:rPr>
        <w:t xml:space="preserve"> </w:t>
      </w:r>
      <w:r>
        <w:rPr>
          <w:sz w:val="16"/>
          <w:szCs w:val="16"/>
          <w:lang w:val="en-GB"/>
        </w:rPr>
        <w:t xml:space="preserve">The turnover of the international trade of goods in constant prices </w:t>
      </w:r>
      <w:r w:rsidRPr="00797D3C">
        <w:rPr>
          <w:sz w:val="16"/>
          <w:szCs w:val="16"/>
          <w:lang w:val="en-GB"/>
        </w:rPr>
        <w:t>(</w:t>
      </w:r>
      <w:r>
        <w:rPr>
          <w:sz w:val="16"/>
          <w:szCs w:val="16"/>
          <w:lang w:val="en-GB"/>
        </w:rPr>
        <w:t>based on the national accounts methodology</w:t>
      </w:r>
      <w:r w:rsidRPr="00797D3C">
        <w:rPr>
          <w:sz w:val="16"/>
          <w:szCs w:val="16"/>
          <w:lang w:val="en-GB"/>
        </w:rPr>
        <w:t xml:space="preserve">) </w:t>
      </w:r>
      <w:r>
        <w:rPr>
          <w:sz w:val="16"/>
          <w:szCs w:val="16"/>
          <w:lang w:val="en-GB"/>
        </w:rPr>
        <w:t>decreased by 2.3% year-on-year last year in Q</w:t>
      </w:r>
      <w:r w:rsidRPr="00797D3C">
        <w:rPr>
          <w:sz w:val="16"/>
          <w:szCs w:val="16"/>
          <w:lang w:val="en-GB"/>
        </w:rPr>
        <w:t>3</w:t>
      </w:r>
      <w:r>
        <w:rPr>
          <w:sz w:val="16"/>
          <w:szCs w:val="16"/>
          <w:lang w:val="en-GB"/>
        </w:rPr>
        <w:t xml:space="preserve">, it deepened to 2.7% in the subsequent quarter. </w:t>
      </w:r>
      <w:r w:rsidRPr="00797D3C">
        <w:rPr>
          <w:sz w:val="16"/>
          <w:szCs w:val="16"/>
          <w:lang w:val="en-GB"/>
        </w:rPr>
        <w:t xml:space="preserve"> </w:t>
      </w:r>
    </w:p>
  </w:footnote>
  <w:footnote w:id="29">
    <w:p w14:paraId="0AEEFD29" w14:textId="2BCBCCF0" w:rsidR="003B4260" w:rsidRPr="00E73BA7" w:rsidRDefault="003B4260" w:rsidP="00E73BA7">
      <w:pPr>
        <w:pStyle w:val="Textpoznpodarou"/>
        <w:jc w:val="both"/>
        <w:rPr>
          <w:sz w:val="16"/>
          <w:szCs w:val="16"/>
          <w:lang w:val="en-GB"/>
        </w:rPr>
      </w:pPr>
      <w:r w:rsidRPr="00E73BA7">
        <w:rPr>
          <w:rStyle w:val="Znakapoznpodarou"/>
          <w:sz w:val="16"/>
          <w:szCs w:val="16"/>
          <w:lang w:val="en-GB"/>
        </w:rPr>
        <w:footnoteRef/>
      </w:r>
      <w:r w:rsidRPr="00E73BA7">
        <w:rPr>
          <w:sz w:val="16"/>
          <w:szCs w:val="16"/>
          <w:lang w:val="en-GB"/>
        </w:rPr>
        <w:t xml:space="preserve"> </w:t>
      </w:r>
      <w:r>
        <w:rPr>
          <w:sz w:val="16"/>
          <w:szCs w:val="16"/>
          <w:lang w:val="en-GB"/>
        </w:rPr>
        <w:t xml:space="preserve">Based on the latest data, the transport works (in tkm) decreased in the freight rail transport by 5.1%, road transport by 1.5% year-on-year in year </w:t>
      </w:r>
      <w:r w:rsidRPr="00E73BA7">
        <w:rPr>
          <w:sz w:val="16"/>
          <w:szCs w:val="16"/>
          <w:lang w:val="en-GB"/>
        </w:rPr>
        <w:t>2023</w:t>
      </w:r>
      <w:r>
        <w:rPr>
          <w:sz w:val="16"/>
          <w:szCs w:val="16"/>
          <w:lang w:val="en-GB"/>
        </w:rPr>
        <w:t xml:space="preserve">. The decrease of demand for domestic transportation proved to be key in both cases. </w:t>
      </w:r>
    </w:p>
  </w:footnote>
  <w:footnote w:id="30">
    <w:p w14:paraId="0D72B3D0" w14:textId="342DFAB4" w:rsidR="003B4260" w:rsidRPr="00E73BA7" w:rsidRDefault="003B4260" w:rsidP="00E73BA7">
      <w:pPr>
        <w:pStyle w:val="Textpoznpodarou"/>
        <w:jc w:val="both"/>
        <w:rPr>
          <w:sz w:val="16"/>
          <w:szCs w:val="16"/>
          <w:lang w:val="en-GB"/>
        </w:rPr>
      </w:pPr>
      <w:r w:rsidRPr="00E73BA7">
        <w:rPr>
          <w:rStyle w:val="Znakapoznpodarou"/>
          <w:sz w:val="16"/>
          <w:szCs w:val="16"/>
          <w:lang w:val="en-GB"/>
        </w:rPr>
        <w:footnoteRef/>
      </w:r>
      <w:r w:rsidRPr="00E73BA7">
        <w:rPr>
          <w:sz w:val="16"/>
          <w:szCs w:val="16"/>
          <w:lang w:val="en-GB"/>
        </w:rPr>
        <w:t xml:space="preserve"> </w:t>
      </w:r>
      <w:r>
        <w:rPr>
          <w:sz w:val="16"/>
          <w:szCs w:val="16"/>
          <w:lang w:val="en-GB"/>
        </w:rPr>
        <w:t xml:space="preserve">The decrease of sales eventuated here even despite high growth of number of working foreigners in the CR. Refugees from Ukraine significantly participated in this number in the last two years. With respect to the Temporary protected status, which was granted to these persons, their employment in the CR is administratively easier </w:t>
      </w:r>
      <w:r w:rsidRPr="00E73BA7">
        <w:rPr>
          <w:sz w:val="16"/>
          <w:szCs w:val="16"/>
          <w:lang w:val="en-GB"/>
        </w:rPr>
        <w:t>(</w:t>
      </w:r>
      <w:r>
        <w:rPr>
          <w:sz w:val="16"/>
          <w:szCs w:val="16"/>
          <w:lang w:val="en-GB"/>
        </w:rPr>
        <w:t>compared to other groups of migrants from the so-called third countries</w:t>
      </w:r>
      <w:r w:rsidRPr="00E73BA7">
        <w:rPr>
          <w:sz w:val="16"/>
          <w:szCs w:val="16"/>
          <w:lang w:val="en-GB"/>
        </w:rPr>
        <w:t>) a</w:t>
      </w:r>
      <w:r>
        <w:rPr>
          <w:sz w:val="16"/>
          <w:szCs w:val="16"/>
          <w:lang w:val="en-GB"/>
        </w:rPr>
        <w:t xml:space="preserve">nd thus they can seek employment more easily “directly” </w:t>
      </w:r>
      <w:r w:rsidRPr="00E73BA7">
        <w:rPr>
          <w:sz w:val="16"/>
          <w:szCs w:val="16"/>
          <w:lang w:val="en-GB"/>
        </w:rPr>
        <w:t>(</w:t>
      </w:r>
      <w:r>
        <w:rPr>
          <w:sz w:val="16"/>
          <w:szCs w:val="16"/>
          <w:lang w:val="en-GB"/>
        </w:rPr>
        <w:t>without intermediary</w:t>
      </w:r>
      <w:r w:rsidRPr="00E73BA7">
        <w:rPr>
          <w:sz w:val="16"/>
          <w:szCs w:val="16"/>
          <w:lang w:val="en-GB"/>
        </w:rPr>
        <w:t xml:space="preserve">). </w:t>
      </w:r>
      <w:r>
        <w:rPr>
          <w:sz w:val="16"/>
          <w:szCs w:val="16"/>
          <w:lang w:val="en-GB"/>
        </w:rPr>
        <w:t xml:space="preserve">Apart from the above stated, the reduced demand for the agency workers on the part of key manufacturing branches undergoing recession (e.g. industry) can also share in the decrease of sales. </w:t>
      </w:r>
    </w:p>
  </w:footnote>
  <w:footnote w:id="31">
    <w:p w14:paraId="0468E298" w14:textId="414933DE" w:rsidR="003B4260" w:rsidRPr="00FE1DA9" w:rsidRDefault="003B4260" w:rsidP="00F94437">
      <w:pPr>
        <w:pStyle w:val="paragraph"/>
        <w:spacing w:before="0" w:beforeAutospacing="0" w:after="0" w:afterAutospacing="0"/>
        <w:jc w:val="both"/>
        <w:textAlignment w:val="baseline"/>
        <w:rPr>
          <w:rFonts w:ascii="Arial" w:eastAsia="Calibri" w:hAnsi="Arial"/>
          <w:sz w:val="16"/>
          <w:szCs w:val="16"/>
          <w:lang w:val="en-GB"/>
        </w:rPr>
      </w:pPr>
      <w:r w:rsidRPr="00E73BA7">
        <w:rPr>
          <w:rStyle w:val="Znakapoznpodarou"/>
          <w:sz w:val="16"/>
          <w:szCs w:val="16"/>
          <w:lang w:val="en-GB"/>
        </w:rPr>
        <w:footnoteRef/>
      </w:r>
      <w:r w:rsidRPr="00E73BA7">
        <w:rPr>
          <w:sz w:val="16"/>
          <w:szCs w:val="16"/>
          <w:lang w:val="en-GB"/>
        </w:rPr>
        <w:t xml:space="preserve"> </w:t>
      </w:r>
      <w:r w:rsidRPr="00FE1DA9">
        <w:rPr>
          <w:rFonts w:ascii="Arial" w:eastAsia="Calibri" w:hAnsi="Arial"/>
          <w:sz w:val="16"/>
          <w:szCs w:val="16"/>
          <w:lang w:val="en-GB"/>
        </w:rPr>
        <w:t xml:space="preserve">In that in Q4 2023, the number of overnight stays was by 3.4% lower compared to the level from year 2019 (even by 11.3% lower for foreign tourists, it was on the contrary by 6.9% higher for households). Among regions only five surpassed in the number of overnight stays this level (the most in </w:t>
      </w:r>
      <w:r w:rsidRPr="009F1F17">
        <w:rPr>
          <w:rFonts w:ascii="Arial" w:eastAsia="Calibri" w:hAnsi="Arial"/>
          <w:i/>
          <w:iCs/>
          <w:sz w:val="16"/>
          <w:szCs w:val="16"/>
          <w:lang w:val="en-GB"/>
        </w:rPr>
        <w:t>Vysočina</w:t>
      </w:r>
      <w:r w:rsidRPr="00FE1DA9">
        <w:rPr>
          <w:rFonts w:ascii="Arial" w:eastAsia="Calibri" w:hAnsi="Arial"/>
          <w:sz w:val="16"/>
          <w:szCs w:val="16"/>
          <w:lang w:val="en-GB"/>
        </w:rPr>
        <w:t xml:space="preserve"> +9%), other stayed behind (the </w:t>
      </w:r>
      <w:r w:rsidRPr="009F1F17">
        <w:rPr>
          <w:rFonts w:ascii="Arial" w:eastAsia="Calibri" w:hAnsi="Arial"/>
          <w:i/>
          <w:iCs/>
          <w:sz w:val="16"/>
          <w:szCs w:val="16"/>
          <w:lang w:val="en-GB"/>
        </w:rPr>
        <w:t>Ústecký</w:t>
      </w:r>
      <w:r>
        <w:rPr>
          <w:rFonts w:ascii="Arial" w:eastAsia="Calibri" w:hAnsi="Arial"/>
          <w:sz w:val="16"/>
          <w:szCs w:val="16"/>
          <w:lang w:val="en-GB"/>
        </w:rPr>
        <w:t xml:space="preserve"> </w:t>
      </w:r>
      <w:r w:rsidRPr="00FE1DA9">
        <w:rPr>
          <w:rFonts w:ascii="Arial" w:eastAsia="Calibri" w:hAnsi="Arial"/>
          <w:sz w:val="16"/>
          <w:szCs w:val="16"/>
          <w:lang w:val="en-GB"/>
        </w:rPr>
        <w:t xml:space="preserve">by 12%, </w:t>
      </w:r>
      <w:r w:rsidRPr="009F1F17">
        <w:rPr>
          <w:rFonts w:ascii="Arial" w:eastAsia="Calibri" w:hAnsi="Arial"/>
          <w:i/>
          <w:iCs/>
          <w:sz w:val="16"/>
          <w:szCs w:val="16"/>
          <w:lang w:val="en-GB"/>
        </w:rPr>
        <w:t>Karlovarský</w:t>
      </w:r>
      <w:r w:rsidRPr="00FE1DA9">
        <w:rPr>
          <w:rFonts w:ascii="Arial" w:eastAsia="Calibri" w:hAnsi="Arial"/>
          <w:sz w:val="16"/>
          <w:szCs w:val="16"/>
          <w:lang w:val="en-GB"/>
        </w:rPr>
        <w:t xml:space="preserve"> and Prague identically by 5%). The number of overnight stays fell behind the most in the CR related to guests from countries involved in war conflicts (Russia by 95%, Izrael by 63%), from distant Asian states, mainly China (–74%), Japan (–51%), South Korea (–29%) and among the EU countries the most from the Scandinavian states (e.g. Sweden –38%). On the other hand, the demand in the CR exceeded the pre-pandemic level for citizens of all neighbouring states (Slovakia +13%, Poland +12%, Austria 11% and Germany +2%), among further significant countries it grew the most for citizens of Spain (+26%), among countries outside Europe relatively the most from the United Arab Emirates and Saudi Arabia.  </w:t>
      </w:r>
    </w:p>
  </w:footnote>
  <w:footnote w:id="32">
    <w:p w14:paraId="46C9A541" w14:textId="399FE7DF" w:rsidR="003B4260" w:rsidRPr="00DD7900" w:rsidRDefault="003B4260" w:rsidP="00DD7900">
      <w:pPr>
        <w:pStyle w:val="Textpoznpodarou"/>
        <w:jc w:val="both"/>
        <w:rPr>
          <w:sz w:val="16"/>
          <w:szCs w:val="16"/>
          <w:lang w:val="en-GB"/>
        </w:rPr>
      </w:pPr>
      <w:r w:rsidRPr="00F34E27">
        <w:rPr>
          <w:rStyle w:val="Znakapoznpodarou"/>
          <w:sz w:val="16"/>
          <w:szCs w:val="16"/>
        </w:rPr>
        <w:footnoteRef/>
      </w:r>
      <w:r w:rsidRPr="00F34E27">
        <w:rPr>
          <w:sz w:val="16"/>
          <w:szCs w:val="16"/>
        </w:rPr>
        <w:t xml:space="preserve"> </w:t>
      </w:r>
      <w:r w:rsidRPr="00DD7900">
        <w:rPr>
          <w:sz w:val="16"/>
          <w:szCs w:val="16"/>
          <w:lang w:val="en-GB"/>
        </w:rPr>
        <w:t>This sub-branch with significant share of small businesses mainly includes brokering activities, design, translation and photographic activities or activities of construction supervision.</w:t>
      </w:r>
    </w:p>
  </w:footnote>
  <w:footnote w:id="33">
    <w:p w14:paraId="40D585C1" w14:textId="711A6DF8" w:rsidR="003B4260" w:rsidRPr="00DD7900" w:rsidRDefault="003B4260" w:rsidP="007A15BA">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sidRPr="003B0067">
        <w:rPr>
          <w:sz w:val="16"/>
          <w:szCs w:val="16"/>
          <w:lang w:val="en-GB"/>
        </w:rPr>
        <w:t xml:space="preserve">Segment of motion picture distribution </w:t>
      </w:r>
      <w:r>
        <w:rPr>
          <w:sz w:val="16"/>
          <w:szCs w:val="16"/>
          <w:lang w:val="en-GB"/>
        </w:rPr>
        <w:t xml:space="preserve">fared better. According to the figures </w:t>
      </w:r>
      <w:r w:rsidRPr="003B0067">
        <w:rPr>
          <w:sz w:val="16"/>
          <w:szCs w:val="16"/>
          <w:lang w:val="en-GB"/>
        </w:rPr>
        <w:t>f</w:t>
      </w:r>
      <w:r>
        <w:rPr>
          <w:sz w:val="16"/>
          <w:szCs w:val="16"/>
          <w:lang w:val="en-GB"/>
        </w:rPr>
        <w:t xml:space="preserve">rom </w:t>
      </w:r>
      <w:r w:rsidRPr="003B0067">
        <w:rPr>
          <w:sz w:val="16"/>
          <w:szCs w:val="16"/>
          <w:lang w:val="en-GB"/>
        </w:rPr>
        <w:t>the Union of Motion Picture Distributors</w:t>
      </w:r>
      <w:r>
        <w:rPr>
          <w:sz w:val="16"/>
          <w:szCs w:val="16"/>
          <w:lang w:val="en-GB"/>
        </w:rPr>
        <w:t xml:space="preserve"> the gross nominal sales of the domestic cinema operators increased by 7.6% year-on-year last year. Total attendance, similarly, to the number of shows, decreased approximately by 1%. However, nearly one quarter of audience was still missing against the record year 2019 last year. </w:t>
      </w:r>
    </w:p>
  </w:footnote>
  <w:footnote w:id="34">
    <w:p w14:paraId="5A792078" w14:textId="68872300"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They consist mainly </w:t>
      </w:r>
      <w:r>
        <w:rPr>
          <w:sz w:val="16"/>
          <w:szCs w:val="16"/>
          <w:lang w:val="en-GB"/>
        </w:rPr>
        <w:t xml:space="preserve">of </w:t>
      </w:r>
      <w:r w:rsidRPr="00DD7900">
        <w:rPr>
          <w:sz w:val="16"/>
          <w:szCs w:val="16"/>
          <w:lang w:val="en-GB"/>
        </w:rPr>
        <w:t xml:space="preserve">activities linked to the activities of web portals, news press offices and agencies or data processing and hosting. </w:t>
      </w:r>
    </w:p>
  </w:footnote>
  <w:footnote w:id="35">
    <w:p w14:paraId="73DF6FE3" w14:textId="4E4C73C1"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Pessimisms </w:t>
      </w:r>
      <w:r>
        <w:rPr>
          <w:sz w:val="16"/>
          <w:szCs w:val="16"/>
          <w:lang w:val="en-GB"/>
        </w:rPr>
        <w:t>of domestic consumers did moderate at the beginning of the last year against Autumn 2022 (when it was the highest since the end of 90s)</w:t>
      </w:r>
      <w:r w:rsidRPr="00DD7900">
        <w:rPr>
          <w:sz w:val="16"/>
          <w:szCs w:val="16"/>
          <w:lang w:val="en-GB"/>
        </w:rPr>
        <w:t xml:space="preserve">, </w:t>
      </w:r>
      <w:r>
        <w:rPr>
          <w:sz w:val="16"/>
          <w:szCs w:val="16"/>
          <w:lang w:val="en-GB"/>
        </w:rPr>
        <w:t xml:space="preserve">it however fluctuated in the still considerably negative band for the most part of the year </w:t>
      </w:r>
      <w:r w:rsidRPr="00DD7900">
        <w:rPr>
          <w:sz w:val="16"/>
          <w:szCs w:val="16"/>
          <w:lang w:val="en-GB"/>
        </w:rPr>
        <w:t>(</w:t>
      </w:r>
      <w:r>
        <w:rPr>
          <w:sz w:val="16"/>
          <w:szCs w:val="16"/>
          <w:lang w:val="en-GB"/>
        </w:rPr>
        <w:t xml:space="preserve">household confidence lay approximate one tenth below the long-time average from years </w:t>
      </w:r>
      <w:r w:rsidRPr="00DD7900">
        <w:rPr>
          <w:sz w:val="16"/>
          <w:szCs w:val="16"/>
          <w:lang w:val="en-GB"/>
        </w:rPr>
        <w:t xml:space="preserve">2003–2023). </w:t>
      </w:r>
      <w:r>
        <w:rPr>
          <w:sz w:val="16"/>
          <w:szCs w:val="16"/>
          <w:lang w:val="en-GB"/>
        </w:rPr>
        <w:t>Concerns of people regarding the price growth dissolved to a large extent last year during Spring</w:t>
      </w:r>
      <w:r w:rsidRPr="00DD7900">
        <w:rPr>
          <w:sz w:val="16"/>
          <w:szCs w:val="16"/>
          <w:lang w:val="en-GB"/>
        </w:rPr>
        <w:t xml:space="preserve">, </w:t>
      </w:r>
      <w:r>
        <w:rPr>
          <w:sz w:val="16"/>
          <w:szCs w:val="16"/>
          <w:lang w:val="en-GB"/>
        </w:rPr>
        <w:t>majority of households still however expected</w:t>
      </w:r>
      <w:r w:rsidRPr="00DD7900">
        <w:rPr>
          <w:sz w:val="16"/>
          <w:szCs w:val="16"/>
          <w:lang w:val="en-GB"/>
        </w:rPr>
        <w:t>,</w:t>
      </w:r>
      <w:r>
        <w:rPr>
          <w:sz w:val="16"/>
          <w:szCs w:val="16"/>
          <w:lang w:val="en-GB"/>
        </w:rPr>
        <w:t xml:space="preserve"> that their financial situation </w:t>
      </w:r>
      <w:r w:rsidRPr="00DD7900">
        <w:rPr>
          <w:sz w:val="16"/>
          <w:szCs w:val="16"/>
          <w:lang w:val="en-GB"/>
        </w:rPr>
        <w:t>(</w:t>
      </w:r>
      <w:r>
        <w:rPr>
          <w:sz w:val="16"/>
          <w:szCs w:val="16"/>
          <w:lang w:val="en-GB"/>
        </w:rPr>
        <w:t>as the overall economic situation in the CR</w:t>
      </w:r>
      <w:r w:rsidRPr="00DD7900">
        <w:rPr>
          <w:sz w:val="16"/>
          <w:szCs w:val="16"/>
          <w:lang w:val="en-GB"/>
        </w:rPr>
        <w:t>)</w:t>
      </w:r>
      <w:r>
        <w:rPr>
          <w:sz w:val="16"/>
          <w:szCs w:val="16"/>
          <w:lang w:val="en-GB"/>
        </w:rPr>
        <w:t xml:space="preserve"> will worsen in the nearest 12 months. People thus stayed cautious in the area of planning large purchases (especially long-time durable goods or investments</w:t>
      </w:r>
      <w:r w:rsidRPr="00DD7900">
        <w:rPr>
          <w:sz w:val="16"/>
          <w:szCs w:val="16"/>
          <w:lang w:val="en-GB"/>
        </w:rPr>
        <w:t>).</w:t>
      </w:r>
    </w:p>
  </w:footnote>
  <w:footnote w:id="36">
    <w:p w14:paraId="5DD43E91" w14:textId="4EEE03E4"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Pr>
          <w:sz w:val="16"/>
          <w:szCs w:val="16"/>
          <w:lang w:val="en-GB"/>
        </w:rPr>
        <w:t>Last year’s spring offered particularly opportune conditions for these purchases</w:t>
      </w:r>
      <w:r w:rsidRPr="00DD7900">
        <w:rPr>
          <w:sz w:val="16"/>
          <w:szCs w:val="16"/>
          <w:lang w:val="en-GB"/>
        </w:rPr>
        <w:t>,</w:t>
      </w:r>
      <w:r>
        <w:rPr>
          <w:sz w:val="16"/>
          <w:szCs w:val="16"/>
          <w:lang w:val="en-GB"/>
        </w:rPr>
        <w:t xml:space="preserve"> thanks to the concurrence of decrease of prices of fuels and very fitting koruna foreign exchange against euro as well polish zloty and also the zero VAT rate on some basic food in Poland. </w:t>
      </w:r>
    </w:p>
  </w:footnote>
  <w:footnote w:id="37">
    <w:p w14:paraId="3271181E" w14:textId="1C4A97B0" w:rsidR="003B4260" w:rsidRPr="00DD7900" w:rsidRDefault="003B4260" w:rsidP="00DD7900">
      <w:pPr>
        <w:spacing w:after="0" w:line="240" w:lineRule="auto"/>
        <w:rPr>
          <w:spacing w:val="-2"/>
          <w:lang w:val="en-GB"/>
        </w:rPr>
      </w:pPr>
      <w:r w:rsidRPr="00DD7900">
        <w:rPr>
          <w:rStyle w:val="Znakapoznpodarou"/>
          <w:color w:val="0D0D0D" w:themeColor="text1" w:themeTint="F2"/>
          <w:spacing w:val="-2"/>
          <w:sz w:val="16"/>
          <w:szCs w:val="16"/>
          <w:lang w:val="en-GB"/>
        </w:rPr>
        <w:footnoteRef/>
      </w:r>
      <w:r w:rsidRPr="00DD7900">
        <w:rPr>
          <w:color w:val="0D0D0D" w:themeColor="text1" w:themeTint="F2"/>
          <w:spacing w:val="-2"/>
          <w:sz w:val="16"/>
          <w:szCs w:val="16"/>
          <w:lang w:val="en-GB"/>
        </w:rPr>
        <w:t xml:space="preserve"> </w:t>
      </w:r>
      <w:r w:rsidRPr="005235FD">
        <w:rPr>
          <w:color w:val="0D0D0D" w:themeColor="text1" w:themeTint="F2"/>
          <w:sz w:val="16"/>
          <w:szCs w:val="16"/>
          <w:lang w:val="en-GB"/>
        </w:rPr>
        <w:t>All year-on-year rates of growth of retail sales are stated in constant prices and adjusted for calendar effects, quarter-on-quarter rates are adjusted for seasonal effects (including the number of working days). Retail includes branch CZ</w:t>
      </w:r>
      <w:r w:rsidRPr="005235FD">
        <w:rPr>
          <w:color w:val="0D0D0D" w:themeColor="text1" w:themeTint="F2"/>
          <w:sz w:val="16"/>
          <w:szCs w:val="16"/>
          <w:lang w:val="en-GB"/>
        </w:rPr>
        <w:noBreakHyphen/>
        <w:t>NACE 47</w:t>
      </w:r>
      <w:r>
        <w:rPr>
          <w:color w:val="0D0D0D" w:themeColor="text1" w:themeTint="F2"/>
          <w:sz w:val="16"/>
          <w:szCs w:val="16"/>
          <w:lang w:val="en-GB"/>
        </w:rPr>
        <w:t xml:space="preserve">. </w:t>
      </w:r>
    </w:p>
  </w:footnote>
  <w:footnote w:id="38">
    <w:p w14:paraId="37B70FC4" w14:textId="57D5AB51"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Pr>
          <w:sz w:val="16"/>
          <w:szCs w:val="16"/>
          <w:lang w:val="en-GB"/>
        </w:rPr>
        <w:t>Against Q</w:t>
      </w:r>
      <w:r w:rsidRPr="00DD7900">
        <w:rPr>
          <w:sz w:val="16"/>
          <w:szCs w:val="16"/>
          <w:lang w:val="en-GB"/>
        </w:rPr>
        <w:t>3</w:t>
      </w:r>
      <w:r>
        <w:rPr>
          <w:sz w:val="16"/>
          <w:szCs w:val="16"/>
          <w:lang w:val="en-GB"/>
        </w:rPr>
        <w:t xml:space="preserve"> </w:t>
      </w:r>
      <w:r w:rsidRPr="00DD7900">
        <w:rPr>
          <w:sz w:val="16"/>
          <w:szCs w:val="16"/>
          <w:lang w:val="en-GB"/>
        </w:rPr>
        <w:t xml:space="preserve">2021, </w:t>
      </w:r>
      <w:r>
        <w:rPr>
          <w:sz w:val="16"/>
          <w:szCs w:val="16"/>
          <w:lang w:val="en-GB"/>
        </w:rPr>
        <w:t>when the volume of sales hit the absolute maximum, their level was by more than 10% lower in Q</w:t>
      </w:r>
      <w:r w:rsidRPr="00DD7900">
        <w:rPr>
          <w:sz w:val="16"/>
          <w:szCs w:val="16"/>
          <w:lang w:val="en-GB"/>
        </w:rPr>
        <w:t>2</w:t>
      </w:r>
      <w:r>
        <w:rPr>
          <w:sz w:val="16"/>
          <w:szCs w:val="16"/>
          <w:lang w:val="en-GB"/>
        </w:rPr>
        <w:t xml:space="preserve"> </w:t>
      </w:r>
      <w:r w:rsidRPr="00DD7900">
        <w:rPr>
          <w:sz w:val="16"/>
          <w:szCs w:val="16"/>
          <w:lang w:val="en-GB"/>
        </w:rPr>
        <w:t>2023</w:t>
      </w:r>
      <w:r>
        <w:rPr>
          <w:sz w:val="16"/>
          <w:szCs w:val="16"/>
          <w:lang w:val="en-GB"/>
        </w:rPr>
        <w:t xml:space="preserve">. Purchasing power of average wages also decreased comparably in the same period. </w:t>
      </w:r>
    </w:p>
  </w:footnote>
  <w:footnote w:id="39">
    <w:p w14:paraId="04E49604" w14:textId="3E7B1100" w:rsidR="003B4260" w:rsidRPr="009C67D7" w:rsidRDefault="003B4260" w:rsidP="009C67D7">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sidRPr="009C67D7">
        <w:rPr>
          <w:sz w:val="16"/>
          <w:szCs w:val="16"/>
          <w:lang w:val="en-GB"/>
        </w:rPr>
        <w:t xml:space="preserve">Sales for this type of trade returned to growth in the quarter-on-quarter comparison already in Spring last year. </w:t>
      </w:r>
    </w:p>
  </w:footnote>
  <w:footnote w:id="40">
    <w:p w14:paraId="505BD9B0" w14:textId="0A6181B9"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w:t>
      </w:r>
      <w:r>
        <w:rPr>
          <w:sz w:val="16"/>
          <w:szCs w:val="16"/>
          <w:lang w:val="en-GB"/>
        </w:rPr>
        <w:t xml:space="preserve">Outside of specialised shores, the sales grew the most in the small segment of other retail with the predominance of non-food goods </w:t>
      </w:r>
      <w:r w:rsidRPr="009C67D7">
        <w:rPr>
          <w:rFonts w:cs="Arial"/>
          <w:color w:val="0D0D0D" w:themeColor="text1" w:themeTint="F2"/>
          <w:sz w:val="16"/>
          <w:szCs w:val="16"/>
          <w:lang w:val="en-GB"/>
        </w:rPr>
        <w:t>(+9</w:t>
      </w:r>
      <w:r>
        <w:rPr>
          <w:rFonts w:cs="Arial"/>
          <w:color w:val="0D0D0D" w:themeColor="text1" w:themeTint="F2"/>
          <w:sz w:val="16"/>
          <w:szCs w:val="16"/>
          <w:lang w:val="en-GB"/>
        </w:rPr>
        <w:t>.</w:t>
      </w:r>
      <w:r w:rsidRPr="009C67D7">
        <w:rPr>
          <w:rFonts w:cs="Arial"/>
          <w:color w:val="0D0D0D" w:themeColor="text1" w:themeTint="F2"/>
          <w:sz w:val="16"/>
          <w:szCs w:val="16"/>
          <w:lang w:val="en-GB"/>
        </w:rPr>
        <w:t>6%).</w:t>
      </w:r>
      <w:r>
        <w:rPr>
          <w:rFonts w:cs="Arial"/>
          <w:color w:val="0D0D0D" w:themeColor="text1" w:themeTint="F2"/>
          <w:sz w:val="16"/>
          <w:szCs w:val="16"/>
          <w:lang w:val="en-GB"/>
        </w:rPr>
        <w:t xml:space="preserve"> It typically consists of smaller shops oriented at sale of miscellaneous smallware, </w:t>
      </w:r>
      <w:r w:rsidRPr="00FD4C86">
        <w:rPr>
          <w:rFonts w:cs="Arial"/>
          <w:color w:val="0D0D0D" w:themeColor="text1" w:themeTint="F2"/>
          <w:sz w:val="16"/>
          <w:szCs w:val="16"/>
          <w:lang w:val="en-GB"/>
        </w:rPr>
        <w:t>usually as discount offers</w:t>
      </w:r>
      <w:r w:rsidRPr="009C67D7">
        <w:rPr>
          <w:rFonts w:cs="Arial"/>
          <w:color w:val="0D0D0D" w:themeColor="text1" w:themeTint="F2"/>
          <w:sz w:val="16"/>
          <w:szCs w:val="16"/>
          <w:lang w:val="en-GB"/>
        </w:rPr>
        <w:t>.</w:t>
      </w:r>
    </w:p>
  </w:footnote>
  <w:footnote w:id="41">
    <w:p w14:paraId="6EBB24A7" w14:textId="7A5DB307"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T</w:t>
      </w:r>
      <w:r>
        <w:rPr>
          <w:sz w:val="16"/>
          <w:szCs w:val="16"/>
          <w:lang w:val="en-GB"/>
        </w:rPr>
        <w:t>hey together with cosmetic and toilet articles represented the only area of retail, where the sales climbed up in real terms to maximum for the whole monitored time series (since year 2000) last year in Q</w:t>
      </w:r>
      <w:r w:rsidRPr="009C67D7">
        <w:rPr>
          <w:rFonts w:cs="Arial"/>
          <w:color w:val="0D0D0D" w:themeColor="text1" w:themeTint="F2"/>
          <w:sz w:val="16"/>
          <w:szCs w:val="16"/>
          <w:lang w:val="en-GB"/>
        </w:rPr>
        <w:t>4.</w:t>
      </w:r>
    </w:p>
  </w:footnote>
  <w:footnote w:id="42">
    <w:p w14:paraId="1C7A1434" w14:textId="6583CE53"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w:t>
      </w:r>
      <w:r>
        <w:rPr>
          <w:sz w:val="16"/>
          <w:szCs w:val="16"/>
          <w:lang w:val="en-GB"/>
        </w:rPr>
        <w:t xml:space="preserve">The subdued consumer demand for clothing, footwear and leather goods was likely also caused by the persisting brisk price growth of this assortment of goods </w:t>
      </w:r>
      <w:r w:rsidRPr="009C67D7">
        <w:rPr>
          <w:sz w:val="16"/>
          <w:szCs w:val="16"/>
          <w:lang w:val="en-GB"/>
        </w:rPr>
        <w:t>(</w:t>
      </w:r>
      <w:r>
        <w:rPr>
          <w:sz w:val="16"/>
          <w:szCs w:val="16"/>
          <w:lang w:val="en-GB"/>
        </w:rPr>
        <w:t>it was around 7% year-on-year in Q</w:t>
      </w:r>
      <w:r w:rsidRPr="009C67D7">
        <w:rPr>
          <w:sz w:val="16"/>
          <w:szCs w:val="16"/>
          <w:lang w:val="en-GB"/>
        </w:rPr>
        <w:t>4</w:t>
      </w:r>
      <w:r>
        <w:rPr>
          <w:sz w:val="16"/>
          <w:szCs w:val="16"/>
          <w:lang w:val="en-GB"/>
        </w:rPr>
        <w:t xml:space="preserve"> and reached maximum among all monitored retail segments</w:t>
      </w:r>
      <w:r w:rsidRPr="009C67D7">
        <w:rPr>
          <w:sz w:val="16"/>
          <w:szCs w:val="16"/>
          <w:lang w:val="en-GB"/>
        </w:rPr>
        <w:t xml:space="preserve">). </w:t>
      </w:r>
      <w:r>
        <w:rPr>
          <w:sz w:val="16"/>
          <w:szCs w:val="16"/>
          <w:lang w:val="en-GB"/>
        </w:rPr>
        <w:t xml:space="preserve">Sales for this range of products were in real terms by whole one quarter lower against Q4 </w:t>
      </w:r>
      <w:r w:rsidRPr="009C67D7">
        <w:rPr>
          <w:sz w:val="16"/>
          <w:szCs w:val="16"/>
          <w:lang w:val="en-GB"/>
        </w:rPr>
        <w:t xml:space="preserve">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6D0C"/>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celorok\ENGL_Odv&#283;tv&#237;_grafy_rok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69135712481071809"/>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IPP'!$R$27:$BA$27</c:f>
              <c:numCache>
                <c:formatCode>0.0</c:formatCode>
                <c:ptCount val="36"/>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-1.9139060121680744</c:v>
                </c:pt>
                <c:pt idx="29">
                  <c:v>7.4805897445446468E-2</c:v>
                </c:pt>
                <c:pt idx="30">
                  <c:v>5.6188837456000513</c:v>
                </c:pt>
                <c:pt idx="31">
                  <c:v>4.0478655888897581</c:v>
                </c:pt>
                <c:pt idx="32">
                  <c:v>4.8890971219454</c:v>
                </c:pt>
                <c:pt idx="33">
                  <c:v>4.8283125874523325</c:v>
                </c:pt>
                <c:pt idx="34">
                  <c:v>1.0456410413068782</c:v>
                </c:pt>
                <c:pt idx="35">
                  <c:v>2.8039519214070401</c:v>
                </c:pt>
              </c:numCache>
            </c:numRef>
          </c:val>
          <c:extLst>
            <c:ext xmlns:c16="http://schemas.microsoft.com/office/drawing/2014/chart" uri="{C3380CC4-5D6E-409C-BE32-E72D297353CC}">
              <c16:uniqueId val="{00000000-CB8A-4511-9F99-828ECCD8B1E9}"/>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IPP'!$R$28:$BA$28</c:f>
              <c:numCache>
                <c:formatCode>0.0</c:formatCode>
                <c:ptCount val="36"/>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9.4219437714530618E-2</c:v>
                </c:pt>
                <c:pt idx="29">
                  <c:v>0.14447578235561789</c:v>
                </c:pt>
                <c:pt idx="30">
                  <c:v>0.5328168828388713</c:v>
                </c:pt>
                <c:pt idx="31">
                  <c:v>0.60923547078383633</c:v>
                </c:pt>
                <c:pt idx="32">
                  <c:v>0.18530195738035801</c:v>
                </c:pt>
                <c:pt idx="33">
                  <c:v>7.489627260456877E-2</c:v>
                </c:pt>
                <c:pt idx="34">
                  <c:v>-0.47281532367100693</c:v>
                </c:pt>
                <c:pt idx="35">
                  <c:v>6.6270631963920551E-2</c:v>
                </c:pt>
              </c:numCache>
            </c:numRef>
          </c:val>
          <c:extLst>
            <c:ext xmlns:c16="http://schemas.microsoft.com/office/drawing/2014/chart" uri="{C3380CC4-5D6E-409C-BE32-E72D297353CC}">
              <c16:uniqueId val="{00000001-CB8A-4511-9F99-828ECCD8B1E9}"/>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IPP'!$R$29:$BA$29</c:f>
              <c:numCache>
                <c:formatCode>0.0</c:formatCode>
                <c:ptCount val="36"/>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0.38112415842724123</c:v>
                </c:pt>
                <c:pt idx="29">
                  <c:v>0.10272667009912283</c:v>
                </c:pt>
                <c:pt idx="30">
                  <c:v>0.49907693226871147</c:v>
                </c:pt>
                <c:pt idx="31">
                  <c:v>0.65938727063840996</c:v>
                </c:pt>
                <c:pt idx="32">
                  <c:v>0.33491818481481722</c:v>
                </c:pt>
                <c:pt idx="33">
                  <c:v>0.34685911599308134</c:v>
                </c:pt>
                <c:pt idx="34">
                  <c:v>-0.61663065612978796</c:v>
                </c:pt>
                <c:pt idx="35">
                  <c:v>-0.80038572029116073</c:v>
                </c:pt>
              </c:numCache>
            </c:numRef>
          </c:val>
          <c:extLst>
            <c:ext xmlns:c16="http://schemas.microsoft.com/office/drawing/2014/chart" uri="{C3380CC4-5D6E-409C-BE32-E72D297353CC}">
              <c16:uniqueId val="{00000002-CB8A-4511-9F99-828ECCD8B1E9}"/>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IPP'!$R$30:$BA$30</c:f>
              <c:numCache>
                <c:formatCode>0.0</c:formatCode>
                <c:ptCount val="36"/>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0.14951375880960247</c:v>
                </c:pt>
                <c:pt idx="29">
                  <c:v>-0.43703762786363665</c:v>
                </c:pt>
                <c:pt idx="30">
                  <c:v>-0.39225525137063899</c:v>
                </c:pt>
                <c:pt idx="31">
                  <c:v>-0.25495163136202598</c:v>
                </c:pt>
                <c:pt idx="32">
                  <c:v>-0.35270143311875107</c:v>
                </c:pt>
                <c:pt idx="33">
                  <c:v>-0.15027066322036883</c:v>
                </c:pt>
                <c:pt idx="34">
                  <c:v>-8.105367681371034E-2</c:v>
                </c:pt>
                <c:pt idx="35">
                  <c:v>-0.15353666376849701</c:v>
                </c:pt>
              </c:numCache>
            </c:numRef>
          </c:val>
          <c:extLst>
            <c:ext xmlns:c16="http://schemas.microsoft.com/office/drawing/2014/chart" uri="{C3380CC4-5D6E-409C-BE32-E72D297353CC}">
              <c16:uniqueId val="{00000003-CB8A-4511-9F99-828ECCD8B1E9}"/>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IPP'!$R$31:$BA$31</c:f>
              <c:numCache>
                <c:formatCode>0.0</c:formatCode>
                <c:ptCount val="36"/>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1.6809689420158293E-2</c:v>
                </c:pt>
                <c:pt idx="29">
                  <c:v>-1.2858202239140653E-2</c:v>
                </c:pt>
                <c:pt idx="30">
                  <c:v>6.7712029336330179E-2</c:v>
                </c:pt>
                <c:pt idx="31">
                  <c:v>0.4363830134314563</c:v>
                </c:pt>
                <c:pt idx="32">
                  <c:v>0.15561037374071973</c:v>
                </c:pt>
                <c:pt idx="33">
                  <c:v>6.4192524802535206E-2</c:v>
                </c:pt>
                <c:pt idx="34">
                  <c:v>-0.12398451575935127</c:v>
                </c:pt>
                <c:pt idx="35">
                  <c:v>-0.17572322973013829</c:v>
                </c:pt>
              </c:numCache>
            </c:numRef>
          </c:val>
          <c:extLst>
            <c:ext xmlns:c16="http://schemas.microsoft.com/office/drawing/2014/chart" uri="{C3380CC4-5D6E-409C-BE32-E72D297353CC}">
              <c16:uniqueId val="{00000004-CB8A-4511-9F99-828ECCD8B1E9}"/>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IPP'!$R$32:$BA$32</c:f>
              <c:numCache>
                <c:formatCode>0.0</c:formatCode>
                <c:ptCount val="36"/>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0.25166918121745391</c:v>
                </c:pt>
                <c:pt idx="29">
                  <c:v>0.17196461710718769</c:v>
                </c:pt>
                <c:pt idx="30">
                  <c:v>-8.8288843176869858E-2</c:v>
                </c:pt>
                <c:pt idx="31">
                  <c:v>-0.2680061496566824</c:v>
                </c:pt>
                <c:pt idx="32">
                  <c:v>-0.57157637854029431</c:v>
                </c:pt>
                <c:pt idx="33">
                  <c:v>-0.14509871678747088</c:v>
                </c:pt>
                <c:pt idx="34">
                  <c:v>0.10958983295560938</c:v>
                </c:pt>
                <c:pt idx="35">
                  <c:v>-9.0213315565950164E-2</c:v>
                </c:pt>
              </c:numCache>
            </c:numRef>
          </c:val>
          <c:extLst>
            <c:ext xmlns:c16="http://schemas.microsoft.com/office/drawing/2014/chart" uri="{C3380CC4-5D6E-409C-BE32-E72D297353CC}">
              <c16:uniqueId val="{00000005-CB8A-4511-9F99-828ECCD8B1E9}"/>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IPP'!$R$33:$BA$33</c:f>
              <c:numCache>
                <c:formatCode>0.0</c:formatCode>
                <c:ptCount val="36"/>
                <c:pt idx="0">
                  <c:v>0.98162826530883773</c:v>
                </c:pt>
                <c:pt idx="1">
                  <c:v>0.89609854193089999</c:v>
                </c:pt>
                <c:pt idx="2">
                  <c:v>1.0136997635799254</c:v>
                </c:pt>
                <c:pt idx="3">
                  <c:v>-0.20234655551353997</c:v>
                </c:pt>
                <c:pt idx="4">
                  <c:v>-0.44271514968256598</c:v>
                </c:pt>
                <c:pt idx="5">
                  <c:v>-1.2360310619494745</c:v>
                </c:pt>
                <c:pt idx="6">
                  <c:v>-0.34381297444418102</c:v>
                </c:pt>
                <c:pt idx="7">
                  <c:v>0.41334459659232026</c:v>
                </c:pt>
                <c:pt idx="8">
                  <c:v>-0.1683925852161362</c:v>
                </c:pt>
                <c:pt idx="9">
                  <c:v>1.478036189227403</c:v>
                </c:pt>
                <c:pt idx="10">
                  <c:v>0.64937078015870064</c:v>
                </c:pt>
                <c:pt idx="11">
                  <c:v>0.70590148666032304</c:v>
                </c:pt>
                <c:pt idx="12">
                  <c:v>1.2116662560996518</c:v>
                </c:pt>
                <c:pt idx="13">
                  <c:v>0.71097548863760385</c:v>
                </c:pt>
                <c:pt idx="14">
                  <c:v>1.1301447241276845</c:v>
                </c:pt>
                <c:pt idx="15">
                  <c:v>0.13866678540773802</c:v>
                </c:pt>
                <c:pt idx="16">
                  <c:v>-0.42964337660274921</c:v>
                </c:pt>
                <c:pt idx="17">
                  <c:v>-0.22246357298765709</c:v>
                </c:pt>
                <c:pt idx="18">
                  <c:v>-1.0177720338517313</c:v>
                </c:pt>
                <c:pt idx="19">
                  <c:v>5.3943756139758603E-2</c:v>
                </c:pt>
                <c:pt idx="20">
                  <c:v>0.23152724249778844</c:v>
                </c:pt>
                <c:pt idx="21">
                  <c:v>-1.6759838727065843</c:v>
                </c:pt>
                <c:pt idx="22">
                  <c:v>-0.18136031704977118</c:v>
                </c:pt>
                <c:pt idx="23">
                  <c:v>-0.29102610739168877</c:v>
                </c:pt>
                <c:pt idx="24">
                  <c:v>3.5528521432281995E-2</c:v>
                </c:pt>
                <c:pt idx="25">
                  <c:v>3.2192972163240041</c:v>
                </c:pt>
                <c:pt idx="26">
                  <c:v>1.6605685282307974</c:v>
                </c:pt>
                <c:pt idx="27">
                  <c:v>1.2452073973288984</c:v>
                </c:pt>
                <c:pt idx="28">
                  <c:v>1.7181066428266309</c:v>
                </c:pt>
                <c:pt idx="29">
                  <c:v>0.2617852216300951</c:v>
                </c:pt>
                <c:pt idx="30">
                  <c:v>-1.5893023433684745</c:v>
                </c:pt>
                <c:pt idx="31">
                  <c:v>-1.4648552237920627</c:v>
                </c:pt>
                <c:pt idx="32">
                  <c:v>-2.9445768250855897</c:v>
                </c:pt>
                <c:pt idx="33">
                  <c:v>-3.1892786333962153</c:v>
                </c:pt>
                <c:pt idx="34">
                  <c:v>-1.7312875587043539</c:v>
                </c:pt>
                <c:pt idx="35">
                  <c:v>-1.367107274451091</c:v>
                </c:pt>
              </c:numCache>
            </c:numRef>
          </c:val>
          <c:extLst>
            <c:ext xmlns:c16="http://schemas.microsoft.com/office/drawing/2014/chart" uri="{C3380CC4-5D6E-409C-BE32-E72D297353CC}">
              <c16:uniqueId val="{00000006-CB8A-4511-9F99-828ECCD8B1E9}"/>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IPP'!$R$34:$BA$34</c:f>
              <c:numCache>
                <c:formatCode>0.0</c:formatCode>
                <c:ptCount val="36"/>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-0.17518261564754817</c:v>
                </c:pt>
                <c:pt idx="29">
                  <c:v>0.27450121496530167</c:v>
                </c:pt>
                <c:pt idx="30">
                  <c:v>0.37994694442243826</c:v>
                </c:pt>
                <c:pt idx="31">
                  <c:v>-1.372950167074922</c:v>
                </c:pt>
                <c:pt idx="32">
                  <c:v>-1.2158184400366616</c:v>
                </c:pt>
                <c:pt idx="33">
                  <c:v>-1.5181268515484636</c:v>
                </c:pt>
                <c:pt idx="34">
                  <c:v>-1.5825523730842828</c:v>
                </c:pt>
                <c:pt idx="35">
                  <c:v>-1.0449777261641171</c:v>
                </c:pt>
              </c:numCache>
            </c:numRef>
          </c:val>
          <c:extLst>
            <c:ext xmlns:c16="http://schemas.microsoft.com/office/drawing/2014/chart" uri="{C3380CC4-5D6E-409C-BE32-E72D297353CC}">
              <c16:uniqueId val="{00000007-CB8A-4511-9F99-828ECCD8B1E9}"/>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IPP'!$R$35:$BA$35</c:f>
              <c:numCache>
                <c:formatCode>0.0</c:formatCode>
                <c:ptCount val="36"/>
                <c:pt idx="0">
                  <c:v>4.8496605073000012</c:v>
                </c:pt>
                <c:pt idx="1">
                  <c:v>5.3026307429999946</c:v>
                </c:pt>
                <c:pt idx="2">
                  <c:v>5.6592883106000045</c:v>
                </c:pt>
                <c:pt idx="3">
                  <c:v>2.4009241675999959</c:v>
                </c:pt>
                <c:pt idx="4">
                  <c:v>3.7935036281999999</c:v>
                </c:pt>
                <c:pt idx="5">
                  <c:v>1.667340101700006</c:v>
                </c:pt>
                <c:pt idx="6">
                  <c:v>1.295772459600002</c:v>
                </c:pt>
                <c:pt idx="7">
                  <c:v>3.346652804200005</c:v>
                </c:pt>
                <c:pt idx="8">
                  <c:v>4.4694819295000059</c:v>
                </c:pt>
                <c:pt idx="9">
                  <c:v>8.0757287747999982</c:v>
                </c:pt>
                <c:pt idx="10">
                  <c:v>6.471008530800006</c:v>
                </c:pt>
                <c:pt idx="11">
                  <c:v>7.2646448002000028</c:v>
                </c:pt>
                <c:pt idx="12">
                  <c:v>4.3462152320000058</c:v>
                </c:pt>
                <c:pt idx="13">
                  <c:v>2.4365124655000017</c:v>
                </c:pt>
                <c:pt idx="14">
                  <c:v>3.7641930207000058</c:v>
                </c:pt>
                <c:pt idx="15">
                  <c:v>1.5933483905999992</c:v>
                </c:pt>
                <c:pt idx="16">
                  <c:v>0.47230060009999875</c:v>
                </c:pt>
                <c:pt idx="17">
                  <c:v>0.71920116619999419</c:v>
                </c:pt>
                <c:pt idx="18">
                  <c:v>-1.5414330485999983</c:v>
                </c:pt>
                <c:pt idx="19">
                  <c:v>-1.7724070997000041</c:v>
                </c:pt>
                <c:pt idx="20">
                  <c:v>-4.2521142571000041</c:v>
                </c:pt>
                <c:pt idx="21">
                  <c:v>-21.785210571700006</c:v>
                </c:pt>
                <c:pt idx="22">
                  <c:v>-3.0649898566999951</c:v>
                </c:pt>
                <c:pt idx="23">
                  <c:v>1.6725311281000046</c:v>
                </c:pt>
                <c:pt idx="24">
                  <c:v>4.115884569399995</c:v>
                </c:pt>
                <c:pt idx="25">
                  <c:v>26.263126235800001</c:v>
                </c:pt>
                <c:pt idx="26">
                  <c:v>0.54308642079999458</c:v>
                </c:pt>
                <c:pt idx="27">
                  <c:v>-1.5356623300999956</c:v>
                </c:pt>
                <c:pt idx="28">
                  <c:v>0.52235424059999502</c:v>
                </c:pt>
                <c:pt idx="29">
                  <c:v>0.58036357349999435</c:v>
                </c:pt>
                <c:pt idx="30">
                  <c:v>5.0285577512999993</c:v>
                </c:pt>
                <c:pt idx="31">
                  <c:v>2.3901321318000015</c:v>
                </c:pt>
                <c:pt idx="32">
                  <c:v>0.48025456109999709</c:v>
                </c:pt>
                <c:pt idx="33">
                  <c:v>0.31148563589999867</c:v>
                </c:pt>
                <c:pt idx="34">
                  <c:v>-3.4530932299000057</c:v>
                </c:pt>
                <c:pt idx="35">
                  <c:v>-0.7617213765999935</c:v>
                </c:pt>
              </c:numCache>
            </c:numRef>
          </c:val>
          <c:smooth val="0"/>
          <c:extLst>
            <c:ext xmlns:c16="http://schemas.microsoft.com/office/drawing/2014/chart" uri="{C3380CC4-5D6E-409C-BE32-E72D297353CC}">
              <c16:uniqueId val="{00000008-CB8A-4511-9F99-828ECCD8B1E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IPP'!$R$36:$BA$36</c:f>
              <c:numCache>
                <c:formatCode>General</c:formatCode>
                <c:ptCount val="36"/>
              </c:numCache>
            </c:numRef>
          </c:val>
          <c:smooth val="0"/>
          <c:extLst>
            <c:ext xmlns:c16="http://schemas.microsoft.com/office/drawing/2014/chart" uri="{C3380CC4-5D6E-409C-BE32-E72D297353CC}">
              <c16:uniqueId val="{00000009-CB8A-4511-9F99-828ECCD8B1E9}"/>
            </c:ext>
          </c:extLst>
        </c:ser>
        <c:ser>
          <c:idx val="10"/>
          <c:order val="10"/>
          <c:tx>
            <c:strRef>
              <c:f>'GRAF příspěvky IPP'!$A$37</c:f>
              <c:strCache>
                <c:ptCount val="1"/>
                <c:pt idx="0">
                  <c:v>Output, total industry CR (2021=100)</c:v>
                </c:pt>
              </c:strCache>
            </c:strRef>
          </c:tx>
          <c:spPr>
            <a:ln w="15875">
              <a:solidFill>
                <a:schemeClr val="tx1">
                  <a:lumMod val="95000"/>
                  <a:lumOff val="5000"/>
                </a:schemeClr>
              </a:solidFill>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IPP'!$R$37:$BA$37</c:f>
              <c:numCache>
                <c:formatCode>#\ ##0.##########</c:formatCode>
                <c:ptCount val="36"/>
                <c:pt idx="0">
                  <c:v>84.3</c:v>
                </c:pt>
                <c:pt idx="1">
                  <c:v>85.5</c:v>
                </c:pt>
                <c:pt idx="2">
                  <c:v>86.3</c:v>
                </c:pt>
                <c:pt idx="3">
                  <c:v>87.7</c:v>
                </c:pt>
                <c:pt idx="4">
                  <c:v>88.4</c:v>
                </c:pt>
                <c:pt idx="5">
                  <c:v>89.9</c:v>
                </c:pt>
                <c:pt idx="6">
                  <c:v>90.9</c:v>
                </c:pt>
                <c:pt idx="7">
                  <c:v>90.1</c:v>
                </c:pt>
                <c:pt idx="8">
                  <c:v>91.8</c:v>
                </c:pt>
                <c:pt idx="9">
                  <c:v>91.3</c:v>
                </c:pt>
                <c:pt idx="10" formatCode="#\ ##0.0">
                  <c:v>92</c:v>
                </c:pt>
                <c:pt idx="11">
                  <c:v>93.1</c:v>
                </c:pt>
                <c:pt idx="12">
                  <c:v>95.6</c:v>
                </c:pt>
                <c:pt idx="13">
                  <c:v>98.6</c:v>
                </c:pt>
                <c:pt idx="14">
                  <c:v>98.2</c:v>
                </c:pt>
                <c:pt idx="15">
                  <c:v>100.1</c:v>
                </c:pt>
                <c:pt idx="16">
                  <c:v>100.1</c:v>
                </c:pt>
                <c:pt idx="17">
                  <c:v>101.1</c:v>
                </c:pt>
                <c:pt idx="18">
                  <c:v>102</c:v>
                </c:pt>
                <c:pt idx="19">
                  <c:v>101.3</c:v>
                </c:pt>
                <c:pt idx="20">
                  <c:v>100.6</c:v>
                </c:pt>
                <c:pt idx="21" formatCode="#\ ##0.0">
                  <c:v>102.2</c:v>
                </c:pt>
                <c:pt idx="22">
                  <c:v>100.1</c:v>
                </c:pt>
                <c:pt idx="23" formatCode="#\ ##0.0">
                  <c:v>99.4</c:v>
                </c:pt>
                <c:pt idx="24">
                  <c:v>96.7</c:v>
                </c:pt>
                <c:pt idx="25">
                  <c:v>80.2</c:v>
                </c:pt>
                <c:pt idx="26">
                  <c:v>97</c:v>
                </c:pt>
                <c:pt idx="27">
                  <c:v>101.1</c:v>
                </c:pt>
                <c:pt idx="28">
                  <c:v>99.7</c:v>
                </c:pt>
                <c:pt idx="29">
                  <c:v>100.7</c:v>
                </c:pt>
                <c:pt idx="30">
                  <c:v>98.4</c:v>
                </c:pt>
                <c:pt idx="31">
                  <c:v>99.1</c:v>
                </c:pt>
                <c:pt idx="32">
                  <c:v>100.9</c:v>
                </c:pt>
                <c:pt idx="33">
                  <c:v>101.4</c:v>
                </c:pt>
                <c:pt idx="34">
                  <c:v>102.9</c:v>
                </c:pt>
                <c:pt idx="35">
                  <c:v>101.6</c:v>
                </c:pt>
              </c:numCache>
            </c:numRef>
          </c:val>
          <c:smooth val="0"/>
          <c:extLst>
            <c:ext xmlns:c16="http://schemas.microsoft.com/office/drawing/2014/chart" uri="{C3380CC4-5D6E-409C-BE32-E72D297353CC}">
              <c16:uniqueId val="{0000000A-CB8A-4511-9F99-828ECCD8B1E9}"/>
            </c:ext>
          </c:extLst>
        </c:ser>
        <c:ser>
          <c:idx val="11"/>
          <c:order val="11"/>
          <c:tx>
            <c:strRef>
              <c:f>'GRAF příspěvky IPP'!$A$38</c:f>
              <c:strCache>
                <c:ptCount val="1"/>
                <c:pt idx="0">
                  <c:v>Output, total industry EU27 (2021=100)</c:v>
                </c:pt>
              </c:strCache>
            </c:strRef>
          </c:tx>
          <c:spPr>
            <a:ln w="15875">
              <a:solidFill>
                <a:schemeClr val="tx1">
                  <a:lumMod val="50000"/>
                  <a:lumOff val="50000"/>
                </a:schemeClr>
              </a:solidFill>
              <a:prstDash val="sys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IPP'!$R$38:$BA$38</c:f>
              <c:numCache>
                <c:formatCode>#\ ##0.##########</c:formatCode>
                <c:ptCount val="36"/>
                <c:pt idx="0">
                  <c:v>91</c:v>
                </c:pt>
                <c:pt idx="1">
                  <c:v>91.5</c:v>
                </c:pt>
                <c:pt idx="2">
                  <c:v>91</c:v>
                </c:pt>
                <c:pt idx="3">
                  <c:v>91.4</c:v>
                </c:pt>
                <c:pt idx="4">
                  <c:v>92.9</c:v>
                </c:pt>
                <c:pt idx="5">
                  <c:v>93.7</c:v>
                </c:pt>
                <c:pt idx="6">
                  <c:v>94.1</c:v>
                </c:pt>
                <c:pt idx="7">
                  <c:v>93.9</c:v>
                </c:pt>
                <c:pt idx="8">
                  <c:v>94.9</c:v>
                </c:pt>
                <c:pt idx="9">
                  <c:v>94.9</c:v>
                </c:pt>
                <c:pt idx="10">
                  <c:v>95</c:v>
                </c:pt>
                <c:pt idx="11">
                  <c:v>96</c:v>
                </c:pt>
                <c:pt idx="12">
                  <c:v>96.3</c:v>
                </c:pt>
                <c:pt idx="13">
                  <c:v>97.5</c:v>
                </c:pt>
                <c:pt idx="14">
                  <c:v>98.8</c:v>
                </c:pt>
                <c:pt idx="15">
                  <c:v>100.6</c:v>
                </c:pt>
                <c:pt idx="16" formatCode="#\ ##0.0">
                  <c:v>99.2</c:v>
                </c:pt>
                <c:pt idx="17">
                  <c:v>99.8</c:v>
                </c:pt>
                <c:pt idx="18" formatCode="#\ ##0.0">
                  <c:v>99.6</c:v>
                </c:pt>
                <c:pt idx="19">
                  <c:v>99.2</c:v>
                </c:pt>
                <c:pt idx="20">
                  <c:v>99.7</c:v>
                </c:pt>
                <c:pt idx="21">
                  <c:v>99.4</c:v>
                </c:pt>
                <c:pt idx="22">
                  <c:v>98.7</c:v>
                </c:pt>
                <c:pt idx="23">
                  <c:v>97.9</c:v>
                </c:pt>
                <c:pt idx="24" formatCode="#\ ##0.0">
                  <c:v>95.2</c:v>
                </c:pt>
                <c:pt idx="25">
                  <c:v>80.400000000000006</c:v>
                </c:pt>
                <c:pt idx="26">
                  <c:v>93.6</c:v>
                </c:pt>
                <c:pt idx="27">
                  <c:v>98</c:v>
                </c:pt>
                <c:pt idx="28">
                  <c:v>99.6</c:v>
                </c:pt>
                <c:pt idx="29" formatCode="#\ ##0.0">
                  <c:v>99.5</c:v>
                </c:pt>
                <c:pt idx="30">
                  <c:v>99.7</c:v>
                </c:pt>
                <c:pt idx="31" formatCode="#\ ##0.0">
                  <c:v>101.2</c:v>
                </c:pt>
                <c:pt idx="32">
                  <c:v>102</c:v>
                </c:pt>
                <c:pt idx="33">
                  <c:v>102.1</c:v>
                </c:pt>
                <c:pt idx="34">
                  <c:v>104.1</c:v>
                </c:pt>
                <c:pt idx="35" formatCode="#\ ##0.0">
                  <c:v>102.8</c:v>
                </c:pt>
              </c:numCache>
            </c:numRef>
          </c:val>
          <c:smooth val="0"/>
          <c:extLst>
            <c:ext xmlns:c16="http://schemas.microsoft.com/office/drawing/2014/chart" uri="{C3380CC4-5D6E-409C-BE32-E72D297353CC}">
              <c16:uniqueId val="{0000000B-CB8A-4511-9F99-828ECCD8B1E9}"/>
            </c:ext>
          </c:extLst>
        </c:ser>
        <c:ser>
          <c:idx val="12"/>
          <c:order val="12"/>
          <c:tx>
            <c:strRef>
              <c:f>'GRAF příspěvky IPP'!$A$39</c:f>
              <c:strCache>
                <c:ptCount val="1"/>
                <c:pt idx="0">
                  <c:v>Output, total industry Germany (2021=100)</c:v>
                </c:pt>
              </c:strCache>
            </c:strRef>
          </c:tx>
          <c:spPr>
            <a:ln w="15875">
              <a:solidFill>
                <a:srgbClr val="996633"/>
              </a:solidFill>
              <a:prstDash val="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IPP'!$R$39:$BA$39</c:f>
              <c:numCache>
                <c:formatCode>#\ ##0.##########</c:formatCode>
                <c:ptCount val="36"/>
                <c:pt idx="0">
                  <c:v>102.7</c:v>
                </c:pt>
                <c:pt idx="1">
                  <c:v>102.2</c:v>
                </c:pt>
                <c:pt idx="2">
                  <c:v>102.2</c:v>
                </c:pt>
                <c:pt idx="3">
                  <c:v>103.4</c:v>
                </c:pt>
                <c:pt idx="4">
                  <c:v>102.7</c:v>
                </c:pt>
                <c:pt idx="5">
                  <c:v>104</c:v>
                </c:pt>
                <c:pt idx="6">
                  <c:v>103.8</c:v>
                </c:pt>
                <c:pt idx="7">
                  <c:v>103.3</c:v>
                </c:pt>
                <c:pt idx="8">
                  <c:v>104.4</c:v>
                </c:pt>
                <c:pt idx="9">
                  <c:v>104</c:v>
                </c:pt>
                <c:pt idx="10">
                  <c:v>104.4</c:v>
                </c:pt>
                <c:pt idx="11">
                  <c:v>104.5</c:v>
                </c:pt>
                <c:pt idx="12" formatCode="#\ ##0.0">
                  <c:v>105</c:v>
                </c:pt>
                <c:pt idx="13">
                  <c:v>107</c:v>
                </c:pt>
                <c:pt idx="14">
                  <c:v>108.8</c:v>
                </c:pt>
                <c:pt idx="15">
                  <c:v>109.6</c:v>
                </c:pt>
                <c:pt idx="16">
                  <c:v>109</c:v>
                </c:pt>
                <c:pt idx="17" formatCode="#\ ##0.0">
                  <c:v>109.8</c:v>
                </c:pt>
                <c:pt idx="18">
                  <c:v>108.8</c:v>
                </c:pt>
                <c:pt idx="19">
                  <c:v>107.2</c:v>
                </c:pt>
                <c:pt idx="20">
                  <c:v>107</c:v>
                </c:pt>
                <c:pt idx="21" formatCode="#\ ##0.0">
                  <c:v>105.8</c:v>
                </c:pt>
                <c:pt idx="22">
                  <c:v>104.6</c:v>
                </c:pt>
                <c:pt idx="23">
                  <c:v>102.9</c:v>
                </c:pt>
                <c:pt idx="24" formatCode="#\ ##0.0">
                  <c:v>101.3</c:v>
                </c:pt>
                <c:pt idx="25">
                  <c:v>82.9</c:v>
                </c:pt>
                <c:pt idx="26">
                  <c:v>94.8</c:v>
                </c:pt>
                <c:pt idx="27">
                  <c:v>100.9</c:v>
                </c:pt>
                <c:pt idx="28">
                  <c:v>101.1</c:v>
                </c:pt>
                <c:pt idx="29">
                  <c:v>100</c:v>
                </c:pt>
                <c:pt idx="30">
                  <c:v>96.8</c:v>
                </c:pt>
                <c:pt idx="31">
                  <c:v>99.7</c:v>
                </c:pt>
                <c:pt idx="32">
                  <c:v>99.1</c:v>
                </c:pt>
                <c:pt idx="33" formatCode="#\ ##0.0">
                  <c:v>98.3</c:v>
                </c:pt>
                <c:pt idx="34">
                  <c:v>98.8</c:v>
                </c:pt>
                <c:pt idx="35">
                  <c:v>98.6</c:v>
                </c:pt>
              </c:numCache>
            </c:numRef>
          </c:val>
          <c:smooth val="0"/>
          <c:extLst>
            <c:ext xmlns:c16="http://schemas.microsoft.com/office/drawing/2014/chart" uri="{C3380CC4-5D6E-409C-BE32-E72D297353CC}">
              <c16:uniqueId val="{0000000C-CB8A-4511-9F99-828ECCD8B1E9}"/>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production (contribution to growth)</a:t>
                </a:r>
                <a:endParaRPr lang="cs-CZ" sz="700">
                  <a:effectLst/>
                </a:endParaRPr>
              </a:p>
            </c:rich>
          </c:tx>
          <c:layout>
            <c:manualLayout>
              <c:xMode val="edge"/>
              <c:yMode val="edge"/>
              <c:x val="0"/>
              <c:y val="0.1026165383572212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Output in industry (basis 2021=100)</a:t>
                </a:r>
              </a:p>
            </c:rich>
          </c:tx>
          <c:layout>
            <c:manualLayout>
              <c:xMode val="edge"/>
              <c:yMode val="edge"/>
              <c:x val="0.97040158454025283"/>
              <c:y val="0.1664992231222941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6"/>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6E-3"/>
          <c:y val="0.78956533796177808"/>
          <c:w val="0.98866589538224925"/>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2'!$R$36:$BB$36</c:f>
              <c:numCache>
                <c:formatCode>##0.0</c:formatCode>
                <c:ptCount val="37"/>
                <c:pt idx="0">
                  <c:v>8.5341163004000009</c:v>
                </c:pt>
                <c:pt idx="1">
                  <c:v>6.3710040105000019</c:v>
                </c:pt>
                <c:pt idx="2">
                  <c:v>6.0473469386000005</c:v>
                </c:pt>
                <c:pt idx="3">
                  <c:v>5.2688430824999983</c:v>
                </c:pt>
                <c:pt idx="4">
                  <c:v>2.4833916856999991</c:v>
                </c:pt>
                <c:pt idx="5">
                  <c:v>7.1316561812000003</c:v>
                </c:pt>
                <c:pt idx="6">
                  <c:v>1.949144685899995</c:v>
                </c:pt>
                <c:pt idx="7">
                  <c:v>6.4416747929000024</c:v>
                </c:pt>
                <c:pt idx="8">
                  <c:v>7.3441955548999971</c:v>
                </c:pt>
                <c:pt idx="9">
                  <c:v>8.3762247843000068</c:v>
                </c:pt>
                <c:pt idx="10">
                  <c:v>8.1209134774999967</c:v>
                </c:pt>
                <c:pt idx="11">
                  <c:v>7.2572871451999958</c:v>
                </c:pt>
                <c:pt idx="12">
                  <c:v>3.2993551214999997</c:v>
                </c:pt>
                <c:pt idx="13">
                  <c:v>2.9773571834000023</c:v>
                </c:pt>
                <c:pt idx="14">
                  <c:v>3.5300064828000046</c:v>
                </c:pt>
                <c:pt idx="15">
                  <c:v>2.4324207204000032</c:v>
                </c:pt>
                <c:pt idx="16">
                  <c:v>3.2234606388999936</c:v>
                </c:pt>
                <c:pt idx="17">
                  <c:v>2.1291359181000047</c:v>
                </c:pt>
                <c:pt idx="18">
                  <c:v>-1.1496242270000039</c:v>
                </c:pt>
                <c:pt idx="19">
                  <c:v>-2.8233445845000062</c:v>
                </c:pt>
                <c:pt idx="20">
                  <c:v>-4.1421474552000035</c:v>
                </c:pt>
                <c:pt idx="21">
                  <c:v>-27.261303375300002</c:v>
                </c:pt>
                <c:pt idx="22">
                  <c:v>-0.61408028729999842</c:v>
                </c:pt>
                <c:pt idx="23">
                  <c:v>6.5219093458999993</c:v>
                </c:pt>
                <c:pt idx="24">
                  <c:v>10.321701077699998</c:v>
                </c:pt>
                <c:pt idx="25">
                  <c:v>46.907570621500014</c:v>
                </c:pt>
                <c:pt idx="26">
                  <c:v>7.4994132685999944</c:v>
                </c:pt>
                <c:pt idx="27">
                  <c:v>4.1120061736999958</c:v>
                </c:pt>
                <c:pt idx="28">
                  <c:v>6.7816411087000006</c:v>
                </c:pt>
                <c:pt idx="29">
                  <c:v>10.0667436767</c:v>
                </c:pt>
                <c:pt idx="30">
                  <c:v>15.286388074900003</c:v>
                </c:pt>
                <c:pt idx="31">
                  <c:v>12.535319601099999</c:v>
                </c:pt>
                <c:pt idx="32">
                  <c:v>2.7921186620999947</c:v>
                </c:pt>
                <c:pt idx="33">
                  <c:v>-2.2040303883999997</c:v>
                </c:pt>
                <c:pt idx="34">
                  <c:v>-4.7535662397999943</c:v>
                </c:pt>
                <c:pt idx="35">
                  <c:v>-0.98300700549999931</c:v>
                </c:pt>
              </c:numCache>
            </c:numRef>
          </c:val>
          <c:extLst>
            <c:ext xmlns:c16="http://schemas.microsoft.com/office/drawing/2014/chart" uri="{C3380CC4-5D6E-409C-BE32-E72D297353CC}">
              <c16:uniqueId val="{00000000-30CE-43A8-9AD0-C651AEB215FD}"/>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2'!$R$37:$BB$37</c:f>
              <c:numCache>
                <c:formatCode>#\ ##0.0</c:formatCode>
                <c:ptCount val="37"/>
                <c:pt idx="0">
                  <c:v>4.3632508753999986</c:v>
                </c:pt>
                <c:pt idx="1">
                  <c:v>9.9207675196999929</c:v>
                </c:pt>
                <c:pt idx="2">
                  <c:v>-2.8142131774000063</c:v>
                </c:pt>
                <c:pt idx="3">
                  <c:v>-0.26578169440000465</c:v>
                </c:pt>
                <c:pt idx="4">
                  <c:v>1.7666970267000011</c:v>
                </c:pt>
                <c:pt idx="5">
                  <c:v>1.7586378578999984</c:v>
                </c:pt>
                <c:pt idx="6">
                  <c:v>0.20173230330000536</c:v>
                </c:pt>
                <c:pt idx="7">
                  <c:v>2.9064722939999967</c:v>
                </c:pt>
                <c:pt idx="8">
                  <c:v>12.341459895900002</c:v>
                </c:pt>
                <c:pt idx="9">
                  <c:v>15.691073458800005</c:v>
                </c:pt>
                <c:pt idx="10">
                  <c:v>15.834685004400001</c:v>
                </c:pt>
                <c:pt idx="11">
                  <c:v>15.445227057699995</c:v>
                </c:pt>
                <c:pt idx="12">
                  <c:v>2.1530605192999985</c:v>
                </c:pt>
                <c:pt idx="13">
                  <c:v>2.440306231799994</c:v>
                </c:pt>
                <c:pt idx="14">
                  <c:v>4.7510172912000002</c:v>
                </c:pt>
                <c:pt idx="15">
                  <c:v>3.3084884759999937</c:v>
                </c:pt>
                <c:pt idx="16">
                  <c:v>7.6964313707999992</c:v>
                </c:pt>
                <c:pt idx="17">
                  <c:v>5.9656126075999936</c:v>
                </c:pt>
                <c:pt idx="18">
                  <c:v>0.2850715043000065</c:v>
                </c:pt>
                <c:pt idx="19">
                  <c:v>-0.84674153630000148</c:v>
                </c:pt>
                <c:pt idx="20">
                  <c:v>0.84542569580000304</c:v>
                </c:pt>
                <c:pt idx="21">
                  <c:v>-25.680778364399998</c:v>
                </c:pt>
                <c:pt idx="22">
                  <c:v>-3.379983194199994</c:v>
                </c:pt>
                <c:pt idx="23">
                  <c:v>5.566224000099993</c:v>
                </c:pt>
                <c:pt idx="24">
                  <c:v>2.199425585900002</c:v>
                </c:pt>
                <c:pt idx="25">
                  <c:v>42.262362647000003</c:v>
                </c:pt>
                <c:pt idx="26">
                  <c:v>9.253190769699998</c:v>
                </c:pt>
                <c:pt idx="27">
                  <c:v>5.7814707905999967</c:v>
                </c:pt>
                <c:pt idx="28">
                  <c:v>8.7588460454000057</c:v>
                </c:pt>
                <c:pt idx="29">
                  <c:v>15.462172667999994</c:v>
                </c:pt>
                <c:pt idx="30">
                  <c:v>26.233931226899998</c:v>
                </c:pt>
                <c:pt idx="31">
                  <c:v>19.263034980100002</c:v>
                </c:pt>
                <c:pt idx="32">
                  <c:v>11.843070749199995</c:v>
                </c:pt>
                <c:pt idx="33">
                  <c:v>2.2239528470000067</c:v>
                </c:pt>
                <c:pt idx="34">
                  <c:v>-7.2459852928000004</c:v>
                </c:pt>
                <c:pt idx="35">
                  <c:v>-0.72455172189999928</c:v>
                </c:pt>
              </c:numCache>
            </c:numRef>
          </c:val>
          <c:smooth val="0"/>
          <c:extLst>
            <c:ext xmlns:c16="http://schemas.microsoft.com/office/drawing/2014/chart" uri="{C3380CC4-5D6E-409C-BE32-E72D297353CC}">
              <c16:uniqueId val="{00000001-30CE-43A8-9AD0-C651AEB215FD}"/>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capacities (all industry)</c:v>
                </c:pt>
              </c:strCache>
            </c:strRef>
          </c:tx>
          <c:spPr>
            <a:ln w="15875">
              <a:solidFill>
                <a:schemeClr val="accent6">
                  <a:lumMod val="75000"/>
                </a:schemeClr>
              </a:solidFill>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2'!$R$38:$BB$38</c:f>
              <c:numCache>
                <c:formatCode>##0.0</c:formatCode>
                <c:ptCount val="37"/>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c:v>
                </c:pt>
                <c:pt idx="27">
                  <c:v>77.599999999999994</c:v>
                </c:pt>
                <c:pt idx="28">
                  <c:v>83.6</c:v>
                </c:pt>
                <c:pt idx="29">
                  <c:v>82.17</c:v>
                </c:pt>
                <c:pt idx="30">
                  <c:v>83.5</c:v>
                </c:pt>
                <c:pt idx="31">
                  <c:v>81.099999999999994</c:v>
                </c:pt>
                <c:pt idx="32">
                  <c:v>81.400000000000006</c:v>
                </c:pt>
                <c:pt idx="33">
                  <c:v>83.7</c:v>
                </c:pt>
                <c:pt idx="34">
                  <c:v>83.5</c:v>
                </c:pt>
                <c:pt idx="35">
                  <c:v>83.6</c:v>
                </c:pt>
                <c:pt idx="36">
                  <c:v>83.1</c:v>
                </c:pt>
              </c:numCache>
            </c:numRef>
          </c:val>
          <c:smooth val="0"/>
          <c:extLst>
            <c:ext xmlns:c16="http://schemas.microsoft.com/office/drawing/2014/chart" uri="{C3380CC4-5D6E-409C-BE32-E72D297353CC}">
              <c16:uniqueId val="{00000002-30CE-43A8-9AD0-C651AEB215FD}"/>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2'!$R$39:$BB$39</c:f>
              <c:numCache>
                <c:formatCode>##0.0</c:formatCode>
                <c:ptCount val="37"/>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pt idx="36">
                  <c:v>92.7</c:v>
                </c:pt>
              </c:numCache>
            </c:numRef>
          </c:val>
          <c:smooth val="0"/>
          <c:extLst>
            <c:ext xmlns:c16="http://schemas.microsoft.com/office/drawing/2014/chart" uri="{C3380CC4-5D6E-409C-BE32-E72D297353CC}">
              <c16:uniqueId val="{00000003-30CE-43A8-9AD0-C651AEB215FD}"/>
            </c:ext>
          </c:extLst>
        </c:ser>
        <c:ser>
          <c:idx val="4"/>
          <c:order val="4"/>
          <c:tx>
            <c:strRef>
              <c:f>'výkonnost odvětví 2'!$A$40</c:f>
              <c:strCache>
                <c:ptCount val="1"/>
                <c:pt idx="0">
                  <c:v>Barrier: inadequate demand</c:v>
                </c:pt>
              </c:strCache>
            </c:strRef>
          </c:tx>
          <c:spPr>
            <a:ln w="15875">
              <a:solidFill>
                <a:srgbClr val="00B050"/>
              </a:solidFill>
              <a:prstDash val="solid"/>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2'!$R$40:$BB$40</c:f>
              <c:numCache>
                <c:formatCode>#\ ##0.0</c:formatCode>
                <c:ptCount val="37"/>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pt idx="36">
                  <c:v>47.5</c:v>
                </c:pt>
              </c:numCache>
            </c:numRef>
          </c:val>
          <c:smooth val="0"/>
          <c:extLst>
            <c:ext xmlns:c16="http://schemas.microsoft.com/office/drawing/2014/chart" uri="{C3380CC4-5D6E-409C-BE32-E72D297353CC}">
              <c16:uniqueId val="{00000004-30CE-43A8-9AD0-C651AEB215FD}"/>
            </c:ext>
          </c:extLst>
        </c:ser>
        <c:ser>
          <c:idx val="5"/>
          <c:order val="5"/>
          <c:tx>
            <c:strRef>
              <c:f>'výkonnost odvětví 2'!$A$41</c:f>
              <c:strCache>
                <c:ptCount val="1"/>
                <c:pt idx="0">
                  <c:v>Barrier: lack of workers</c:v>
                </c:pt>
              </c:strCache>
            </c:strRef>
          </c:tx>
          <c:spPr>
            <a:ln w="15875">
              <a:solidFill>
                <a:srgbClr val="37DD3B"/>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2'!$R$41:$BB$41</c:f>
              <c:numCache>
                <c:formatCode>#\ ##0.0</c:formatCode>
                <c:ptCount val="37"/>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pt idx="36">
                  <c:v>14.6</c:v>
                </c:pt>
              </c:numCache>
            </c:numRef>
          </c:val>
          <c:smooth val="0"/>
          <c:extLst>
            <c:ext xmlns:c16="http://schemas.microsoft.com/office/drawing/2014/chart" uri="{C3380CC4-5D6E-409C-BE32-E72D297353CC}">
              <c16:uniqueId val="{00000005-30CE-43A8-9AD0-C651AEB215FD}"/>
            </c:ext>
          </c:extLst>
        </c:ser>
        <c:ser>
          <c:idx val="6"/>
          <c:order val="6"/>
          <c:tx>
            <c:strRef>
              <c:f>'výkonnost odvětví 2'!$A$42</c:f>
              <c:strCache>
                <c:ptCount val="1"/>
                <c:pt idx="0">
                  <c:v>Barrier: shortage of material/equipment</c:v>
                </c:pt>
              </c:strCache>
            </c:strRef>
          </c:tx>
          <c:spPr>
            <a:ln w="15875">
              <a:solidFill>
                <a:schemeClr val="accent3">
                  <a:lumMod val="75000"/>
                </a:schemeClr>
              </a:solidFill>
              <a:prstDash val="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2'!$R$42:$BB$42</c:f>
              <c:numCache>
                <c:formatCode>#\ ##0.0</c:formatCode>
                <c:ptCount val="37"/>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pt idx="33">
                  <c:v>32.5</c:v>
                </c:pt>
                <c:pt idx="34">
                  <c:v>20.6</c:v>
                </c:pt>
                <c:pt idx="35">
                  <c:v>17.100000000000001</c:v>
                </c:pt>
                <c:pt idx="36">
                  <c:v>32.700000000000003</c:v>
                </c:pt>
              </c:numCache>
            </c:numRef>
          </c:val>
          <c:smooth val="0"/>
          <c:extLst>
            <c:ext xmlns:c16="http://schemas.microsoft.com/office/drawing/2014/chart" uri="{C3380CC4-5D6E-409C-BE32-E72D297353CC}">
              <c16:uniqueId val="{00000006-30CE-43A8-9AD0-C651AEB215FD}"/>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2'!$R$43:$BB$43</c:f>
              <c:numCache>
                <c:formatCode>#\ ##0.0</c:formatCode>
                <c:ptCount val="3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pt idx="33">
                  <c:v>-7</c:v>
                </c:pt>
                <c:pt idx="34">
                  <c:v>-7</c:v>
                </c:pt>
                <c:pt idx="35">
                  <c:v>-6</c:v>
                </c:pt>
                <c:pt idx="36">
                  <c:v>-14</c:v>
                </c:pt>
              </c:numCache>
            </c:numRef>
          </c:val>
          <c:smooth val="0"/>
          <c:extLst>
            <c:ext xmlns:c16="http://schemas.microsoft.com/office/drawing/2014/chart" uri="{C3380CC4-5D6E-409C-BE32-E72D297353CC}">
              <c16:uniqueId val="{00000007-30CE-43A8-9AD0-C651AEB215FD}"/>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layout/>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Utilisation of production capacities, growth barriers, confidence</a:t>
                </a:r>
                <a:endParaRPr lang="cs-CZ" sz="700">
                  <a:effectLst/>
                </a:endParaRPr>
              </a:p>
            </c:rich>
          </c:tx>
          <c:layout/>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0624233317307999E-3"/>
          <c:y val="0.85586448957034"/>
          <c:w val="0.98943298357870768"/>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 in p.p.)</c:v>
                </c:pt>
              </c:strCache>
            </c:strRef>
          </c:tx>
          <c:spPr>
            <a:solidFill>
              <a:schemeClr val="accent5">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3'!$Y$31:$Y$67</c:f>
              <c:numCache>
                <c:formatCode>0.0</c:formatCode>
                <c:ptCount val="37"/>
                <c:pt idx="0">
                  <c:v>5.748716579411445</c:v>
                </c:pt>
                <c:pt idx="1">
                  <c:v>4.7489923277143378</c:v>
                </c:pt>
                <c:pt idx="2">
                  <c:v>0.72860376801438353</c:v>
                </c:pt>
                <c:pt idx="3">
                  <c:v>-1.5997494872130962</c:v>
                </c:pt>
                <c:pt idx="4">
                  <c:v>-4.5800585311347017</c:v>
                </c:pt>
                <c:pt idx="5">
                  <c:v>-4.8364432126044203</c:v>
                </c:pt>
                <c:pt idx="6">
                  <c:v>0.7673453632215238</c:v>
                </c:pt>
                <c:pt idx="7">
                  <c:v>3.5913890122868475</c:v>
                </c:pt>
                <c:pt idx="8">
                  <c:v>1.818439140996319</c:v>
                </c:pt>
                <c:pt idx="9">
                  <c:v>9.5161866462127662</c:v>
                </c:pt>
                <c:pt idx="10">
                  <c:v>3.2650480956647083</c:v>
                </c:pt>
                <c:pt idx="11">
                  <c:v>2.30805126241866</c:v>
                </c:pt>
                <c:pt idx="12">
                  <c:v>13.039459362857237</c:v>
                </c:pt>
                <c:pt idx="13">
                  <c:v>5.6850806062932753</c:v>
                </c:pt>
                <c:pt idx="14">
                  <c:v>7.036028465591686</c:v>
                </c:pt>
                <c:pt idx="15">
                  <c:v>2.3869078764089537</c:v>
                </c:pt>
                <c:pt idx="16">
                  <c:v>2.4727635166988868</c:v>
                </c:pt>
                <c:pt idx="17">
                  <c:v>2.9341574628565144</c:v>
                </c:pt>
                <c:pt idx="18">
                  <c:v>-0.67535503037810629</c:v>
                </c:pt>
                <c:pt idx="19">
                  <c:v>1.7116954805541678</c:v>
                </c:pt>
                <c:pt idx="20">
                  <c:v>-0.69584807703082285</c:v>
                </c:pt>
                <c:pt idx="21">
                  <c:v>-7.7523651483361782</c:v>
                </c:pt>
                <c:pt idx="22">
                  <c:v>-7.0746219815718145</c:v>
                </c:pt>
                <c:pt idx="23">
                  <c:v>-7.7412314636348389</c:v>
                </c:pt>
                <c:pt idx="24">
                  <c:v>-5.0450398313583538</c:v>
                </c:pt>
                <c:pt idx="25">
                  <c:v>2.5090828582971323</c:v>
                </c:pt>
                <c:pt idx="26">
                  <c:v>2.6816402699754662</c:v>
                </c:pt>
                <c:pt idx="27">
                  <c:v>5.4225269957941604</c:v>
                </c:pt>
                <c:pt idx="28">
                  <c:v>7.3097519144984444</c:v>
                </c:pt>
                <c:pt idx="29">
                  <c:v>3.5253941419268533</c:v>
                </c:pt>
                <c:pt idx="30">
                  <c:v>-0.75775125964245771</c:v>
                </c:pt>
                <c:pt idx="31">
                  <c:v>-1.4887165401057798</c:v>
                </c:pt>
                <c:pt idx="32">
                  <c:v>2.1226111374930912</c:v>
                </c:pt>
                <c:pt idx="33">
                  <c:v>-1.877499701845601</c:v>
                </c:pt>
                <c:pt idx="34">
                  <c:v>-0.49102403109004777</c:v>
                </c:pt>
                <c:pt idx="35">
                  <c:v>-2.335441032439141</c:v>
                </c:pt>
              </c:numCache>
            </c:numRef>
          </c:val>
          <c:extLst>
            <c:ext xmlns:c16="http://schemas.microsoft.com/office/drawing/2014/chart" uri="{C3380CC4-5D6E-409C-BE32-E72D297353CC}">
              <c16:uniqueId val="{00000000-E6FA-4E8A-BF07-968C9D0B6949}"/>
            </c:ext>
          </c:extLst>
        </c:ser>
        <c:ser>
          <c:idx val="2"/>
          <c:order val="2"/>
          <c:tx>
            <c:strRef>
              <c:f>'výkonnost odvětví 3'!$Z$10</c:f>
              <c:strCache>
                <c:ptCount val="1"/>
                <c:pt idx="0">
                  <c:v>Civil engineering works (contribution in p.p.)</c:v>
                </c:pt>
              </c:strCache>
            </c:strRef>
          </c:tx>
          <c:spPr>
            <a:solidFill>
              <a:schemeClr val="accent2">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3'!$Z$31:$Z$67</c:f>
              <c:numCache>
                <c:formatCode>0.0</c:formatCode>
                <c:ptCount val="37"/>
                <c:pt idx="0">
                  <c:v>3.8654453061663498</c:v>
                </c:pt>
                <c:pt idx="1">
                  <c:v>8.4074328223660437</c:v>
                </c:pt>
                <c:pt idx="2">
                  <c:v>8.536513170572011</c:v>
                </c:pt>
                <c:pt idx="3">
                  <c:v>3.3830353457973681</c:v>
                </c:pt>
                <c:pt idx="4">
                  <c:v>-1.4655710356774887</c:v>
                </c:pt>
                <c:pt idx="5">
                  <c:v>-6.4494987337786789</c:v>
                </c:pt>
                <c:pt idx="6">
                  <c:v>-8.0288007564184198</c:v>
                </c:pt>
                <c:pt idx="7">
                  <c:v>-6.8710829128275535</c:v>
                </c:pt>
                <c:pt idx="8">
                  <c:v>-4.1473356084740605</c:v>
                </c:pt>
                <c:pt idx="9">
                  <c:v>-1.1362269417632547</c:v>
                </c:pt>
                <c:pt idx="10">
                  <c:v>-1.6997694917449739</c:v>
                </c:pt>
                <c:pt idx="11">
                  <c:v>0.18912136047288933</c:v>
                </c:pt>
                <c:pt idx="12">
                  <c:v>2.313855161184069</c:v>
                </c:pt>
                <c:pt idx="13">
                  <c:v>1.4433818342413158</c:v>
                </c:pt>
                <c:pt idx="14">
                  <c:v>5.805340800033207</c:v>
                </c:pt>
                <c:pt idx="15">
                  <c:v>2.0257219814852485</c:v>
                </c:pt>
                <c:pt idx="16">
                  <c:v>2.8832113797347176</c:v>
                </c:pt>
                <c:pt idx="17">
                  <c:v>2.2916559515195796</c:v>
                </c:pt>
                <c:pt idx="18">
                  <c:v>0.1275103650053056</c:v>
                </c:pt>
                <c:pt idx="19">
                  <c:v>0.80716183036284428</c:v>
                </c:pt>
                <c:pt idx="20">
                  <c:v>2.6239699221333534</c:v>
                </c:pt>
                <c:pt idx="21">
                  <c:v>0.26317252359280197</c:v>
                </c:pt>
                <c:pt idx="22">
                  <c:v>-3.3347591135837273</c:v>
                </c:pt>
                <c:pt idx="23">
                  <c:v>-0.42839192125115316</c:v>
                </c:pt>
                <c:pt idx="24">
                  <c:v>-0.40013342088039289</c:v>
                </c:pt>
                <c:pt idx="25">
                  <c:v>1.8499271498528127</c:v>
                </c:pt>
                <c:pt idx="26">
                  <c:v>0.52643056708366975</c:v>
                </c:pt>
                <c:pt idx="27">
                  <c:v>-1.0593514317463355</c:v>
                </c:pt>
                <c:pt idx="28">
                  <c:v>5.346361770893294</c:v>
                </c:pt>
                <c:pt idx="29">
                  <c:v>1.3464817358451515</c:v>
                </c:pt>
                <c:pt idx="30">
                  <c:v>0.66675188924701689</c:v>
                </c:pt>
                <c:pt idx="31">
                  <c:v>1.4255889331967364</c:v>
                </c:pt>
                <c:pt idx="32">
                  <c:v>-3.8431677536563167</c:v>
                </c:pt>
                <c:pt idx="33">
                  <c:v>-2.3463667261777483</c:v>
                </c:pt>
                <c:pt idx="34">
                  <c:v>-0.12151528030899848</c:v>
                </c:pt>
                <c:pt idx="35">
                  <c:v>-0.5708774009900186</c:v>
                </c:pt>
              </c:numCache>
            </c:numRef>
          </c:val>
          <c:extLst>
            <c:ext xmlns:c16="http://schemas.microsoft.com/office/drawing/2014/chart" uri="{C3380CC4-5D6E-409C-BE32-E72D297353CC}">
              <c16:uniqueId val="{00000001-E6FA-4E8A-BF07-968C9D0B6949}"/>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 (y-o-y in %)</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3'!$X$31:$X$67</c:f>
              <c:numCache>
                <c:formatCode>0.0</c:formatCode>
                <c:ptCount val="37"/>
                <c:pt idx="0">
                  <c:v>9.6141618855778006</c:v>
                </c:pt>
                <c:pt idx="1">
                  <c:v>13.156425150080381</c:v>
                </c:pt>
                <c:pt idx="2">
                  <c:v>9.2651169385864023</c:v>
                </c:pt>
                <c:pt idx="3">
                  <c:v>1.7832858585842644</c:v>
                </c:pt>
                <c:pt idx="4">
                  <c:v>-6.0456295668121669</c:v>
                </c:pt>
                <c:pt idx="5">
                  <c:v>-11.28594194638309</c:v>
                </c:pt>
                <c:pt idx="6">
                  <c:v>-7.2614553931968828</c:v>
                </c:pt>
                <c:pt idx="7">
                  <c:v>-3.2796939005406927</c:v>
                </c:pt>
                <c:pt idx="8">
                  <c:v>-2.3288964674777475</c:v>
                </c:pt>
                <c:pt idx="9">
                  <c:v>8.3799597044495187</c:v>
                </c:pt>
                <c:pt idx="10">
                  <c:v>1.5652786039197224</c:v>
                </c:pt>
                <c:pt idx="11">
                  <c:v>2.4971726228915543</c:v>
                </c:pt>
                <c:pt idx="12">
                  <c:v>15.353314524041295</c:v>
                </c:pt>
                <c:pt idx="13">
                  <c:v>7.1284624405345767</c:v>
                </c:pt>
                <c:pt idx="14">
                  <c:v>12.84136926562492</c:v>
                </c:pt>
                <c:pt idx="15">
                  <c:v>4.4126298578941885</c:v>
                </c:pt>
                <c:pt idx="16">
                  <c:v>5.355974896433608</c:v>
                </c:pt>
                <c:pt idx="17">
                  <c:v>5.2258134143760913</c:v>
                </c:pt>
                <c:pt idx="18">
                  <c:v>-0.54784466537279286</c:v>
                </c:pt>
                <c:pt idx="19">
                  <c:v>2.5188573109170278</c:v>
                </c:pt>
                <c:pt idx="20">
                  <c:v>1.9281218451025097</c:v>
                </c:pt>
                <c:pt idx="21">
                  <c:v>-7.4891926247433531</c:v>
                </c:pt>
                <c:pt idx="22">
                  <c:v>-10.409381095155553</c:v>
                </c:pt>
                <c:pt idx="23">
                  <c:v>-8.1696233848860089</c:v>
                </c:pt>
                <c:pt idx="24">
                  <c:v>-5.4451732522387175</c:v>
                </c:pt>
                <c:pt idx="25">
                  <c:v>4.3590100081499372</c:v>
                </c:pt>
                <c:pt idx="26">
                  <c:v>3.2080708370591395</c:v>
                </c:pt>
                <c:pt idx="27">
                  <c:v>4.363175564047836</c:v>
                </c:pt>
                <c:pt idx="28">
                  <c:v>12.656113685391716</c:v>
                </c:pt>
                <c:pt idx="29">
                  <c:v>4.8718758777719984</c:v>
                </c:pt>
                <c:pt idx="30">
                  <c:v>-9.099937039543704E-2</c:v>
                </c:pt>
                <c:pt idx="31">
                  <c:v>-6.3127606909034739E-2</c:v>
                </c:pt>
                <c:pt idx="32">
                  <c:v>-1.720556616163222</c:v>
                </c:pt>
                <c:pt idx="33">
                  <c:v>-4.2238664280233422</c:v>
                </c:pt>
                <c:pt idx="34">
                  <c:v>-0.61253931139906115</c:v>
                </c:pt>
                <c:pt idx="35">
                  <c:v>-2.9063184334291492</c:v>
                </c:pt>
              </c:numCache>
            </c:numRef>
          </c:val>
          <c:smooth val="0"/>
          <c:extLst>
            <c:ext xmlns:c16="http://schemas.microsoft.com/office/drawing/2014/chart" uri="{C3380CC4-5D6E-409C-BE32-E72D297353CC}">
              <c16:uniqueId val="{00000002-E6FA-4E8A-BF07-968C9D0B6949}"/>
            </c:ext>
          </c:extLst>
        </c:ser>
        <c:ser>
          <c:idx val="3"/>
          <c:order val="3"/>
          <c:tx>
            <c:strRef>
              <c:f>'výkonnost odvětví 3'!$AA$10</c:f>
              <c:strCache>
                <c:ptCount val="1"/>
                <c:pt idx="0">
                  <c:v>New domestic construction orders </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3'!$AA$31:$AA$67</c:f>
              <c:numCache>
                <c:formatCode>0.0</c:formatCode>
                <c:ptCount val="3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pt idx="32">
                  <c:v>-10.144501025957553</c:v>
                </c:pt>
                <c:pt idx="33">
                  <c:v>-18.697561390531931</c:v>
                </c:pt>
                <c:pt idx="34">
                  <c:v>27.514816854662882</c:v>
                </c:pt>
                <c:pt idx="35">
                  <c:v>9.3063425617587541</c:v>
                </c:pt>
              </c:numCache>
            </c:numRef>
          </c:val>
          <c:smooth val="0"/>
          <c:extLst>
            <c:ext xmlns:c16="http://schemas.microsoft.com/office/drawing/2014/chart" uri="{C3380CC4-5D6E-409C-BE32-E72D297353CC}">
              <c16:uniqueId val="{00000003-E6FA-4E8A-BF07-968C9D0B694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 </c:v>
                </c:pt>
              </c:strCache>
            </c:strRef>
          </c:tx>
          <c:spPr>
            <a:ln w="15875">
              <a:solidFill>
                <a:srgbClr val="00B050"/>
              </a:solidFill>
              <a:prstDash val="solid"/>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3'!$AB$31:$AB$67</c:f>
              <c:numCache>
                <c:formatCode>#\ ##0.0</c:formatCode>
                <c:ptCount val="37"/>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32.299999999999997</c:v>
                </c:pt>
                <c:pt idx="34">
                  <c:v>36.299999999999997</c:v>
                </c:pt>
                <c:pt idx="35">
                  <c:v>29.2</c:v>
                </c:pt>
                <c:pt idx="36">
                  <c:v>20.5</c:v>
                </c:pt>
              </c:numCache>
            </c:numRef>
          </c:val>
          <c:smooth val="0"/>
          <c:extLst>
            <c:ext xmlns:c16="http://schemas.microsoft.com/office/drawing/2014/chart" uri="{C3380CC4-5D6E-409C-BE32-E72D297353CC}">
              <c16:uniqueId val="{00000004-E6FA-4E8A-BF07-968C9D0B6949}"/>
            </c:ext>
          </c:extLst>
        </c:ser>
        <c:ser>
          <c:idx val="5"/>
          <c:order val="5"/>
          <c:tx>
            <c:strRef>
              <c:f>'výkonnost odvětví 3'!$AC$10</c:f>
              <c:strCache>
                <c:ptCount val="1"/>
                <c:pt idx="0">
                  <c:v>Growth barrier: lack of workers</c:v>
                </c:pt>
              </c:strCache>
            </c:strRef>
          </c:tx>
          <c:spPr>
            <a:ln w="15875">
              <a:solidFill>
                <a:schemeClr val="accent3">
                  <a:lumMod val="75000"/>
                </a:schemeClr>
              </a:solidFill>
              <a:prstDash val="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3'!$AC$31:$AC$67</c:f>
              <c:numCache>
                <c:formatCode>#\ ##0.0</c:formatCode>
                <c:ptCount val="37"/>
                <c:pt idx="0">
                  <c:v>8.3000000000000007</c:v>
                </c:pt>
                <c:pt idx="1">
                  <c:v>8.1</c:v>
                </c:pt>
                <c:pt idx="2">
                  <c:v>6.1</c:v>
                </c:pt>
                <c:pt idx="3">
                  <c:v>6</c:v>
                </c:pt>
                <c:pt idx="4">
                  <c:v>6.5</c:v>
                </c:pt>
                <c:pt idx="5">
                  <c:v>7.2</c:v>
                </c:pt>
                <c:pt idx="6">
                  <c:v>7.1</c:v>
                </c:pt>
                <c:pt idx="7">
                  <c:v>10.4</c:v>
                </c:pt>
                <c:pt idx="8">
                  <c:v>13.9</c:v>
                </c:pt>
                <c:pt idx="9">
                  <c:v>14.9</c:v>
                </c:pt>
                <c:pt idx="10">
                  <c:v>21.7</c:v>
                </c:pt>
                <c:pt idx="11">
                  <c:v>21.3</c:v>
                </c:pt>
                <c:pt idx="12">
                  <c:v>27</c:v>
                </c:pt>
                <c:pt idx="13">
                  <c:v>30.1</c:v>
                </c:pt>
                <c:pt idx="14">
                  <c:v>28.5</c:v>
                </c:pt>
                <c:pt idx="15">
                  <c:v>38.4</c:v>
                </c:pt>
                <c:pt idx="16">
                  <c:v>36.4</c:v>
                </c:pt>
                <c:pt idx="17">
                  <c:v>43.4</c:v>
                </c:pt>
                <c:pt idx="18">
                  <c:v>50.4</c:v>
                </c:pt>
                <c:pt idx="19">
                  <c:v>46.4</c:v>
                </c:pt>
                <c:pt idx="20">
                  <c:v>51.8</c:v>
                </c:pt>
                <c:pt idx="21">
                  <c:v>46</c:v>
                </c:pt>
                <c:pt idx="22">
                  <c:v>35.9</c:v>
                </c:pt>
                <c:pt idx="23" formatCode="0.0">
                  <c:v>32.1</c:v>
                </c:pt>
                <c:pt idx="24">
                  <c:v>47.9</c:v>
                </c:pt>
                <c:pt idx="25">
                  <c:v>31.7</c:v>
                </c:pt>
                <c:pt idx="26">
                  <c:v>41.4</c:v>
                </c:pt>
                <c:pt idx="27">
                  <c:v>42.5</c:v>
                </c:pt>
                <c:pt idx="28">
                  <c:v>57.2</c:v>
                </c:pt>
                <c:pt idx="29">
                  <c:v>44.3</c:v>
                </c:pt>
                <c:pt idx="30">
                  <c:v>39.4</c:v>
                </c:pt>
                <c:pt idx="31">
                  <c:v>47.3</c:v>
                </c:pt>
                <c:pt idx="32">
                  <c:v>39.5</c:v>
                </c:pt>
                <c:pt idx="33">
                  <c:v>35.5</c:v>
                </c:pt>
                <c:pt idx="34">
                  <c:v>30.3</c:v>
                </c:pt>
                <c:pt idx="35">
                  <c:v>30.9</c:v>
                </c:pt>
                <c:pt idx="36">
                  <c:v>54.4</c:v>
                </c:pt>
              </c:numCache>
            </c:numRef>
          </c:val>
          <c:smooth val="0"/>
          <c:extLst>
            <c:ext xmlns:c16="http://schemas.microsoft.com/office/drawing/2014/chart" uri="{C3380CC4-5D6E-409C-BE32-E72D297353CC}">
              <c16:uniqueId val="{00000005-E6FA-4E8A-BF07-968C9D0B6949}"/>
            </c:ext>
          </c:extLst>
        </c:ser>
        <c:ser>
          <c:idx val="6"/>
          <c:order val="6"/>
          <c:tx>
            <c:strRef>
              <c:f>'výkonnost odvětví 3'!$AD$10</c:f>
              <c:strCache>
                <c:ptCount val="1"/>
                <c:pt idx="0">
                  <c:v>Barrier: shortage of material/equipment</c:v>
                </c:pt>
              </c:strCache>
            </c:strRef>
          </c:tx>
          <c:spPr>
            <a:ln w="15875">
              <a:solidFill>
                <a:srgbClr val="37DD3B"/>
              </a:solidFill>
              <a:prstDash val="sys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3'!$AD$31:$AD$67</c:f>
              <c:numCache>
                <c:formatCode>#\ ##0.0</c:formatCode>
                <c:ptCount val="37"/>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c:v>13.9</c:v>
                </c:pt>
                <c:pt idx="36">
                  <c:v>22.5</c:v>
                </c:pt>
              </c:numCache>
            </c:numRef>
          </c:val>
          <c:smooth val="0"/>
          <c:extLst>
            <c:ext xmlns:c16="http://schemas.microsoft.com/office/drawing/2014/chart" uri="{C3380CC4-5D6E-409C-BE32-E72D297353CC}">
              <c16:uniqueId val="{00000006-E6FA-4E8A-BF07-968C9D0B6949}"/>
            </c:ext>
          </c:extLst>
        </c:ser>
        <c:ser>
          <c:idx val="7"/>
          <c:order val="7"/>
          <c:tx>
            <c:strRef>
              <c:f>'výkonnost odvětví 3'!$AE$10</c:f>
              <c:strCache>
                <c:ptCount val="1"/>
                <c:pt idx="0">
                  <c:v>Confidence indicator in construction </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3'!$AE$31:$AE$67</c:f>
              <c:numCache>
                <c:formatCode>0.0</c:formatCode>
                <c:ptCount val="3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pt idx="36">
                  <c:v>-7</c:v>
                </c:pt>
              </c:numCache>
            </c:numRef>
          </c:val>
          <c:smooth val="0"/>
          <c:extLst>
            <c:ext xmlns:c16="http://schemas.microsoft.com/office/drawing/2014/chart" uri="{C3380CC4-5D6E-409C-BE32-E72D297353CC}">
              <c16:uniqueId val="{00000007-E6FA-4E8A-BF07-968C9D0B6949}"/>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Confidence indicator, Growth barriers</a:t>
                </a:r>
              </a:p>
            </c:rich>
          </c:tx>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3134483457808117E-2"/>
          <c:y val="0.85936703322638608"/>
          <c:w val="0.974621928964887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435E-2"/>
          <c:y val="1.5803328678987455E-2"/>
          <c:w val="0.83979584077702996"/>
          <c:h val="0.69902590308489432"/>
        </c:manualLayout>
      </c:layout>
      <c:barChart>
        <c:barDir val="col"/>
        <c:grouping val="stacked"/>
        <c:varyColors val="0"/>
        <c:ser>
          <c:idx val="0"/>
          <c:order val="1"/>
          <c:tx>
            <c:strRef>
              <c:f>'Služby-příspěvkyk růstu-4'!$D$33</c:f>
              <c:strCache>
                <c:ptCount val="1"/>
                <c:pt idx="0">
                  <c:v>Transportation and storage (p.p.)</c:v>
                </c:pt>
              </c:strCache>
            </c:strRef>
          </c:tx>
          <c:spPr>
            <a:solidFill>
              <a:srgbClr val="92D05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růstu-4'!$D$46:$D$82</c:f>
              <c:numCache>
                <c:formatCode>0.0</c:formatCode>
                <c:ptCount val="37"/>
                <c:pt idx="0">
                  <c:v>0.28583707131499864</c:v>
                </c:pt>
                <c:pt idx="1">
                  <c:v>9.9073319502600551E-2</c:v>
                </c:pt>
                <c:pt idx="2">
                  <c:v>0.31769782750540138</c:v>
                </c:pt>
                <c:pt idx="3">
                  <c:v>0.12210619116400009</c:v>
                </c:pt>
                <c:pt idx="4">
                  <c:v>0.28220883268199926</c:v>
                </c:pt>
                <c:pt idx="5">
                  <c:v>6.1181950046598127E-2</c:v>
                </c:pt>
                <c:pt idx="6">
                  <c:v>0.16591602609100148</c:v>
                </c:pt>
                <c:pt idx="7">
                  <c:v>0.78068825847900136</c:v>
                </c:pt>
                <c:pt idx="8">
                  <c:v>1.5613141921709988</c:v>
                </c:pt>
                <c:pt idx="9">
                  <c:v>1.122930781783998</c:v>
                </c:pt>
                <c:pt idx="10">
                  <c:v>1.0641446548009998</c:v>
                </c:pt>
                <c:pt idx="11">
                  <c:v>0.59189353382399879</c:v>
                </c:pt>
                <c:pt idx="12">
                  <c:v>1.6915596254819993</c:v>
                </c:pt>
                <c:pt idx="13">
                  <c:v>1.8149616493690008</c:v>
                </c:pt>
                <c:pt idx="14">
                  <c:v>1.4972066301569984</c:v>
                </c:pt>
                <c:pt idx="15">
                  <c:v>0.48435757114800193</c:v>
                </c:pt>
                <c:pt idx="16">
                  <c:v>8.7680447270998052E-2</c:v>
                </c:pt>
                <c:pt idx="17">
                  <c:v>-0.13218522120399967</c:v>
                </c:pt>
                <c:pt idx="18">
                  <c:v>-0.30882816758200105</c:v>
                </c:pt>
                <c:pt idx="19">
                  <c:v>-7.2429796977600117E-2</c:v>
                </c:pt>
                <c:pt idx="20">
                  <c:v>-1.5388901719333996</c:v>
                </c:pt>
                <c:pt idx="21">
                  <c:v>-6.3630415493666987</c:v>
                </c:pt>
                <c:pt idx="22">
                  <c:v>-3.9404740003479741</c:v>
                </c:pt>
                <c:pt idx="23">
                  <c:v>-1.3606128435167992</c:v>
                </c:pt>
                <c:pt idx="24">
                  <c:v>0.40965221834459875</c:v>
                </c:pt>
                <c:pt idx="25">
                  <c:v>6.4837528919423981</c:v>
                </c:pt>
                <c:pt idx="26">
                  <c:v>3.6854899718831997</c:v>
                </c:pt>
                <c:pt idx="27">
                  <c:v>3.3199937148716865</c:v>
                </c:pt>
                <c:pt idx="28">
                  <c:v>3.9496411864825189</c:v>
                </c:pt>
                <c:pt idx="29">
                  <c:v>4.0151287396499988</c:v>
                </c:pt>
                <c:pt idx="30">
                  <c:v>3.2324019030773452</c:v>
                </c:pt>
                <c:pt idx="31">
                  <c:v>0.68972605928640229</c:v>
                </c:pt>
                <c:pt idx="32">
                  <c:v>-1.2121731839999985</c:v>
                </c:pt>
                <c:pt idx="33">
                  <c:v>-3.1010346750564892</c:v>
                </c:pt>
                <c:pt idx="34">
                  <c:v>-3.4701744696586818</c:v>
                </c:pt>
                <c:pt idx="35">
                  <c:v>-2.6074557512069574</c:v>
                </c:pt>
              </c:numCache>
            </c:numRef>
          </c:val>
          <c:extLst>
            <c:ext xmlns:c16="http://schemas.microsoft.com/office/drawing/2014/chart" uri="{C3380CC4-5D6E-409C-BE32-E72D297353CC}">
              <c16:uniqueId val="{00000000-C559-457C-A73F-719B67829B5B}"/>
            </c:ext>
          </c:extLst>
        </c:ser>
        <c:ser>
          <c:idx val="1"/>
          <c:order val="2"/>
          <c:tx>
            <c:strRef>
              <c:f>'Služby-příspěvkyk růstu-4'!$E$33</c:f>
              <c:strCache>
                <c:ptCount val="1"/>
                <c:pt idx="0">
                  <c:v>Accommodation, food service activities (p.p.)</c:v>
                </c:pt>
              </c:strCache>
            </c:strRef>
          </c:tx>
          <c:spPr>
            <a:solidFill>
              <a:srgbClr val="00B0F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růstu-4'!$E$46:$E$82</c:f>
              <c:numCache>
                <c:formatCode>0.0</c:formatCode>
                <c:ptCount val="37"/>
                <c:pt idx="0">
                  <c:v>0.22716240604080018</c:v>
                </c:pt>
                <c:pt idx="1">
                  <c:v>0.65001523589900034</c:v>
                </c:pt>
                <c:pt idx="2">
                  <c:v>0.65043885271950042</c:v>
                </c:pt>
                <c:pt idx="3">
                  <c:v>0.40286531384040036</c:v>
                </c:pt>
                <c:pt idx="4">
                  <c:v>0.47082926396040031</c:v>
                </c:pt>
                <c:pt idx="5">
                  <c:v>0.17677577920749962</c:v>
                </c:pt>
                <c:pt idx="6">
                  <c:v>0.57113528170200001</c:v>
                </c:pt>
                <c:pt idx="7">
                  <c:v>0.60157631975219972</c:v>
                </c:pt>
                <c:pt idx="8">
                  <c:v>0.9154231899449996</c:v>
                </c:pt>
                <c:pt idx="9">
                  <c:v>1.2344281014258005</c:v>
                </c:pt>
                <c:pt idx="10">
                  <c:v>0.55621615324820017</c:v>
                </c:pt>
                <c:pt idx="11">
                  <c:v>0.45646654612940007</c:v>
                </c:pt>
                <c:pt idx="12">
                  <c:v>0.20372087178279991</c:v>
                </c:pt>
                <c:pt idx="13">
                  <c:v>5.3418687620000245E-2</c:v>
                </c:pt>
                <c:pt idx="14">
                  <c:v>6.3072083089999523E-2</c:v>
                </c:pt>
                <c:pt idx="15">
                  <c:v>-3.690856285000052E-2</c:v>
                </c:pt>
                <c:pt idx="16">
                  <c:v>-0.36352759744700047</c:v>
                </c:pt>
                <c:pt idx="17">
                  <c:v>-0.66972254409340026</c:v>
                </c:pt>
                <c:pt idx="18">
                  <c:v>0.55939150605359955</c:v>
                </c:pt>
                <c:pt idx="19">
                  <c:v>0.81136645955399955</c:v>
                </c:pt>
                <c:pt idx="20">
                  <c:v>-1.02121923221554</c:v>
                </c:pt>
                <c:pt idx="21">
                  <c:v>-4.7572576440565006</c:v>
                </c:pt>
                <c:pt idx="22">
                  <c:v>-1.8794605145432095</c:v>
                </c:pt>
                <c:pt idx="23">
                  <c:v>-4.4951618716172961</c:v>
                </c:pt>
                <c:pt idx="24">
                  <c:v>-3.6360862550249999</c:v>
                </c:pt>
                <c:pt idx="25">
                  <c:v>1.4024517634519886</c:v>
                </c:pt>
                <c:pt idx="26">
                  <c:v>0.66030614914950037</c:v>
                </c:pt>
                <c:pt idx="27">
                  <c:v>2.8952490941033862</c:v>
                </c:pt>
                <c:pt idx="28">
                  <c:v>2.8310456890179001</c:v>
                </c:pt>
                <c:pt idx="29">
                  <c:v>2.4351184699744954</c:v>
                </c:pt>
                <c:pt idx="30">
                  <c:v>-0.45789924306440666</c:v>
                </c:pt>
                <c:pt idx="31">
                  <c:v>0.56769798468950006</c:v>
                </c:pt>
                <c:pt idx="32">
                  <c:v>0.47156474449819968</c:v>
                </c:pt>
                <c:pt idx="33">
                  <c:v>-2.7669915753384261E-2</c:v>
                </c:pt>
                <c:pt idx="34">
                  <c:v>0.13134358555808825</c:v>
                </c:pt>
                <c:pt idx="35">
                  <c:v>7.6537115320104571E-2</c:v>
                </c:pt>
              </c:numCache>
            </c:numRef>
          </c:val>
          <c:extLst>
            <c:ext xmlns:c16="http://schemas.microsoft.com/office/drawing/2014/chart" uri="{C3380CC4-5D6E-409C-BE32-E72D297353CC}">
              <c16:uniqueId val="{00000001-C559-457C-A73F-719B67829B5B}"/>
            </c:ext>
          </c:extLst>
        </c:ser>
        <c:ser>
          <c:idx val="2"/>
          <c:order val="3"/>
          <c:tx>
            <c:strRef>
              <c:f>'Služby-příspěvkyk růstu-4'!$F$33</c:f>
              <c:strCache>
                <c:ptCount val="1"/>
                <c:pt idx="0">
                  <c:v>Information and communication (p.p.)</c:v>
                </c:pt>
              </c:strCache>
            </c:strRef>
          </c:tx>
          <c:spPr>
            <a:solidFill>
              <a:srgbClr val="E6E10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růstu-4'!$F$46:$F$82</c:f>
              <c:numCache>
                <c:formatCode>0.0</c:formatCode>
                <c:ptCount val="37"/>
                <c:pt idx="0">
                  <c:v>1.3475600006119992</c:v>
                </c:pt>
                <c:pt idx="1">
                  <c:v>0.66866302459200067</c:v>
                </c:pt>
                <c:pt idx="2">
                  <c:v>0.76957802431699907</c:v>
                </c:pt>
                <c:pt idx="3">
                  <c:v>1.4886414789369995</c:v>
                </c:pt>
                <c:pt idx="4">
                  <c:v>0.31877743705500039</c:v>
                </c:pt>
                <c:pt idx="5">
                  <c:v>0.20661529177999968</c:v>
                </c:pt>
                <c:pt idx="6">
                  <c:v>0.33414735394100048</c:v>
                </c:pt>
                <c:pt idx="7">
                  <c:v>-1.5907952160003447E-3</c:v>
                </c:pt>
                <c:pt idx="8">
                  <c:v>0.81368973776000075</c:v>
                </c:pt>
                <c:pt idx="9">
                  <c:v>0.85417546131300082</c:v>
                </c:pt>
                <c:pt idx="10">
                  <c:v>0.70502890964199894</c:v>
                </c:pt>
                <c:pt idx="11">
                  <c:v>0.57956639880599936</c:v>
                </c:pt>
                <c:pt idx="12">
                  <c:v>1.4478889516160005</c:v>
                </c:pt>
                <c:pt idx="13">
                  <c:v>0.80994689822300014</c:v>
                </c:pt>
                <c:pt idx="14">
                  <c:v>1.4688126825399994</c:v>
                </c:pt>
                <c:pt idx="15">
                  <c:v>1.086122449493</c:v>
                </c:pt>
                <c:pt idx="16">
                  <c:v>0.58941772132699954</c:v>
                </c:pt>
                <c:pt idx="17">
                  <c:v>1.4226829106699992</c:v>
                </c:pt>
                <c:pt idx="18">
                  <c:v>1.6743952337219994</c:v>
                </c:pt>
                <c:pt idx="19">
                  <c:v>0.80346819102189926</c:v>
                </c:pt>
                <c:pt idx="20">
                  <c:v>0.70778641415200061</c:v>
                </c:pt>
                <c:pt idx="21">
                  <c:v>-0.1282918788954005</c:v>
                </c:pt>
                <c:pt idx="22">
                  <c:v>-0.45078576191000025</c:v>
                </c:pt>
                <c:pt idx="23">
                  <c:v>-0.76558883395124844</c:v>
                </c:pt>
                <c:pt idx="24">
                  <c:v>0.73364927391400159</c:v>
                </c:pt>
                <c:pt idx="25">
                  <c:v>1.7201356748114756</c:v>
                </c:pt>
                <c:pt idx="26">
                  <c:v>1.736451508697799</c:v>
                </c:pt>
                <c:pt idx="27">
                  <c:v>2.1182789324493134</c:v>
                </c:pt>
                <c:pt idx="28">
                  <c:v>1.7507684699530985</c:v>
                </c:pt>
                <c:pt idx="29">
                  <c:v>0.98401837425599858</c:v>
                </c:pt>
                <c:pt idx="30">
                  <c:v>0.77271762675483868</c:v>
                </c:pt>
                <c:pt idx="31">
                  <c:v>0.37523087044705927</c:v>
                </c:pt>
                <c:pt idx="32">
                  <c:v>0.58518462551160166</c:v>
                </c:pt>
                <c:pt idx="33">
                  <c:v>-1.1979290428213106E-2</c:v>
                </c:pt>
                <c:pt idx="34">
                  <c:v>-0.79548596103973734</c:v>
                </c:pt>
                <c:pt idx="35">
                  <c:v>-0.79444877935572744</c:v>
                </c:pt>
              </c:numCache>
            </c:numRef>
          </c:val>
          <c:extLst>
            <c:ext xmlns:c16="http://schemas.microsoft.com/office/drawing/2014/chart" uri="{C3380CC4-5D6E-409C-BE32-E72D297353CC}">
              <c16:uniqueId val="{00000002-C559-457C-A73F-719B67829B5B}"/>
            </c:ext>
          </c:extLst>
        </c:ser>
        <c:ser>
          <c:idx val="4"/>
          <c:order val="4"/>
          <c:tx>
            <c:strRef>
              <c:f>'Služby-příspěvkyk růstu-4'!$G$33</c:f>
              <c:strCache>
                <c:ptCount val="1"/>
                <c:pt idx="0">
                  <c:v>Real estate activities (p.p.)</c:v>
                </c:pt>
              </c:strCache>
            </c:strRef>
          </c:tx>
          <c:spPr>
            <a:solidFill>
              <a:schemeClr val="accent5">
                <a:lumMod val="60000"/>
                <a:lumOff val="40000"/>
              </a:schemeClr>
            </a:solidFill>
            <a:ln>
              <a:noFill/>
              <a:prstDash val="sysDash"/>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růstu-4'!$G$46:$G$82</c:f>
              <c:numCache>
                <c:formatCode>0.0</c:formatCode>
                <c:ptCount val="37"/>
                <c:pt idx="0">
                  <c:v>4.746770298419966E-2</c:v>
                </c:pt>
                <c:pt idx="1">
                  <c:v>-7.1736494634002381E-3</c:v>
                </c:pt>
                <c:pt idx="2">
                  <c:v>0.12594742008660062</c:v>
                </c:pt>
                <c:pt idx="3">
                  <c:v>2.5503553016999546E-2</c:v>
                </c:pt>
                <c:pt idx="4">
                  <c:v>0.25581412202700016</c:v>
                </c:pt>
                <c:pt idx="5">
                  <c:v>-5.8871280300053285E-4</c:v>
                </c:pt>
                <c:pt idx="6">
                  <c:v>0.14820611830979977</c:v>
                </c:pt>
                <c:pt idx="7">
                  <c:v>-6.673245353100031E-2</c:v>
                </c:pt>
                <c:pt idx="8">
                  <c:v>0.21337518275449996</c:v>
                </c:pt>
                <c:pt idx="9">
                  <c:v>0.44510148149939993</c:v>
                </c:pt>
                <c:pt idx="10">
                  <c:v>-2.3161044655499695E-2</c:v>
                </c:pt>
                <c:pt idx="11">
                  <c:v>0.13973557355700003</c:v>
                </c:pt>
                <c:pt idx="12">
                  <c:v>2.4776891451000493E-2</c:v>
                </c:pt>
                <c:pt idx="13">
                  <c:v>-0.24771466350479987</c:v>
                </c:pt>
                <c:pt idx="14">
                  <c:v>-0.12634060942140016</c:v>
                </c:pt>
                <c:pt idx="15">
                  <c:v>-0.22296155792339972</c:v>
                </c:pt>
                <c:pt idx="16">
                  <c:v>-0.59230274151539974</c:v>
                </c:pt>
                <c:pt idx="17">
                  <c:v>-0.14941666489739952</c:v>
                </c:pt>
                <c:pt idx="18">
                  <c:v>0.15857003378880019</c:v>
                </c:pt>
                <c:pt idx="19">
                  <c:v>0.41231320665960003</c:v>
                </c:pt>
                <c:pt idx="20">
                  <c:v>0.43752910629419994</c:v>
                </c:pt>
                <c:pt idx="21">
                  <c:v>-0.31303453713669938</c:v>
                </c:pt>
                <c:pt idx="22">
                  <c:v>-0.26031344919999999</c:v>
                </c:pt>
                <c:pt idx="23">
                  <c:v>-0.23208025015669992</c:v>
                </c:pt>
                <c:pt idx="24">
                  <c:v>-0.20731164771140034</c:v>
                </c:pt>
                <c:pt idx="25">
                  <c:v>0.47336791233434949</c:v>
                </c:pt>
                <c:pt idx="26">
                  <c:v>-3.5112849205001595E-3</c:v>
                </c:pt>
                <c:pt idx="27">
                  <c:v>0.23993527263719985</c:v>
                </c:pt>
                <c:pt idx="28">
                  <c:v>0.9435611339855996</c:v>
                </c:pt>
                <c:pt idx="29">
                  <c:v>0.47235288863200026</c:v>
                </c:pt>
                <c:pt idx="30">
                  <c:v>0.21997137895263114</c:v>
                </c:pt>
                <c:pt idx="31">
                  <c:v>0.35037642189999946</c:v>
                </c:pt>
                <c:pt idx="32">
                  <c:v>0.14376268903080025</c:v>
                </c:pt>
                <c:pt idx="33">
                  <c:v>-0.15324197268959586</c:v>
                </c:pt>
                <c:pt idx="34">
                  <c:v>-0.26274484182986496</c:v>
                </c:pt>
                <c:pt idx="35">
                  <c:v>-0.20582510967658743</c:v>
                </c:pt>
              </c:numCache>
            </c:numRef>
          </c:val>
          <c:extLst>
            <c:ext xmlns:c16="http://schemas.microsoft.com/office/drawing/2014/chart" uri="{C3380CC4-5D6E-409C-BE32-E72D297353CC}">
              <c16:uniqueId val="{00000003-C559-457C-A73F-719B67829B5B}"/>
            </c:ext>
          </c:extLst>
        </c:ser>
        <c:ser>
          <c:idx val="5"/>
          <c:order val="5"/>
          <c:tx>
            <c:strRef>
              <c:f>'Služby-příspěvkyk růstu-4'!$H$33</c:f>
              <c:strCache>
                <c:ptCount val="1"/>
                <c:pt idx="0">
                  <c:v>Professional, scientific, technic. activities (p.p.)</c:v>
                </c:pt>
              </c:strCache>
            </c:strRef>
          </c:tx>
          <c:spPr>
            <a:solidFill>
              <a:schemeClr val="accent6">
                <a:lumMod val="60000"/>
                <a:lumOff val="4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růstu-4'!$H$46:$H$82</c:f>
              <c:numCache>
                <c:formatCode>0.0</c:formatCode>
                <c:ptCount val="37"/>
                <c:pt idx="0">
                  <c:v>1.0880520996029996</c:v>
                </c:pt>
                <c:pt idx="1">
                  <c:v>0.74361697973999985</c:v>
                </c:pt>
                <c:pt idx="2">
                  <c:v>1.1124163133600007</c:v>
                </c:pt>
                <c:pt idx="3">
                  <c:v>-4.565689538760101E-2</c:v>
                </c:pt>
                <c:pt idx="4">
                  <c:v>-0.42777544952319951</c:v>
                </c:pt>
                <c:pt idx="5">
                  <c:v>-1.3881659651599989</c:v>
                </c:pt>
                <c:pt idx="6">
                  <c:v>3.2450629870800683E-2</c:v>
                </c:pt>
                <c:pt idx="7">
                  <c:v>-0.31316142237530059</c:v>
                </c:pt>
                <c:pt idx="8">
                  <c:v>0.97301367041999931</c:v>
                </c:pt>
                <c:pt idx="9">
                  <c:v>0.61036630698759931</c:v>
                </c:pt>
                <c:pt idx="10">
                  <c:v>0.29822562376110068</c:v>
                </c:pt>
                <c:pt idx="11">
                  <c:v>0.39661775964799895</c:v>
                </c:pt>
                <c:pt idx="12">
                  <c:v>1.0432277278803002</c:v>
                </c:pt>
                <c:pt idx="13">
                  <c:v>0.5277616084097011</c:v>
                </c:pt>
                <c:pt idx="14">
                  <c:v>0.33063617776669868</c:v>
                </c:pt>
                <c:pt idx="15">
                  <c:v>-0.3275368981885991</c:v>
                </c:pt>
                <c:pt idx="16">
                  <c:v>-0.22084952351709861</c:v>
                </c:pt>
                <c:pt idx="17">
                  <c:v>0.93052352491439916</c:v>
                </c:pt>
                <c:pt idx="18">
                  <c:v>-1.1995249704883002</c:v>
                </c:pt>
                <c:pt idx="19">
                  <c:v>0.1316248734900006</c:v>
                </c:pt>
                <c:pt idx="20">
                  <c:v>-1.2601566612770994</c:v>
                </c:pt>
                <c:pt idx="21">
                  <c:v>-3.4366386991859987</c:v>
                </c:pt>
                <c:pt idx="22">
                  <c:v>-1.7291196666688515</c:v>
                </c:pt>
                <c:pt idx="23">
                  <c:v>-1.6772597720676004</c:v>
                </c:pt>
                <c:pt idx="24">
                  <c:v>-1.834895122862068</c:v>
                </c:pt>
                <c:pt idx="25">
                  <c:v>2.6513460826800999</c:v>
                </c:pt>
                <c:pt idx="26">
                  <c:v>1.7501471294470006</c:v>
                </c:pt>
                <c:pt idx="27">
                  <c:v>2.2391889197628854</c:v>
                </c:pt>
                <c:pt idx="28">
                  <c:v>2.2880086403976008</c:v>
                </c:pt>
                <c:pt idx="29">
                  <c:v>1.3870310019777765</c:v>
                </c:pt>
                <c:pt idx="30">
                  <c:v>0.99205605247825979</c:v>
                </c:pt>
                <c:pt idx="31">
                  <c:v>0.14530154378571325</c:v>
                </c:pt>
                <c:pt idx="32">
                  <c:v>0.81602007421679967</c:v>
                </c:pt>
                <c:pt idx="33">
                  <c:v>0.78459906651394551</c:v>
                </c:pt>
                <c:pt idx="34">
                  <c:v>0.13265701351618375</c:v>
                </c:pt>
                <c:pt idx="35">
                  <c:v>0.82931011112074027</c:v>
                </c:pt>
              </c:numCache>
            </c:numRef>
          </c:val>
          <c:extLst>
            <c:ext xmlns:c16="http://schemas.microsoft.com/office/drawing/2014/chart" uri="{C3380CC4-5D6E-409C-BE32-E72D297353CC}">
              <c16:uniqueId val="{00000004-C559-457C-A73F-719B67829B5B}"/>
            </c:ext>
          </c:extLst>
        </c:ser>
        <c:ser>
          <c:idx val="6"/>
          <c:order val="6"/>
          <c:tx>
            <c:strRef>
              <c:f>'Služby-příspěvkyk růstu-4'!$I$33</c:f>
              <c:strCache>
                <c:ptCount val="1"/>
                <c:pt idx="0">
                  <c:v>Admin., support service act.(contribution in p.p.)</c:v>
                </c:pt>
              </c:strCache>
            </c:strRef>
          </c:tx>
          <c:spPr>
            <a:solidFill>
              <a:schemeClr val="accent1">
                <a:lumMod val="20000"/>
                <a:lumOff val="8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růstu-4'!$I$46:$I$82</c:f>
              <c:numCache>
                <c:formatCode>0.0</c:formatCode>
                <c:ptCount val="37"/>
                <c:pt idx="0">
                  <c:v>0.43712925900860061</c:v>
                </c:pt>
                <c:pt idx="1">
                  <c:v>0.52715289377499985</c:v>
                </c:pt>
                <c:pt idx="2">
                  <c:v>0.30410241097500013</c:v>
                </c:pt>
                <c:pt idx="3">
                  <c:v>0.36652377459450047</c:v>
                </c:pt>
                <c:pt idx="4">
                  <c:v>0.38200556495039989</c:v>
                </c:pt>
                <c:pt idx="5">
                  <c:v>5.5683904032899467E-2</c:v>
                </c:pt>
                <c:pt idx="6">
                  <c:v>0.25322776738810082</c:v>
                </c:pt>
                <c:pt idx="7">
                  <c:v>0.50752865690419957</c:v>
                </c:pt>
                <c:pt idx="8">
                  <c:v>1.2867283782210006</c:v>
                </c:pt>
                <c:pt idx="9">
                  <c:v>1.1106873038032994</c:v>
                </c:pt>
                <c:pt idx="10">
                  <c:v>0.67802933227800077</c:v>
                </c:pt>
                <c:pt idx="11">
                  <c:v>0.27967830350980011</c:v>
                </c:pt>
                <c:pt idx="12">
                  <c:v>0.54732406709499937</c:v>
                </c:pt>
                <c:pt idx="13">
                  <c:v>0.38206091352559962</c:v>
                </c:pt>
                <c:pt idx="14">
                  <c:v>0.39483194314119968</c:v>
                </c:pt>
                <c:pt idx="15">
                  <c:v>-3.3562302980400686E-2</c:v>
                </c:pt>
                <c:pt idx="16">
                  <c:v>-1.2004885543983994</c:v>
                </c:pt>
                <c:pt idx="17">
                  <c:v>0.45312965092039981</c:v>
                </c:pt>
                <c:pt idx="18">
                  <c:v>-0.39654158277710005</c:v>
                </c:pt>
                <c:pt idx="19">
                  <c:v>1.3094816479706997</c:v>
                </c:pt>
                <c:pt idx="20">
                  <c:v>-1.1435941660679998</c:v>
                </c:pt>
                <c:pt idx="21">
                  <c:v>-5.2829127749359994</c:v>
                </c:pt>
                <c:pt idx="22">
                  <c:v>-4.9399258629473684</c:v>
                </c:pt>
                <c:pt idx="23">
                  <c:v>-2.9775292557339998</c:v>
                </c:pt>
                <c:pt idx="24">
                  <c:v>-1.3803871191254993</c:v>
                </c:pt>
                <c:pt idx="25">
                  <c:v>2.251687473777273</c:v>
                </c:pt>
                <c:pt idx="26">
                  <c:v>2.1163559463200001</c:v>
                </c:pt>
                <c:pt idx="27">
                  <c:v>1.4329116973832057</c:v>
                </c:pt>
                <c:pt idx="28">
                  <c:v>1.7129852472567739</c:v>
                </c:pt>
                <c:pt idx="29">
                  <c:v>3.1129785365130851</c:v>
                </c:pt>
                <c:pt idx="30">
                  <c:v>2.2148572488354494</c:v>
                </c:pt>
                <c:pt idx="31">
                  <c:v>0.75746546197560027</c:v>
                </c:pt>
                <c:pt idx="32">
                  <c:v>0.4450247864243998</c:v>
                </c:pt>
                <c:pt idx="33">
                  <c:v>0.170529957678209</c:v>
                </c:pt>
                <c:pt idx="34">
                  <c:v>-0.14267488053800539</c:v>
                </c:pt>
                <c:pt idx="35">
                  <c:v>-4.4558662537113318E-2</c:v>
                </c:pt>
              </c:numCache>
            </c:numRef>
          </c:val>
          <c:extLst>
            <c:ext xmlns:c16="http://schemas.microsoft.com/office/drawing/2014/chart" uri="{C3380CC4-5D6E-409C-BE32-E72D297353CC}">
              <c16:uniqueId val="{00000005-C559-457C-A73F-719B67829B5B}"/>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 (y-o-y in %)</c:v>
                </c:pt>
              </c:strCache>
            </c:strRef>
          </c:tx>
          <c:spPr>
            <a:ln>
              <a:noFill/>
            </a:ln>
          </c:spPr>
          <c:marker>
            <c:symbol val="dot"/>
            <c:size val="7"/>
            <c:spPr>
              <a:solidFill>
                <a:schemeClr val="tx1">
                  <a:lumMod val="95000"/>
                  <a:lumOff val="5000"/>
                </a:schemeClr>
              </a:solidFill>
              <a:ln>
                <a:no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růstu-4'!$C$46:$C$82</c:f>
              <c:numCache>
                <c:formatCode>0.0</c:formatCode>
                <c:ptCount val="37"/>
                <c:pt idx="0">
                  <c:v>3.4824690008999966</c:v>
                </c:pt>
                <c:pt idx="1">
                  <c:v>2.7934385740000067</c:v>
                </c:pt>
                <c:pt idx="2">
                  <c:v>3.3397363911000042</c:v>
                </c:pt>
                <c:pt idx="3">
                  <c:v>2.4240605071999966</c:v>
                </c:pt>
                <c:pt idx="4">
                  <c:v>1.3060861837000033</c:v>
                </c:pt>
                <c:pt idx="5">
                  <c:v>-1.1913006246000037</c:v>
                </c:pt>
                <c:pt idx="6">
                  <c:v>1.5541405019999956</c:v>
                </c:pt>
                <c:pt idx="7">
                  <c:v>1.2878413721000044</c:v>
                </c:pt>
                <c:pt idx="8">
                  <c:v>5.6991785797000034</c:v>
                </c:pt>
                <c:pt idx="9">
                  <c:v>5.5722364333000058</c:v>
                </c:pt>
                <c:pt idx="10">
                  <c:v>3.3112064832999977</c:v>
                </c:pt>
                <c:pt idx="11">
                  <c:v>2.4385054390999983</c:v>
                </c:pt>
                <c:pt idx="12">
                  <c:v>4.8776432854999996</c:v>
                </c:pt>
                <c:pt idx="13">
                  <c:v>3.1428894752999952</c:v>
                </c:pt>
                <c:pt idx="14">
                  <c:v>3.5062767616000059</c:v>
                </c:pt>
                <c:pt idx="15">
                  <c:v>0.9447540274999966</c:v>
                </c:pt>
                <c:pt idx="16">
                  <c:v>-2.0638978244000015</c:v>
                </c:pt>
                <c:pt idx="17">
                  <c:v>2.0119271263999963</c:v>
                </c:pt>
                <c:pt idx="18">
                  <c:v>0.46201626920000649</c:v>
                </c:pt>
                <c:pt idx="19">
                  <c:v>3.6792793010999958</c:v>
                </c:pt>
                <c:pt idx="20">
                  <c:v>-3.7161332750000042</c:v>
                </c:pt>
                <c:pt idx="21">
                  <c:v>-20.482789201800003</c:v>
                </c:pt>
                <c:pt idx="22">
                  <c:v>-13.818107271499997</c:v>
                </c:pt>
                <c:pt idx="23">
                  <c:v>-12.693117899800001</c:v>
                </c:pt>
                <c:pt idx="24">
                  <c:v>-6.3646362811000046</c:v>
                </c:pt>
                <c:pt idx="25">
                  <c:v>14.470981226999996</c:v>
                </c:pt>
                <c:pt idx="26">
                  <c:v>9.8386905822000017</c:v>
                </c:pt>
                <c:pt idx="27">
                  <c:v>12.462541081799998</c:v>
                </c:pt>
                <c:pt idx="28">
                  <c:v>13.600090225800002</c:v>
                </c:pt>
                <c:pt idx="29">
                  <c:v>12.5749843607</c:v>
                </c:pt>
                <c:pt idx="30">
                  <c:v>6.8786234319999977</c:v>
                </c:pt>
                <c:pt idx="31">
                  <c:v>3.1497656532000065</c:v>
                </c:pt>
                <c:pt idx="32">
                  <c:v>1.5892440251000011</c:v>
                </c:pt>
                <c:pt idx="33">
                  <c:v>-1.6569565763000043</c:v>
                </c:pt>
                <c:pt idx="34">
                  <c:v>-3.8373140064000069</c:v>
                </c:pt>
                <c:pt idx="35">
                  <c:v>-2.1957594593999943</c:v>
                </c:pt>
              </c:numCache>
            </c:numRef>
          </c:val>
          <c:smooth val="0"/>
          <c:extLst>
            <c:ext xmlns:c16="http://schemas.microsoft.com/office/drawing/2014/chart" uri="{C3380CC4-5D6E-409C-BE32-E72D297353CC}">
              <c16:uniqueId val="{00000006-C559-457C-A73F-719B67829B5B}"/>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růstu-4'!$J$46:$J$82</c:f>
              <c:numCache>
                <c:formatCode>#\ ##0.0</c:formatCode>
                <c:ptCount val="3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pt idx="36" formatCode="0.0">
                  <c:v>21.3</c:v>
                </c:pt>
              </c:numCache>
            </c:numRef>
          </c:val>
          <c:smooth val="0"/>
          <c:extLst>
            <c:ext xmlns:c16="http://schemas.microsoft.com/office/drawing/2014/chart" uri="{C3380CC4-5D6E-409C-BE32-E72D297353CC}">
              <c16:uniqueId val="{00000007-C559-457C-A73F-719B67829B5B}"/>
            </c:ext>
          </c:extLst>
        </c:ser>
        <c:ser>
          <c:idx val="8"/>
          <c:order val="8"/>
          <c:tx>
            <c:strRef>
              <c:f>'Služby-příspěvkyk růstu-4'!$K$33</c:f>
              <c:strCache>
                <c:ptCount val="1"/>
                <c:pt idx="0">
                  <c:v>Growth barrier: inadequate demand</c:v>
                </c:pt>
              </c:strCache>
            </c:strRef>
          </c:tx>
          <c:spPr>
            <a:ln w="15875">
              <a:solidFill>
                <a:srgbClr val="CA945E"/>
              </a:solidFill>
              <a:prstDash val="solid"/>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růstu-4'!$K$46:$K$82</c:f>
              <c:numCache>
                <c:formatCode>#\ ##0.0</c:formatCode>
                <c:ptCount val="37"/>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pt idx="35">
                  <c:v>23</c:v>
                </c:pt>
                <c:pt idx="36">
                  <c:v>18.5</c:v>
                </c:pt>
              </c:numCache>
            </c:numRef>
          </c:val>
          <c:smooth val="0"/>
          <c:extLst>
            <c:ext xmlns:c16="http://schemas.microsoft.com/office/drawing/2014/chart" uri="{C3380CC4-5D6E-409C-BE32-E72D297353CC}">
              <c16:uniqueId val="{00000008-C559-457C-A73F-719B67829B5B}"/>
            </c:ext>
          </c:extLst>
        </c:ser>
        <c:ser>
          <c:idx val="9"/>
          <c:order val="9"/>
          <c:tx>
            <c:strRef>
              <c:f>'Služby-příspěvkyk růstu-4'!$L$33</c:f>
              <c:strCache>
                <c:ptCount val="1"/>
                <c:pt idx="0">
                  <c:v>Growth barrier: lack of workers</c:v>
                </c:pt>
              </c:strCache>
            </c:strRef>
          </c:tx>
          <c:spPr>
            <a:ln w="15875">
              <a:solidFill>
                <a:srgbClr val="CA945E"/>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růstu-4'!$L$46:$L$82</c:f>
              <c:numCache>
                <c:formatCode>#\ ##0.0</c:formatCode>
                <c:ptCount val="37"/>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pt idx="35">
                  <c:v>12.3</c:v>
                </c:pt>
                <c:pt idx="36">
                  <c:v>8.3000000000000007</c:v>
                </c:pt>
              </c:numCache>
            </c:numRef>
          </c:val>
          <c:smooth val="0"/>
          <c:extLst>
            <c:ext xmlns:c16="http://schemas.microsoft.com/office/drawing/2014/chart" uri="{C3380CC4-5D6E-409C-BE32-E72D297353CC}">
              <c16:uniqueId val="{00000009-C559-457C-A73F-719B67829B5B}"/>
            </c:ext>
          </c:extLst>
        </c:ser>
        <c:ser>
          <c:idx val="10"/>
          <c:order val="10"/>
          <c:tx>
            <c:strRef>
              <c:f>'Služby-příspěvkyk růstu-4'!$M$33</c:f>
              <c:strCache>
                <c:ptCount val="1"/>
                <c:pt idx="0">
                  <c:v>Total sales (basis 2021 = 100), constant prices)</c:v>
                </c:pt>
              </c:strCache>
            </c:strRef>
          </c:tx>
          <c:spPr>
            <a:ln w="15875">
              <a:solidFill>
                <a:schemeClr val="tx1"/>
              </a:solidFill>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růstu-4'!$M$46:$M$82</c:f>
              <c:numCache>
                <c:formatCode>0.0</c:formatCode>
                <c:ptCount val="37"/>
                <c:pt idx="0">
                  <c:v>96.573148776699995</c:v>
                </c:pt>
                <c:pt idx="1">
                  <c:v>97.567742240000001</c:v>
                </c:pt>
                <c:pt idx="2">
                  <c:v>97.872994153299999</c:v>
                </c:pt>
                <c:pt idx="3">
                  <c:v>98.145121336700001</c:v>
                </c:pt>
                <c:pt idx="4">
                  <c:v>97.141074036700005</c:v>
                </c:pt>
                <c:pt idx="5">
                  <c:v>97.220842383299996</c:v>
                </c:pt>
                <c:pt idx="6">
                  <c:v>99.043083436700002</c:v>
                </c:pt>
                <c:pt idx="7">
                  <c:v>100.26520352</c:v>
                </c:pt>
                <c:pt idx="8">
                  <c:v>101.4620500267</c:v>
                </c:pt>
                <c:pt idx="9">
                  <c:v>102.45930216329999</c:v>
                </c:pt>
                <c:pt idx="10">
                  <c:v>102.1784036567</c:v>
                </c:pt>
                <c:pt idx="11">
                  <c:v>103.2635152233</c:v>
                </c:pt>
                <c:pt idx="12">
                  <c:v>106.70430386</c:v>
                </c:pt>
                <c:pt idx="13">
                  <c:v>105.25291280330001</c:v>
                </c:pt>
                <c:pt idx="14">
                  <c:v>105.36498890670001</c:v>
                </c:pt>
                <c:pt idx="15">
                  <c:v>103.79346463</c:v>
                </c:pt>
                <c:pt idx="16">
                  <c:v>104.82319352330001</c:v>
                </c:pt>
                <c:pt idx="17">
                  <c:v>107.08876361</c:v>
                </c:pt>
                <c:pt idx="18">
                  <c:v>106.1526654733</c:v>
                </c:pt>
                <c:pt idx="19">
                  <c:v>106.10865794670001</c:v>
                </c:pt>
                <c:pt idx="20">
                  <c:v>100.92295789329999</c:v>
                </c:pt>
                <c:pt idx="21">
                  <c:v>86.568180609999999</c:v>
                </c:pt>
                <c:pt idx="22">
                  <c:v>93.956559496699995</c:v>
                </c:pt>
                <c:pt idx="23">
                  <c:v>92.2317662767</c:v>
                </c:pt>
                <c:pt idx="24">
                  <c:v>93.022755186699996</c:v>
                </c:pt>
                <c:pt idx="25">
                  <c:v>97.951322020000006</c:v>
                </c:pt>
                <c:pt idx="26">
                  <c:v>102.3309606</c:v>
                </c:pt>
                <c:pt idx="27">
                  <c:v>104.3769040033</c:v>
                </c:pt>
                <c:pt idx="28">
                  <c:v>106.5382294633</c:v>
                </c:pt>
                <c:pt idx="29">
                  <c:v>108.99648315669999</c:v>
                </c:pt>
                <c:pt idx="30">
                  <c:v>109.3950518267</c:v>
                </c:pt>
                <c:pt idx="31">
                  <c:v>108.6642720767</c:v>
                </c:pt>
                <c:pt idx="32">
                  <c:v>108.3580972467</c:v>
                </c:pt>
                <c:pt idx="33">
                  <c:v>106.7674619233</c:v>
                </c:pt>
                <c:pt idx="34">
                  <c:v>105.64376545</c:v>
                </c:pt>
                <c:pt idx="35" formatCode="General">
                  <c:v>106.0791962</c:v>
                </c:pt>
              </c:numCache>
            </c:numRef>
          </c:val>
          <c:smooth val="0"/>
          <c:extLst>
            <c:ext xmlns:c16="http://schemas.microsoft.com/office/drawing/2014/chart" uri="{C3380CC4-5D6E-409C-BE32-E72D297353CC}">
              <c16:uniqueId val="{0000000A-C559-457C-A73F-719B67829B5B}"/>
            </c:ext>
          </c:extLst>
        </c:ser>
        <c:ser>
          <c:idx val="11"/>
          <c:order val="11"/>
          <c:tx>
            <c:strRef>
              <c:f>'Služby-příspěvkyk růstu-4'!$N$33</c:f>
              <c:strCache>
                <c:ptCount val="1"/>
                <c:pt idx="0">
                  <c:v>Total sales (basis 2021 = 100, current prices)</c:v>
                </c:pt>
              </c:strCache>
            </c:strRef>
          </c:tx>
          <c:spPr>
            <a:ln w="15875">
              <a:solidFill>
                <a:schemeClr val="bg2">
                  <a:lumMod val="25000"/>
                </a:schemeClr>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růstu-4'!$N$46:$N$82</c:f>
              <c:numCache>
                <c:formatCode>0.0</c:formatCode>
                <c:ptCount val="37"/>
                <c:pt idx="0">
                  <c:v>87.052195600000005</c:v>
                </c:pt>
                <c:pt idx="1">
                  <c:v>87.976303153299995</c:v>
                </c:pt>
                <c:pt idx="2">
                  <c:v>88.373010003299996</c:v>
                </c:pt>
                <c:pt idx="3">
                  <c:v>88.620892873299994</c:v>
                </c:pt>
                <c:pt idx="4">
                  <c:v>87.738386106700005</c:v>
                </c:pt>
                <c:pt idx="5">
                  <c:v>88.030049489999996</c:v>
                </c:pt>
                <c:pt idx="6">
                  <c:v>89.823697393299994</c:v>
                </c:pt>
                <c:pt idx="7">
                  <c:v>91.207866260000003</c:v>
                </c:pt>
                <c:pt idx="8">
                  <c:v>92.834550640000003</c:v>
                </c:pt>
                <c:pt idx="9">
                  <c:v>94.103815076700002</c:v>
                </c:pt>
                <c:pt idx="10">
                  <c:v>94.369418403300003</c:v>
                </c:pt>
                <c:pt idx="11">
                  <c:v>95.836186386700007</c:v>
                </c:pt>
                <c:pt idx="12">
                  <c:v>99.311500843299996</c:v>
                </c:pt>
                <c:pt idx="13">
                  <c:v>98.708597956700004</c:v>
                </c:pt>
                <c:pt idx="14">
                  <c:v>99.642436860000004</c:v>
                </c:pt>
                <c:pt idx="15">
                  <c:v>98.769212440000004</c:v>
                </c:pt>
                <c:pt idx="16">
                  <c:v>99.79161551</c:v>
                </c:pt>
                <c:pt idx="17">
                  <c:v>103.22613569329999</c:v>
                </c:pt>
                <c:pt idx="18">
                  <c:v>102.99220393</c:v>
                </c:pt>
                <c:pt idx="19">
                  <c:v>103.49625471</c:v>
                </c:pt>
                <c:pt idx="20">
                  <c:v>98.534612966699996</c:v>
                </c:pt>
                <c:pt idx="21">
                  <c:v>84.950969126700002</c:v>
                </c:pt>
                <c:pt idx="22">
                  <c:v>92.709010469999996</c:v>
                </c:pt>
                <c:pt idx="23">
                  <c:v>91.428986266699994</c:v>
                </c:pt>
                <c:pt idx="24">
                  <c:v>92.2143263233</c:v>
                </c:pt>
                <c:pt idx="25">
                  <c:v>97.246572043300006</c:v>
                </c:pt>
                <c:pt idx="26">
                  <c:v>102.39087888669999</c:v>
                </c:pt>
                <c:pt idx="27">
                  <c:v>105.9113077367</c:v>
                </c:pt>
                <c:pt idx="28">
                  <c:v>110.0352873433</c:v>
                </c:pt>
                <c:pt idx="29">
                  <c:v>115.0977962467</c:v>
                </c:pt>
                <c:pt idx="30">
                  <c:v>118.00030553329999</c:v>
                </c:pt>
                <c:pt idx="31">
                  <c:v>119.25167525000001</c:v>
                </c:pt>
                <c:pt idx="32">
                  <c:v>121.13230271330001</c:v>
                </c:pt>
                <c:pt idx="33">
                  <c:v>121.2918866533</c:v>
                </c:pt>
                <c:pt idx="34">
                  <c:v>121.4791639</c:v>
                </c:pt>
                <c:pt idx="35" formatCode="General">
                  <c:v>123.4654708467</c:v>
                </c:pt>
              </c:numCache>
            </c:numRef>
          </c:val>
          <c:smooth val="0"/>
          <c:extLst>
            <c:ext xmlns:c16="http://schemas.microsoft.com/office/drawing/2014/chart" uri="{C3380CC4-5D6E-409C-BE32-E72D297353CC}">
              <c16:uniqueId val="{0000000B-C559-457C-A73F-719B67829B5B}"/>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layout>
            <c:manualLayout>
              <c:xMode val="edge"/>
              <c:yMode val="edge"/>
              <c:x val="0"/>
              <c:y val="7.7693041129346135E-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a:t>Sales (2021=100), confidence indicator, growth barriers</a:t>
                </a:r>
              </a:p>
            </c:rich>
          </c:tx>
          <c:layout>
            <c:manualLayout>
              <c:xMode val="edge"/>
              <c:yMode val="edge"/>
              <c:x val="0.97059962632503372"/>
              <c:y val="4.3568719878581109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2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lumMod val="75000"/>
              <a:lumOff val="25000"/>
            </a:schemeClr>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732E-2"/>
          <c:y val="1.5803328678987455E-2"/>
          <c:w val="0.85082109029523101"/>
          <c:h val="0.73450542783153383"/>
        </c:manualLayout>
      </c:layout>
      <c:barChart>
        <c:barDir val="col"/>
        <c:grouping val="stacked"/>
        <c:varyColors val="0"/>
        <c:ser>
          <c:idx val="0"/>
          <c:order val="1"/>
          <c:tx>
            <c:strRef>
              <c:f>'výkonnost odvětví 5a'!$E$66</c:f>
              <c:strCache>
                <c:ptCount val="1"/>
                <c:pt idx="0">
                  <c:v>Retail with food (contribution in p.p.)</c:v>
                </c:pt>
              </c:strCache>
            </c:strRef>
          </c:tx>
          <c:spPr>
            <a:solidFill>
              <a:srgbClr val="92D050"/>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5a'!$E$67:$E$103</c:f>
              <c:numCache>
                <c:formatCode>#\ ##0.0</c:formatCode>
                <c:ptCount val="37"/>
                <c:pt idx="0">
                  <c:v>1.7523817972228575</c:v>
                </c:pt>
                <c:pt idx="1">
                  <c:v>1.1495538604575486</c:v>
                </c:pt>
                <c:pt idx="2">
                  <c:v>1.851654245012579</c:v>
                </c:pt>
                <c:pt idx="3">
                  <c:v>1.4230053336458297</c:v>
                </c:pt>
                <c:pt idx="4">
                  <c:v>1.7335386338403211</c:v>
                </c:pt>
                <c:pt idx="5">
                  <c:v>1.4057978539692639</c:v>
                </c:pt>
                <c:pt idx="6">
                  <c:v>1.0226992305466713</c:v>
                </c:pt>
                <c:pt idx="7">
                  <c:v>-4.5727948098357493E-2</c:v>
                </c:pt>
                <c:pt idx="8">
                  <c:v>0.76530947894932633</c:v>
                </c:pt>
                <c:pt idx="9">
                  <c:v>1.3628557482991555</c:v>
                </c:pt>
                <c:pt idx="10">
                  <c:v>1.1031113273196382</c:v>
                </c:pt>
                <c:pt idx="11">
                  <c:v>0.92620191285996878</c:v>
                </c:pt>
                <c:pt idx="12">
                  <c:v>1.4716867951941146</c:v>
                </c:pt>
                <c:pt idx="13">
                  <c:v>0.53065594307662001</c:v>
                </c:pt>
                <c:pt idx="14">
                  <c:v>0.93178458575098189</c:v>
                </c:pt>
                <c:pt idx="15">
                  <c:v>0.38805043936963324</c:v>
                </c:pt>
                <c:pt idx="16">
                  <c:v>-0.29388750825225862</c:v>
                </c:pt>
                <c:pt idx="17">
                  <c:v>1.4252855332899248</c:v>
                </c:pt>
                <c:pt idx="18">
                  <c:v>0.13007735319413302</c:v>
                </c:pt>
                <c:pt idx="19">
                  <c:v>1.4154025710079869</c:v>
                </c:pt>
                <c:pt idx="20">
                  <c:v>0.68707923703683382</c:v>
                </c:pt>
                <c:pt idx="21">
                  <c:v>-1.8614966729136802</c:v>
                </c:pt>
                <c:pt idx="22">
                  <c:v>-0.64766112448952962</c:v>
                </c:pt>
                <c:pt idx="23">
                  <c:v>-0.28286695735560252</c:v>
                </c:pt>
                <c:pt idx="24">
                  <c:v>-0.60916134074836392</c:v>
                </c:pt>
                <c:pt idx="25">
                  <c:v>0.50128382451928355</c:v>
                </c:pt>
                <c:pt idx="26">
                  <c:v>-0.28821299682807039</c:v>
                </c:pt>
                <c:pt idx="27">
                  <c:v>1.7697621877811544E-3</c:v>
                </c:pt>
                <c:pt idx="28">
                  <c:v>-5.4187158541836714E-2</c:v>
                </c:pt>
                <c:pt idx="29">
                  <c:v>-1.1158473337373773</c:v>
                </c:pt>
                <c:pt idx="30">
                  <c:v>-2.2854641976144956</c:v>
                </c:pt>
                <c:pt idx="31">
                  <c:v>-3.2475751746395907</c:v>
                </c:pt>
                <c:pt idx="32">
                  <c:v>-3.1063169253902356</c:v>
                </c:pt>
                <c:pt idx="33">
                  <c:v>-2.8514177710009005</c:v>
                </c:pt>
                <c:pt idx="34">
                  <c:v>-1.6966817042429552</c:v>
                </c:pt>
                <c:pt idx="35">
                  <c:v>-0.73112177657293909</c:v>
                </c:pt>
              </c:numCache>
            </c:numRef>
          </c:val>
          <c:extLst>
            <c:ext xmlns:c16="http://schemas.microsoft.com/office/drawing/2014/chart" uri="{C3380CC4-5D6E-409C-BE32-E72D297353CC}">
              <c16:uniqueId val="{00000000-8B7F-4745-8030-E01DA2164875}"/>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5a'!$F$67:$F$103</c:f>
              <c:numCache>
                <c:formatCode>#\ ##0.0</c:formatCode>
                <c:ptCount val="37"/>
                <c:pt idx="0">
                  <c:v>3.196375922725744</c:v>
                </c:pt>
                <c:pt idx="1">
                  <c:v>3.8741896087490026</c:v>
                </c:pt>
                <c:pt idx="2">
                  <c:v>2.6728850705219784</c:v>
                </c:pt>
                <c:pt idx="3">
                  <c:v>3.6626826182851304</c:v>
                </c:pt>
                <c:pt idx="4">
                  <c:v>2.7862532923580798</c:v>
                </c:pt>
                <c:pt idx="5">
                  <c:v>2.5540667218407971</c:v>
                </c:pt>
                <c:pt idx="6">
                  <c:v>3.2508787600372759</c:v>
                </c:pt>
                <c:pt idx="7">
                  <c:v>3.4435667776451586</c:v>
                </c:pt>
                <c:pt idx="8">
                  <c:v>4.1783561564843161</c:v>
                </c:pt>
                <c:pt idx="9">
                  <c:v>4.4153226755500015</c:v>
                </c:pt>
                <c:pt idx="10">
                  <c:v>4.0607561596078439</c:v>
                </c:pt>
                <c:pt idx="11">
                  <c:v>4.5695527698288956</c:v>
                </c:pt>
                <c:pt idx="12">
                  <c:v>3.963036260303999</c:v>
                </c:pt>
                <c:pt idx="13">
                  <c:v>3.3542121185564358</c:v>
                </c:pt>
                <c:pt idx="14">
                  <c:v>2.577047135089233</c:v>
                </c:pt>
                <c:pt idx="15">
                  <c:v>3.7162196737466258</c:v>
                </c:pt>
                <c:pt idx="16">
                  <c:v>1.303288764236783</c:v>
                </c:pt>
                <c:pt idx="17">
                  <c:v>2.4531469805048736</c:v>
                </c:pt>
                <c:pt idx="18">
                  <c:v>4.2934983663490245</c:v>
                </c:pt>
                <c:pt idx="19">
                  <c:v>5.6709230985066315</c:v>
                </c:pt>
                <c:pt idx="20">
                  <c:v>-5.7511622856734265E-2</c:v>
                </c:pt>
                <c:pt idx="21">
                  <c:v>-0.33300612932107432</c:v>
                </c:pt>
                <c:pt idx="22">
                  <c:v>1.4198268570219985</c:v>
                </c:pt>
                <c:pt idx="23">
                  <c:v>-1.8469460892868841</c:v>
                </c:pt>
                <c:pt idx="24">
                  <c:v>0.21069868606508507</c:v>
                </c:pt>
                <c:pt idx="25">
                  <c:v>5.5818689703959059</c:v>
                </c:pt>
                <c:pt idx="26">
                  <c:v>3.6253978606922885</c:v>
                </c:pt>
                <c:pt idx="27">
                  <c:v>5.6718200386565263</c:v>
                </c:pt>
                <c:pt idx="28">
                  <c:v>5.9939161764103117</c:v>
                </c:pt>
                <c:pt idx="29">
                  <c:v>-0.95141051379742669</c:v>
                </c:pt>
                <c:pt idx="30">
                  <c:v>-3.941314921560565</c:v>
                </c:pt>
                <c:pt idx="31">
                  <c:v>-5.6408124918498608</c:v>
                </c:pt>
                <c:pt idx="32">
                  <c:v>-4.7801710791363758</c:v>
                </c:pt>
                <c:pt idx="33">
                  <c:v>-4.4944647990436248</c:v>
                </c:pt>
                <c:pt idx="34">
                  <c:v>-2.459911947479327</c:v>
                </c:pt>
                <c:pt idx="35">
                  <c:v>0.45367107877130941</c:v>
                </c:pt>
              </c:numCache>
            </c:numRef>
          </c:val>
          <c:extLst>
            <c:ext xmlns:c16="http://schemas.microsoft.com/office/drawing/2014/chart" uri="{C3380CC4-5D6E-409C-BE32-E72D297353CC}">
              <c16:uniqueId val="{00000001-8B7F-4745-8030-E01DA2164875}"/>
            </c:ext>
          </c:extLst>
        </c:ser>
        <c:ser>
          <c:idx val="4"/>
          <c:order val="3"/>
          <c:tx>
            <c:strRef>
              <c:f>'výkonnost odvětví 5a'!$G$66</c:f>
              <c:strCache>
                <c:ptCount val="1"/>
                <c:pt idx="0">
                  <c:v>Retail sale of fuels (contribution in p.p.)</c:v>
                </c:pt>
              </c:strCache>
            </c:strRef>
          </c:tx>
          <c:spPr>
            <a:solidFill>
              <a:schemeClr val="accent6">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5a'!$G$67:$G$103</c:f>
              <c:numCache>
                <c:formatCode>#\ ##0.0</c:formatCode>
                <c:ptCount val="37"/>
                <c:pt idx="0">
                  <c:v>0.75440023430656378</c:v>
                </c:pt>
                <c:pt idx="1">
                  <c:v>0.588112843666875</c:v>
                </c:pt>
                <c:pt idx="2">
                  <c:v>0.78402402568450724</c:v>
                </c:pt>
                <c:pt idx="3">
                  <c:v>0.94331728244946667</c:v>
                </c:pt>
                <c:pt idx="4">
                  <c:v>0.6744248436917698</c:v>
                </c:pt>
                <c:pt idx="5">
                  <c:v>0.72348584188138532</c:v>
                </c:pt>
                <c:pt idx="6">
                  <c:v>0.62302098548854723</c:v>
                </c:pt>
                <c:pt idx="7">
                  <c:v>0.62533415443375595</c:v>
                </c:pt>
                <c:pt idx="8">
                  <c:v>0.54805568528260806</c:v>
                </c:pt>
                <c:pt idx="9">
                  <c:v>0.75356148860252614</c:v>
                </c:pt>
                <c:pt idx="10">
                  <c:v>0.84316485479481218</c:v>
                </c:pt>
                <c:pt idx="11">
                  <c:v>0.68534345825768528</c:v>
                </c:pt>
                <c:pt idx="12">
                  <c:v>0.66536323714663226</c:v>
                </c:pt>
                <c:pt idx="13">
                  <c:v>0.59516252422904425</c:v>
                </c:pt>
                <c:pt idx="14">
                  <c:v>0.3739332000264744</c:v>
                </c:pt>
                <c:pt idx="15">
                  <c:v>0.43257407692417521</c:v>
                </c:pt>
                <c:pt idx="16">
                  <c:v>0.17809135629917194</c:v>
                </c:pt>
                <c:pt idx="17">
                  <c:v>0.36908315571938399</c:v>
                </c:pt>
                <c:pt idx="18">
                  <c:v>0.27107333589466731</c:v>
                </c:pt>
                <c:pt idx="19">
                  <c:v>0.19660561540526125</c:v>
                </c:pt>
                <c:pt idx="20">
                  <c:v>-0.75718611502805722</c:v>
                </c:pt>
                <c:pt idx="21">
                  <c:v>-1.9736345702533769</c:v>
                </c:pt>
                <c:pt idx="22">
                  <c:v>8.4968496843834063E-2</c:v>
                </c:pt>
                <c:pt idx="23">
                  <c:v>-1.074545645994486</c:v>
                </c:pt>
                <c:pt idx="24">
                  <c:v>-0.67301218948182628</c:v>
                </c:pt>
                <c:pt idx="25">
                  <c:v>1.0669589571071818</c:v>
                </c:pt>
                <c:pt idx="26">
                  <c:v>0.3703216291833335</c:v>
                </c:pt>
                <c:pt idx="27">
                  <c:v>0.92324400000698958</c:v>
                </c:pt>
                <c:pt idx="28">
                  <c:v>1.2433005946850226</c:v>
                </c:pt>
                <c:pt idx="29">
                  <c:v>-0.71068023392919111</c:v>
                </c:pt>
                <c:pt idx="30">
                  <c:v>-1.4491015165369834</c:v>
                </c:pt>
                <c:pt idx="31">
                  <c:v>-0.43033854530280263</c:v>
                </c:pt>
                <c:pt idx="32">
                  <c:v>9.4230238000043806E-2</c:v>
                </c:pt>
                <c:pt idx="33">
                  <c:v>1.0480329296267459</c:v>
                </c:pt>
                <c:pt idx="34">
                  <c:v>1.0256337590180515</c:v>
                </c:pt>
                <c:pt idx="35">
                  <c:v>0.21060542780679914</c:v>
                </c:pt>
              </c:numCache>
            </c:numRef>
          </c:val>
          <c:extLst>
            <c:ext xmlns:c16="http://schemas.microsoft.com/office/drawing/2014/chart" uri="{C3380CC4-5D6E-409C-BE32-E72D297353CC}">
              <c16:uniqueId val="{00000002-8B7F-4745-8030-E01DA2164875}"/>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change)</c:v>
                </c:pt>
              </c:strCache>
            </c:strRef>
          </c:tx>
          <c:spPr>
            <a:ln>
              <a:noFill/>
            </a:ln>
          </c:spPr>
          <c:marker>
            <c:symbol val="dash"/>
            <c:size val="7"/>
            <c:spPr>
              <a:solidFill>
                <a:schemeClr val="tx1">
                  <a:lumMod val="85000"/>
                  <a:lumOff val="15000"/>
                </a:schemeClr>
              </a:solidFill>
              <a:ln w="6350">
                <a:no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5a'!$D$67:$D$103</c:f>
              <c:numCache>
                <c:formatCode>#\ ##0.0</c:formatCode>
                <c:ptCount val="37"/>
                <c:pt idx="0">
                  <c:v>5.5650157121000063</c:v>
                </c:pt>
                <c:pt idx="1">
                  <c:v>5.3140316102000043</c:v>
                </c:pt>
                <c:pt idx="2">
                  <c:v>5.261668949500006</c:v>
                </c:pt>
                <c:pt idx="3">
                  <c:v>5.8260167462999988</c:v>
                </c:pt>
                <c:pt idx="4">
                  <c:v>5.1163484119999936</c:v>
                </c:pt>
                <c:pt idx="5">
                  <c:v>4.584747701699996</c:v>
                </c:pt>
                <c:pt idx="6">
                  <c:v>4.6478731618999944</c:v>
                </c:pt>
                <c:pt idx="7">
                  <c:v>3.5966109598000031</c:v>
                </c:pt>
                <c:pt idx="8">
                  <c:v>5.068305469799995</c:v>
                </c:pt>
                <c:pt idx="9">
                  <c:v>6.2034114922000043</c:v>
                </c:pt>
                <c:pt idx="10">
                  <c:v>5.6856724027999945</c:v>
                </c:pt>
                <c:pt idx="11">
                  <c:v>5.8244576314999961</c:v>
                </c:pt>
                <c:pt idx="12">
                  <c:v>5.9658330699000004</c:v>
                </c:pt>
                <c:pt idx="13">
                  <c:v>4.3854129643000022</c:v>
                </c:pt>
                <c:pt idx="14">
                  <c:v>3.8380531616000013</c:v>
                </c:pt>
                <c:pt idx="15">
                  <c:v>4.3570454750999943</c:v>
                </c:pt>
                <c:pt idx="16">
                  <c:v>1.1052891966999994</c:v>
                </c:pt>
                <c:pt idx="17">
                  <c:v>4.2167027101999963</c:v>
                </c:pt>
                <c:pt idx="18">
                  <c:v>4.5117376484000005</c:v>
                </c:pt>
                <c:pt idx="19">
                  <c:v>7.2113533302999997</c:v>
                </c:pt>
                <c:pt idx="20">
                  <c:v>-0.15887647600000321</c:v>
                </c:pt>
                <c:pt idx="21">
                  <c:v>-4.2817243594000018</c:v>
                </c:pt>
                <c:pt idx="22">
                  <c:v>0.81643935670000189</c:v>
                </c:pt>
                <c:pt idx="23">
                  <c:v>-3.1393056612999999</c:v>
                </c:pt>
                <c:pt idx="24">
                  <c:v>-1.1439148176999936</c:v>
                </c:pt>
                <c:pt idx="25">
                  <c:v>6.9808481568999952</c:v>
                </c:pt>
                <c:pt idx="26">
                  <c:v>3.5922909883999949</c:v>
                </c:pt>
                <c:pt idx="27">
                  <c:v>6.4971048250999957</c:v>
                </c:pt>
                <c:pt idx="28">
                  <c:v>6.787429436599993</c:v>
                </c:pt>
                <c:pt idx="29">
                  <c:v>-2.8193720724000002</c:v>
                </c:pt>
                <c:pt idx="30">
                  <c:v>-7.6549734265999945</c:v>
                </c:pt>
                <c:pt idx="31">
                  <c:v>-9.3198503552000034</c:v>
                </c:pt>
                <c:pt idx="32">
                  <c:v>-7.7722789596000013</c:v>
                </c:pt>
                <c:pt idx="33">
                  <c:v>-6.2841710961999979</c:v>
                </c:pt>
                <c:pt idx="34">
                  <c:v>-3.1490125172000063</c:v>
                </c:pt>
                <c:pt idx="35">
                  <c:v>-0.12992440070000555</c:v>
                </c:pt>
              </c:numCache>
            </c:numRef>
          </c:val>
          <c:smooth val="0"/>
          <c:extLst>
            <c:ext xmlns:c16="http://schemas.microsoft.com/office/drawing/2014/chart" uri="{C3380CC4-5D6E-409C-BE32-E72D297353CC}">
              <c16:uniqueId val="{00000003-8B7F-4745-8030-E01DA216487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segment (2021=100)</c:v>
                </c:pt>
              </c:strCache>
            </c:strRef>
          </c:tx>
          <c:spPr>
            <a:ln w="15875">
              <a:solidFill>
                <a:schemeClr val="tx1">
                  <a:lumMod val="95000"/>
                  <a:lumOff val="5000"/>
                </a:schemeClr>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5a'!$H$67:$H$103</c:f>
              <c:numCache>
                <c:formatCode>#\ ##0.0</c:formatCode>
                <c:ptCount val="37"/>
                <c:pt idx="0">
                  <c:v>79.387619700000002</c:v>
                </c:pt>
                <c:pt idx="1">
                  <c:v>80.3062253433</c:v>
                </c:pt>
                <c:pt idx="2">
                  <c:v>81.199263806700003</c:v>
                </c:pt>
                <c:pt idx="3">
                  <c:v>82.829916143299997</c:v>
                </c:pt>
                <c:pt idx="4">
                  <c:v>83.359185409999995</c:v>
                </c:pt>
                <c:pt idx="5">
                  <c:v>84.084432476700002</c:v>
                </c:pt>
                <c:pt idx="6">
                  <c:v>85.181352770000004</c:v>
                </c:pt>
                <c:pt idx="7">
                  <c:v>85.88258064</c:v>
                </c:pt>
                <c:pt idx="8">
                  <c:v>87.4984558867</c:v>
                </c:pt>
                <c:pt idx="9">
                  <c:v>89.139402750000002</c:v>
                </c:pt>
                <c:pt idx="10">
                  <c:v>90.153519266700002</c:v>
                </c:pt>
                <c:pt idx="11">
                  <c:v>90.503926663300007</c:v>
                </c:pt>
                <c:pt idx="12">
                  <c:v>93.105140056699994</c:v>
                </c:pt>
                <c:pt idx="13">
                  <c:v>93.1742804167</c:v>
                </c:pt>
                <c:pt idx="14">
                  <c:v>93.514300739999996</c:v>
                </c:pt>
                <c:pt idx="15">
                  <c:v>93.457195813300004</c:v>
                </c:pt>
                <c:pt idx="16">
                  <c:v>95.080488453300006</c:v>
                </c:pt>
                <c:pt idx="17">
                  <c:v>97.775211506700003</c:v>
                </c:pt>
                <c:pt idx="18">
                  <c:v>97.432309173299998</c:v>
                </c:pt>
                <c:pt idx="19">
                  <c:v>98.591741543300003</c:v>
                </c:pt>
                <c:pt idx="20">
                  <c:v>95.1745252467</c:v>
                </c:pt>
                <c:pt idx="21">
                  <c:v>94.2238113433</c:v>
                </c:pt>
                <c:pt idx="22">
                  <c:v>98.2489351567</c:v>
                </c:pt>
                <c:pt idx="23">
                  <c:v>95.276546670000002</c:v>
                </c:pt>
                <c:pt idx="24">
                  <c:v>93.120732363299993</c:v>
                </c:pt>
                <c:pt idx="25">
                  <c:v>100.6970061967</c:v>
                </c:pt>
                <c:pt idx="26">
                  <c:v>102.0775216733</c:v>
                </c:pt>
                <c:pt idx="27">
                  <c:v>101.56045996669999</c:v>
                </c:pt>
                <c:pt idx="28">
                  <c:v>99.689017316700003</c:v>
                </c:pt>
                <c:pt idx="29">
                  <c:v>97.852227529999993</c:v>
                </c:pt>
                <c:pt idx="30">
                  <c:v>94.9484332233</c:v>
                </c:pt>
                <c:pt idx="31">
                  <c:v>92.739781856700006</c:v>
                </c:pt>
                <c:pt idx="32">
                  <c:v>91.820017989999997</c:v>
                </c:pt>
                <c:pt idx="33">
                  <c:v>91.486667793300001</c:v>
                </c:pt>
                <c:pt idx="34">
                  <c:v>91.832769183300002</c:v>
                </c:pt>
                <c:pt idx="35">
                  <c:v>92.480947256700006</c:v>
                </c:pt>
              </c:numCache>
            </c:numRef>
          </c:val>
          <c:smooth val="0"/>
          <c:extLst>
            <c:ext xmlns:c16="http://schemas.microsoft.com/office/drawing/2014/chart" uri="{C3380CC4-5D6E-409C-BE32-E72D297353CC}">
              <c16:uniqueId val="{00000004-8B7F-4745-8030-E01DA2164875}"/>
            </c:ext>
          </c:extLst>
        </c:ser>
        <c:ser>
          <c:idx val="2"/>
          <c:order val="5"/>
          <c:tx>
            <c:strRef>
              <c:f>'výkonnost odvětví 5a'!$I$66</c:f>
              <c:strCache>
                <c:ptCount val="1"/>
                <c:pt idx="0">
                  <c:v>in that: Retail sale of fuels (2021=100)</c:v>
                </c:pt>
              </c:strCache>
            </c:strRef>
          </c:tx>
          <c:spPr>
            <a:ln w="15875">
              <a:solidFill>
                <a:schemeClr val="bg2">
                  <a:lumMod val="50000"/>
                </a:schemeClr>
              </a:solid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5a'!$I$67:$I$103</c:f>
              <c:numCache>
                <c:formatCode>#\ ##0.0</c:formatCode>
                <c:ptCount val="37"/>
                <c:pt idx="0">
                  <c:v>86.524761636700006</c:v>
                </c:pt>
                <c:pt idx="1">
                  <c:v>87.411957833299994</c:v>
                </c:pt>
                <c:pt idx="2">
                  <c:v>89.056815003300002</c:v>
                </c:pt>
                <c:pt idx="3">
                  <c:v>90.635829810000004</c:v>
                </c:pt>
                <c:pt idx="4">
                  <c:v>91.354174043300006</c:v>
                </c:pt>
                <c:pt idx="5">
                  <c:v>92.452717846699997</c:v>
                </c:pt>
                <c:pt idx="6">
                  <c:v>93.451031206699994</c:v>
                </c:pt>
                <c:pt idx="7">
                  <c:v>94.790568546700001</c:v>
                </c:pt>
                <c:pt idx="8">
                  <c:v>96.066324203299999</c:v>
                </c:pt>
                <c:pt idx="9">
                  <c:v>97.673183713300006</c:v>
                </c:pt>
                <c:pt idx="10">
                  <c:v>99.237647573299995</c:v>
                </c:pt>
                <c:pt idx="11">
                  <c:v>100.2896053067</c:v>
                </c:pt>
                <c:pt idx="12">
                  <c:v>101.9259088133</c:v>
                </c:pt>
                <c:pt idx="13">
                  <c:v>102.3498273733</c:v>
                </c:pt>
                <c:pt idx="14">
                  <c:v>102.00124114330001</c:v>
                </c:pt>
                <c:pt idx="15">
                  <c:v>101.92222832669999</c:v>
                </c:pt>
                <c:pt idx="16">
                  <c:v>105.52141971330001</c:v>
                </c:pt>
                <c:pt idx="17">
                  <c:v>106.7492027433</c:v>
                </c:pt>
                <c:pt idx="18">
                  <c:v>102.2677534367</c:v>
                </c:pt>
                <c:pt idx="19">
                  <c:v>102.38734820329999</c:v>
                </c:pt>
                <c:pt idx="20">
                  <c:v>101.74032914999999</c:v>
                </c:pt>
                <c:pt idx="21">
                  <c:v>89.521872973300006</c:v>
                </c:pt>
                <c:pt idx="22">
                  <c:v>98.536132409999993</c:v>
                </c:pt>
                <c:pt idx="23">
                  <c:v>92.227044199999995</c:v>
                </c:pt>
                <c:pt idx="24">
                  <c:v>96.337185626700006</c:v>
                </c:pt>
                <c:pt idx="25">
                  <c:v>101.04246166999999</c:v>
                </c:pt>
                <c:pt idx="26">
                  <c:v>102.21868815329999</c:v>
                </c:pt>
                <c:pt idx="27">
                  <c:v>100.16278036999999</c:v>
                </c:pt>
                <c:pt idx="28">
                  <c:v>100.58357590999999</c:v>
                </c:pt>
                <c:pt idx="29">
                  <c:v>96.011938103299997</c:v>
                </c:pt>
                <c:pt idx="30">
                  <c:v>95.327974240000003</c:v>
                </c:pt>
                <c:pt idx="31">
                  <c:v>98.001312830000003</c:v>
                </c:pt>
                <c:pt idx="32">
                  <c:v>99.337867446700002</c:v>
                </c:pt>
                <c:pt idx="33">
                  <c:v>101.7315474767</c:v>
                </c:pt>
                <c:pt idx="34">
                  <c:v>102.5722280567</c:v>
                </c:pt>
                <c:pt idx="35">
                  <c:v>102.33722072330001</c:v>
                </c:pt>
              </c:numCache>
            </c:numRef>
          </c:val>
          <c:smooth val="0"/>
          <c:extLst>
            <c:ext xmlns:c16="http://schemas.microsoft.com/office/drawing/2014/chart" uri="{C3380CC4-5D6E-409C-BE32-E72D297353CC}">
              <c16:uniqueId val="{00000005-8B7F-4745-8030-E01DA2164875}"/>
            </c:ext>
          </c:extLst>
        </c:ser>
        <c:ser>
          <c:idx val="6"/>
          <c:order val="6"/>
          <c:tx>
            <c:strRef>
              <c:f>'výkonnost odvětví 5a'!$J$66</c:f>
              <c:strCache>
                <c:ptCount val="1"/>
                <c:pt idx="0">
                  <c:v>Sale, repair of motor vehicles (2021=100)</c:v>
                </c:pt>
              </c:strCache>
            </c:strRef>
          </c:tx>
          <c:spPr>
            <a:ln w="15875">
              <a:solidFill>
                <a:srgbClr val="984807"/>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5a'!$J$67:$J$103</c:f>
              <c:numCache>
                <c:formatCode>#\ ##0.0</c:formatCode>
                <c:ptCount val="37"/>
                <c:pt idx="0">
                  <c:v>94.876410473299998</c:v>
                </c:pt>
                <c:pt idx="1">
                  <c:v>97.695799643300006</c:v>
                </c:pt>
                <c:pt idx="2">
                  <c:v>100.06974644669999</c:v>
                </c:pt>
                <c:pt idx="3">
                  <c:v>102.95079615</c:v>
                </c:pt>
                <c:pt idx="4">
                  <c:v>104.2505530033</c:v>
                </c:pt>
                <c:pt idx="5">
                  <c:v>105.7391903267</c:v>
                </c:pt>
                <c:pt idx="6">
                  <c:v>107.83085998670001</c:v>
                </c:pt>
                <c:pt idx="7">
                  <c:v>108.3916669833</c:v>
                </c:pt>
                <c:pt idx="8">
                  <c:v>109.6607583333</c:v>
                </c:pt>
                <c:pt idx="9">
                  <c:v>110.11505321999999</c:v>
                </c:pt>
                <c:pt idx="10">
                  <c:v>109.31164355999999</c:v>
                </c:pt>
                <c:pt idx="11">
                  <c:v>110.27179532</c:v>
                </c:pt>
                <c:pt idx="12">
                  <c:v>108.78251946669999</c:v>
                </c:pt>
                <c:pt idx="13">
                  <c:v>108.49123695</c:v>
                </c:pt>
                <c:pt idx="14">
                  <c:v>108.3772654867</c:v>
                </c:pt>
                <c:pt idx="15">
                  <c:v>106.77434101</c:v>
                </c:pt>
                <c:pt idx="16">
                  <c:v>108.7007365533</c:v>
                </c:pt>
                <c:pt idx="17">
                  <c:v>109.26996463</c:v>
                </c:pt>
                <c:pt idx="18">
                  <c:v>107.48895487670001</c:v>
                </c:pt>
                <c:pt idx="19">
                  <c:v>107.35668517000001</c:v>
                </c:pt>
                <c:pt idx="20">
                  <c:v>95.100964756699994</c:v>
                </c:pt>
                <c:pt idx="21">
                  <c:v>78.817161313300005</c:v>
                </c:pt>
                <c:pt idx="22">
                  <c:v>99.582288770000005</c:v>
                </c:pt>
                <c:pt idx="23">
                  <c:v>99.444996476699998</c:v>
                </c:pt>
                <c:pt idx="24">
                  <c:v>101.4815698533</c:v>
                </c:pt>
                <c:pt idx="25">
                  <c:v>101.20538912000001</c:v>
                </c:pt>
                <c:pt idx="26">
                  <c:v>98.547187789999995</c:v>
                </c:pt>
                <c:pt idx="27">
                  <c:v>97.296073133299998</c:v>
                </c:pt>
                <c:pt idx="28">
                  <c:v>96.634273013300003</c:v>
                </c:pt>
                <c:pt idx="29">
                  <c:v>95.490189773300003</c:v>
                </c:pt>
                <c:pt idx="30">
                  <c:v>95.478794416699998</c:v>
                </c:pt>
                <c:pt idx="31">
                  <c:v>96.020386646700004</c:v>
                </c:pt>
                <c:pt idx="32">
                  <c:v>98.921513309999995</c:v>
                </c:pt>
                <c:pt idx="33">
                  <c:v>99.495656653300003</c:v>
                </c:pt>
                <c:pt idx="34">
                  <c:v>100.74736775</c:v>
                </c:pt>
                <c:pt idx="35">
                  <c:v>101.88866950000001</c:v>
                </c:pt>
              </c:numCache>
            </c:numRef>
          </c:val>
          <c:smooth val="0"/>
          <c:extLst>
            <c:ext xmlns:c16="http://schemas.microsoft.com/office/drawing/2014/chart" uri="{C3380CC4-5D6E-409C-BE32-E72D297353CC}">
              <c16:uniqueId val="{00000006-8B7F-4745-8030-E01DA2164875}"/>
            </c:ext>
          </c:extLst>
        </c:ser>
        <c:ser>
          <c:idx val="7"/>
          <c:order val="7"/>
          <c:tx>
            <c:strRef>
              <c:f>'výkonnost odvětví 5a'!$K$66</c:f>
              <c:strCache>
                <c:ptCount val="1"/>
              </c:strCache>
            </c:strRef>
          </c:tx>
          <c:spPr>
            <a:ln w="3175">
              <a:no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5a'!$K$67:$K$103</c:f>
              <c:numCache>
                <c:formatCode>General</c:formatCode>
                <c:ptCount val="37"/>
              </c:numCache>
            </c:numRef>
          </c:val>
          <c:smooth val="0"/>
          <c:extLst>
            <c:ext xmlns:c16="http://schemas.microsoft.com/office/drawing/2014/chart" uri="{C3380CC4-5D6E-409C-BE32-E72D297353CC}">
              <c16:uniqueId val="{00000007-8B7F-4745-8030-E01DA2164875}"/>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5a'!$L$67:$L$103</c:f>
              <c:numCache>
                <c:formatCode>0.0</c:formatCode>
                <c:ptCount val="37"/>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pt idx="36">
                  <c:v>-15.8</c:v>
                </c:pt>
              </c:numCache>
            </c:numRef>
          </c:val>
          <c:smooth val="0"/>
          <c:extLst>
            <c:ext xmlns:c16="http://schemas.microsoft.com/office/drawing/2014/chart" uri="{C3380CC4-5D6E-409C-BE32-E72D297353CC}">
              <c16:uniqueId val="{00000008-8B7F-4745-8030-E01DA2164875}"/>
            </c:ext>
          </c:extLst>
        </c:ser>
        <c:ser>
          <c:idx val="9"/>
          <c:order val="9"/>
          <c:tx>
            <c:strRef>
              <c:f>'výkonnost odvětví 5a'!$M$66</c:f>
              <c:strCache>
                <c:ptCount val="1"/>
                <c:pt idx="0">
                  <c:v>Confidence indicator in retail</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5a'!$M$67:$M$103</c:f>
              <c:numCache>
                <c:formatCode>0.0</c:formatCode>
                <c:ptCount val="37"/>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pt idx="36">
                  <c:v>1.7</c:v>
                </c:pt>
              </c:numCache>
            </c:numRef>
          </c:val>
          <c:smooth val="0"/>
          <c:extLst>
            <c:ext xmlns:c16="http://schemas.microsoft.com/office/drawing/2014/chart" uri="{C3380CC4-5D6E-409C-BE32-E72D297353CC}">
              <c16:uniqueId val="{00000009-8B7F-4745-8030-E01DA2164875}"/>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baseline="0"/>
                  <a:t>Contribution to the change of sales in retail </a:t>
                </a:r>
                <a:endParaRPr lang="cs-CZ" sz="750" b="0" i="1"/>
              </a:p>
            </c:rich>
          </c:tx>
          <c:layout>
            <c:manualLayout>
              <c:xMode val="edge"/>
              <c:yMode val="edge"/>
              <c:x val="2.6086947381477195E-3"/>
              <c:y val="0.11760526506306054"/>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25"/>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Sales (year 2021=100), confidence indicator</a:t>
                </a:r>
              </a:p>
            </c:rich>
          </c:tx>
          <c:layout>
            <c:manualLayout>
              <c:xMode val="edge"/>
              <c:yMode val="edge"/>
              <c:x val="0.96896265019335537"/>
              <c:y val="0.1030659552748001"/>
            </c:manualLayout>
          </c:layout>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5"/>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1385534144624996E-3"/>
          <c:y val="0.837216076019483"/>
          <c:w val="0.98691543107779145"/>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b8c0c86d-151e-4fca-b0d5-747e6692fa1d"/>
    <ds:schemaRef ds:uri="http://www.w3.org/XML/1998/namespace"/>
  </ds:schemaRefs>
</ds:datastoreItem>
</file>

<file path=customXml/itemProps4.xml><?xml version="1.0" encoding="utf-8"?>
<ds:datastoreItem xmlns:ds="http://schemas.openxmlformats.org/officeDocument/2006/customXml" ds:itemID="{381878B3-8ED3-42FE-93A2-FE374D0CD997}">
  <ds:schemaRefs>
    <ds:schemaRef ds:uri="http://schemas.openxmlformats.org/officeDocument/2006/bibliography"/>
  </ds:schemaRefs>
</ds:datastoreItem>
</file>

<file path=customXml/itemProps5.xml><?xml version="1.0" encoding="utf-8"?>
<ds:datastoreItem xmlns:ds="http://schemas.openxmlformats.org/officeDocument/2006/customXml" ds:itemID="{8790D759-19B0-4190-8925-D2C4C347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11</Pages>
  <Words>5149</Words>
  <Characters>30385</Characters>
  <Application>Microsoft Office Word</Application>
  <DocSecurity>0</DocSecurity>
  <Lines>253</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